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3DDB42F">
      <w:pPr>
        <w:spacing w:line="360" w:lineRule="auto"/>
        <w:jc w:val="center"/>
        <w:rPr>
          <w:b/>
          <w:color w:val="auto"/>
          <w:sz w:val="36"/>
          <w:szCs w:val="36"/>
          <w:highlight w:val="none"/>
        </w:rPr>
      </w:pPr>
      <w:r>
        <w:rPr>
          <w:b/>
          <w:color w:val="auto"/>
          <w:sz w:val="36"/>
          <w:szCs w:val="36"/>
          <w:highlight w:val="none"/>
        </w:rPr>
        <w:drawing>
          <wp:inline distT="0" distB="0" distL="114300" distR="114300">
            <wp:extent cx="905510" cy="1656715"/>
            <wp:effectExtent l="0" t="0" r="8890" b="635"/>
            <wp:docPr id="5" name="图片 2" descr="旗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旗帜"/>
                    <pic:cNvPicPr>
                      <a:picLocks noChangeAspect="1"/>
                    </pic:cNvPicPr>
                  </pic:nvPicPr>
                  <pic:blipFill>
                    <a:blip r:embed="rId10"/>
                    <a:stretch>
                      <a:fillRect/>
                    </a:stretch>
                  </pic:blipFill>
                  <pic:spPr>
                    <a:xfrm>
                      <a:off x="0" y="0"/>
                      <a:ext cx="905510" cy="1656715"/>
                    </a:xfrm>
                    <a:prstGeom prst="rect">
                      <a:avLst/>
                    </a:prstGeom>
                    <a:noFill/>
                    <a:ln>
                      <a:noFill/>
                    </a:ln>
                  </pic:spPr>
                </pic:pic>
              </a:graphicData>
            </a:graphic>
          </wp:inline>
        </w:drawing>
      </w:r>
    </w:p>
    <w:p w14:paraId="6706B673">
      <w:pPr>
        <w:spacing w:line="480" w:lineRule="exact"/>
        <w:jc w:val="center"/>
        <w:rPr>
          <w:rFonts w:ascii="宋体" w:hAnsi="宋体"/>
          <w:b/>
          <w:bCs/>
          <w:color w:val="auto"/>
          <w:sz w:val="48"/>
          <w:szCs w:val="48"/>
          <w:highlight w:val="none"/>
        </w:rPr>
      </w:pPr>
      <w:r>
        <w:rPr>
          <w:rFonts w:hint="eastAsia" w:ascii="宋体" w:hAnsi="宋体"/>
          <w:b/>
          <w:bCs/>
          <w:color w:val="auto"/>
          <w:sz w:val="48"/>
          <w:szCs w:val="48"/>
          <w:highlight w:val="none"/>
        </w:rPr>
        <w:t>广西建标建设工程咨询有限责任公司</w:t>
      </w:r>
    </w:p>
    <w:p w14:paraId="7409EEB1">
      <w:pPr>
        <w:spacing w:before="156" w:beforeLines="50"/>
        <w:jc w:val="center"/>
        <w:rPr>
          <w:b/>
          <w:color w:val="auto"/>
          <w:sz w:val="36"/>
          <w:szCs w:val="36"/>
          <w:highlight w:val="none"/>
        </w:rPr>
      </w:pPr>
    </w:p>
    <w:p w14:paraId="73EF8518">
      <w:pPr>
        <w:spacing w:line="360" w:lineRule="auto"/>
        <w:jc w:val="center"/>
        <w:rPr>
          <w:rFonts w:ascii="宋体" w:hAnsi="宋体"/>
          <w:b/>
          <w:color w:val="auto"/>
          <w:sz w:val="36"/>
          <w:szCs w:val="36"/>
          <w:highlight w:val="none"/>
        </w:rPr>
      </w:pPr>
      <w:r>
        <w:rPr>
          <w:rFonts w:ascii="宋体" w:hAnsi="宋体"/>
          <w:color w:val="auto"/>
          <w:sz w:val="32"/>
          <w:szCs w:val="32"/>
          <w:highlight w:val="none"/>
        </w:rPr>
        <mc:AlternateContent>
          <mc:Choice Requires="wps">
            <w:drawing>
              <wp:anchor distT="0" distB="0" distL="114300" distR="114300" simplePos="0" relativeHeight="251662336" behindDoc="0" locked="0" layoutInCell="1" allowOverlap="1">
                <wp:simplePos x="0" y="0"/>
                <wp:positionH relativeFrom="column">
                  <wp:posOffset>-38100</wp:posOffset>
                </wp:positionH>
                <wp:positionV relativeFrom="paragraph">
                  <wp:posOffset>60960</wp:posOffset>
                </wp:positionV>
                <wp:extent cx="6204585" cy="8255"/>
                <wp:effectExtent l="0" t="13970" r="5715" b="15875"/>
                <wp:wrapNone/>
                <wp:docPr id="4" name="直线 5"/>
                <wp:cNvGraphicFramePr/>
                <a:graphic xmlns:a="http://schemas.openxmlformats.org/drawingml/2006/main">
                  <a:graphicData uri="http://schemas.microsoft.com/office/word/2010/wordprocessingShape">
                    <wps:wsp>
                      <wps:cNvCnPr/>
                      <wps:spPr>
                        <a:xfrm flipV="1">
                          <a:off x="0" y="0"/>
                          <a:ext cx="6204585" cy="8255"/>
                        </a:xfrm>
                        <a:prstGeom prst="line">
                          <a:avLst/>
                        </a:prstGeom>
                        <a:ln w="28575" cap="flat" cmpd="sng">
                          <a:solidFill>
                            <a:srgbClr val="000000"/>
                          </a:solidFill>
                          <a:prstDash val="solid"/>
                          <a:headEnd type="none" w="med" len="med"/>
                          <a:tailEnd type="none" w="med" len="med"/>
                        </a:ln>
                        <a:effectLst/>
                      </wps:spPr>
                      <wps:bodyPr/>
                    </wps:wsp>
                  </a:graphicData>
                </a:graphic>
              </wp:anchor>
            </w:drawing>
          </mc:Choice>
          <mc:Fallback>
            <w:pict>
              <v:line id="直线 5" o:spid="_x0000_s1026" o:spt="20" style="position:absolute;left:0pt;flip:y;margin-left:-3pt;margin-top:4.8pt;height:0.65pt;width:488.55pt;z-index:251662336;mso-width-relative:page;mso-height-relative:page;" filled="f" stroked="t" coordsize="21600,21600" o:gfxdata="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H25yDdUAAAAHAQAADwAAAAAAAAABACAAAAAiAAAAZHJzL2Rvd25yZXYueG1sUEsBAhQAFAAAAAgA&#10;h07iQPlES0LvAQAA6wMAAA4AAAAAAAAAAQAgAAAAJAEAAGRycy9lMm9Eb2MueG1sUEsFBgAAAAAG&#10;AAYAWQEAAIUFAAAAAA==&#10;">
                <v:fill on="f" focussize="0,0"/>
                <v:stroke weight="2.25pt" color="#000000" joinstyle="round"/>
                <v:imagedata o:title=""/>
                <o:lock v:ext="edit" aspectratio="f"/>
              </v:line>
            </w:pict>
          </mc:Fallback>
        </mc:AlternateContent>
      </w:r>
    </w:p>
    <w:p w14:paraId="3A430C11">
      <w:pPr>
        <w:spacing w:line="360" w:lineRule="auto"/>
        <w:jc w:val="center"/>
        <w:rPr>
          <w:rFonts w:ascii="宋体" w:hAnsi="宋体"/>
          <w:b/>
          <w:color w:val="auto"/>
          <w:sz w:val="90"/>
          <w:szCs w:val="90"/>
          <w:highlight w:val="none"/>
        </w:rPr>
      </w:pPr>
    </w:p>
    <w:p w14:paraId="2B6E8C63">
      <w:pPr>
        <w:spacing w:line="360" w:lineRule="auto"/>
        <w:jc w:val="center"/>
        <w:rPr>
          <w:rFonts w:ascii="宋体" w:hAnsi="宋体"/>
          <w:b/>
          <w:color w:val="auto"/>
          <w:sz w:val="90"/>
          <w:szCs w:val="90"/>
          <w:highlight w:val="none"/>
        </w:rPr>
      </w:pPr>
      <w:r>
        <w:rPr>
          <w:rFonts w:ascii="宋体" w:hAnsi="宋体"/>
          <w:b/>
          <w:color w:val="auto"/>
          <w:sz w:val="90"/>
          <w:szCs w:val="90"/>
          <w:highlight w:val="none"/>
        </w:rPr>
        <w:t>竞争性</w:t>
      </w:r>
      <w:r>
        <w:rPr>
          <w:rFonts w:hint="eastAsia" w:ascii="宋体" w:hAnsi="宋体"/>
          <w:b/>
          <w:color w:val="auto"/>
          <w:sz w:val="90"/>
          <w:szCs w:val="90"/>
          <w:highlight w:val="none"/>
        </w:rPr>
        <w:t>谈判</w:t>
      </w:r>
      <w:r>
        <w:rPr>
          <w:rFonts w:ascii="宋体" w:hAnsi="宋体"/>
          <w:b/>
          <w:color w:val="auto"/>
          <w:sz w:val="90"/>
          <w:szCs w:val="90"/>
          <w:highlight w:val="none"/>
        </w:rPr>
        <w:t>文件</w:t>
      </w:r>
    </w:p>
    <w:p w14:paraId="5B0BC9F3">
      <w:pPr>
        <w:jc w:val="center"/>
        <w:rPr>
          <w:rFonts w:ascii="宋体" w:hAnsi="宋体"/>
          <w:b/>
          <w:color w:val="auto"/>
          <w:sz w:val="36"/>
          <w:szCs w:val="36"/>
          <w:highlight w:val="none"/>
        </w:rPr>
      </w:pPr>
    </w:p>
    <w:p w14:paraId="6242BD84">
      <w:pPr>
        <w:snapToGrid w:val="0"/>
        <w:spacing w:before="156" w:beforeLines="50" w:line="360" w:lineRule="auto"/>
        <w:jc w:val="center"/>
        <w:rPr>
          <w:rFonts w:hint="eastAsia" w:ascii="仿宋_GB2312" w:hAnsi="宋体" w:eastAsia="仿宋_GB2312"/>
          <w:b/>
          <w:color w:val="auto"/>
          <w:sz w:val="30"/>
          <w:szCs w:val="72"/>
          <w:highlight w:val="none"/>
        </w:rPr>
      </w:pPr>
      <w:r>
        <w:rPr>
          <w:rFonts w:hint="eastAsia" w:ascii="仿宋_GB2312" w:hAnsi="宋体" w:eastAsia="仿宋_GB2312"/>
          <w:b/>
          <w:color w:val="auto"/>
          <w:sz w:val="48"/>
          <w:szCs w:val="48"/>
          <w:highlight w:val="none"/>
        </w:rPr>
        <w:t>（全流程电子化采购）</w:t>
      </w:r>
    </w:p>
    <w:p w14:paraId="79C676E9">
      <w:pPr>
        <w:jc w:val="center"/>
        <w:rPr>
          <w:rFonts w:ascii="宋体" w:hAnsi="宋体"/>
          <w:color w:val="auto"/>
          <w:sz w:val="72"/>
          <w:szCs w:val="72"/>
          <w:highlight w:val="none"/>
        </w:rPr>
      </w:pPr>
    </w:p>
    <w:p w14:paraId="2FD1819D">
      <w:pPr>
        <w:tabs>
          <w:tab w:val="left" w:pos="993"/>
        </w:tabs>
        <w:spacing w:line="360" w:lineRule="auto"/>
        <w:ind w:left="844" w:leftChars="402" w:firstLine="148" w:firstLineChars="49"/>
        <w:rPr>
          <w:rFonts w:hint="eastAsia" w:ascii="宋体" w:hAnsi="宋体" w:eastAsia="宋体"/>
          <w:b/>
          <w:color w:val="auto"/>
          <w:sz w:val="30"/>
          <w:szCs w:val="30"/>
          <w:highlight w:val="none"/>
          <w:lang w:eastAsia="zh-CN"/>
        </w:rPr>
      </w:pPr>
      <w:r>
        <w:rPr>
          <w:rFonts w:hint="eastAsia" w:ascii="宋体" w:hAnsi="宋体"/>
          <w:b/>
          <w:color w:val="auto"/>
          <w:sz w:val="30"/>
          <w:szCs w:val="30"/>
          <w:highlight w:val="none"/>
        </w:rPr>
        <w:t>项目名称：</w:t>
      </w:r>
      <w:r>
        <w:rPr>
          <w:rFonts w:hint="eastAsia" w:ascii="宋体" w:hAnsi="宋体"/>
          <w:b/>
          <w:color w:val="auto"/>
          <w:sz w:val="30"/>
          <w:szCs w:val="30"/>
          <w:highlight w:val="none"/>
          <w:lang w:eastAsia="zh-CN"/>
        </w:rPr>
        <w:t>2026年无线电管理机动监测能力提升项目</w:t>
      </w:r>
    </w:p>
    <w:p w14:paraId="46AD6EC9">
      <w:pPr>
        <w:tabs>
          <w:tab w:val="left" w:pos="993"/>
        </w:tabs>
        <w:spacing w:line="360" w:lineRule="auto"/>
        <w:ind w:left="844" w:leftChars="402" w:firstLine="148" w:firstLineChars="49"/>
        <w:rPr>
          <w:rFonts w:hint="eastAsia" w:ascii="宋体" w:hAnsi="宋体" w:eastAsia="宋体"/>
          <w:b/>
          <w:color w:val="auto"/>
          <w:sz w:val="30"/>
          <w:szCs w:val="30"/>
          <w:highlight w:val="none"/>
          <w:lang w:eastAsia="zh-CN"/>
        </w:rPr>
      </w:pPr>
      <w:r>
        <w:rPr>
          <w:rFonts w:hint="eastAsia" w:ascii="宋体" w:hAnsi="宋体"/>
          <w:b/>
          <w:color w:val="auto"/>
          <w:sz w:val="30"/>
          <w:szCs w:val="30"/>
          <w:highlight w:val="none"/>
        </w:rPr>
        <w:t>项目编号：</w:t>
      </w:r>
      <w:r>
        <w:rPr>
          <w:rFonts w:hint="eastAsia" w:ascii="宋体" w:hAnsi="宋体"/>
          <w:b/>
          <w:color w:val="auto"/>
          <w:sz w:val="30"/>
          <w:szCs w:val="30"/>
          <w:highlight w:val="none"/>
          <w:lang w:eastAsia="zh-CN"/>
        </w:rPr>
        <w:t>GXZC2026-J1-001392-GXJB</w:t>
      </w:r>
    </w:p>
    <w:p w14:paraId="0398F6BC">
      <w:pPr>
        <w:tabs>
          <w:tab w:val="left" w:pos="993"/>
        </w:tabs>
        <w:spacing w:line="360" w:lineRule="auto"/>
        <w:ind w:left="844" w:leftChars="402" w:firstLine="148" w:firstLineChars="49"/>
        <w:rPr>
          <w:rFonts w:ascii="宋体" w:hAnsi="宋体"/>
          <w:b/>
          <w:color w:val="auto"/>
          <w:sz w:val="30"/>
          <w:szCs w:val="30"/>
          <w:highlight w:val="none"/>
        </w:rPr>
      </w:pPr>
      <w:r>
        <w:rPr>
          <w:rFonts w:hint="eastAsia" w:ascii="宋体" w:hAnsi="宋体"/>
          <w:b/>
          <w:color w:val="auto"/>
          <w:sz w:val="30"/>
          <w:szCs w:val="30"/>
          <w:highlight w:val="none"/>
        </w:rPr>
        <w:t>采购人：</w:t>
      </w:r>
      <w:r>
        <w:rPr>
          <w:rFonts w:hint="eastAsia" w:ascii="宋体" w:hAnsi="宋体"/>
          <w:b/>
          <w:color w:val="auto"/>
          <w:sz w:val="30"/>
          <w:szCs w:val="30"/>
          <w:highlight w:val="none"/>
          <w:lang w:eastAsia="zh-CN"/>
        </w:rPr>
        <w:t>广西壮族自治区无线电监测站</w:t>
      </w:r>
      <w:r>
        <w:rPr>
          <w:rFonts w:hint="eastAsia" w:ascii="宋体" w:hAnsi="宋体"/>
          <w:b/>
          <w:color w:val="auto"/>
          <w:sz w:val="30"/>
          <w:szCs w:val="30"/>
          <w:highlight w:val="none"/>
        </w:rPr>
        <w:t xml:space="preserve"> </w:t>
      </w:r>
    </w:p>
    <w:p w14:paraId="5884854D">
      <w:pPr>
        <w:tabs>
          <w:tab w:val="left" w:pos="993"/>
        </w:tabs>
        <w:spacing w:line="360" w:lineRule="auto"/>
        <w:ind w:left="844" w:leftChars="402" w:firstLine="148" w:firstLineChars="49"/>
        <w:rPr>
          <w:rFonts w:ascii="宋体" w:hAnsi="宋体"/>
          <w:b/>
          <w:color w:val="auto"/>
          <w:sz w:val="30"/>
          <w:szCs w:val="30"/>
          <w:highlight w:val="none"/>
        </w:rPr>
      </w:pPr>
      <w:r>
        <w:rPr>
          <w:rFonts w:hint="eastAsia" w:ascii="宋体" w:hAnsi="宋体"/>
          <w:b/>
          <w:color w:val="auto"/>
          <w:sz w:val="30"/>
          <w:szCs w:val="30"/>
          <w:highlight w:val="none"/>
        </w:rPr>
        <w:t>采购代理机构：广西建标建设工程咨询有限责任公司</w:t>
      </w:r>
    </w:p>
    <w:p w14:paraId="39BFEAE0">
      <w:pPr>
        <w:tabs>
          <w:tab w:val="left" w:pos="993"/>
        </w:tabs>
        <w:spacing w:line="360" w:lineRule="auto"/>
        <w:ind w:left="851" w:leftChars="1" w:hanging="849" w:hangingChars="282"/>
        <w:jc w:val="center"/>
        <w:rPr>
          <w:rFonts w:ascii="宋体" w:hAnsi="宋体"/>
          <w:b/>
          <w:color w:val="auto"/>
          <w:sz w:val="30"/>
          <w:szCs w:val="30"/>
          <w:highlight w:val="none"/>
        </w:rPr>
      </w:pPr>
      <w:r>
        <w:rPr>
          <w:rFonts w:hint="eastAsia" w:ascii="宋体" w:hAnsi="宋体"/>
          <w:b/>
          <w:color w:val="auto"/>
          <w:sz w:val="30"/>
          <w:szCs w:val="30"/>
          <w:highlight w:val="none"/>
        </w:rPr>
        <w:t>二0二</w:t>
      </w:r>
      <w:r>
        <w:rPr>
          <w:rFonts w:hint="eastAsia" w:ascii="宋体" w:hAnsi="宋体"/>
          <w:b/>
          <w:color w:val="auto"/>
          <w:sz w:val="30"/>
          <w:szCs w:val="30"/>
          <w:highlight w:val="none"/>
          <w:lang w:val="en-US" w:eastAsia="zh-CN"/>
        </w:rPr>
        <w:t>六</w:t>
      </w:r>
      <w:r>
        <w:rPr>
          <w:rFonts w:hint="eastAsia" w:ascii="宋体" w:hAnsi="宋体"/>
          <w:b/>
          <w:color w:val="auto"/>
          <w:sz w:val="30"/>
          <w:szCs w:val="30"/>
          <w:highlight w:val="none"/>
        </w:rPr>
        <w:t>年</w:t>
      </w:r>
      <w:r>
        <w:rPr>
          <w:rFonts w:hint="eastAsia" w:ascii="宋体" w:hAnsi="宋体"/>
          <w:b/>
          <w:color w:val="auto"/>
          <w:sz w:val="30"/>
          <w:szCs w:val="30"/>
          <w:highlight w:val="none"/>
          <w:lang w:val="en-US" w:eastAsia="zh-CN"/>
        </w:rPr>
        <w:t>五</w:t>
      </w:r>
      <w:r>
        <w:rPr>
          <w:rFonts w:hint="eastAsia" w:ascii="宋体" w:hAnsi="宋体"/>
          <w:b/>
          <w:color w:val="auto"/>
          <w:sz w:val="30"/>
          <w:szCs w:val="30"/>
          <w:highlight w:val="none"/>
        </w:rPr>
        <w:t>月</w:t>
      </w:r>
    </w:p>
    <w:p w14:paraId="5CFD0149">
      <w:pPr>
        <w:pStyle w:val="10"/>
        <w:jc w:val="center"/>
        <w:rPr>
          <w:rFonts w:hint="eastAsia" w:ascii="宋体" w:hAnsi="宋体"/>
          <w:b/>
          <w:color w:val="auto"/>
          <w:sz w:val="44"/>
          <w:szCs w:val="44"/>
          <w:highlight w:val="none"/>
        </w:rPr>
        <w:sectPr>
          <w:headerReference r:id="rId3" w:type="default"/>
          <w:pgSz w:w="11906" w:h="16838"/>
          <w:pgMar w:top="1440" w:right="1080" w:bottom="1440" w:left="1080" w:header="851" w:footer="992" w:gutter="0"/>
          <w:pgNumType w:start="0"/>
          <w:cols w:space="720" w:num="1"/>
          <w:titlePg/>
          <w:docGrid w:type="lines" w:linePitch="312" w:charSpace="0"/>
        </w:sectPr>
      </w:pPr>
    </w:p>
    <w:p w14:paraId="7B7B4A3E">
      <w:pPr>
        <w:pStyle w:val="10"/>
        <w:jc w:val="center"/>
        <w:rPr>
          <w:rFonts w:hint="eastAsia" w:ascii="宋体" w:hAnsi="宋体"/>
          <w:b/>
          <w:color w:val="auto"/>
          <w:sz w:val="44"/>
          <w:szCs w:val="44"/>
          <w:highlight w:val="none"/>
        </w:rPr>
      </w:pPr>
      <w:r>
        <w:rPr>
          <w:rFonts w:hint="eastAsia" w:ascii="宋体" w:hAnsi="宋体"/>
          <w:b/>
          <w:color w:val="auto"/>
          <w:sz w:val="44"/>
          <w:szCs w:val="44"/>
          <w:highlight w:val="none"/>
        </w:rPr>
        <w:t>目  录</w:t>
      </w:r>
    </w:p>
    <w:p w14:paraId="7C09166C">
      <w:pPr>
        <w:spacing w:line="400" w:lineRule="exact"/>
        <w:jc w:val="center"/>
        <w:rPr>
          <w:rFonts w:hint="eastAsia" w:ascii="宋体" w:hAnsi="宋体"/>
          <w:b/>
          <w:color w:val="auto"/>
          <w:sz w:val="44"/>
          <w:szCs w:val="44"/>
          <w:highlight w:val="none"/>
        </w:rPr>
      </w:pPr>
    </w:p>
    <w:p w14:paraId="22CD458F">
      <w:pPr>
        <w:pStyle w:val="20"/>
        <w:tabs>
          <w:tab w:val="right" w:leader="dot" w:pos="8869"/>
        </w:tabs>
        <w:snapToGrid w:val="0"/>
        <w:spacing w:line="480" w:lineRule="auto"/>
        <w:rPr>
          <w:rFonts w:ascii="宋体" w:hAnsi="宋体"/>
          <w:b/>
          <w:color w:val="auto"/>
          <w:sz w:val="24"/>
          <w:highlight w:val="none"/>
        </w:rPr>
      </w:pPr>
      <w:r>
        <w:rPr>
          <w:rFonts w:ascii="宋体" w:hAnsi="宋体"/>
          <w:b/>
          <w:color w:val="auto"/>
          <w:sz w:val="24"/>
          <w:highlight w:val="none"/>
        </w:rPr>
        <w:fldChar w:fldCharType="begin"/>
      </w:r>
      <w:r>
        <w:rPr>
          <w:rFonts w:ascii="宋体" w:hAnsi="宋体"/>
          <w:b/>
          <w:color w:val="auto"/>
          <w:sz w:val="24"/>
          <w:highlight w:val="none"/>
        </w:rPr>
        <w:instrText xml:space="preserve"> </w:instrText>
      </w:r>
      <w:r>
        <w:rPr>
          <w:rFonts w:hint="eastAsia" w:ascii="宋体" w:hAnsi="宋体"/>
          <w:b/>
          <w:color w:val="auto"/>
          <w:sz w:val="24"/>
          <w:highlight w:val="none"/>
        </w:rPr>
        <w:instrText xml:space="preserve">TOC \o "1-3" \h \z \u</w:instrText>
      </w:r>
      <w:r>
        <w:rPr>
          <w:rFonts w:ascii="宋体" w:hAnsi="宋体"/>
          <w:b/>
          <w:color w:val="auto"/>
          <w:sz w:val="24"/>
          <w:highlight w:val="none"/>
        </w:rPr>
        <w:instrText xml:space="preserve"> </w:instrText>
      </w:r>
      <w:r>
        <w:rPr>
          <w:rFonts w:ascii="宋体" w:hAnsi="宋体"/>
          <w:b/>
          <w:color w:val="auto"/>
          <w:sz w:val="24"/>
          <w:highlight w:val="none"/>
        </w:rPr>
        <w:fldChar w:fldCharType="separate"/>
      </w:r>
      <w:r>
        <w:rPr>
          <w:rStyle w:val="28"/>
          <w:rFonts w:ascii="宋体" w:hAnsi="宋体"/>
          <w:b/>
          <w:color w:val="auto"/>
          <w:sz w:val="24"/>
          <w:highlight w:val="none"/>
        </w:rPr>
        <w:fldChar w:fldCharType="begin"/>
      </w:r>
      <w:r>
        <w:rPr>
          <w:rStyle w:val="28"/>
          <w:rFonts w:ascii="宋体" w:hAnsi="宋体"/>
          <w:b/>
          <w:color w:val="auto"/>
          <w:sz w:val="24"/>
          <w:highlight w:val="none"/>
        </w:rPr>
        <w:instrText xml:space="preserve"> </w:instrText>
      </w:r>
      <w:r>
        <w:rPr>
          <w:rFonts w:ascii="宋体" w:hAnsi="宋体"/>
          <w:b/>
          <w:color w:val="auto"/>
          <w:sz w:val="24"/>
          <w:highlight w:val="none"/>
        </w:rPr>
        <w:instrText xml:space="preserve">HYPERLINK \l "_Toc74322008"</w:instrText>
      </w:r>
      <w:r>
        <w:rPr>
          <w:rStyle w:val="28"/>
          <w:rFonts w:ascii="宋体" w:hAnsi="宋体"/>
          <w:b/>
          <w:color w:val="auto"/>
          <w:sz w:val="24"/>
          <w:highlight w:val="none"/>
        </w:rPr>
        <w:instrText xml:space="preserve"> </w:instrText>
      </w:r>
      <w:r>
        <w:rPr>
          <w:rStyle w:val="28"/>
          <w:rFonts w:ascii="宋体" w:hAnsi="宋体"/>
          <w:b/>
          <w:color w:val="auto"/>
          <w:sz w:val="24"/>
          <w:highlight w:val="none"/>
        </w:rPr>
        <w:fldChar w:fldCharType="separate"/>
      </w:r>
      <w:r>
        <w:rPr>
          <w:rStyle w:val="28"/>
          <w:rFonts w:hint="eastAsia" w:ascii="宋体" w:hAnsi="宋体"/>
          <w:b/>
          <w:color w:val="auto"/>
          <w:sz w:val="24"/>
          <w:highlight w:val="none"/>
        </w:rPr>
        <w:t>第一章</w:t>
      </w:r>
      <w:r>
        <w:rPr>
          <w:rStyle w:val="28"/>
          <w:rFonts w:ascii="宋体" w:hAnsi="宋体"/>
          <w:b/>
          <w:color w:val="auto"/>
          <w:sz w:val="24"/>
          <w:highlight w:val="none"/>
        </w:rPr>
        <w:t xml:space="preserve"> </w:t>
      </w:r>
      <w:r>
        <w:rPr>
          <w:rStyle w:val="28"/>
          <w:rFonts w:hint="eastAsia" w:ascii="宋体" w:hAnsi="宋体"/>
          <w:b/>
          <w:color w:val="auto"/>
          <w:sz w:val="24"/>
          <w:highlight w:val="none"/>
        </w:rPr>
        <w:t>竞争性谈判公告</w:t>
      </w:r>
      <w:r>
        <w:rPr>
          <w:rFonts w:ascii="宋体" w:hAnsi="宋体"/>
          <w:b/>
          <w:color w:val="auto"/>
          <w:sz w:val="24"/>
          <w:highlight w:val="none"/>
        </w:rPr>
        <w:tab/>
      </w:r>
      <w:r>
        <w:rPr>
          <w:rFonts w:ascii="宋体" w:hAnsi="宋体"/>
          <w:b/>
          <w:color w:val="auto"/>
          <w:sz w:val="24"/>
          <w:highlight w:val="none"/>
        </w:rPr>
        <w:fldChar w:fldCharType="begin"/>
      </w:r>
      <w:r>
        <w:rPr>
          <w:rFonts w:ascii="宋体" w:hAnsi="宋体"/>
          <w:b/>
          <w:color w:val="auto"/>
          <w:sz w:val="24"/>
          <w:highlight w:val="none"/>
        </w:rPr>
        <w:instrText xml:space="preserve"> PAGEREF _Toc74322008 \h </w:instrText>
      </w:r>
      <w:r>
        <w:rPr>
          <w:rFonts w:ascii="宋体" w:hAnsi="宋体"/>
          <w:b/>
          <w:color w:val="auto"/>
          <w:sz w:val="24"/>
          <w:highlight w:val="none"/>
        </w:rPr>
        <w:fldChar w:fldCharType="separate"/>
      </w:r>
      <w:r>
        <w:rPr>
          <w:rFonts w:ascii="宋体" w:hAnsi="宋体"/>
          <w:b/>
          <w:color w:val="auto"/>
          <w:sz w:val="24"/>
          <w:highlight w:val="none"/>
        </w:rPr>
        <w:t>2</w:t>
      </w:r>
      <w:r>
        <w:rPr>
          <w:rFonts w:ascii="宋体" w:hAnsi="宋体"/>
          <w:b/>
          <w:color w:val="auto"/>
          <w:sz w:val="24"/>
          <w:highlight w:val="none"/>
        </w:rPr>
        <w:fldChar w:fldCharType="end"/>
      </w:r>
      <w:r>
        <w:rPr>
          <w:rStyle w:val="28"/>
          <w:rFonts w:ascii="宋体" w:hAnsi="宋体"/>
          <w:b/>
          <w:color w:val="auto"/>
          <w:sz w:val="24"/>
          <w:highlight w:val="none"/>
        </w:rPr>
        <w:fldChar w:fldCharType="end"/>
      </w:r>
    </w:p>
    <w:p w14:paraId="7CC450F8">
      <w:pPr>
        <w:pStyle w:val="20"/>
        <w:tabs>
          <w:tab w:val="right" w:leader="dot" w:pos="8869"/>
        </w:tabs>
        <w:snapToGrid w:val="0"/>
        <w:spacing w:line="480" w:lineRule="auto"/>
        <w:rPr>
          <w:rFonts w:ascii="宋体" w:hAnsi="宋体"/>
          <w:b/>
          <w:color w:val="auto"/>
          <w:sz w:val="24"/>
          <w:highlight w:val="none"/>
        </w:rPr>
      </w:pPr>
      <w:r>
        <w:rPr>
          <w:rStyle w:val="28"/>
          <w:rFonts w:ascii="宋体" w:hAnsi="宋体"/>
          <w:b/>
          <w:color w:val="auto"/>
          <w:sz w:val="24"/>
          <w:highlight w:val="none"/>
        </w:rPr>
        <w:fldChar w:fldCharType="begin"/>
      </w:r>
      <w:r>
        <w:rPr>
          <w:rStyle w:val="28"/>
          <w:rFonts w:ascii="宋体" w:hAnsi="宋体"/>
          <w:b/>
          <w:color w:val="auto"/>
          <w:sz w:val="24"/>
          <w:highlight w:val="none"/>
        </w:rPr>
        <w:instrText xml:space="preserve"> </w:instrText>
      </w:r>
      <w:r>
        <w:rPr>
          <w:rFonts w:ascii="宋体" w:hAnsi="宋体"/>
          <w:b/>
          <w:color w:val="auto"/>
          <w:sz w:val="24"/>
          <w:highlight w:val="none"/>
        </w:rPr>
        <w:instrText xml:space="preserve">HYPERLINK \l "_Toc74322009"</w:instrText>
      </w:r>
      <w:r>
        <w:rPr>
          <w:rStyle w:val="28"/>
          <w:rFonts w:ascii="宋体" w:hAnsi="宋体"/>
          <w:b/>
          <w:color w:val="auto"/>
          <w:sz w:val="24"/>
          <w:highlight w:val="none"/>
        </w:rPr>
        <w:instrText xml:space="preserve"> </w:instrText>
      </w:r>
      <w:r>
        <w:rPr>
          <w:rStyle w:val="28"/>
          <w:rFonts w:ascii="宋体" w:hAnsi="宋体"/>
          <w:b/>
          <w:color w:val="auto"/>
          <w:sz w:val="24"/>
          <w:highlight w:val="none"/>
        </w:rPr>
        <w:fldChar w:fldCharType="separate"/>
      </w:r>
      <w:r>
        <w:rPr>
          <w:rStyle w:val="28"/>
          <w:rFonts w:hint="eastAsia" w:ascii="宋体" w:hAnsi="宋体"/>
          <w:b/>
          <w:color w:val="auto"/>
          <w:sz w:val="24"/>
          <w:highlight w:val="none"/>
        </w:rPr>
        <w:t>第二章</w:t>
      </w:r>
      <w:r>
        <w:rPr>
          <w:rStyle w:val="28"/>
          <w:rFonts w:ascii="宋体" w:hAnsi="宋体"/>
          <w:b/>
          <w:color w:val="auto"/>
          <w:sz w:val="24"/>
          <w:highlight w:val="none"/>
        </w:rPr>
        <w:t xml:space="preserve"> </w:t>
      </w:r>
      <w:r>
        <w:rPr>
          <w:rStyle w:val="28"/>
          <w:rFonts w:hint="eastAsia" w:ascii="宋体" w:hAnsi="宋体"/>
          <w:b/>
          <w:color w:val="auto"/>
          <w:sz w:val="24"/>
          <w:highlight w:val="none"/>
        </w:rPr>
        <w:t>供应商</w:t>
      </w:r>
      <w:bookmarkStart w:id="0" w:name="_Hlt135921037"/>
      <w:bookmarkStart w:id="1" w:name="_Hlt135921036"/>
      <w:r>
        <w:rPr>
          <w:rStyle w:val="28"/>
          <w:rFonts w:hint="eastAsia" w:ascii="宋体" w:hAnsi="宋体"/>
          <w:b/>
          <w:color w:val="auto"/>
          <w:sz w:val="24"/>
          <w:highlight w:val="none"/>
        </w:rPr>
        <w:t>须</w:t>
      </w:r>
      <w:bookmarkEnd w:id="0"/>
      <w:bookmarkEnd w:id="1"/>
      <w:r>
        <w:rPr>
          <w:rStyle w:val="28"/>
          <w:rFonts w:hint="eastAsia" w:ascii="宋体" w:hAnsi="宋体"/>
          <w:b/>
          <w:color w:val="auto"/>
          <w:sz w:val="24"/>
          <w:highlight w:val="none"/>
        </w:rPr>
        <w:t>知</w:t>
      </w:r>
      <w:r>
        <w:rPr>
          <w:rFonts w:ascii="宋体" w:hAnsi="宋体"/>
          <w:b/>
          <w:color w:val="auto"/>
          <w:sz w:val="24"/>
          <w:highlight w:val="none"/>
        </w:rPr>
        <w:tab/>
      </w:r>
      <w:r>
        <w:rPr>
          <w:rFonts w:ascii="宋体" w:hAnsi="宋体"/>
          <w:b/>
          <w:color w:val="auto"/>
          <w:sz w:val="24"/>
          <w:highlight w:val="none"/>
        </w:rPr>
        <w:fldChar w:fldCharType="begin"/>
      </w:r>
      <w:r>
        <w:rPr>
          <w:rFonts w:ascii="宋体" w:hAnsi="宋体"/>
          <w:b/>
          <w:color w:val="auto"/>
          <w:sz w:val="24"/>
          <w:highlight w:val="none"/>
        </w:rPr>
        <w:instrText xml:space="preserve"> PAGEREF _Toc74322009 \h </w:instrText>
      </w:r>
      <w:r>
        <w:rPr>
          <w:rFonts w:ascii="宋体" w:hAnsi="宋体"/>
          <w:b/>
          <w:color w:val="auto"/>
          <w:sz w:val="24"/>
          <w:highlight w:val="none"/>
        </w:rPr>
        <w:fldChar w:fldCharType="separate"/>
      </w:r>
      <w:r>
        <w:rPr>
          <w:rFonts w:ascii="宋体" w:hAnsi="宋体"/>
          <w:b/>
          <w:color w:val="auto"/>
          <w:sz w:val="24"/>
          <w:highlight w:val="none"/>
        </w:rPr>
        <w:t>6</w:t>
      </w:r>
      <w:r>
        <w:rPr>
          <w:rFonts w:ascii="宋体" w:hAnsi="宋体"/>
          <w:b/>
          <w:color w:val="auto"/>
          <w:sz w:val="24"/>
          <w:highlight w:val="none"/>
        </w:rPr>
        <w:fldChar w:fldCharType="end"/>
      </w:r>
      <w:r>
        <w:rPr>
          <w:rStyle w:val="28"/>
          <w:rFonts w:ascii="宋体" w:hAnsi="宋体"/>
          <w:b/>
          <w:color w:val="auto"/>
          <w:sz w:val="24"/>
          <w:highlight w:val="none"/>
        </w:rPr>
        <w:fldChar w:fldCharType="end"/>
      </w:r>
    </w:p>
    <w:p w14:paraId="1C87DF7C">
      <w:pPr>
        <w:pStyle w:val="20"/>
        <w:tabs>
          <w:tab w:val="right" w:leader="dot" w:pos="8869"/>
        </w:tabs>
        <w:snapToGrid w:val="0"/>
        <w:spacing w:line="480" w:lineRule="auto"/>
        <w:rPr>
          <w:rFonts w:ascii="宋体" w:hAnsi="宋体"/>
          <w:b/>
          <w:color w:val="auto"/>
          <w:sz w:val="24"/>
          <w:highlight w:val="none"/>
        </w:rPr>
      </w:pPr>
      <w:r>
        <w:rPr>
          <w:rStyle w:val="28"/>
          <w:rFonts w:ascii="宋体" w:hAnsi="宋体"/>
          <w:b/>
          <w:color w:val="auto"/>
          <w:sz w:val="24"/>
          <w:highlight w:val="none"/>
        </w:rPr>
        <w:fldChar w:fldCharType="begin"/>
      </w:r>
      <w:r>
        <w:rPr>
          <w:rStyle w:val="28"/>
          <w:rFonts w:ascii="宋体" w:hAnsi="宋体"/>
          <w:b/>
          <w:color w:val="auto"/>
          <w:sz w:val="24"/>
          <w:highlight w:val="none"/>
        </w:rPr>
        <w:instrText xml:space="preserve"> </w:instrText>
      </w:r>
      <w:r>
        <w:rPr>
          <w:rFonts w:ascii="宋体" w:hAnsi="宋体"/>
          <w:b/>
          <w:color w:val="auto"/>
          <w:sz w:val="24"/>
          <w:highlight w:val="none"/>
        </w:rPr>
        <w:instrText xml:space="preserve">HYPERLINK \l "_Toc74322010"</w:instrText>
      </w:r>
      <w:r>
        <w:rPr>
          <w:rStyle w:val="28"/>
          <w:rFonts w:ascii="宋体" w:hAnsi="宋体"/>
          <w:b/>
          <w:color w:val="auto"/>
          <w:sz w:val="24"/>
          <w:highlight w:val="none"/>
        </w:rPr>
        <w:instrText xml:space="preserve"> </w:instrText>
      </w:r>
      <w:r>
        <w:rPr>
          <w:rStyle w:val="28"/>
          <w:rFonts w:ascii="宋体" w:hAnsi="宋体"/>
          <w:b/>
          <w:color w:val="auto"/>
          <w:sz w:val="24"/>
          <w:highlight w:val="none"/>
        </w:rPr>
        <w:fldChar w:fldCharType="separate"/>
      </w:r>
      <w:r>
        <w:rPr>
          <w:rStyle w:val="28"/>
          <w:rFonts w:hint="eastAsia" w:ascii="宋体" w:hAnsi="宋体"/>
          <w:b/>
          <w:color w:val="auto"/>
          <w:sz w:val="24"/>
          <w:highlight w:val="none"/>
        </w:rPr>
        <w:t>第三章</w:t>
      </w:r>
      <w:r>
        <w:rPr>
          <w:rStyle w:val="28"/>
          <w:rFonts w:ascii="宋体" w:hAnsi="宋体"/>
          <w:b/>
          <w:color w:val="auto"/>
          <w:sz w:val="24"/>
          <w:highlight w:val="none"/>
        </w:rPr>
        <w:t xml:space="preserve"> </w:t>
      </w:r>
      <w:bookmarkStart w:id="2" w:name="_Hlt145315462"/>
      <w:bookmarkStart w:id="3" w:name="_Hlt145315463"/>
      <w:r>
        <w:rPr>
          <w:rStyle w:val="28"/>
          <w:rFonts w:hint="eastAsia" w:ascii="宋体" w:hAnsi="宋体"/>
          <w:b/>
          <w:color w:val="auto"/>
          <w:sz w:val="24"/>
          <w:highlight w:val="none"/>
        </w:rPr>
        <w:t>采</w:t>
      </w:r>
      <w:bookmarkEnd w:id="2"/>
      <w:bookmarkEnd w:id="3"/>
      <w:bookmarkStart w:id="4" w:name="_Hlt165885470"/>
      <w:bookmarkStart w:id="5" w:name="_Hlt164866236"/>
      <w:bookmarkStart w:id="6" w:name="_Hlt164866237"/>
      <w:r>
        <w:rPr>
          <w:rStyle w:val="28"/>
          <w:rFonts w:hint="eastAsia" w:ascii="宋体" w:hAnsi="宋体"/>
          <w:b/>
          <w:color w:val="auto"/>
          <w:sz w:val="24"/>
          <w:highlight w:val="none"/>
        </w:rPr>
        <w:t>购</w:t>
      </w:r>
      <w:bookmarkEnd w:id="4"/>
      <w:bookmarkEnd w:id="5"/>
      <w:bookmarkEnd w:id="6"/>
      <w:bookmarkStart w:id="7" w:name="_Hlt142479942"/>
      <w:bookmarkStart w:id="8" w:name="_Hlt142479943"/>
      <w:bookmarkStart w:id="9" w:name="_Hlt143796769"/>
      <w:bookmarkStart w:id="10" w:name="_Hlt146832928"/>
      <w:bookmarkStart w:id="11" w:name="_Hlt146832927"/>
      <w:bookmarkStart w:id="12" w:name="_Hlt139988490"/>
      <w:bookmarkStart w:id="13" w:name="_Hlt156239576"/>
      <w:bookmarkStart w:id="14" w:name="_Hlt139986631"/>
      <w:bookmarkStart w:id="15" w:name="_Hlt139986630"/>
      <w:bookmarkStart w:id="16" w:name="_Hlt144279789"/>
      <w:bookmarkStart w:id="17" w:name="_Hlt156239575"/>
      <w:bookmarkStart w:id="18" w:name="_Hlt143796770"/>
      <w:r>
        <w:rPr>
          <w:rStyle w:val="28"/>
          <w:rFonts w:hint="eastAsia" w:ascii="宋体" w:hAnsi="宋体"/>
          <w:b/>
          <w:color w:val="auto"/>
          <w:sz w:val="24"/>
          <w:highlight w:val="none"/>
        </w:rPr>
        <w:t>需</w:t>
      </w:r>
      <w:bookmarkEnd w:id="7"/>
      <w:bookmarkEnd w:id="8"/>
      <w:bookmarkEnd w:id="9"/>
      <w:bookmarkEnd w:id="10"/>
      <w:bookmarkEnd w:id="11"/>
      <w:bookmarkEnd w:id="12"/>
      <w:bookmarkEnd w:id="13"/>
      <w:bookmarkEnd w:id="14"/>
      <w:bookmarkEnd w:id="15"/>
      <w:bookmarkEnd w:id="16"/>
      <w:bookmarkEnd w:id="17"/>
      <w:bookmarkEnd w:id="18"/>
      <w:r>
        <w:rPr>
          <w:rStyle w:val="28"/>
          <w:rFonts w:hint="eastAsia" w:ascii="宋体" w:hAnsi="宋体"/>
          <w:b/>
          <w:color w:val="auto"/>
          <w:sz w:val="24"/>
          <w:highlight w:val="none"/>
        </w:rPr>
        <w:t>求</w:t>
      </w:r>
      <w:bookmarkStart w:id="19" w:name="_Hlt82166985"/>
      <w:r>
        <w:rPr>
          <w:rFonts w:ascii="宋体" w:hAnsi="宋体"/>
          <w:b/>
          <w:color w:val="auto"/>
          <w:sz w:val="24"/>
          <w:highlight w:val="none"/>
        </w:rPr>
        <w:tab/>
      </w:r>
      <w:bookmarkEnd w:id="19"/>
      <w:r>
        <w:rPr>
          <w:rFonts w:ascii="宋体" w:hAnsi="宋体"/>
          <w:b/>
          <w:color w:val="auto"/>
          <w:sz w:val="24"/>
          <w:highlight w:val="none"/>
        </w:rPr>
        <w:fldChar w:fldCharType="begin"/>
      </w:r>
      <w:r>
        <w:rPr>
          <w:rFonts w:ascii="宋体" w:hAnsi="宋体"/>
          <w:b/>
          <w:color w:val="auto"/>
          <w:sz w:val="24"/>
          <w:highlight w:val="none"/>
        </w:rPr>
        <w:instrText xml:space="preserve"> PAGEREF _Toc74322010 \h </w:instrText>
      </w:r>
      <w:r>
        <w:rPr>
          <w:rFonts w:ascii="宋体" w:hAnsi="宋体"/>
          <w:b/>
          <w:color w:val="auto"/>
          <w:sz w:val="24"/>
          <w:highlight w:val="none"/>
        </w:rPr>
        <w:fldChar w:fldCharType="separate"/>
      </w:r>
      <w:r>
        <w:rPr>
          <w:rFonts w:ascii="宋体" w:hAnsi="宋体"/>
          <w:b/>
          <w:color w:val="auto"/>
          <w:sz w:val="24"/>
          <w:highlight w:val="none"/>
        </w:rPr>
        <w:t>24</w:t>
      </w:r>
      <w:r>
        <w:rPr>
          <w:rFonts w:ascii="宋体" w:hAnsi="宋体"/>
          <w:b/>
          <w:color w:val="auto"/>
          <w:sz w:val="24"/>
          <w:highlight w:val="none"/>
        </w:rPr>
        <w:fldChar w:fldCharType="end"/>
      </w:r>
      <w:r>
        <w:rPr>
          <w:rStyle w:val="28"/>
          <w:rFonts w:ascii="宋体" w:hAnsi="宋体"/>
          <w:b/>
          <w:color w:val="auto"/>
          <w:sz w:val="24"/>
          <w:highlight w:val="none"/>
        </w:rPr>
        <w:fldChar w:fldCharType="end"/>
      </w:r>
    </w:p>
    <w:p w14:paraId="5A0D5E1E">
      <w:pPr>
        <w:pStyle w:val="20"/>
        <w:tabs>
          <w:tab w:val="right" w:leader="dot" w:pos="8869"/>
        </w:tabs>
        <w:snapToGrid w:val="0"/>
        <w:spacing w:line="480" w:lineRule="auto"/>
        <w:rPr>
          <w:rFonts w:ascii="宋体" w:hAnsi="宋体"/>
          <w:b/>
          <w:color w:val="auto"/>
          <w:sz w:val="24"/>
          <w:highlight w:val="none"/>
        </w:rPr>
      </w:pPr>
      <w:r>
        <w:rPr>
          <w:rStyle w:val="28"/>
          <w:rFonts w:ascii="宋体" w:hAnsi="宋体"/>
          <w:b/>
          <w:color w:val="auto"/>
          <w:sz w:val="24"/>
          <w:highlight w:val="none"/>
        </w:rPr>
        <w:fldChar w:fldCharType="begin"/>
      </w:r>
      <w:r>
        <w:rPr>
          <w:rStyle w:val="28"/>
          <w:rFonts w:ascii="宋体" w:hAnsi="宋体"/>
          <w:b/>
          <w:color w:val="auto"/>
          <w:sz w:val="24"/>
          <w:highlight w:val="none"/>
        </w:rPr>
        <w:instrText xml:space="preserve"> </w:instrText>
      </w:r>
      <w:r>
        <w:rPr>
          <w:rFonts w:ascii="宋体" w:hAnsi="宋体"/>
          <w:b/>
          <w:color w:val="auto"/>
          <w:sz w:val="24"/>
          <w:highlight w:val="none"/>
        </w:rPr>
        <w:instrText xml:space="preserve">HYPERLINK \l "_Toc74322011"</w:instrText>
      </w:r>
      <w:r>
        <w:rPr>
          <w:rStyle w:val="28"/>
          <w:rFonts w:ascii="宋体" w:hAnsi="宋体"/>
          <w:b/>
          <w:color w:val="auto"/>
          <w:sz w:val="24"/>
          <w:highlight w:val="none"/>
        </w:rPr>
        <w:instrText xml:space="preserve"> </w:instrText>
      </w:r>
      <w:r>
        <w:rPr>
          <w:rStyle w:val="28"/>
          <w:rFonts w:ascii="宋体" w:hAnsi="宋体"/>
          <w:b/>
          <w:color w:val="auto"/>
          <w:sz w:val="24"/>
          <w:highlight w:val="none"/>
        </w:rPr>
        <w:fldChar w:fldCharType="separate"/>
      </w:r>
      <w:r>
        <w:rPr>
          <w:rStyle w:val="28"/>
          <w:rFonts w:hint="eastAsia" w:ascii="宋体" w:hAnsi="宋体"/>
          <w:b/>
          <w:color w:val="auto"/>
          <w:sz w:val="24"/>
          <w:highlight w:val="none"/>
        </w:rPr>
        <w:t>第四章</w:t>
      </w:r>
      <w:r>
        <w:rPr>
          <w:rStyle w:val="28"/>
          <w:rFonts w:ascii="宋体" w:hAnsi="宋体"/>
          <w:b/>
          <w:color w:val="auto"/>
          <w:sz w:val="24"/>
          <w:highlight w:val="none"/>
        </w:rPr>
        <w:t xml:space="preserve"> </w:t>
      </w:r>
      <w:r>
        <w:rPr>
          <w:rStyle w:val="28"/>
          <w:rFonts w:hint="eastAsia" w:ascii="宋体" w:hAnsi="宋体"/>
          <w:b/>
          <w:color w:val="auto"/>
          <w:sz w:val="24"/>
          <w:highlight w:val="none"/>
        </w:rPr>
        <w:t>评审程序和评定成交的标准</w:t>
      </w:r>
      <w:r>
        <w:rPr>
          <w:rFonts w:ascii="宋体" w:hAnsi="宋体"/>
          <w:b/>
          <w:color w:val="auto"/>
          <w:sz w:val="24"/>
          <w:highlight w:val="none"/>
        </w:rPr>
        <w:tab/>
      </w:r>
      <w:r>
        <w:rPr>
          <w:rFonts w:ascii="宋体" w:hAnsi="宋体"/>
          <w:b/>
          <w:color w:val="auto"/>
          <w:sz w:val="24"/>
          <w:highlight w:val="none"/>
        </w:rPr>
        <w:fldChar w:fldCharType="begin"/>
      </w:r>
      <w:r>
        <w:rPr>
          <w:rFonts w:ascii="宋体" w:hAnsi="宋体"/>
          <w:b/>
          <w:color w:val="auto"/>
          <w:sz w:val="24"/>
          <w:highlight w:val="none"/>
        </w:rPr>
        <w:instrText xml:space="preserve"> PAGEREF _Toc74322011 \h </w:instrText>
      </w:r>
      <w:r>
        <w:rPr>
          <w:rFonts w:ascii="宋体" w:hAnsi="宋体"/>
          <w:b/>
          <w:color w:val="auto"/>
          <w:sz w:val="24"/>
          <w:highlight w:val="none"/>
        </w:rPr>
        <w:fldChar w:fldCharType="separate"/>
      </w:r>
      <w:r>
        <w:rPr>
          <w:rFonts w:ascii="宋体" w:hAnsi="宋体"/>
          <w:b/>
          <w:color w:val="auto"/>
          <w:sz w:val="24"/>
          <w:highlight w:val="none"/>
        </w:rPr>
        <w:t>41</w:t>
      </w:r>
      <w:r>
        <w:rPr>
          <w:rFonts w:ascii="宋体" w:hAnsi="宋体"/>
          <w:b/>
          <w:color w:val="auto"/>
          <w:sz w:val="24"/>
          <w:highlight w:val="none"/>
        </w:rPr>
        <w:fldChar w:fldCharType="end"/>
      </w:r>
      <w:r>
        <w:rPr>
          <w:rStyle w:val="28"/>
          <w:rFonts w:ascii="宋体" w:hAnsi="宋体"/>
          <w:b/>
          <w:color w:val="auto"/>
          <w:sz w:val="24"/>
          <w:highlight w:val="none"/>
        </w:rPr>
        <w:fldChar w:fldCharType="end"/>
      </w:r>
    </w:p>
    <w:p w14:paraId="277323A5">
      <w:pPr>
        <w:pStyle w:val="20"/>
        <w:tabs>
          <w:tab w:val="right" w:leader="dot" w:pos="8869"/>
        </w:tabs>
        <w:snapToGrid w:val="0"/>
        <w:spacing w:line="480" w:lineRule="auto"/>
        <w:rPr>
          <w:rFonts w:ascii="宋体" w:hAnsi="宋体"/>
          <w:b/>
          <w:color w:val="auto"/>
          <w:sz w:val="24"/>
          <w:highlight w:val="none"/>
        </w:rPr>
      </w:pPr>
      <w:r>
        <w:rPr>
          <w:rStyle w:val="28"/>
          <w:rFonts w:ascii="宋体" w:hAnsi="宋体"/>
          <w:b/>
          <w:color w:val="auto"/>
          <w:sz w:val="24"/>
          <w:highlight w:val="none"/>
        </w:rPr>
        <w:fldChar w:fldCharType="begin"/>
      </w:r>
      <w:r>
        <w:rPr>
          <w:rStyle w:val="28"/>
          <w:rFonts w:ascii="宋体" w:hAnsi="宋体"/>
          <w:b/>
          <w:color w:val="auto"/>
          <w:sz w:val="24"/>
          <w:highlight w:val="none"/>
        </w:rPr>
        <w:instrText xml:space="preserve"> </w:instrText>
      </w:r>
      <w:r>
        <w:rPr>
          <w:rFonts w:ascii="宋体" w:hAnsi="宋体"/>
          <w:b/>
          <w:color w:val="auto"/>
          <w:sz w:val="24"/>
          <w:highlight w:val="none"/>
        </w:rPr>
        <w:instrText xml:space="preserve">HYPERLINK \l "_Toc74322012"</w:instrText>
      </w:r>
      <w:r>
        <w:rPr>
          <w:rStyle w:val="28"/>
          <w:rFonts w:ascii="宋体" w:hAnsi="宋体"/>
          <w:b/>
          <w:color w:val="auto"/>
          <w:sz w:val="24"/>
          <w:highlight w:val="none"/>
        </w:rPr>
        <w:instrText xml:space="preserve"> </w:instrText>
      </w:r>
      <w:r>
        <w:rPr>
          <w:rStyle w:val="28"/>
          <w:rFonts w:ascii="宋体" w:hAnsi="宋体"/>
          <w:b/>
          <w:color w:val="auto"/>
          <w:sz w:val="24"/>
          <w:highlight w:val="none"/>
        </w:rPr>
        <w:fldChar w:fldCharType="separate"/>
      </w:r>
      <w:r>
        <w:rPr>
          <w:rStyle w:val="28"/>
          <w:rFonts w:hint="eastAsia" w:ascii="宋体" w:hAnsi="宋体"/>
          <w:b/>
          <w:color w:val="auto"/>
          <w:sz w:val="24"/>
          <w:highlight w:val="none"/>
        </w:rPr>
        <w:t>第五章</w:t>
      </w:r>
      <w:r>
        <w:rPr>
          <w:rStyle w:val="28"/>
          <w:rFonts w:ascii="宋体" w:hAnsi="宋体"/>
          <w:b/>
          <w:color w:val="auto"/>
          <w:sz w:val="24"/>
          <w:highlight w:val="none"/>
        </w:rPr>
        <w:t xml:space="preserve"> </w:t>
      </w:r>
      <w:r>
        <w:rPr>
          <w:rStyle w:val="28"/>
          <w:rFonts w:hint="eastAsia" w:ascii="宋体" w:hAnsi="宋体"/>
          <w:b/>
          <w:color w:val="auto"/>
          <w:sz w:val="24"/>
          <w:highlight w:val="none"/>
        </w:rPr>
        <w:t>响应文件格式</w:t>
      </w:r>
      <w:r>
        <w:rPr>
          <w:rFonts w:ascii="宋体" w:hAnsi="宋体"/>
          <w:b/>
          <w:color w:val="auto"/>
          <w:sz w:val="24"/>
          <w:highlight w:val="none"/>
        </w:rPr>
        <w:tab/>
      </w:r>
      <w:r>
        <w:rPr>
          <w:rFonts w:ascii="宋体" w:hAnsi="宋体"/>
          <w:b/>
          <w:color w:val="auto"/>
          <w:sz w:val="24"/>
          <w:highlight w:val="none"/>
        </w:rPr>
        <w:fldChar w:fldCharType="begin"/>
      </w:r>
      <w:r>
        <w:rPr>
          <w:rFonts w:ascii="宋体" w:hAnsi="宋体"/>
          <w:b/>
          <w:color w:val="auto"/>
          <w:sz w:val="24"/>
          <w:highlight w:val="none"/>
        </w:rPr>
        <w:instrText xml:space="preserve"> PAGEREF _Toc74322012 \h </w:instrText>
      </w:r>
      <w:r>
        <w:rPr>
          <w:rFonts w:ascii="宋体" w:hAnsi="宋体"/>
          <w:b/>
          <w:color w:val="auto"/>
          <w:sz w:val="24"/>
          <w:highlight w:val="none"/>
        </w:rPr>
        <w:fldChar w:fldCharType="separate"/>
      </w:r>
      <w:r>
        <w:rPr>
          <w:rFonts w:ascii="宋体" w:hAnsi="宋体"/>
          <w:b/>
          <w:color w:val="auto"/>
          <w:sz w:val="24"/>
          <w:highlight w:val="none"/>
        </w:rPr>
        <w:t>48</w:t>
      </w:r>
      <w:r>
        <w:rPr>
          <w:rFonts w:ascii="宋体" w:hAnsi="宋体"/>
          <w:b/>
          <w:color w:val="auto"/>
          <w:sz w:val="24"/>
          <w:highlight w:val="none"/>
        </w:rPr>
        <w:fldChar w:fldCharType="end"/>
      </w:r>
      <w:r>
        <w:rPr>
          <w:rStyle w:val="28"/>
          <w:rFonts w:ascii="宋体" w:hAnsi="宋体"/>
          <w:b/>
          <w:color w:val="auto"/>
          <w:sz w:val="24"/>
          <w:highlight w:val="none"/>
        </w:rPr>
        <w:fldChar w:fldCharType="end"/>
      </w:r>
    </w:p>
    <w:p w14:paraId="407A9F27">
      <w:pPr>
        <w:pStyle w:val="20"/>
        <w:tabs>
          <w:tab w:val="right" w:leader="dot" w:pos="8869"/>
        </w:tabs>
        <w:snapToGrid w:val="0"/>
        <w:spacing w:line="480" w:lineRule="auto"/>
        <w:rPr>
          <w:rFonts w:ascii="宋体" w:hAnsi="宋体"/>
          <w:b/>
          <w:color w:val="auto"/>
          <w:sz w:val="24"/>
          <w:highlight w:val="none"/>
        </w:rPr>
      </w:pPr>
      <w:r>
        <w:rPr>
          <w:rStyle w:val="28"/>
          <w:rFonts w:ascii="宋体" w:hAnsi="宋体"/>
          <w:b/>
          <w:color w:val="auto"/>
          <w:sz w:val="24"/>
          <w:highlight w:val="none"/>
        </w:rPr>
        <w:fldChar w:fldCharType="begin"/>
      </w:r>
      <w:r>
        <w:rPr>
          <w:rStyle w:val="28"/>
          <w:rFonts w:ascii="宋体" w:hAnsi="宋体"/>
          <w:b/>
          <w:color w:val="auto"/>
          <w:sz w:val="24"/>
          <w:highlight w:val="none"/>
        </w:rPr>
        <w:instrText xml:space="preserve"> </w:instrText>
      </w:r>
      <w:r>
        <w:rPr>
          <w:rFonts w:ascii="宋体" w:hAnsi="宋体"/>
          <w:b/>
          <w:color w:val="auto"/>
          <w:sz w:val="24"/>
          <w:highlight w:val="none"/>
        </w:rPr>
        <w:instrText xml:space="preserve">HYPERLINK \l "_Toc74322013"</w:instrText>
      </w:r>
      <w:r>
        <w:rPr>
          <w:rStyle w:val="28"/>
          <w:rFonts w:ascii="宋体" w:hAnsi="宋体"/>
          <w:b/>
          <w:color w:val="auto"/>
          <w:sz w:val="24"/>
          <w:highlight w:val="none"/>
        </w:rPr>
        <w:instrText xml:space="preserve"> </w:instrText>
      </w:r>
      <w:r>
        <w:rPr>
          <w:rStyle w:val="28"/>
          <w:rFonts w:ascii="宋体" w:hAnsi="宋体"/>
          <w:b/>
          <w:color w:val="auto"/>
          <w:sz w:val="24"/>
          <w:highlight w:val="none"/>
        </w:rPr>
        <w:fldChar w:fldCharType="separate"/>
      </w:r>
      <w:r>
        <w:rPr>
          <w:rStyle w:val="28"/>
          <w:rFonts w:hint="eastAsia" w:ascii="宋体" w:hAnsi="宋体"/>
          <w:b/>
          <w:color w:val="auto"/>
          <w:sz w:val="24"/>
          <w:highlight w:val="none"/>
        </w:rPr>
        <w:t>第六章</w:t>
      </w:r>
      <w:r>
        <w:rPr>
          <w:rStyle w:val="28"/>
          <w:rFonts w:ascii="宋体" w:hAnsi="宋体"/>
          <w:b/>
          <w:color w:val="auto"/>
          <w:sz w:val="24"/>
          <w:highlight w:val="none"/>
        </w:rPr>
        <w:t xml:space="preserve"> </w:t>
      </w:r>
      <w:r>
        <w:rPr>
          <w:rStyle w:val="28"/>
          <w:rFonts w:hint="eastAsia" w:ascii="宋体" w:hAnsi="宋体"/>
          <w:b/>
          <w:color w:val="auto"/>
          <w:sz w:val="24"/>
          <w:highlight w:val="none"/>
        </w:rPr>
        <w:t>合同文本</w:t>
      </w:r>
      <w:r>
        <w:rPr>
          <w:rFonts w:ascii="宋体" w:hAnsi="宋体"/>
          <w:b/>
          <w:color w:val="auto"/>
          <w:sz w:val="24"/>
          <w:highlight w:val="none"/>
        </w:rPr>
        <w:tab/>
      </w:r>
      <w:r>
        <w:rPr>
          <w:rFonts w:ascii="宋体" w:hAnsi="宋体"/>
          <w:b/>
          <w:color w:val="auto"/>
          <w:sz w:val="24"/>
          <w:highlight w:val="none"/>
        </w:rPr>
        <w:fldChar w:fldCharType="begin"/>
      </w:r>
      <w:r>
        <w:rPr>
          <w:rFonts w:ascii="宋体" w:hAnsi="宋体"/>
          <w:b/>
          <w:color w:val="auto"/>
          <w:sz w:val="24"/>
          <w:highlight w:val="none"/>
        </w:rPr>
        <w:instrText xml:space="preserve"> PAGEREF _Toc74322013 \h </w:instrText>
      </w:r>
      <w:r>
        <w:rPr>
          <w:rFonts w:ascii="宋体" w:hAnsi="宋体"/>
          <w:b/>
          <w:color w:val="auto"/>
          <w:sz w:val="24"/>
          <w:highlight w:val="none"/>
        </w:rPr>
        <w:fldChar w:fldCharType="separate"/>
      </w:r>
      <w:r>
        <w:rPr>
          <w:rFonts w:ascii="宋体" w:hAnsi="宋体"/>
          <w:b/>
          <w:color w:val="auto"/>
          <w:sz w:val="24"/>
          <w:highlight w:val="none"/>
        </w:rPr>
        <w:t>73</w:t>
      </w:r>
      <w:r>
        <w:rPr>
          <w:rFonts w:ascii="宋体" w:hAnsi="宋体"/>
          <w:b/>
          <w:color w:val="auto"/>
          <w:sz w:val="24"/>
          <w:highlight w:val="none"/>
        </w:rPr>
        <w:fldChar w:fldCharType="end"/>
      </w:r>
      <w:r>
        <w:rPr>
          <w:rStyle w:val="28"/>
          <w:rFonts w:ascii="宋体" w:hAnsi="宋体"/>
          <w:b/>
          <w:color w:val="auto"/>
          <w:sz w:val="24"/>
          <w:highlight w:val="none"/>
        </w:rPr>
        <w:fldChar w:fldCharType="end"/>
      </w:r>
    </w:p>
    <w:p w14:paraId="5665E6DF">
      <w:pPr>
        <w:pStyle w:val="21"/>
        <w:tabs>
          <w:tab w:val="right" w:leader="dot" w:pos="8931"/>
          <w:tab w:val="clear" w:pos="8296"/>
        </w:tabs>
        <w:snapToGrid w:val="0"/>
        <w:spacing w:line="480" w:lineRule="auto"/>
        <w:ind w:left="0" w:leftChars="0"/>
        <w:rPr>
          <w:rFonts w:hint="eastAsia" w:ascii="宋体" w:hAnsi="宋体"/>
          <w:b/>
          <w:color w:val="auto"/>
          <w:sz w:val="24"/>
          <w:highlight w:val="none"/>
        </w:rPr>
      </w:pPr>
      <w:r>
        <w:rPr>
          <w:rFonts w:ascii="宋体" w:hAnsi="宋体"/>
          <w:b/>
          <w:color w:val="auto"/>
          <w:sz w:val="24"/>
          <w:highlight w:val="none"/>
        </w:rPr>
        <w:fldChar w:fldCharType="end"/>
      </w:r>
    </w:p>
    <w:p w14:paraId="6275AC4B">
      <w:pPr>
        <w:spacing w:line="400" w:lineRule="exact"/>
        <w:jc w:val="left"/>
        <w:rPr>
          <w:rFonts w:hint="eastAsia" w:ascii="宋体" w:hAnsi="宋体"/>
          <w:b/>
          <w:color w:val="auto"/>
          <w:sz w:val="32"/>
          <w:szCs w:val="32"/>
          <w:highlight w:val="none"/>
        </w:rPr>
      </w:pPr>
    </w:p>
    <w:p w14:paraId="3921D7B6">
      <w:pPr>
        <w:spacing w:line="400" w:lineRule="exact"/>
        <w:jc w:val="center"/>
        <w:rPr>
          <w:rFonts w:hint="eastAsia" w:ascii="宋体" w:hAnsi="宋体"/>
          <w:b/>
          <w:color w:val="auto"/>
          <w:sz w:val="32"/>
          <w:szCs w:val="32"/>
          <w:highlight w:val="none"/>
        </w:rPr>
      </w:pPr>
    </w:p>
    <w:p w14:paraId="554D7908">
      <w:pPr>
        <w:spacing w:line="400" w:lineRule="exact"/>
        <w:jc w:val="center"/>
        <w:rPr>
          <w:rFonts w:hint="eastAsia" w:ascii="宋体" w:hAnsi="宋体"/>
          <w:b/>
          <w:color w:val="auto"/>
          <w:sz w:val="32"/>
          <w:szCs w:val="32"/>
          <w:highlight w:val="none"/>
        </w:rPr>
      </w:pPr>
    </w:p>
    <w:p w14:paraId="628FAA0D">
      <w:pPr>
        <w:spacing w:line="400" w:lineRule="exact"/>
        <w:jc w:val="center"/>
        <w:rPr>
          <w:rFonts w:hint="eastAsia" w:ascii="宋体" w:hAnsi="宋体"/>
          <w:b/>
          <w:color w:val="auto"/>
          <w:sz w:val="32"/>
          <w:szCs w:val="32"/>
          <w:highlight w:val="none"/>
        </w:rPr>
      </w:pPr>
    </w:p>
    <w:p w14:paraId="7F64AD2E">
      <w:pPr>
        <w:spacing w:line="400" w:lineRule="exact"/>
        <w:jc w:val="center"/>
        <w:rPr>
          <w:rFonts w:hint="eastAsia" w:ascii="宋体" w:hAnsi="宋体"/>
          <w:b/>
          <w:color w:val="auto"/>
          <w:sz w:val="32"/>
          <w:szCs w:val="32"/>
          <w:highlight w:val="none"/>
        </w:rPr>
      </w:pPr>
    </w:p>
    <w:p w14:paraId="5B57C46C">
      <w:pPr>
        <w:spacing w:line="400" w:lineRule="exact"/>
        <w:rPr>
          <w:rFonts w:hint="eastAsia" w:ascii="宋体" w:hAnsi="宋体"/>
          <w:b/>
          <w:color w:val="auto"/>
          <w:sz w:val="32"/>
          <w:szCs w:val="32"/>
          <w:highlight w:val="none"/>
        </w:rPr>
        <w:sectPr>
          <w:footerReference r:id="rId5" w:type="first"/>
          <w:footerReference r:id="rId4" w:type="default"/>
          <w:pgSz w:w="11906" w:h="16838"/>
          <w:pgMar w:top="1440" w:right="1080" w:bottom="1440" w:left="1080" w:header="851" w:footer="992" w:gutter="0"/>
          <w:pgNumType w:fmt="decimal" w:start="1"/>
          <w:cols w:space="720" w:num="1"/>
          <w:titlePg/>
          <w:docGrid w:type="lines" w:linePitch="312" w:charSpace="0"/>
        </w:sectPr>
      </w:pPr>
    </w:p>
    <w:p w14:paraId="23449084">
      <w:pPr>
        <w:pStyle w:val="2"/>
        <w:spacing w:after="100" w:line="480" w:lineRule="auto"/>
        <w:jc w:val="center"/>
        <w:rPr>
          <w:rFonts w:hint="eastAsia"/>
          <w:color w:val="auto"/>
          <w:highlight w:val="none"/>
        </w:rPr>
      </w:pPr>
      <w:bookmarkStart w:id="20" w:name="_Toc74322008"/>
      <w:r>
        <w:rPr>
          <w:rFonts w:hint="eastAsia"/>
          <w:color w:val="auto"/>
          <w:highlight w:val="none"/>
        </w:rPr>
        <w:t>第一章 竞争性谈判公告</w:t>
      </w:r>
      <w:bookmarkEnd w:id="20"/>
    </w:p>
    <w:p w14:paraId="3F3F331E">
      <w:pPr>
        <w:spacing w:line="400" w:lineRule="exact"/>
        <w:jc w:val="center"/>
        <w:rPr>
          <w:rFonts w:hint="eastAsia" w:ascii="宋体" w:hAnsi="宋体"/>
          <w:b/>
          <w:bCs/>
          <w:color w:val="auto"/>
          <w:sz w:val="32"/>
          <w:szCs w:val="32"/>
          <w:highlight w:val="none"/>
        </w:rPr>
      </w:pPr>
      <w:r>
        <w:rPr>
          <w:rFonts w:hint="eastAsia" w:ascii="宋体" w:hAnsi="宋体"/>
          <w:b/>
          <w:bCs/>
          <w:color w:val="auto"/>
          <w:sz w:val="32"/>
          <w:szCs w:val="32"/>
          <w:highlight w:val="none"/>
        </w:rPr>
        <w:t>广西建标建设工程咨询有限责任公司关于</w:t>
      </w:r>
      <w:r>
        <w:rPr>
          <w:rFonts w:hint="eastAsia" w:ascii="宋体" w:hAnsi="宋体"/>
          <w:b/>
          <w:bCs/>
          <w:color w:val="auto"/>
          <w:sz w:val="32"/>
          <w:szCs w:val="32"/>
          <w:highlight w:val="none"/>
          <w:lang w:eastAsia="zh-CN"/>
        </w:rPr>
        <w:t>2026年无线电管理机动监测能力提升项目</w:t>
      </w:r>
      <w:r>
        <w:rPr>
          <w:rFonts w:hint="eastAsia" w:ascii="宋体" w:hAnsi="宋体"/>
          <w:b/>
          <w:bCs/>
          <w:color w:val="auto"/>
          <w:sz w:val="32"/>
          <w:szCs w:val="32"/>
          <w:highlight w:val="none"/>
        </w:rPr>
        <w:t>的竞争性谈判公告</w:t>
      </w:r>
    </w:p>
    <w:p w14:paraId="25128C71">
      <w:pPr>
        <w:spacing w:line="360" w:lineRule="auto"/>
        <w:rPr>
          <w:rFonts w:ascii="宋体" w:hAnsi="宋体"/>
          <w:color w:val="auto"/>
          <w:szCs w:val="21"/>
          <w:highlight w:val="none"/>
        </w:rPr>
      </w:pPr>
    </w:p>
    <w:p w14:paraId="56C598FE">
      <w:pPr>
        <w:pBdr>
          <w:top w:val="single" w:color="auto" w:sz="4" w:space="1"/>
          <w:left w:val="single" w:color="auto" w:sz="4" w:space="4"/>
          <w:bottom w:val="single" w:color="auto" w:sz="4" w:space="1"/>
          <w:right w:val="single" w:color="auto" w:sz="4" w:space="4"/>
        </w:pBdr>
        <w:spacing w:line="360" w:lineRule="auto"/>
        <w:ind w:firstLine="420" w:firstLineChars="200"/>
        <w:rPr>
          <w:rFonts w:ascii="宋体" w:hAnsi="宋体"/>
          <w:color w:val="auto"/>
          <w:szCs w:val="21"/>
          <w:highlight w:val="none"/>
        </w:rPr>
      </w:pPr>
      <w:bookmarkStart w:id="21" w:name="_Hlk37430271"/>
      <w:r>
        <w:rPr>
          <w:rFonts w:hint="eastAsia" w:ascii="宋体" w:hAnsi="宋体"/>
          <w:color w:val="auto"/>
          <w:szCs w:val="21"/>
          <w:highlight w:val="none"/>
        </w:rPr>
        <w:t>项目概况</w:t>
      </w:r>
    </w:p>
    <w:p w14:paraId="7FD7783E">
      <w:pPr>
        <w:pBdr>
          <w:top w:val="single" w:color="auto" w:sz="4" w:space="1"/>
          <w:left w:val="single" w:color="auto" w:sz="4" w:space="4"/>
          <w:bottom w:val="single" w:color="auto" w:sz="4" w:space="1"/>
          <w:right w:val="single" w:color="auto" w:sz="4" w:space="4"/>
        </w:pBdr>
        <w:spacing w:line="360" w:lineRule="auto"/>
        <w:ind w:firstLine="420" w:firstLineChars="200"/>
        <w:rPr>
          <w:rFonts w:ascii="宋体" w:hAnsi="宋体"/>
          <w:color w:val="auto"/>
          <w:szCs w:val="21"/>
          <w:highlight w:val="none"/>
        </w:rPr>
      </w:pPr>
      <w:r>
        <w:rPr>
          <w:rFonts w:hint="eastAsia" w:ascii="宋体" w:hAnsi="宋体"/>
          <w:color w:val="auto"/>
          <w:szCs w:val="21"/>
          <w:highlight w:val="none"/>
          <w:u w:val="single"/>
          <w:lang w:eastAsia="zh-CN"/>
        </w:rPr>
        <w:t>2026年无线电管理机动监测能力提升</w:t>
      </w:r>
      <w:r>
        <w:rPr>
          <w:rFonts w:hint="eastAsia" w:ascii="宋体" w:hAnsi="宋体"/>
          <w:color w:val="auto"/>
          <w:szCs w:val="21"/>
          <w:highlight w:val="none"/>
        </w:rPr>
        <w:t>项目的潜在供应商应在广西政府采购云平台（https://www.gcy.zfcg.gxzf.gov.cn/）获取（下载）竞争性谈判文件，并于</w:t>
      </w:r>
      <w:r>
        <w:rPr>
          <w:rFonts w:hint="eastAsia" w:ascii="宋体" w:hAnsi="宋体"/>
          <w:color w:val="auto"/>
          <w:szCs w:val="21"/>
          <w:highlight w:val="none"/>
          <w:lang w:eastAsia="zh-CN"/>
        </w:rPr>
        <w:t>2026年5月27日</w:t>
      </w:r>
      <w:r>
        <w:rPr>
          <w:rFonts w:hint="eastAsia" w:ascii="宋体" w:hAnsi="宋体"/>
          <w:bCs/>
          <w:color w:val="auto"/>
          <w:szCs w:val="21"/>
          <w:highlight w:val="none"/>
          <w:lang w:val="en-US" w:eastAsia="zh-CN"/>
        </w:rPr>
        <w:t>09</w:t>
      </w:r>
      <w:r>
        <w:rPr>
          <w:rFonts w:hint="eastAsia" w:ascii="宋体" w:hAnsi="宋体"/>
          <w:bCs/>
          <w:color w:val="auto"/>
          <w:szCs w:val="21"/>
          <w:highlight w:val="none"/>
        </w:rPr>
        <w:t>时</w:t>
      </w:r>
      <w:r>
        <w:rPr>
          <w:rFonts w:hint="eastAsia" w:ascii="宋体" w:hAnsi="宋体"/>
          <w:bCs/>
          <w:color w:val="auto"/>
          <w:szCs w:val="21"/>
          <w:highlight w:val="none"/>
          <w:lang w:val="en-US" w:eastAsia="zh-CN"/>
        </w:rPr>
        <w:t>30</w:t>
      </w:r>
      <w:r>
        <w:rPr>
          <w:rFonts w:hint="eastAsia" w:ascii="宋体" w:hAnsi="宋体"/>
          <w:bCs/>
          <w:color w:val="auto"/>
          <w:szCs w:val="21"/>
          <w:highlight w:val="none"/>
        </w:rPr>
        <w:t>分（北京时间）前提交（上传）</w:t>
      </w:r>
      <w:r>
        <w:rPr>
          <w:rFonts w:hint="eastAsia" w:ascii="宋体" w:hAnsi="宋体"/>
          <w:color w:val="auto"/>
          <w:szCs w:val="21"/>
          <w:highlight w:val="none"/>
        </w:rPr>
        <w:t>响应</w:t>
      </w:r>
      <w:r>
        <w:rPr>
          <w:rFonts w:hint="eastAsia" w:ascii="宋体" w:hAnsi="宋体"/>
          <w:bCs/>
          <w:color w:val="auto"/>
          <w:szCs w:val="21"/>
          <w:highlight w:val="none"/>
        </w:rPr>
        <w:t>文件</w:t>
      </w:r>
      <w:r>
        <w:rPr>
          <w:rFonts w:hint="eastAsia" w:ascii="宋体" w:hAnsi="宋体"/>
          <w:color w:val="auto"/>
          <w:szCs w:val="21"/>
          <w:highlight w:val="none"/>
        </w:rPr>
        <w:t>。</w:t>
      </w:r>
    </w:p>
    <w:p w14:paraId="010EE821">
      <w:pPr>
        <w:spacing w:line="360" w:lineRule="exact"/>
        <w:rPr>
          <w:rFonts w:ascii="宋体" w:hAnsi="宋体"/>
          <w:color w:val="auto"/>
          <w:szCs w:val="21"/>
          <w:highlight w:val="none"/>
        </w:rPr>
      </w:pPr>
    </w:p>
    <w:p w14:paraId="3A14EF1D">
      <w:pPr>
        <w:spacing w:line="360" w:lineRule="exact"/>
        <w:ind w:firstLine="480" w:firstLineChars="200"/>
        <w:rPr>
          <w:rFonts w:hint="eastAsia" w:ascii="黑体" w:hAnsi="黑体" w:eastAsia="黑体"/>
          <w:color w:val="auto"/>
          <w:sz w:val="24"/>
          <w:highlight w:val="none"/>
        </w:rPr>
      </w:pPr>
      <w:bookmarkStart w:id="22" w:name="_Toc71365362"/>
      <w:bookmarkStart w:id="23" w:name="_Toc28359089"/>
      <w:bookmarkStart w:id="24" w:name="_Toc35393629"/>
      <w:bookmarkStart w:id="25" w:name="_Toc71366040"/>
      <w:bookmarkStart w:id="26" w:name="_Toc35393798"/>
      <w:bookmarkStart w:id="27" w:name="_Toc28359012"/>
      <w:r>
        <w:rPr>
          <w:rFonts w:hint="eastAsia" w:ascii="黑体" w:hAnsi="黑体" w:eastAsia="黑体"/>
          <w:color w:val="auto"/>
          <w:sz w:val="24"/>
          <w:highlight w:val="none"/>
        </w:rPr>
        <w:t>一、项目基本情况</w:t>
      </w:r>
      <w:bookmarkEnd w:id="22"/>
      <w:bookmarkEnd w:id="23"/>
      <w:bookmarkEnd w:id="24"/>
      <w:bookmarkEnd w:id="25"/>
      <w:bookmarkEnd w:id="26"/>
      <w:bookmarkEnd w:id="27"/>
    </w:p>
    <w:p w14:paraId="34E948EA">
      <w:pPr>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项目编号：</w:t>
      </w:r>
      <w:r>
        <w:rPr>
          <w:rFonts w:hint="eastAsia" w:ascii="宋体" w:hAnsi="宋体"/>
          <w:color w:val="auto"/>
          <w:szCs w:val="21"/>
          <w:highlight w:val="none"/>
          <w:lang w:eastAsia="zh-CN"/>
        </w:rPr>
        <w:t>GXZC2026-J1-001392-GXJB</w:t>
      </w:r>
      <w:r>
        <w:rPr>
          <w:rFonts w:hint="eastAsia" w:ascii="宋体" w:hAnsi="宋体"/>
          <w:color w:val="auto"/>
          <w:szCs w:val="21"/>
          <w:highlight w:val="none"/>
        </w:rPr>
        <w:t>；</w:t>
      </w:r>
    </w:p>
    <w:p w14:paraId="2602DA3E">
      <w:pPr>
        <w:spacing w:line="360" w:lineRule="exact"/>
        <w:ind w:left="1470" w:leftChars="200" w:hanging="1050" w:hangingChars="500"/>
        <w:rPr>
          <w:rFonts w:hint="eastAsia" w:ascii="宋体" w:hAnsi="宋体" w:eastAsia="宋体"/>
          <w:color w:val="auto"/>
          <w:szCs w:val="21"/>
          <w:highlight w:val="none"/>
          <w:u w:val="single"/>
          <w:lang w:eastAsia="zh-CN"/>
        </w:rPr>
      </w:pPr>
      <w:r>
        <w:rPr>
          <w:rFonts w:hint="eastAsia" w:ascii="宋体" w:hAnsi="宋体"/>
          <w:color w:val="auto"/>
          <w:szCs w:val="21"/>
          <w:highlight w:val="none"/>
        </w:rPr>
        <w:t>项目名称：</w:t>
      </w:r>
      <w:r>
        <w:rPr>
          <w:rFonts w:hint="eastAsia" w:ascii="宋体" w:hAnsi="宋体"/>
          <w:color w:val="auto"/>
          <w:szCs w:val="21"/>
          <w:highlight w:val="none"/>
          <w:lang w:eastAsia="zh-CN"/>
        </w:rPr>
        <w:t>2026年无线电管理机动监测能力提升项目</w:t>
      </w:r>
    </w:p>
    <w:p w14:paraId="3876942B">
      <w:pPr>
        <w:spacing w:line="360" w:lineRule="exact"/>
        <w:ind w:firstLine="420" w:firstLineChars="200"/>
        <w:rPr>
          <w:rFonts w:ascii="宋体" w:hAnsi="宋体"/>
          <w:color w:val="auto"/>
          <w:szCs w:val="21"/>
          <w:highlight w:val="none"/>
        </w:rPr>
      </w:pPr>
      <w:r>
        <w:rPr>
          <w:rFonts w:hint="eastAsia" w:ascii="宋体" w:hAnsi="宋体"/>
          <w:color w:val="auto"/>
          <w:szCs w:val="21"/>
          <w:highlight w:val="none"/>
        </w:rPr>
        <w:t>采购方式：竞争性谈判</w:t>
      </w:r>
    </w:p>
    <w:p w14:paraId="1E61781D">
      <w:pPr>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预算金额：</w:t>
      </w:r>
      <w:r>
        <w:rPr>
          <w:rFonts w:hint="eastAsia" w:ascii="宋体" w:hAnsi="宋体"/>
          <w:color w:val="auto"/>
          <w:szCs w:val="21"/>
          <w:highlight w:val="none"/>
          <w:lang w:val="en-US" w:eastAsia="zh-CN"/>
        </w:rPr>
        <w:t>215.00</w:t>
      </w:r>
      <w:r>
        <w:rPr>
          <w:rFonts w:hint="eastAsia" w:ascii="宋体" w:hAnsi="宋体"/>
          <w:iCs/>
          <w:color w:val="auto"/>
          <w:szCs w:val="21"/>
          <w:highlight w:val="none"/>
        </w:rPr>
        <w:t>万元</w:t>
      </w:r>
    </w:p>
    <w:p w14:paraId="354F4DD9">
      <w:pPr>
        <w:spacing w:line="360" w:lineRule="exact"/>
        <w:ind w:left="420" w:leftChars="200"/>
        <w:rPr>
          <w:rFonts w:hint="eastAsia" w:ascii="宋体" w:hAnsi="宋体"/>
          <w:color w:val="auto"/>
          <w:szCs w:val="21"/>
          <w:highlight w:val="none"/>
        </w:rPr>
      </w:pPr>
      <w:bookmarkStart w:id="28" w:name="_Toc28359013"/>
      <w:bookmarkStart w:id="29" w:name="_Toc35393799"/>
      <w:bookmarkStart w:id="30" w:name="_Toc35393630"/>
      <w:bookmarkStart w:id="31" w:name="_Toc71365363"/>
      <w:bookmarkStart w:id="32" w:name="_Toc28359090"/>
      <w:bookmarkStart w:id="33" w:name="_Toc71366041"/>
    </w:p>
    <w:p w14:paraId="79E27191">
      <w:pPr>
        <w:spacing w:line="360" w:lineRule="exact"/>
        <w:ind w:left="420" w:leftChars="200"/>
        <w:rPr>
          <w:rFonts w:hint="eastAsia" w:ascii="宋体" w:hAnsi="宋体"/>
          <w:color w:val="auto"/>
          <w:szCs w:val="21"/>
          <w:highlight w:val="none"/>
          <w:lang w:eastAsia="zh-CN"/>
        </w:rPr>
      </w:pPr>
      <w:r>
        <w:rPr>
          <w:rFonts w:hint="eastAsia" w:ascii="宋体" w:hAnsi="宋体"/>
          <w:color w:val="auto"/>
          <w:szCs w:val="21"/>
          <w:highlight w:val="none"/>
        </w:rPr>
        <w:t>标项一</w:t>
      </w:r>
      <w:r>
        <w:rPr>
          <w:rFonts w:hint="eastAsia" w:ascii="宋体" w:hAnsi="宋体"/>
          <w:color w:val="auto"/>
          <w:szCs w:val="21"/>
          <w:highlight w:val="none"/>
        </w:rPr>
        <w:br w:type="textWrapping"/>
      </w:r>
      <w:r>
        <w:rPr>
          <w:rFonts w:hint="eastAsia" w:ascii="宋体" w:hAnsi="宋体"/>
          <w:color w:val="auto"/>
          <w:szCs w:val="21"/>
          <w:highlight w:val="none"/>
        </w:rPr>
        <w:t>标项名称:</w:t>
      </w:r>
      <w:r>
        <w:rPr>
          <w:rFonts w:hint="eastAsia" w:ascii="宋体" w:hAnsi="宋体"/>
          <w:color w:val="auto"/>
          <w:szCs w:val="21"/>
          <w:highlight w:val="none"/>
          <w:lang w:eastAsia="zh-CN"/>
        </w:rPr>
        <w:t>考试保障监测、反制设备</w:t>
      </w:r>
    </w:p>
    <w:p w14:paraId="09CA5877">
      <w:pPr>
        <w:spacing w:line="360" w:lineRule="exact"/>
        <w:ind w:left="420" w:leftChars="200"/>
        <w:rPr>
          <w:rFonts w:ascii="宋体" w:hAnsi="宋体"/>
          <w:color w:val="auto"/>
          <w:szCs w:val="21"/>
          <w:highlight w:val="none"/>
        </w:rPr>
      </w:pPr>
      <w:r>
        <w:rPr>
          <w:rFonts w:hint="eastAsia" w:ascii="宋体" w:hAnsi="宋体"/>
          <w:color w:val="auto"/>
          <w:szCs w:val="21"/>
          <w:highlight w:val="none"/>
        </w:rPr>
        <w:t>数量:1</w:t>
      </w:r>
      <w:r>
        <w:rPr>
          <w:rFonts w:hint="eastAsia" w:ascii="宋体" w:hAnsi="宋体"/>
          <w:color w:val="auto"/>
          <w:szCs w:val="21"/>
          <w:highlight w:val="none"/>
          <w:lang w:val="en-US" w:eastAsia="zh-CN"/>
        </w:rPr>
        <w:t>套</w:t>
      </w:r>
      <w:r>
        <w:rPr>
          <w:rFonts w:hint="eastAsia" w:ascii="宋体" w:hAnsi="宋体"/>
          <w:color w:val="auto"/>
          <w:szCs w:val="21"/>
          <w:highlight w:val="none"/>
        </w:rPr>
        <w:br w:type="textWrapping"/>
      </w:r>
      <w:r>
        <w:rPr>
          <w:rFonts w:hint="eastAsia" w:ascii="宋体" w:hAnsi="宋体"/>
          <w:color w:val="auto"/>
          <w:szCs w:val="21"/>
          <w:highlight w:val="none"/>
        </w:rPr>
        <w:t>预算金额（元）</w:t>
      </w: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350000.00</w:t>
      </w:r>
      <w:r>
        <w:rPr>
          <w:rFonts w:hint="eastAsia" w:ascii="宋体" w:hAnsi="宋体"/>
          <w:color w:val="auto"/>
          <w:szCs w:val="21"/>
          <w:highlight w:val="none"/>
        </w:rPr>
        <w:br w:type="textWrapping"/>
      </w:r>
      <w:r>
        <w:rPr>
          <w:rFonts w:hint="eastAsia" w:ascii="宋体" w:hAnsi="宋体"/>
          <w:color w:val="auto"/>
          <w:szCs w:val="21"/>
          <w:highlight w:val="none"/>
        </w:rPr>
        <w:t>简要规格描述或项目基本概况介绍、用途：1套考试保障监测、反制设备。可以自动实现对作弊信号的识别与发现，对多种通信体制的数字信号以及扩频数传信号进行解码，并能实时对作弊信号进行压制阻断并对其传送的作弊内容进行有效的删除，同时还可以对作弊信号进行有效取证。侦测设备频率范围：20MHz～8GHz；压制设备发射频率：100MHz～1500MHz。</w:t>
      </w:r>
      <w:r>
        <w:rPr>
          <w:rFonts w:hint="eastAsia" w:ascii="宋体" w:hAnsi="宋体"/>
          <w:color w:val="auto"/>
          <w:szCs w:val="21"/>
          <w:highlight w:val="none"/>
          <w:lang w:val="en-US" w:eastAsia="zh-CN"/>
        </w:rPr>
        <w:t>具体详见采购文件。</w:t>
      </w:r>
    </w:p>
    <w:p w14:paraId="161D9816">
      <w:pPr>
        <w:spacing w:line="360" w:lineRule="exact"/>
        <w:ind w:firstLine="420" w:firstLineChars="200"/>
        <w:rPr>
          <w:rFonts w:ascii="宋体" w:hAnsi="宋体"/>
          <w:color w:val="auto"/>
          <w:szCs w:val="21"/>
          <w:highlight w:val="none"/>
        </w:rPr>
      </w:pPr>
      <w:r>
        <w:rPr>
          <w:rFonts w:hint="eastAsia" w:ascii="宋体" w:hAnsi="宋体"/>
          <w:color w:val="auto"/>
          <w:szCs w:val="21"/>
          <w:highlight w:val="none"/>
        </w:rPr>
        <w:t>最高限价（如有）：</w:t>
      </w:r>
      <w:r>
        <w:rPr>
          <w:rFonts w:hint="eastAsia" w:ascii="宋体" w:hAnsi="宋体"/>
          <w:color w:val="auto"/>
          <w:szCs w:val="21"/>
          <w:highlight w:val="none"/>
          <w:lang w:val="en-US" w:eastAsia="zh-CN"/>
        </w:rPr>
        <w:t>350000.00</w:t>
      </w:r>
    </w:p>
    <w:p w14:paraId="4C0A29AC">
      <w:pPr>
        <w:spacing w:line="360" w:lineRule="exact"/>
        <w:ind w:left="420" w:leftChars="200"/>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rPr>
        <w:t>合同履约期限：签订合同之日起</w:t>
      </w:r>
      <w:r>
        <w:rPr>
          <w:rFonts w:hint="eastAsia" w:ascii="宋体" w:hAnsi="宋体" w:eastAsia="宋体" w:cs="Times New Roman"/>
          <w:color w:val="auto"/>
          <w:szCs w:val="21"/>
          <w:highlight w:val="none"/>
          <w:lang w:val="en-US" w:eastAsia="zh-CN"/>
        </w:rPr>
        <w:t>90</w:t>
      </w:r>
      <w:r>
        <w:rPr>
          <w:rFonts w:hint="eastAsia" w:ascii="宋体" w:hAnsi="宋体" w:eastAsia="宋体" w:cs="Times New Roman"/>
          <w:color w:val="auto"/>
          <w:szCs w:val="21"/>
          <w:highlight w:val="none"/>
        </w:rPr>
        <w:t>个日历日内全部安装调试合格完毕</w:t>
      </w:r>
      <w:r>
        <w:rPr>
          <w:rFonts w:hint="eastAsia" w:ascii="宋体" w:hAnsi="宋体" w:eastAsia="宋体" w:cs="Times New Roman"/>
          <w:color w:val="auto"/>
          <w:szCs w:val="21"/>
          <w:highlight w:val="none"/>
          <w:lang w:val="en-US" w:eastAsia="zh-CN"/>
        </w:rPr>
        <w:t>并通过合同验收</w:t>
      </w:r>
      <w:r>
        <w:rPr>
          <w:rFonts w:hint="eastAsia" w:ascii="宋体" w:hAnsi="宋体" w:cs="Times New Roman"/>
          <w:color w:val="auto"/>
          <w:szCs w:val="21"/>
          <w:highlight w:val="none"/>
          <w:lang w:val="en-US" w:eastAsia="zh-CN"/>
        </w:rPr>
        <w:t>。</w:t>
      </w:r>
    </w:p>
    <w:p w14:paraId="64734091">
      <w:pPr>
        <w:spacing w:line="360" w:lineRule="exact"/>
        <w:ind w:left="420" w:leftChars="200"/>
        <w:rPr>
          <w:rFonts w:ascii="宋体" w:hAnsi="宋体"/>
          <w:color w:val="auto"/>
          <w:szCs w:val="21"/>
          <w:highlight w:val="none"/>
        </w:rPr>
      </w:pPr>
      <w:r>
        <w:rPr>
          <w:rFonts w:hint="eastAsia" w:ascii="宋体" w:hAnsi="宋体"/>
          <w:color w:val="auto"/>
          <w:szCs w:val="21"/>
          <w:highlight w:val="none"/>
        </w:rPr>
        <w:t>本标项（否）接受联合体投标</w:t>
      </w:r>
      <w:r>
        <w:rPr>
          <w:rFonts w:hint="eastAsia" w:ascii="宋体" w:hAnsi="宋体"/>
          <w:color w:val="auto"/>
          <w:szCs w:val="21"/>
          <w:highlight w:val="none"/>
        </w:rPr>
        <w:br w:type="textWrapping"/>
      </w:r>
      <w:r>
        <w:rPr>
          <w:rFonts w:hint="eastAsia" w:ascii="宋体" w:hAnsi="宋体"/>
          <w:color w:val="auto"/>
          <w:szCs w:val="21"/>
          <w:highlight w:val="none"/>
        </w:rPr>
        <w:t>备注：/</w:t>
      </w:r>
    </w:p>
    <w:p w14:paraId="6EAA5CBA">
      <w:pPr>
        <w:spacing w:line="360" w:lineRule="exact"/>
        <w:ind w:firstLine="420" w:firstLineChars="200"/>
        <w:rPr>
          <w:rFonts w:ascii="宋体" w:hAnsi="宋体"/>
          <w:color w:val="auto"/>
          <w:szCs w:val="21"/>
          <w:highlight w:val="none"/>
        </w:rPr>
      </w:pPr>
    </w:p>
    <w:p w14:paraId="50ED54DA">
      <w:pPr>
        <w:spacing w:line="360" w:lineRule="exact"/>
        <w:ind w:left="420" w:leftChars="200"/>
        <w:rPr>
          <w:rFonts w:hint="eastAsia" w:ascii="宋体" w:hAnsi="宋体"/>
          <w:color w:val="auto"/>
          <w:szCs w:val="21"/>
          <w:highlight w:val="none"/>
        </w:rPr>
      </w:pPr>
      <w:r>
        <w:rPr>
          <w:rFonts w:hint="eastAsia" w:ascii="宋体" w:hAnsi="宋体"/>
          <w:color w:val="auto"/>
          <w:szCs w:val="21"/>
          <w:highlight w:val="none"/>
        </w:rPr>
        <w:t>标项二</w:t>
      </w:r>
      <w:r>
        <w:rPr>
          <w:rFonts w:hint="eastAsia" w:ascii="宋体" w:hAnsi="宋体"/>
          <w:color w:val="auto"/>
          <w:szCs w:val="21"/>
          <w:highlight w:val="none"/>
        </w:rPr>
        <w:br w:type="textWrapping"/>
      </w:r>
      <w:r>
        <w:rPr>
          <w:rFonts w:hint="eastAsia" w:ascii="宋体" w:hAnsi="宋体"/>
          <w:color w:val="auto"/>
          <w:szCs w:val="21"/>
          <w:highlight w:val="none"/>
        </w:rPr>
        <w:t>标项名称:</w:t>
      </w:r>
      <w:r>
        <w:rPr>
          <w:rFonts w:hint="eastAsia" w:ascii="宋体" w:hAnsi="宋体"/>
          <w:color w:val="auto"/>
          <w:szCs w:val="21"/>
          <w:highlight w:val="none"/>
          <w:lang w:val="en-US" w:eastAsia="zh-CN"/>
        </w:rPr>
        <w:t>航空GNSS干扰实时预警系统</w:t>
      </w:r>
      <w:r>
        <w:rPr>
          <w:rFonts w:hint="eastAsia" w:ascii="宋体" w:hAnsi="宋体"/>
          <w:color w:val="auto"/>
          <w:szCs w:val="21"/>
          <w:highlight w:val="none"/>
        </w:rPr>
        <w:br w:type="textWrapping"/>
      </w:r>
      <w:r>
        <w:rPr>
          <w:rFonts w:hint="eastAsia" w:ascii="宋体" w:hAnsi="宋体"/>
          <w:color w:val="auto"/>
          <w:szCs w:val="21"/>
          <w:highlight w:val="none"/>
        </w:rPr>
        <w:t>数量:1</w:t>
      </w:r>
      <w:r>
        <w:rPr>
          <w:rFonts w:hint="eastAsia" w:ascii="宋体" w:hAnsi="宋体"/>
          <w:color w:val="auto"/>
          <w:szCs w:val="21"/>
          <w:highlight w:val="none"/>
          <w:lang w:val="en-US" w:eastAsia="zh-CN"/>
        </w:rPr>
        <w:t>套</w:t>
      </w:r>
      <w:r>
        <w:rPr>
          <w:rFonts w:hint="eastAsia" w:ascii="宋体" w:hAnsi="宋体"/>
          <w:color w:val="auto"/>
          <w:szCs w:val="21"/>
          <w:highlight w:val="none"/>
        </w:rPr>
        <w:br w:type="textWrapping"/>
      </w:r>
      <w:r>
        <w:rPr>
          <w:rFonts w:hint="eastAsia" w:ascii="宋体" w:hAnsi="宋体"/>
          <w:color w:val="auto"/>
          <w:szCs w:val="21"/>
          <w:highlight w:val="none"/>
        </w:rPr>
        <w:t>预算金额（元）</w:t>
      </w: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1800000.00</w:t>
      </w:r>
      <w:r>
        <w:rPr>
          <w:rFonts w:hint="eastAsia" w:ascii="宋体" w:hAnsi="宋体"/>
          <w:color w:val="auto"/>
          <w:szCs w:val="21"/>
          <w:highlight w:val="none"/>
        </w:rPr>
        <w:br w:type="textWrapping"/>
      </w:r>
      <w:r>
        <w:rPr>
          <w:rFonts w:hint="eastAsia" w:ascii="宋体" w:hAnsi="宋体"/>
          <w:color w:val="auto"/>
          <w:szCs w:val="21"/>
          <w:highlight w:val="none"/>
        </w:rPr>
        <w:t>简要规格描述或项目基本概况介绍、用途：1套航空GNSS干扰实时预警系统</w:t>
      </w: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要求</w:t>
      </w:r>
      <w:r>
        <w:rPr>
          <w:rFonts w:hint="eastAsia" w:ascii="宋体" w:hAnsi="宋体"/>
          <w:color w:val="auto"/>
          <w:szCs w:val="21"/>
          <w:highlight w:val="none"/>
        </w:rPr>
        <w:t>在全区9 个地级</w:t>
      </w:r>
      <w:r>
        <w:rPr>
          <w:rFonts w:hint="eastAsia" w:ascii="宋体" w:hAnsi="宋体"/>
          <w:color w:val="auto"/>
          <w:szCs w:val="21"/>
          <w:highlight w:val="none"/>
          <w:lang w:val="en-US" w:eastAsia="zh-CN"/>
        </w:rPr>
        <w:t>市</w:t>
      </w:r>
      <w:r>
        <w:rPr>
          <w:rFonts w:hint="eastAsia" w:ascii="宋体" w:hAnsi="宋体"/>
          <w:color w:val="auto"/>
          <w:szCs w:val="21"/>
          <w:highlight w:val="none"/>
        </w:rPr>
        <w:t>行政区各建设1个航空GNSS无线电监测预警节点（共9个），预警节点主设备及专用预警天线，频率范围：1060MHz～1120MHz。2个小型升空GNSS干扰源侦测定位设备</w:t>
      </w: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要求</w:t>
      </w:r>
      <w:r>
        <w:rPr>
          <w:rFonts w:hint="eastAsia" w:ascii="宋体" w:hAnsi="宋体"/>
          <w:color w:val="auto"/>
          <w:szCs w:val="21"/>
          <w:highlight w:val="none"/>
        </w:rPr>
        <w:t>实现各运输机场及主要航路的覆盖，频率范围:1550MHz～1605MHz</w:t>
      </w:r>
      <w:r>
        <w:rPr>
          <w:rFonts w:hint="eastAsia" w:ascii="宋体" w:hAnsi="宋体"/>
          <w:color w:val="auto"/>
          <w:szCs w:val="21"/>
          <w:highlight w:val="none"/>
          <w:lang w:eastAsia="zh-CN"/>
        </w:rPr>
        <w:t>。</w:t>
      </w:r>
      <w:r>
        <w:rPr>
          <w:rFonts w:hint="eastAsia" w:ascii="宋体" w:hAnsi="宋体"/>
          <w:color w:val="auto"/>
          <w:szCs w:val="21"/>
          <w:highlight w:val="none"/>
        </w:rPr>
        <w:t>1台高性能专用存储服务器</w:t>
      </w: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要求部署</w:t>
      </w:r>
      <w:r>
        <w:rPr>
          <w:rFonts w:hint="eastAsia" w:ascii="宋体" w:hAnsi="宋体"/>
          <w:color w:val="auto"/>
          <w:szCs w:val="21"/>
          <w:highlight w:val="none"/>
        </w:rPr>
        <w:t>在自治区无线电监测站</w:t>
      </w: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用于</w:t>
      </w:r>
      <w:r>
        <w:rPr>
          <w:rFonts w:hint="eastAsia" w:ascii="宋体" w:hAnsi="宋体"/>
          <w:color w:val="auto"/>
          <w:szCs w:val="21"/>
          <w:highlight w:val="none"/>
        </w:rPr>
        <w:t>存储各</w:t>
      </w:r>
      <w:r>
        <w:rPr>
          <w:rFonts w:hint="eastAsia" w:ascii="宋体" w:hAnsi="宋体"/>
          <w:color w:val="auto"/>
          <w:szCs w:val="21"/>
          <w:highlight w:val="none"/>
          <w:lang w:val="en-US" w:eastAsia="zh-CN"/>
        </w:rPr>
        <w:t>预警</w:t>
      </w:r>
      <w:r>
        <w:rPr>
          <w:rFonts w:hint="eastAsia" w:ascii="宋体" w:hAnsi="宋体"/>
          <w:color w:val="auto"/>
          <w:szCs w:val="21"/>
          <w:highlight w:val="none"/>
        </w:rPr>
        <w:t>节点通过网络自动上报的监测数据；1套监测控制及展示软件系统</w:t>
      </w: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要求</w:t>
      </w:r>
      <w:r>
        <w:rPr>
          <w:rFonts w:hint="eastAsia" w:ascii="宋体" w:hAnsi="宋体"/>
          <w:color w:val="auto"/>
          <w:szCs w:val="21"/>
          <w:highlight w:val="none"/>
        </w:rPr>
        <w:t>基于无线电管理一体化平台。</w:t>
      </w:r>
    </w:p>
    <w:p w14:paraId="0DADDEA8">
      <w:pPr>
        <w:spacing w:line="360" w:lineRule="exact"/>
        <w:ind w:left="420" w:leftChars="200" w:firstLine="420" w:firstLineChars="200"/>
        <w:rPr>
          <w:rFonts w:ascii="宋体" w:hAnsi="宋体"/>
          <w:color w:val="auto"/>
          <w:szCs w:val="21"/>
          <w:highlight w:val="none"/>
        </w:rPr>
      </w:pPr>
      <w:r>
        <w:rPr>
          <w:rFonts w:hint="eastAsia" w:ascii="宋体" w:hAnsi="宋体"/>
          <w:color w:val="auto"/>
          <w:szCs w:val="21"/>
          <w:highlight w:val="none"/>
          <w:lang w:val="en-US" w:eastAsia="zh-CN"/>
        </w:rPr>
        <w:t>总体要求：</w:t>
      </w:r>
      <w:r>
        <w:rPr>
          <w:rFonts w:hint="eastAsia" w:ascii="宋体" w:hAnsi="宋体"/>
          <w:color w:val="auto"/>
          <w:szCs w:val="21"/>
          <w:highlight w:val="none"/>
        </w:rPr>
        <w:t>各</w:t>
      </w:r>
      <w:r>
        <w:rPr>
          <w:rFonts w:hint="eastAsia" w:ascii="宋体" w:hAnsi="宋体"/>
          <w:color w:val="auto"/>
          <w:szCs w:val="21"/>
          <w:highlight w:val="none"/>
          <w:lang w:val="en-US" w:eastAsia="zh-CN"/>
        </w:rPr>
        <w:t>预警</w:t>
      </w:r>
      <w:r>
        <w:rPr>
          <w:rFonts w:hint="eastAsia" w:ascii="宋体" w:hAnsi="宋体"/>
          <w:color w:val="auto"/>
          <w:szCs w:val="21"/>
          <w:highlight w:val="none"/>
        </w:rPr>
        <w:t>节点监测结果自动上传到</w:t>
      </w:r>
      <w:r>
        <w:rPr>
          <w:rFonts w:hint="eastAsia" w:ascii="宋体" w:hAnsi="宋体"/>
          <w:color w:val="auto"/>
          <w:szCs w:val="21"/>
          <w:highlight w:val="none"/>
          <w:lang w:val="en-US" w:eastAsia="zh-CN"/>
        </w:rPr>
        <w:t>无线电管理</w:t>
      </w:r>
      <w:r>
        <w:rPr>
          <w:rFonts w:hint="eastAsia" w:ascii="宋体" w:hAnsi="宋体"/>
          <w:color w:val="auto"/>
          <w:szCs w:val="21"/>
          <w:highlight w:val="none"/>
        </w:rPr>
        <w:t>一体化平台，进行汇总；实时发现飞机GNSS系统受干扰并具有自动告警功能，无须等待空管部门干扰申诉后再被动查找，要求实时性强、主动性强、准确性高；海量数据并行高速处理，实时解析，灵敏度高，飞机数量和报文消息不遗漏；深度挖掘分析功能，直接输出各飞机GNSS受干扰信息，干扰强度等级按1至6级进行分类，并对不同程度的干扰赋予不同的颜色；分析结果能和中国民航飞行品质监控基站提供的基于“空-地”数据链的大数据分析统计结果（干扰申诉表）进行自动比对。模块化结构，性能稳定，可靠性高，能连续长时稳定运行；可通过一体化平台在线访问和分析展示。</w:t>
      </w:r>
      <w:r>
        <w:rPr>
          <w:rFonts w:hint="eastAsia" w:ascii="宋体" w:hAnsi="宋体"/>
          <w:color w:val="auto"/>
          <w:szCs w:val="21"/>
          <w:highlight w:val="none"/>
          <w:lang w:val="en-US" w:eastAsia="zh-CN"/>
        </w:rPr>
        <w:t>具体详见采购文件。</w:t>
      </w:r>
    </w:p>
    <w:p w14:paraId="18FF80CE">
      <w:pPr>
        <w:spacing w:line="360" w:lineRule="exact"/>
        <w:ind w:firstLine="420" w:firstLineChars="200"/>
        <w:rPr>
          <w:rFonts w:hint="default" w:ascii="宋体" w:hAnsi="宋体"/>
          <w:color w:val="auto"/>
          <w:szCs w:val="21"/>
          <w:highlight w:val="none"/>
          <w:lang w:val="en-US"/>
        </w:rPr>
      </w:pPr>
      <w:r>
        <w:rPr>
          <w:rFonts w:hint="eastAsia" w:ascii="宋体" w:hAnsi="宋体"/>
          <w:color w:val="auto"/>
          <w:szCs w:val="21"/>
          <w:highlight w:val="none"/>
        </w:rPr>
        <w:t>最高限价（如有）：</w:t>
      </w:r>
      <w:r>
        <w:rPr>
          <w:rFonts w:hint="eastAsia" w:ascii="宋体" w:hAnsi="宋体"/>
          <w:color w:val="auto"/>
          <w:szCs w:val="21"/>
          <w:highlight w:val="none"/>
          <w:lang w:val="en-US" w:eastAsia="zh-CN"/>
        </w:rPr>
        <w:t>1800000.00</w:t>
      </w:r>
    </w:p>
    <w:p w14:paraId="40A2149F">
      <w:pPr>
        <w:spacing w:line="360" w:lineRule="exact"/>
        <w:ind w:left="420" w:leftChars="200"/>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rPr>
        <w:t>合同履约期限：签订合同之日起</w:t>
      </w:r>
      <w:r>
        <w:rPr>
          <w:rFonts w:hint="eastAsia" w:ascii="宋体" w:hAnsi="宋体" w:eastAsia="宋体" w:cs="Times New Roman"/>
          <w:color w:val="auto"/>
          <w:szCs w:val="21"/>
          <w:highlight w:val="none"/>
          <w:lang w:val="en-US" w:eastAsia="zh-CN"/>
        </w:rPr>
        <w:t>120</w:t>
      </w:r>
      <w:r>
        <w:rPr>
          <w:rFonts w:hint="eastAsia" w:ascii="宋体" w:hAnsi="宋体" w:eastAsia="宋体" w:cs="Times New Roman"/>
          <w:color w:val="auto"/>
          <w:szCs w:val="21"/>
          <w:highlight w:val="none"/>
        </w:rPr>
        <w:t>个日历日内全部安装调试合格完毕</w:t>
      </w:r>
      <w:r>
        <w:rPr>
          <w:rFonts w:hint="eastAsia" w:ascii="宋体" w:hAnsi="宋体" w:eastAsia="宋体" w:cs="Times New Roman"/>
          <w:color w:val="auto"/>
          <w:szCs w:val="21"/>
          <w:highlight w:val="none"/>
          <w:lang w:val="en-US" w:eastAsia="zh-CN"/>
        </w:rPr>
        <w:t>并通过合同验收</w:t>
      </w:r>
      <w:r>
        <w:rPr>
          <w:rFonts w:hint="eastAsia" w:ascii="宋体" w:hAnsi="宋体" w:cs="Times New Roman"/>
          <w:color w:val="auto"/>
          <w:szCs w:val="21"/>
          <w:highlight w:val="none"/>
          <w:lang w:val="en-US" w:eastAsia="zh-CN"/>
        </w:rPr>
        <w:t>。</w:t>
      </w:r>
    </w:p>
    <w:p w14:paraId="239DBDB0">
      <w:pPr>
        <w:spacing w:line="360" w:lineRule="exact"/>
        <w:ind w:left="420" w:leftChars="200"/>
        <w:rPr>
          <w:rFonts w:ascii="宋体" w:hAnsi="宋体"/>
          <w:color w:val="auto"/>
          <w:szCs w:val="21"/>
          <w:highlight w:val="none"/>
        </w:rPr>
      </w:pPr>
      <w:r>
        <w:rPr>
          <w:rFonts w:hint="eastAsia" w:ascii="宋体" w:hAnsi="宋体"/>
          <w:color w:val="auto"/>
          <w:szCs w:val="21"/>
          <w:highlight w:val="none"/>
        </w:rPr>
        <w:t>本标项（否）接受联合体投标</w:t>
      </w:r>
      <w:r>
        <w:rPr>
          <w:rFonts w:hint="eastAsia" w:ascii="宋体" w:hAnsi="宋体"/>
          <w:color w:val="auto"/>
          <w:szCs w:val="21"/>
          <w:highlight w:val="none"/>
        </w:rPr>
        <w:br w:type="textWrapping"/>
      </w:r>
      <w:r>
        <w:rPr>
          <w:rFonts w:hint="eastAsia" w:ascii="宋体" w:hAnsi="宋体"/>
          <w:color w:val="auto"/>
          <w:szCs w:val="21"/>
          <w:highlight w:val="none"/>
        </w:rPr>
        <w:t>备注：/</w:t>
      </w:r>
    </w:p>
    <w:p w14:paraId="382BA471">
      <w:pPr>
        <w:spacing w:line="360" w:lineRule="exact"/>
        <w:ind w:firstLine="422" w:firstLineChars="200"/>
        <w:rPr>
          <w:rFonts w:ascii="宋体" w:hAnsi="宋体"/>
          <w:b/>
          <w:color w:val="auto"/>
          <w:szCs w:val="21"/>
          <w:highlight w:val="none"/>
        </w:rPr>
      </w:pPr>
      <w:r>
        <w:rPr>
          <w:rFonts w:hint="eastAsia" w:ascii="宋体" w:hAnsi="宋体"/>
          <w:b/>
          <w:color w:val="auto"/>
          <w:szCs w:val="21"/>
          <w:highlight w:val="none"/>
        </w:rPr>
        <w:t>本项目不接受联合体。</w:t>
      </w:r>
    </w:p>
    <w:p w14:paraId="677BCF80">
      <w:pPr>
        <w:spacing w:line="360" w:lineRule="exact"/>
        <w:ind w:firstLine="480" w:firstLineChars="200"/>
        <w:rPr>
          <w:rFonts w:hint="eastAsia" w:ascii="黑体" w:hAnsi="黑体" w:eastAsia="黑体"/>
          <w:color w:val="auto"/>
          <w:sz w:val="24"/>
          <w:highlight w:val="none"/>
        </w:rPr>
      </w:pPr>
      <w:r>
        <w:rPr>
          <w:rFonts w:hint="eastAsia" w:ascii="黑体" w:hAnsi="黑体" w:eastAsia="黑体"/>
          <w:color w:val="auto"/>
          <w:sz w:val="24"/>
          <w:highlight w:val="none"/>
        </w:rPr>
        <w:t>二、供应商的资格条件：</w:t>
      </w:r>
      <w:bookmarkEnd w:id="28"/>
      <w:bookmarkEnd w:id="29"/>
      <w:bookmarkEnd w:id="30"/>
      <w:bookmarkEnd w:id="31"/>
      <w:bookmarkEnd w:id="32"/>
      <w:bookmarkEnd w:id="33"/>
      <w:bookmarkStart w:id="34" w:name="_Toc28359091"/>
      <w:bookmarkStart w:id="35" w:name="_Toc28359014"/>
    </w:p>
    <w:p w14:paraId="3244EEAF">
      <w:pPr>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1.满足《中华人民共和国政府采购法》第二十二条规定；</w:t>
      </w:r>
    </w:p>
    <w:p w14:paraId="2481B9A5">
      <w:pPr>
        <w:spacing w:line="360" w:lineRule="exact"/>
        <w:ind w:firstLine="420" w:firstLineChars="200"/>
        <w:rPr>
          <w:rFonts w:hint="eastAsia" w:ascii="宋体" w:hAnsi="宋体" w:eastAsia="宋体"/>
          <w:color w:val="auto"/>
          <w:szCs w:val="21"/>
          <w:highlight w:val="none"/>
          <w:lang w:eastAsia="zh-CN"/>
        </w:rPr>
      </w:pPr>
      <w:r>
        <w:rPr>
          <w:rFonts w:ascii="宋体" w:hAnsi="宋体"/>
          <w:color w:val="auto"/>
          <w:szCs w:val="21"/>
          <w:highlight w:val="none"/>
        </w:rPr>
        <w:t>2</w:t>
      </w:r>
      <w:r>
        <w:rPr>
          <w:rFonts w:hint="eastAsia" w:ascii="宋体" w:hAnsi="宋体"/>
          <w:color w:val="auto"/>
          <w:szCs w:val="21"/>
          <w:highlight w:val="none"/>
        </w:rPr>
        <w:t>.落实政府采购政策需满足的资格要求：</w:t>
      </w:r>
      <w:r>
        <w:rPr>
          <w:rFonts w:hint="eastAsia" w:ascii="宋体" w:hAnsi="宋体"/>
          <w:color w:val="auto"/>
          <w:szCs w:val="21"/>
          <w:highlight w:val="none"/>
          <w:lang w:val="en-US" w:eastAsia="zh-CN"/>
        </w:rPr>
        <w:t>标项一：本标项为专门面向中小企业采购的项目，供应商应为中小微企业或监狱企业或残疾人福利性单位，标项二：无，本标项为非专门面向中小企业采购的项目</w:t>
      </w:r>
      <w:r>
        <w:rPr>
          <w:rFonts w:hint="eastAsia" w:ascii="宋体" w:hAnsi="宋体"/>
          <w:color w:val="auto"/>
          <w:szCs w:val="21"/>
          <w:highlight w:val="none"/>
          <w:lang w:eastAsia="zh-CN"/>
        </w:rPr>
        <w:t>；</w:t>
      </w:r>
    </w:p>
    <w:p w14:paraId="44E6DBD1">
      <w:pPr>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3.本项目的特定资格要求：无。</w:t>
      </w:r>
      <w:bookmarkStart w:id="36" w:name="_Toc71366042"/>
      <w:bookmarkStart w:id="37" w:name="_Toc35393631"/>
      <w:bookmarkStart w:id="38" w:name="_Toc71365364"/>
      <w:bookmarkStart w:id="39" w:name="_Toc35393800"/>
    </w:p>
    <w:p w14:paraId="7318DD0C">
      <w:pPr>
        <w:spacing w:line="360" w:lineRule="exact"/>
        <w:ind w:firstLine="480" w:firstLineChars="200"/>
        <w:rPr>
          <w:rFonts w:hint="eastAsia" w:ascii="黑体" w:hAnsi="黑体" w:eastAsia="黑体"/>
          <w:color w:val="auto"/>
          <w:sz w:val="24"/>
          <w:highlight w:val="none"/>
        </w:rPr>
      </w:pPr>
      <w:r>
        <w:rPr>
          <w:rFonts w:hint="eastAsia" w:ascii="黑体" w:hAnsi="黑体" w:eastAsia="黑体"/>
          <w:color w:val="auto"/>
          <w:sz w:val="24"/>
          <w:highlight w:val="none"/>
        </w:rPr>
        <w:t>三、获取竞争性谈判文件</w:t>
      </w:r>
      <w:bookmarkEnd w:id="34"/>
      <w:bookmarkEnd w:id="35"/>
      <w:bookmarkEnd w:id="36"/>
      <w:bookmarkEnd w:id="37"/>
      <w:bookmarkEnd w:id="38"/>
      <w:bookmarkEnd w:id="39"/>
    </w:p>
    <w:p w14:paraId="2CD64290">
      <w:pPr>
        <w:spacing w:line="360" w:lineRule="exact"/>
        <w:ind w:firstLine="420" w:firstLineChars="200"/>
        <w:rPr>
          <w:rFonts w:ascii="宋体" w:hAnsi="宋体" w:cs="宋体"/>
          <w:bCs/>
          <w:color w:val="auto"/>
          <w:kern w:val="0"/>
          <w:szCs w:val="21"/>
          <w:highlight w:val="none"/>
        </w:rPr>
      </w:pPr>
      <w:bookmarkStart w:id="40" w:name="_Toc28359092"/>
      <w:bookmarkStart w:id="41" w:name="_Toc71365365"/>
      <w:bookmarkStart w:id="42" w:name="_Toc28359015"/>
      <w:bookmarkStart w:id="43" w:name="_Toc35393801"/>
      <w:bookmarkStart w:id="44" w:name="_Toc35393632"/>
      <w:bookmarkStart w:id="45" w:name="_Toc71366043"/>
      <w:r>
        <w:rPr>
          <w:rFonts w:hint="eastAsia" w:ascii="宋体" w:hAnsi="宋体" w:cs="宋体"/>
          <w:bCs/>
          <w:color w:val="auto"/>
          <w:kern w:val="0"/>
          <w:szCs w:val="21"/>
          <w:highlight w:val="none"/>
        </w:rPr>
        <w:t>时间：</w:t>
      </w:r>
      <w:r>
        <w:rPr>
          <w:rFonts w:ascii="宋体" w:hAnsi="宋体"/>
          <w:bCs/>
          <w:color w:val="auto"/>
          <w:szCs w:val="21"/>
          <w:highlight w:val="none"/>
          <w:u w:val="single"/>
        </w:rPr>
        <w:t>202</w:t>
      </w:r>
      <w:r>
        <w:rPr>
          <w:rFonts w:hint="eastAsia" w:ascii="宋体" w:hAnsi="宋体"/>
          <w:bCs/>
          <w:color w:val="auto"/>
          <w:szCs w:val="21"/>
          <w:highlight w:val="none"/>
          <w:u w:val="single"/>
          <w:lang w:val="en-US" w:eastAsia="zh-CN"/>
        </w:rPr>
        <w:t>6</w:t>
      </w:r>
      <w:r>
        <w:rPr>
          <w:rFonts w:hint="eastAsia" w:ascii="宋体" w:hAnsi="宋体"/>
          <w:bCs/>
          <w:color w:val="auto"/>
          <w:szCs w:val="21"/>
          <w:highlight w:val="none"/>
          <w:u w:val="single"/>
        </w:rPr>
        <w:t>年</w:t>
      </w:r>
      <w:r>
        <w:rPr>
          <w:rFonts w:hint="eastAsia" w:ascii="宋体" w:hAnsi="宋体"/>
          <w:bCs/>
          <w:color w:val="auto"/>
          <w:szCs w:val="21"/>
          <w:highlight w:val="none"/>
          <w:u w:val="single"/>
          <w:lang w:val="en-US" w:eastAsia="zh-CN"/>
        </w:rPr>
        <w:t>5</w:t>
      </w:r>
      <w:r>
        <w:rPr>
          <w:rFonts w:hint="eastAsia" w:ascii="宋体" w:hAnsi="宋体"/>
          <w:bCs/>
          <w:color w:val="auto"/>
          <w:szCs w:val="21"/>
          <w:highlight w:val="none"/>
          <w:u w:val="single"/>
        </w:rPr>
        <w:t>月</w:t>
      </w:r>
      <w:r>
        <w:rPr>
          <w:rFonts w:hint="eastAsia" w:ascii="宋体" w:hAnsi="宋体"/>
          <w:bCs/>
          <w:color w:val="auto"/>
          <w:szCs w:val="21"/>
          <w:highlight w:val="none"/>
          <w:u w:val="single"/>
          <w:lang w:val="en-US" w:eastAsia="zh-CN"/>
        </w:rPr>
        <w:t>20</w:t>
      </w:r>
      <w:r>
        <w:rPr>
          <w:rFonts w:hint="eastAsia" w:ascii="宋体" w:hAnsi="宋体"/>
          <w:bCs/>
          <w:color w:val="auto"/>
          <w:szCs w:val="21"/>
          <w:highlight w:val="none"/>
          <w:u w:val="single"/>
        </w:rPr>
        <w:t>日</w:t>
      </w:r>
      <w:r>
        <w:rPr>
          <w:rFonts w:hint="eastAsia" w:ascii="宋体" w:hAnsi="宋体" w:cs="宋体"/>
          <w:bCs/>
          <w:color w:val="auto"/>
          <w:kern w:val="0"/>
          <w:szCs w:val="21"/>
          <w:highlight w:val="none"/>
        </w:rPr>
        <w:t>至</w:t>
      </w:r>
      <w:r>
        <w:rPr>
          <w:rFonts w:ascii="宋体" w:hAnsi="宋体"/>
          <w:bCs/>
          <w:color w:val="auto"/>
          <w:szCs w:val="21"/>
          <w:highlight w:val="none"/>
          <w:u w:val="single"/>
        </w:rPr>
        <w:t>202</w:t>
      </w:r>
      <w:r>
        <w:rPr>
          <w:rFonts w:hint="eastAsia" w:ascii="宋体" w:hAnsi="宋体"/>
          <w:bCs/>
          <w:color w:val="auto"/>
          <w:szCs w:val="21"/>
          <w:highlight w:val="none"/>
          <w:u w:val="single"/>
          <w:lang w:val="en-US" w:eastAsia="zh-CN"/>
        </w:rPr>
        <w:t>6</w:t>
      </w:r>
      <w:r>
        <w:rPr>
          <w:rFonts w:hint="eastAsia" w:ascii="宋体" w:hAnsi="宋体"/>
          <w:bCs/>
          <w:color w:val="auto"/>
          <w:szCs w:val="21"/>
          <w:highlight w:val="none"/>
          <w:u w:val="single"/>
        </w:rPr>
        <w:t>年</w:t>
      </w:r>
      <w:r>
        <w:rPr>
          <w:rFonts w:hint="eastAsia" w:ascii="宋体" w:hAnsi="宋体"/>
          <w:bCs/>
          <w:color w:val="auto"/>
          <w:szCs w:val="21"/>
          <w:highlight w:val="none"/>
          <w:u w:val="single"/>
          <w:lang w:val="en-US" w:eastAsia="zh-CN"/>
        </w:rPr>
        <w:t>5</w:t>
      </w:r>
      <w:r>
        <w:rPr>
          <w:rFonts w:hint="eastAsia" w:ascii="宋体" w:hAnsi="宋体"/>
          <w:bCs/>
          <w:color w:val="auto"/>
          <w:szCs w:val="21"/>
          <w:highlight w:val="none"/>
          <w:u w:val="single"/>
        </w:rPr>
        <w:t>月</w:t>
      </w:r>
      <w:r>
        <w:rPr>
          <w:rFonts w:hint="eastAsia" w:ascii="宋体" w:hAnsi="宋体"/>
          <w:bCs/>
          <w:color w:val="auto"/>
          <w:szCs w:val="21"/>
          <w:highlight w:val="none"/>
          <w:u w:val="single"/>
          <w:lang w:val="en-US" w:eastAsia="zh-CN"/>
        </w:rPr>
        <w:t>25</w:t>
      </w:r>
      <w:r>
        <w:rPr>
          <w:rFonts w:hint="eastAsia" w:ascii="宋体" w:hAnsi="宋体"/>
          <w:bCs/>
          <w:color w:val="auto"/>
          <w:szCs w:val="21"/>
          <w:highlight w:val="none"/>
          <w:u w:val="single"/>
        </w:rPr>
        <w:t>日</w:t>
      </w:r>
      <w:r>
        <w:rPr>
          <w:rFonts w:hint="eastAsia" w:ascii="宋体" w:hAnsi="宋体" w:cs="宋体"/>
          <w:bCs/>
          <w:color w:val="auto"/>
          <w:kern w:val="0"/>
          <w:szCs w:val="21"/>
          <w:highlight w:val="none"/>
        </w:rPr>
        <w:t>，每天上午</w:t>
      </w:r>
      <w:r>
        <w:rPr>
          <w:rFonts w:ascii="宋体" w:hAnsi="宋体" w:cs="宋体"/>
          <w:bCs/>
          <w:color w:val="auto"/>
          <w:kern w:val="0"/>
          <w:szCs w:val="21"/>
          <w:highlight w:val="none"/>
        </w:rPr>
        <w:t>0</w:t>
      </w:r>
      <w:r>
        <w:rPr>
          <w:rFonts w:hint="eastAsia" w:ascii="宋体" w:hAnsi="宋体" w:cs="宋体"/>
          <w:bCs/>
          <w:color w:val="auto"/>
          <w:kern w:val="0"/>
          <w:szCs w:val="21"/>
          <w:highlight w:val="none"/>
        </w:rPr>
        <w:t>：</w:t>
      </w:r>
      <w:r>
        <w:rPr>
          <w:rFonts w:ascii="宋体" w:hAnsi="宋体" w:cs="宋体"/>
          <w:bCs/>
          <w:color w:val="auto"/>
          <w:kern w:val="0"/>
          <w:szCs w:val="21"/>
          <w:highlight w:val="none"/>
        </w:rPr>
        <w:t>00</w:t>
      </w:r>
      <w:r>
        <w:rPr>
          <w:rFonts w:hint="eastAsia" w:ascii="宋体" w:hAnsi="宋体" w:cs="宋体"/>
          <w:bCs/>
          <w:color w:val="auto"/>
          <w:kern w:val="0"/>
          <w:szCs w:val="21"/>
          <w:highlight w:val="none"/>
        </w:rPr>
        <w:t>至12:0</w:t>
      </w:r>
      <w:r>
        <w:rPr>
          <w:rFonts w:ascii="宋体" w:hAnsi="宋体" w:cs="宋体"/>
          <w:bCs/>
          <w:color w:val="auto"/>
          <w:kern w:val="0"/>
          <w:szCs w:val="21"/>
          <w:highlight w:val="none"/>
        </w:rPr>
        <w:t>0</w:t>
      </w:r>
      <w:r>
        <w:rPr>
          <w:rFonts w:hint="eastAsia" w:ascii="宋体" w:hAnsi="宋体" w:cs="宋体"/>
          <w:bCs/>
          <w:color w:val="auto"/>
          <w:kern w:val="0"/>
          <w:szCs w:val="21"/>
          <w:highlight w:val="none"/>
        </w:rPr>
        <w:t>，下午</w:t>
      </w:r>
      <w:r>
        <w:rPr>
          <w:rFonts w:ascii="宋体" w:hAnsi="宋体" w:cs="宋体"/>
          <w:bCs/>
          <w:color w:val="auto"/>
          <w:kern w:val="0"/>
          <w:szCs w:val="21"/>
          <w:highlight w:val="none"/>
        </w:rPr>
        <w:t>12</w:t>
      </w:r>
      <w:r>
        <w:rPr>
          <w:rFonts w:hint="eastAsia" w:ascii="宋体" w:hAnsi="宋体" w:cs="宋体"/>
          <w:bCs/>
          <w:color w:val="auto"/>
          <w:kern w:val="0"/>
          <w:szCs w:val="21"/>
          <w:highlight w:val="none"/>
        </w:rPr>
        <w:t>:0</w:t>
      </w:r>
      <w:r>
        <w:rPr>
          <w:rFonts w:ascii="宋体" w:hAnsi="宋体" w:cs="宋体"/>
          <w:bCs/>
          <w:color w:val="auto"/>
          <w:kern w:val="0"/>
          <w:szCs w:val="21"/>
          <w:highlight w:val="none"/>
        </w:rPr>
        <w:t>0</w:t>
      </w:r>
      <w:r>
        <w:rPr>
          <w:rFonts w:hint="eastAsia" w:ascii="宋体" w:hAnsi="宋体" w:cs="宋体"/>
          <w:bCs/>
          <w:color w:val="auto"/>
          <w:kern w:val="0"/>
          <w:szCs w:val="21"/>
          <w:highlight w:val="none"/>
        </w:rPr>
        <w:t>至</w:t>
      </w:r>
      <w:r>
        <w:rPr>
          <w:rFonts w:ascii="宋体" w:hAnsi="宋体" w:cs="宋体"/>
          <w:bCs/>
          <w:color w:val="auto"/>
          <w:kern w:val="0"/>
          <w:szCs w:val="21"/>
          <w:highlight w:val="none"/>
        </w:rPr>
        <w:t>23</w:t>
      </w:r>
      <w:r>
        <w:rPr>
          <w:rFonts w:hint="eastAsia" w:ascii="宋体" w:hAnsi="宋体" w:cs="宋体"/>
          <w:bCs/>
          <w:color w:val="auto"/>
          <w:kern w:val="0"/>
          <w:szCs w:val="21"/>
          <w:highlight w:val="none"/>
        </w:rPr>
        <w:t>:</w:t>
      </w:r>
      <w:r>
        <w:rPr>
          <w:rFonts w:ascii="宋体" w:hAnsi="宋体" w:cs="宋体"/>
          <w:bCs/>
          <w:color w:val="auto"/>
          <w:kern w:val="0"/>
          <w:szCs w:val="21"/>
          <w:highlight w:val="none"/>
        </w:rPr>
        <w:t>59</w:t>
      </w:r>
      <w:r>
        <w:rPr>
          <w:rFonts w:hint="eastAsia" w:ascii="宋体" w:hAnsi="宋体" w:cs="宋体"/>
          <w:bCs/>
          <w:color w:val="auto"/>
          <w:kern w:val="0"/>
          <w:szCs w:val="21"/>
          <w:highlight w:val="none"/>
        </w:rPr>
        <w:t>（北京时间）</w:t>
      </w:r>
    </w:p>
    <w:p w14:paraId="58F3FC02">
      <w:pPr>
        <w:spacing w:line="360" w:lineRule="exact"/>
        <w:ind w:firstLine="420" w:firstLineChars="200"/>
        <w:rPr>
          <w:rFonts w:ascii="宋体" w:hAnsi="宋体" w:cs="宋体"/>
          <w:bCs/>
          <w:color w:val="auto"/>
          <w:kern w:val="0"/>
          <w:szCs w:val="21"/>
          <w:highlight w:val="none"/>
        </w:rPr>
      </w:pPr>
      <w:r>
        <w:rPr>
          <w:rFonts w:hint="eastAsia" w:ascii="宋体" w:hAnsi="宋体" w:cs="宋体"/>
          <w:bCs/>
          <w:color w:val="auto"/>
          <w:kern w:val="0"/>
          <w:szCs w:val="21"/>
          <w:highlight w:val="none"/>
        </w:rPr>
        <w:t>地点：广西政府采购云平台（https://www.gcy.zfcg.gxzf.gov.cn/）</w:t>
      </w:r>
    </w:p>
    <w:p w14:paraId="01D9C8C1">
      <w:pPr>
        <w:spacing w:line="360" w:lineRule="exact"/>
        <w:ind w:firstLine="420" w:firstLineChars="200"/>
        <w:rPr>
          <w:rFonts w:ascii="Arial" w:hAnsi="Arial" w:cs="Arial"/>
          <w:color w:val="auto"/>
          <w:kern w:val="0"/>
          <w:szCs w:val="21"/>
          <w:highlight w:val="none"/>
        </w:rPr>
      </w:pPr>
      <w:r>
        <w:rPr>
          <w:rFonts w:hint="eastAsia" w:ascii="宋体" w:hAnsi="宋体"/>
          <w:color w:val="auto"/>
          <w:szCs w:val="21"/>
          <w:highlight w:val="none"/>
        </w:rPr>
        <w:t>获取方式:网上下载。本项目不发放纸质采购文件，供应商登录广西政府采购云平台https://www.gcy.zfcg.gxzf.gov.cn/在线申请获取采购文件（进入“项目采购”应用，在获取采购文件菜单中选择项目，申请获取采购文件）。</w:t>
      </w:r>
    </w:p>
    <w:p w14:paraId="5648EC86">
      <w:pPr>
        <w:snapToGrid w:val="0"/>
        <w:spacing w:line="360" w:lineRule="exact"/>
        <w:ind w:firstLine="420" w:firstLineChars="200"/>
        <w:rPr>
          <w:rFonts w:ascii="宋体" w:hAnsi="宋体"/>
          <w:color w:val="auto"/>
          <w:szCs w:val="21"/>
          <w:highlight w:val="none"/>
        </w:rPr>
      </w:pPr>
      <w:r>
        <w:rPr>
          <w:rFonts w:hint="eastAsia" w:ascii="宋体" w:hAnsi="宋体"/>
          <w:color w:val="auto"/>
          <w:szCs w:val="21"/>
          <w:highlight w:val="none"/>
        </w:rPr>
        <w:t>采购文件售价：</w:t>
      </w:r>
      <w:r>
        <w:rPr>
          <w:rFonts w:ascii="宋体" w:hAnsi="宋体"/>
          <w:color w:val="auto"/>
          <w:szCs w:val="21"/>
          <w:highlight w:val="none"/>
        </w:rPr>
        <w:t>0</w:t>
      </w:r>
      <w:r>
        <w:rPr>
          <w:rFonts w:hint="eastAsia" w:ascii="宋体" w:hAnsi="宋体"/>
          <w:color w:val="auto"/>
          <w:szCs w:val="21"/>
          <w:highlight w:val="none"/>
        </w:rPr>
        <w:t>元。</w:t>
      </w:r>
    </w:p>
    <w:p w14:paraId="33AD86BE">
      <w:pPr>
        <w:spacing w:line="360" w:lineRule="exact"/>
        <w:ind w:firstLine="480" w:firstLineChars="200"/>
        <w:rPr>
          <w:rFonts w:hint="eastAsia" w:ascii="黑体" w:hAnsi="黑体" w:eastAsia="黑体"/>
          <w:color w:val="auto"/>
          <w:sz w:val="24"/>
          <w:highlight w:val="none"/>
        </w:rPr>
      </w:pPr>
      <w:r>
        <w:rPr>
          <w:rFonts w:hint="eastAsia" w:ascii="黑体" w:hAnsi="黑体" w:eastAsia="黑体"/>
          <w:color w:val="auto"/>
          <w:sz w:val="24"/>
          <w:highlight w:val="none"/>
        </w:rPr>
        <w:t>四、响应文件提交</w:t>
      </w:r>
      <w:bookmarkEnd w:id="40"/>
      <w:bookmarkEnd w:id="41"/>
      <w:bookmarkEnd w:id="42"/>
      <w:bookmarkEnd w:id="43"/>
      <w:bookmarkEnd w:id="44"/>
      <w:bookmarkEnd w:id="45"/>
    </w:p>
    <w:p w14:paraId="0A13F27B">
      <w:pPr>
        <w:spacing w:line="360" w:lineRule="exact"/>
        <w:ind w:firstLine="420" w:firstLineChars="200"/>
        <w:rPr>
          <w:rFonts w:ascii="宋体" w:hAnsi="宋体"/>
          <w:bCs/>
          <w:color w:val="auto"/>
          <w:szCs w:val="21"/>
          <w:highlight w:val="none"/>
        </w:rPr>
      </w:pPr>
      <w:bookmarkStart w:id="46" w:name="_Toc71366044"/>
      <w:bookmarkStart w:id="47" w:name="_Toc35393802"/>
      <w:bookmarkStart w:id="48" w:name="_Toc71365366"/>
      <w:bookmarkStart w:id="49" w:name="_Toc35393633"/>
      <w:bookmarkStart w:id="50" w:name="_Toc28359093"/>
      <w:bookmarkStart w:id="51" w:name="_Toc28359016"/>
      <w:r>
        <w:rPr>
          <w:rFonts w:hint="eastAsia" w:ascii="宋体" w:hAnsi="宋体"/>
          <w:color w:val="auto"/>
          <w:szCs w:val="21"/>
          <w:highlight w:val="none"/>
        </w:rPr>
        <w:t>截止时间：</w:t>
      </w:r>
      <w:r>
        <w:rPr>
          <w:rFonts w:hint="eastAsia" w:ascii="宋体" w:hAnsi="宋体"/>
          <w:color w:val="auto"/>
          <w:szCs w:val="21"/>
          <w:highlight w:val="none"/>
          <w:lang w:eastAsia="zh-CN"/>
        </w:rPr>
        <w:t>2026年5月27日</w:t>
      </w:r>
      <w:r>
        <w:rPr>
          <w:rFonts w:hint="eastAsia" w:ascii="宋体" w:hAnsi="宋体"/>
          <w:bCs/>
          <w:color w:val="auto"/>
          <w:szCs w:val="21"/>
          <w:highlight w:val="none"/>
          <w:lang w:val="en-US" w:eastAsia="zh-CN"/>
        </w:rPr>
        <w:t>09</w:t>
      </w:r>
      <w:r>
        <w:rPr>
          <w:rFonts w:hint="eastAsia" w:ascii="宋体" w:hAnsi="宋体"/>
          <w:bCs/>
          <w:color w:val="auto"/>
          <w:szCs w:val="21"/>
          <w:highlight w:val="none"/>
        </w:rPr>
        <w:t>时</w:t>
      </w:r>
      <w:r>
        <w:rPr>
          <w:rFonts w:hint="eastAsia" w:ascii="宋体" w:hAnsi="宋体"/>
          <w:bCs/>
          <w:color w:val="auto"/>
          <w:szCs w:val="21"/>
          <w:highlight w:val="none"/>
          <w:lang w:val="en-US" w:eastAsia="zh-CN"/>
        </w:rPr>
        <w:t>30</w:t>
      </w:r>
      <w:r>
        <w:rPr>
          <w:rFonts w:hint="eastAsia" w:ascii="宋体" w:hAnsi="宋体"/>
          <w:bCs/>
          <w:color w:val="auto"/>
          <w:szCs w:val="21"/>
          <w:highlight w:val="none"/>
        </w:rPr>
        <w:t>分（北京时间）</w:t>
      </w:r>
    </w:p>
    <w:p w14:paraId="131BB330">
      <w:pPr>
        <w:spacing w:line="360" w:lineRule="exact"/>
        <w:ind w:firstLine="420" w:firstLineChars="200"/>
        <w:rPr>
          <w:rFonts w:ascii="宋体" w:hAnsi="宋体"/>
          <w:color w:val="auto"/>
          <w:szCs w:val="21"/>
          <w:highlight w:val="none"/>
        </w:rPr>
      </w:pPr>
      <w:r>
        <w:rPr>
          <w:rFonts w:hint="eastAsia" w:ascii="宋体" w:hAnsi="宋体"/>
          <w:color w:val="auto"/>
          <w:szCs w:val="21"/>
          <w:highlight w:val="none"/>
        </w:rPr>
        <w:t>地点：广西政府采购云平台</w:t>
      </w:r>
      <w:r>
        <w:rPr>
          <w:rFonts w:hint="eastAsia" w:ascii="宋体" w:hAnsi="宋体" w:cs="宋体"/>
          <w:bCs/>
          <w:color w:val="auto"/>
          <w:kern w:val="0"/>
          <w:szCs w:val="21"/>
          <w:highlight w:val="none"/>
        </w:rPr>
        <w:t>（https://www.gcy.zfcg.gxzf.gov.cn/）</w:t>
      </w:r>
    </w:p>
    <w:p w14:paraId="74D0975C">
      <w:pPr>
        <w:spacing w:line="360" w:lineRule="exact"/>
        <w:ind w:firstLine="480" w:firstLineChars="200"/>
        <w:rPr>
          <w:rFonts w:hint="eastAsia" w:ascii="黑体" w:hAnsi="黑体" w:eastAsia="黑体"/>
          <w:color w:val="auto"/>
          <w:sz w:val="24"/>
          <w:highlight w:val="none"/>
        </w:rPr>
      </w:pPr>
      <w:r>
        <w:rPr>
          <w:rFonts w:hint="eastAsia" w:ascii="黑体" w:hAnsi="黑体" w:eastAsia="黑体"/>
          <w:color w:val="auto"/>
          <w:sz w:val="24"/>
          <w:highlight w:val="none"/>
        </w:rPr>
        <w:t>五、开启</w:t>
      </w:r>
      <w:bookmarkEnd w:id="46"/>
      <w:bookmarkEnd w:id="47"/>
      <w:bookmarkEnd w:id="48"/>
      <w:bookmarkEnd w:id="49"/>
      <w:bookmarkEnd w:id="50"/>
      <w:bookmarkEnd w:id="51"/>
    </w:p>
    <w:p w14:paraId="5B84FA03">
      <w:pPr>
        <w:spacing w:line="360" w:lineRule="exact"/>
        <w:ind w:firstLine="420" w:firstLineChars="200"/>
        <w:rPr>
          <w:rFonts w:ascii="宋体" w:hAnsi="宋体"/>
          <w:bCs/>
          <w:color w:val="auto"/>
          <w:szCs w:val="21"/>
          <w:highlight w:val="none"/>
        </w:rPr>
      </w:pPr>
      <w:bookmarkStart w:id="52" w:name="_Toc28359094"/>
      <w:bookmarkStart w:id="53" w:name="_Toc35393634"/>
      <w:bookmarkStart w:id="54" w:name="_Toc71366045"/>
      <w:bookmarkStart w:id="55" w:name="_Toc35393803"/>
      <w:bookmarkStart w:id="56" w:name="_Toc28359017"/>
      <w:bookmarkStart w:id="57" w:name="_Toc71365367"/>
      <w:r>
        <w:rPr>
          <w:rFonts w:hint="eastAsia" w:ascii="宋体" w:hAnsi="宋体"/>
          <w:color w:val="auto"/>
          <w:szCs w:val="21"/>
          <w:highlight w:val="none"/>
        </w:rPr>
        <w:t>截止时间：</w:t>
      </w:r>
      <w:r>
        <w:rPr>
          <w:rFonts w:hint="eastAsia" w:ascii="宋体" w:hAnsi="宋体"/>
          <w:color w:val="auto"/>
          <w:szCs w:val="21"/>
          <w:highlight w:val="none"/>
          <w:lang w:eastAsia="zh-CN"/>
        </w:rPr>
        <w:t>2026年5月27日</w:t>
      </w:r>
      <w:r>
        <w:rPr>
          <w:rFonts w:hint="eastAsia" w:ascii="宋体" w:hAnsi="宋体"/>
          <w:bCs/>
          <w:color w:val="auto"/>
          <w:szCs w:val="21"/>
          <w:highlight w:val="none"/>
          <w:lang w:val="en-US" w:eastAsia="zh-CN"/>
        </w:rPr>
        <w:t>09</w:t>
      </w:r>
      <w:r>
        <w:rPr>
          <w:rFonts w:hint="eastAsia" w:ascii="宋体" w:hAnsi="宋体"/>
          <w:bCs/>
          <w:color w:val="auto"/>
          <w:szCs w:val="21"/>
          <w:highlight w:val="none"/>
        </w:rPr>
        <w:t>时</w:t>
      </w:r>
      <w:r>
        <w:rPr>
          <w:rFonts w:hint="eastAsia" w:ascii="宋体" w:hAnsi="宋体"/>
          <w:bCs/>
          <w:color w:val="auto"/>
          <w:szCs w:val="21"/>
          <w:highlight w:val="none"/>
          <w:lang w:val="en-US" w:eastAsia="zh-CN"/>
        </w:rPr>
        <w:t>30</w:t>
      </w:r>
      <w:r>
        <w:rPr>
          <w:rFonts w:hint="eastAsia" w:ascii="宋体" w:hAnsi="宋体"/>
          <w:bCs/>
          <w:color w:val="auto"/>
          <w:szCs w:val="21"/>
          <w:highlight w:val="none"/>
        </w:rPr>
        <w:t>分（北京时间）</w:t>
      </w:r>
    </w:p>
    <w:p w14:paraId="6AA34710">
      <w:pPr>
        <w:spacing w:line="360" w:lineRule="exact"/>
        <w:ind w:firstLine="420" w:firstLineChars="200"/>
        <w:rPr>
          <w:rFonts w:ascii="宋体" w:hAnsi="宋体"/>
          <w:color w:val="auto"/>
          <w:szCs w:val="21"/>
          <w:highlight w:val="none"/>
        </w:rPr>
      </w:pPr>
      <w:r>
        <w:rPr>
          <w:rFonts w:hint="eastAsia" w:ascii="宋体" w:hAnsi="宋体"/>
          <w:color w:val="auto"/>
          <w:szCs w:val="21"/>
          <w:highlight w:val="none"/>
        </w:rPr>
        <w:t>地点：广西政府采购云平台</w:t>
      </w:r>
      <w:r>
        <w:rPr>
          <w:rFonts w:hint="eastAsia" w:ascii="宋体" w:hAnsi="宋体" w:cs="宋体"/>
          <w:bCs/>
          <w:color w:val="auto"/>
          <w:kern w:val="0"/>
          <w:szCs w:val="21"/>
          <w:highlight w:val="none"/>
        </w:rPr>
        <w:t>（https://www.gcy.zfcg.gxzf.gov.cn/）</w:t>
      </w:r>
    </w:p>
    <w:p w14:paraId="3B22E763">
      <w:pPr>
        <w:spacing w:line="360" w:lineRule="exact"/>
        <w:ind w:firstLine="480" w:firstLineChars="200"/>
        <w:rPr>
          <w:rFonts w:hint="eastAsia" w:ascii="黑体" w:hAnsi="黑体" w:eastAsia="黑体"/>
          <w:color w:val="auto"/>
          <w:sz w:val="24"/>
          <w:highlight w:val="none"/>
        </w:rPr>
      </w:pPr>
      <w:r>
        <w:rPr>
          <w:rFonts w:hint="eastAsia" w:ascii="黑体" w:hAnsi="黑体" w:eastAsia="黑体"/>
          <w:color w:val="auto"/>
          <w:sz w:val="24"/>
          <w:highlight w:val="none"/>
        </w:rPr>
        <w:t>六、公告期限</w:t>
      </w:r>
      <w:bookmarkEnd w:id="52"/>
      <w:bookmarkEnd w:id="53"/>
      <w:bookmarkEnd w:id="54"/>
      <w:bookmarkEnd w:id="55"/>
      <w:bookmarkEnd w:id="56"/>
      <w:bookmarkEnd w:id="57"/>
    </w:p>
    <w:p w14:paraId="09CBAA91">
      <w:pPr>
        <w:spacing w:line="360" w:lineRule="exact"/>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自本公告发布之日起3个工作日。</w:t>
      </w:r>
      <w:bookmarkStart w:id="58" w:name="_Toc71365368"/>
      <w:bookmarkStart w:id="59" w:name="_Toc35393804"/>
      <w:bookmarkStart w:id="60" w:name="_Toc35393635"/>
      <w:bookmarkStart w:id="61" w:name="_Toc71366046"/>
    </w:p>
    <w:p w14:paraId="7425B560">
      <w:pPr>
        <w:spacing w:line="360" w:lineRule="exact"/>
        <w:ind w:firstLine="480" w:firstLineChars="200"/>
        <w:rPr>
          <w:rFonts w:hint="eastAsia" w:ascii="黑体" w:hAnsi="黑体" w:eastAsia="黑体"/>
          <w:color w:val="auto"/>
          <w:sz w:val="24"/>
          <w:highlight w:val="none"/>
        </w:rPr>
      </w:pPr>
      <w:r>
        <w:rPr>
          <w:rFonts w:hint="eastAsia" w:ascii="黑体" w:hAnsi="黑体" w:eastAsia="黑体"/>
          <w:color w:val="auto"/>
          <w:sz w:val="24"/>
          <w:highlight w:val="none"/>
        </w:rPr>
        <w:t>七、其他补充事宜</w:t>
      </w:r>
      <w:bookmarkEnd w:id="58"/>
      <w:bookmarkEnd w:id="59"/>
      <w:bookmarkEnd w:id="60"/>
      <w:bookmarkEnd w:id="61"/>
    </w:p>
    <w:p w14:paraId="74A8B39B">
      <w:pPr>
        <w:spacing w:line="36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1</w:t>
      </w:r>
      <w:r>
        <w:rPr>
          <w:rFonts w:ascii="宋体" w:hAnsi="宋体" w:cs="宋体"/>
          <w:color w:val="auto"/>
          <w:kern w:val="0"/>
          <w:szCs w:val="21"/>
          <w:highlight w:val="none"/>
        </w:rPr>
        <w:t>.</w:t>
      </w:r>
      <w:r>
        <w:rPr>
          <w:rFonts w:hint="eastAsia" w:ascii="宋体" w:hAnsi="宋体" w:cs="宋体"/>
          <w:color w:val="auto"/>
          <w:kern w:val="0"/>
          <w:szCs w:val="21"/>
          <w:highlight w:val="none"/>
        </w:rPr>
        <w:t>竞标保证金（人民币）：</w:t>
      </w:r>
      <w:r>
        <w:rPr>
          <w:rFonts w:hint="eastAsia" w:ascii="宋体" w:hAnsi="宋体" w:cs="宋体"/>
          <w:color w:val="auto"/>
          <w:kern w:val="0"/>
          <w:szCs w:val="21"/>
          <w:highlight w:val="none"/>
          <w:lang w:val="en-US" w:eastAsia="zh-CN"/>
        </w:rPr>
        <w:t>标项一：1000.00元；标项二：15000.00元</w:t>
      </w:r>
      <w:r>
        <w:rPr>
          <w:rFonts w:hint="eastAsia" w:ascii="宋体" w:hAnsi="宋体" w:cs="宋体"/>
          <w:color w:val="auto"/>
          <w:kern w:val="0"/>
          <w:szCs w:val="21"/>
          <w:highlight w:val="none"/>
        </w:rPr>
        <w:t>。</w:t>
      </w:r>
    </w:p>
    <w:p w14:paraId="2BC1D53E">
      <w:pPr>
        <w:spacing w:line="36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竞标保证金的交纳方式：银行转账、支票、汇票、本票或者银行、保险机构出具的保函，禁止采用现钞方式。采用银行转账方式的，在响应文件递交截止时间前交至采购代理机构指定账户并且到账【</w:t>
      </w:r>
      <w:r>
        <w:rPr>
          <w:rFonts w:hint="eastAsia" w:ascii="宋体" w:hAnsi="宋体" w:cs="宋体"/>
          <w:color w:val="auto"/>
          <w:kern w:val="0"/>
          <w:szCs w:val="21"/>
          <w:highlight w:val="none"/>
          <w:lang w:val="en-US" w:eastAsia="zh-CN"/>
        </w:rPr>
        <w:t>开户名称：广西建标建设工程咨询有限责任公司第一分公司；账号：45050160456300000499；开户行名称：中国建设银行股份有限公司南宁荣和支行</w:t>
      </w:r>
      <w:r>
        <w:rPr>
          <w:rFonts w:hint="eastAsia" w:ascii="宋体" w:hAnsi="宋体" w:cs="宋体"/>
          <w:color w:val="auto"/>
          <w:kern w:val="0"/>
          <w:szCs w:val="21"/>
          <w:highlight w:val="none"/>
        </w:rPr>
        <w:t>】</w:t>
      </w:r>
      <w:r>
        <w:rPr>
          <w:rFonts w:hint="eastAsia" w:ascii="宋体" w:hAnsi="宋体"/>
          <w:color w:val="auto"/>
          <w:szCs w:val="21"/>
          <w:highlight w:val="none"/>
        </w:rPr>
        <w:t>；采用支票、汇票、本票或者保函等方式的，在首次响应文件提交截止时间前，供应商必须提交单独密封的支票、汇票、本票或者保函原件</w:t>
      </w:r>
      <w:r>
        <w:rPr>
          <w:rFonts w:hint="eastAsia" w:ascii="宋体" w:hAnsi="宋体" w:cs="宋体"/>
          <w:color w:val="auto"/>
          <w:kern w:val="0"/>
          <w:szCs w:val="21"/>
          <w:highlight w:val="none"/>
        </w:rPr>
        <w:t>。</w:t>
      </w:r>
    </w:p>
    <w:p w14:paraId="19C2C500">
      <w:pPr>
        <w:wordWrap w:val="0"/>
        <w:spacing w:line="360" w:lineRule="exact"/>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2.采购意向公开链接：http://www.ccgp-guangxi.gov.cn/site/detail?parentId=66485&amp;articleId=Z8yfTAz7Nkie0aB1GxK0yw==</w:t>
      </w:r>
    </w:p>
    <w:p w14:paraId="0AD2D470">
      <w:pPr>
        <w:spacing w:line="360" w:lineRule="exact"/>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3.网上查询地址</w:t>
      </w:r>
    </w:p>
    <w:p w14:paraId="1941BADA">
      <w:pPr>
        <w:spacing w:line="360" w:lineRule="exact"/>
        <w:ind w:firstLine="420" w:firstLineChars="200"/>
        <w:rPr>
          <w:rFonts w:hint="eastAsia" w:ascii="宋体" w:hAnsi="宋体" w:cs="宋体"/>
          <w:color w:val="auto"/>
          <w:kern w:val="0"/>
          <w:szCs w:val="21"/>
          <w:highlight w:val="none"/>
        </w:rPr>
      </w:pPr>
      <w:bookmarkStart w:id="62" w:name="_Hlk37429674"/>
      <w:bookmarkStart w:id="63" w:name="_Toc35393805"/>
      <w:bookmarkStart w:id="64" w:name="_Toc71366047"/>
      <w:bookmarkStart w:id="65" w:name="_Toc35393636"/>
      <w:bookmarkStart w:id="66" w:name="_Toc28359095"/>
      <w:bookmarkStart w:id="67" w:name="_Toc71365369"/>
      <w:bookmarkStart w:id="68" w:name="_Toc28359018"/>
      <w:r>
        <w:rPr>
          <w:rFonts w:hint="eastAsia" w:ascii="宋体" w:hAnsi="宋体" w:cs="宋体"/>
          <w:color w:val="auto"/>
          <w:kern w:val="0"/>
          <w:szCs w:val="21"/>
          <w:highlight w:val="none"/>
        </w:rPr>
        <w:t>中国政府采购网（http://www.ccgp.gov.cn）、广西壮族自治区政府采购网（http://zfcg.gxzf.gov.cn）</w:t>
      </w:r>
    </w:p>
    <w:p w14:paraId="30D3A045">
      <w:pPr>
        <w:spacing w:line="360" w:lineRule="exact"/>
        <w:ind w:firstLine="420" w:firstLineChars="200"/>
        <w:rPr>
          <w:rFonts w:hint="eastAsia" w:ascii="宋体" w:hAnsi="宋体" w:cs="宋体"/>
          <w:color w:val="auto"/>
          <w:kern w:val="0"/>
          <w:szCs w:val="21"/>
          <w:highlight w:val="none"/>
        </w:rPr>
      </w:pPr>
      <w:r>
        <w:rPr>
          <w:rFonts w:hint="eastAsia" w:ascii="宋体" w:hAnsi="宋体"/>
          <w:color w:val="auto"/>
          <w:szCs w:val="21"/>
          <w:highlight w:val="none"/>
        </w:rPr>
        <w:t>4</w:t>
      </w:r>
      <w:r>
        <w:rPr>
          <w:rFonts w:ascii="宋体" w:hAnsi="宋体"/>
          <w:color w:val="auto"/>
          <w:szCs w:val="21"/>
          <w:highlight w:val="none"/>
        </w:rPr>
        <w:t>.</w:t>
      </w:r>
      <w:r>
        <w:rPr>
          <w:rFonts w:hint="eastAsia" w:ascii="宋体" w:hAnsi="宋体" w:cs="宋体"/>
          <w:color w:val="auto"/>
          <w:kern w:val="0"/>
          <w:szCs w:val="21"/>
          <w:highlight w:val="none"/>
        </w:rPr>
        <w:t>本项目需要落实的政府采购政策</w:t>
      </w:r>
    </w:p>
    <w:p w14:paraId="6E78CE8B">
      <w:pPr>
        <w:spacing w:line="360" w:lineRule="exact"/>
        <w:ind w:firstLine="420" w:firstLineChars="200"/>
        <w:rPr>
          <w:rFonts w:ascii="宋体" w:hAnsi="宋体" w:cs="宋体"/>
          <w:iCs/>
          <w:color w:val="auto"/>
          <w:kern w:val="0"/>
          <w:szCs w:val="21"/>
          <w:highlight w:val="none"/>
        </w:rPr>
      </w:pPr>
      <w:r>
        <w:rPr>
          <w:rFonts w:hint="eastAsia" w:ascii="宋体" w:hAnsi="宋体" w:cs="宋体"/>
          <w:iCs/>
          <w:color w:val="auto"/>
          <w:kern w:val="0"/>
          <w:szCs w:val="21"/>
          <w:highlight w:val="none"/>
        </w:rPr>
        <w:t>（1）政府采购促进中小企业发展。</w:t>
      </w:r>
    </w:p>
    <w:p w14:paraId="24E6218B">
      <w:pPr>
        <w:spacing w:line="360" w:lineRule="exact"/>
        <w:ind w:firstLine="420" w:firstLineChars="200"/>
        <w:rPr>
          <w:rFonts w:ascii="宋体" w:hAnsi="宋体" w:cs="宋体"/>
          <w:iCs/>
          <w:color w:val="auto"/>
          <w:kern w:val="0"/>
          <w:szCs w:val="21"/>
          <w:highlight w:val="none"/>
        </w:rPr>
      </w:pPr>
      <w:r>
        <w:rPr>
          <w:rFonts w:hint="eastAsia" w:ascii="宋体" w:hAnsi="宋体" w:cs="宋体"/>
          <w:iCs/>
          <w:color w:val="auto"/>
          <w:kern w:val="0"/>
          <w:szCs w:val="21"/>
          <w:highlight w:val="none"/>
        </w:rPr>
        <w:t>（2）政府采购支持采用本国产品的政策。</w:t>
      </w:r>
    </w:p>
    <w:p w14:paraId="75ED4646">
      <w:pPr>
        <w:spacing w:line="360" w:lineRule="exact"/>
        <w:ind w:firstLine="420" w:firstLineChars="200"/>
        <w:rPr>
          <w:rFonts w:ascii="宋体" w:hAnsi="宋体" w:cs="宋体"/>
          <w:iCs/>
          <w:color w:val="auto"/>
          <w:kern w:val="0"/>
          <w:szCs w:val="21"/>
          <w:highlight w:val="none"/>
        </w:rPr>
      </w:pPr>
      <w:r>
        <w:rPr>
          <w:rFonts w:hint="eastAsia" w:ascii="宋体" w:hAnsi="宋体" w:cs="宋体"/>
          <w:iCs/>
          <w:color w:val="auto"/>
          <w:kern w:val="0"/>
          <w:szCs w:val="21"/>
          <w:highlight w:val="none"/>
        </w:rPr>
        <w:t>（3）强制采购节能产品；优先采购节能产品、环境标志产品。</w:t>
      </w:r>
    </w:p>
    <w:p w14:paraId="12E37A1A">
      <w:pPr>
        <w:spacing w:line="360" w:lineRule="exact"/>
        <w:ind w:firstLine="420" w:firstLineChars="200"/>
        <w:rPr>
          <w:rFonts w:ascii="宋体" w:hAnsi="宋体" w:cs="宋体"/>
          <w:iCs/>
          <w:color w:val="auto"/>
          <w:kern w:val="0"/>
          <w:szCs w:val="21"/>
          <w:highlight w:val="none"/>
        </w:rPr>
      </w:pPr>
      <w:r>
        <w:rPr>
          <w:rFonts w:hint="eastAsia" w:ascii="宋体" w:hAnsi="宋体" w:cs="宋体"/>
          <w:iCs/>
          <w:color w:val="auto"/>
          <w:kern w:val="0"/>
          <w:szCs w:val="21"/>
          <w:highlight w:val="none"/>
        </w:rPr>
        <w:t>（4）政府采购促进残疾人就业政策。</w:t>
      </w:r>
    </w:p>
    <w:p w14:paraId="2E9A7227">
      <w:pPr>
        <w:spacing w:line="360" w:lineRule="exact"/>
        <w:ind w:firstLine="420" w:firstLineChars="200"/>
        <w:rPr>
          <w:rFonts w:hint="eastAsia" w:ascii="宋体" w:hAnsi="宋体" w:cs="宋体"/>
          <w:i/>
          <w:iCs/>
          <w:color w:val="auto"/>
          <w:kern w:val="0"/>
          <w:szCs w:val="21"/>
          <w:highlight w:val="none"/>
        </w:rPr>
      </w:pPr>
      <w:r>
        <w:rPr>
          <w:rFonts w:hint="eastAsia" w:ascii="宋体" w:hAnsi="宋体" w:cs="宋体"/>
          <w:iCs/>
          <w:color w:val="auto"/>
          <w:kern w:val="0"/>
          <w:szCs w:val="21"/>
          <w:highlight w:val="none"/>
        </w:rPr>
        <w:t>（5）政府采购支持监狱企业发展。</w:t>
      </w:r>
    </w:p>
    <w:p w14:paraId="57236179">
      <w:pPr>
        <w:spacing w:line="360" w:lineRule="exact"/>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5.资格条件特别说明：</w:t>
      </w:r>
    </w:p>
    <w:p w14:paraId="62FD6638">
      <w:pPr>
        <w:spacing w:line="360" w:lineRule="exact"/>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1）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14:paraId="27213D7C">
      <w:pPr>
        <w:spacing w:line="360" w:lineRule="exact"/>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2）对在“信用中国”网站(www.creditchina.gov.cn)、中国政府采购网(www.ccgp.gov.cn)被列入失信被执行人、重大税收违法案件当事人名单、政府采购严重违法失信行为记录名单及其他不符合《中华人民共和国政府采购法》第二十二条规定条件的供应商，不得参与政府采购活动。</w:t>
      </w:r>
    </w:p>
    <w:p w14:paraId="07B2B977">
      <w:pPr>
        <w:spacing w:line="360" w:lineRule="exact"/>
        <w:ind w:firstLine="420" w:firstLineChars="200"/>
        <w:rPr>
          <w:rFonts w:hint="eastAsia" w:ascii="宋体" w:hAnsi="宋体" w:eastAsia="宋体" w:cs="宋体"/>
          <w:color w:val="auto"/>
          <w:kern w:val="0"/>
          <w:szCs w:val="21"/>
          <w:highlight w:val="none"/>
          <w:lang w:eastAsia="zh-CN"/>
        </w:rPr>
      </w:pPr>
      <w:r>
        <w:rPr>
          <w:rFonts w:hint="eastAsia" w:ascii="宋体" w:hAnsi="宋体" w:cs="宋体"/>
          <w:color w:val="auto"/>
          <w:kern w:val="0"/>
          <w:szCs w:val="21"/>
          <w:highlight w:val="none"/>
          <w:lang w:eastAsia="zh-CN"/>
        </w:rPr>
        <w:t>（</w:t>
      </w:r>
      <w:r>
        <w:rPr>
          <w:rFonts w:hint="eastAsia" w:ascii="宋体" w:hAnsi="宋体" w:cs="宋体"/>
          <w:color w:val="auto"/>
          <w:kern w:val="0"/>
          <w:szCs w:val="21"/>
          <w:highlight w:val="none"/>
          <w:lang w:val="en-US" w:eastAsia="zh-CN"/>
        </w:rPr>
        <w:t>3</w:t>
      </w:r>
      <w:r>
        <w:rPr>
          <w:rFonts w:hint="eastAsia" w:ascii="宋体" w:hAnsi="宋体" w:cs="宋体"/>
          <w:color w:val="auto"/>
          <w:kern w:val="0"/>
          <w:szCs w:val="21"/>
          <w:highlight w:val="none"/>
          <w:lang w:eastAsia="zh-CN"/>
        </w:rPr>
        <w:t>）</w:t>
      </w:r>
      <w:r>
        <w:rPr>
          <w:rFonts w:hint="eastAsia" w:ascii="宋体" w:hAnsi="宋体" w:cs="宋体"/>
          <w:color w:val="auto"/>
          <w:kern w:val="0"/>
          <w:szCs w:val="21"/>
          <w:highlight w:val="none"/>
          <w:lang w:val="en-US" w:eastAsia="zh-CN"/>
        </w:rPr>
        <w:t>根据《广西壮族自治区财政厅关于贯彻落实政府购买服务管理办法的通知》（桂财综[2020]45号），公益一类事业单位、使用事业编制且由财政拨款保障的群团组织，不允许为本项目采购活动的供应商。</w:t>
      </w:r>
    </w:p>
    <w:p w14:paraId="42EC7B07">
      <w:pPr>
        <w:spacing w:line="360" w:lineRule="exact"/>
        <w:ind w:firstLine="420" w:firstLineChars="200"/>
        <w:rPr>
          <w:rFonts w:hint="eastAsia" w:ascii="宋体" w:hAnsi="宋体"/>
          <w:color w:val="auto"/>
          <w:szCs w:val="21"/>
          <w:highlight w:val="none"/>
        </w:rPr>
      </w:pPr>
      <w:r>
        <w:rPr>
          <w:rFonts w:hint="eastAsia" w:ascii="宋体" w:hAnsi="宋体" w:cs="宋体"/>
          <w:color w:val="auto"/>
          <w:kern w:val="0"/>
          <w:szCs w:val="21"/>
          <w:highlight w:val="none"/>
        </w:rPr>
        <w:t>6.供应商</w:t>
      </w:r>
      <w:r>
        <w:rPr>
          <w:rFonts w:hint="eastAsia" w:ascii="宋体" w:hAnsi="宋体"/>
          <w:color w:val="auto"/>
          <w:szCs w:val="21"/>
          <w:highlight w:val="none"/>
        </w:rPr>
        <w:t>竞标注意事项</w:t>
      </w:r>
    </w:p>
    <w:bookmarkEnd w:id="62"/>
    <w:p w14:paraId="5FC6EA7D">
      <w:pPr>
        <w:spacing w:line="360" w:lineRule="exact"/>
        <w:ind w:firstLine="420" w:firstLineChars="200"/>
        <w:rPr>
          <w:rFonts w:ascii="宋体" w:hAnsi="宋体"/>
          <w:color w:val="auto"/>
          <w:szCs w:val="21"/>
          <w:highlight w:val="none"/>
        </w:rPr>
      </w:pPr>
      <w:r>
        <w:rPr>
          <w:rFonts w:hint="eastAsia" w:ascii="宋体" w:hAnsi="宋体"/>
          <w:color w:val="auto"/>
          <w:szCs w:val="21"/>
          <w:highlight w:val="none"/>
        </w:rPr>
        <w:t>（1）本项目为全流程电子化采购项目，通过广西政府采购云平台实行在线电子竞标，供应商应先安装“广西政府采购云平台新版客户端”（请自行前往广西政府采购云平台进行下载），并按照本项目采购文件和广西政府采购云平台的要求编制、加密后在响应截止时间前通过网络上传至广西政府采购云平台。</w:t>
      </w:r>
    </w:p>
    <w:p w14:paraId="4CFF14AE">
      <w:pPr>
        <w:spacing w:line="360" w:lineRule="exact"/>
        <w:ind w:firstLine="420" w:firstLineChars="200"/>
        <w:rPr>
          <w:rFonts w:ascii="宋体" w:hAnsi="宋体"/>
          <w:color w:val="auto"/>
          <w:szCs w:val="21"/>
          <w:highlight w:val="none"/>
        </w:rPr>
      </w:pPr>
      <w:r>
        <w:rPr>
          <w:rFonts w:hint="eastAsia" w:ascii="宋体" w:hAnsi="宋体"/>
          <w:color w:val="auto"/>
          <w:szCs w:val="21"/>
          <w:highlight w:val="none"/>
        </w:rPr>
        <w:t>（2）未进行网上注册并办理数字证书（CA认证）的供应商将无法参与本项目政府采购活动，供应商应当在响应截止时间前，完成电子交易平台上的CA数字证书办理及响应文件的提交（供应商可登录“广西政府采购网”，依次进入“办事服务-下载专区”或者登陆广西政府采购云平台，查看CA数字证书办理操作流程。如在操作过程中遇到问题或者需要技术支持，可拨打广西政府采购云平台服务热线获取热线服务帮助）。</w:t>
      </w:r>
    </w:p>
    <w:p w14:paraId="6B6E9D6C">
      <w:pPr>
        <w:spacing w:line="360" w:lineRule="exact"/>
        <w:ind w:firstLine="420" w:firstLineChars="200"/>
        <w:rPr>
          <w:rFonts w:ascii="宋体" w:hAnsi="宋体"/>
          <w:color w:val="auto"/>
          <w:szCs w:val="21"/>
          <w:highlight w:val="none"/>
        </w:rPr>
      </w:pPr>
      <w:r>
        <w:rPr>
          <w:rFonts w:hint="eastAsia" w:ascii="宋体" w:hAnsi="宋体"/>
          <w:color w:val="auto"/>
          <w:szCs w:val="21"/>
          <w:highlight w:val="none"/>
        </w:rPr>
        <w:t>（3）CA证书在线解密：供应商竞标时，需凭制作响应文件时用来加密的有效数字证书（CA认证）登录广西政府采购云平台电子开标大厅现场按规定时间对加密的响应文件进行解密，否则后果自负。</w:t>
      </w:r>
    </w:p>
    <w:p w14:paraId="65FF082C">
      <w:pPr>
        <w:spacing w:line="360" w:lineRule="exact"/>
        <w:ind w:firstLine="420" w:firstLineChars="200"/>
        <w:rPr>
          <w:rFonts w:ascii="宋体" w:hAnsi="宋体"/>
          <w:color w:val="auto"/>
          <w:szCs w:val="21"/>
          <w:highlight w:val="none"/>
        </w:rPr>
      </w:pPr>
      <w:r>
        <w:rPr>
          <w:rFonts w:hint="eastAsia" w:ascii="宋体" w:hAnsi="宋体"/>
          <w:color w:val="auto"/>
          <w:szCs w:val="21"/>
          <w:highlight w:val="none"/>
        </w:rPr>
        <w:t>注：1）为确保网上操作合法、有效和安全，请供应商确保在电子竞标过程中能够对相关数据电文进行加密和使用电子签章，妥善保管CA数字证书并使用有效的CA数字证书参与整个采购活动。2）供应商应当在响应截止时间前完成电子响应文件的上传、提交，响应截止时间前可以补充、修改或者撤回响应文件。补充或者修改响应文件的，应当先行撤回原响应文件，补充、修改后重新上传、提交，响应截止时间前未完成上传、提交的，视为撤回响应文件。响应截止时间以后上传递交的响应文件，广西政府采购云平台将予以拒收。</w:t>
      </w:r>
    </w:p>
    <w:p w14:paraId="65DE8804">
      <w:pPr>
        <w:spacing w:line="360" w:lineRule="exact"/>
        <w:ind w:firstLine="480" w:firstLineChars="200"/>
        <w:rPr>
          <w:rFonts w:hint="eastAsia" w:ascii="黑体" w:hAnsi="黑体" w:eastAsia="黑体"/>
          <w:color w:val="auto"/>
          <w:sz w:val="24"/>
          <w:highlight w:val="none"/>
        </w:rPr>
      </w:pPr>
      <w:r>
        <w:rPr>
          <w:rFonts w:hint="eastAsia" w:ascii="黑体" w:hAnsi="黑体" w:eastAsia="黑体"/>
          <w:color w:val="auto"/>
          <w:sz w:val="24"/>
          <w:highlight w:val="none"/>
        </w:rPr>
        <w:t>八、凡对本次采购提出询问，请按</w:t>
      </w:r>
      <w:r>
        <w:rPr>
          <w:rFonts w:ascii="黑体" w:hAnsi="黑体" w:eastAsia="黑体"/>
          <w:color w:val="auto"/>
          <w:sz w:val="24"/>
          <w:highlight w:val="none"/>
        </w:rPr>
        <w:t>以下方式</w:t>
      </w:r>
      <w:r>
        <w:rPr>
          <w:rFonts w:hint="eastAsia" w:ascii="黑体" w:hAnsi="黑体" w:eastAsia="黑体"/>
          <w:color w:val="auto"/>
          <w:sz w:val="24"/>
          <w:highlight w:val="none"/>
        </w:rPr>
        <w:t>联系。</w:t>
      </w:r>
      <w:bookmarkEnd w:id="63"/>
      <w:bookmarkEnd w:id="64"/>
      <w:bookmarkEnd w:id="65"/>
      <w:bookmarkEnd w:id="66"/>
      <w:bookmarkEnd w:id="67"/>
      <w:bookmarkEnd w:id="68"/>
      <w:bookmarkStart w:id="69" w:name="_Toc28359019"/>
      <w:bookmarkStart w:id="70" w:name="_Toc35393806"/>
      <w:bookmarkStart w:id="71" w:name="_Toc35393637"/>
      <w:bookmarkStart w:id="72" w:name="_Toc28359096"/>
    </w:p>
    <w:p w14:paraId="063E4209">
      <w:pPr>
        <w:spacing w:line="360" w:lineRule="exact"/>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1.采购人信息</w:t>
      </w:r>
      <w:bookmarkEnd w:id="69"/>
      <w:bookmarkEnd w:id="70"/>
      <w:bookmarkEnd w:id="71"/>
      <w:bookmarkEnd w:id="72"/>
    </w:p>
    <w:p w14:paraId="5C33C4F7">
      <w:pPr>
        <w:spacing w:line="360" w:lineRule="exact"/>
        <w:ind w:firstLine="420" w:firstLineChars="200"/>
        <w:rPr>
          <w:rFonts w:hint="eastAsia" w:ascii="宋体" w:hAnsi="宋体" w:eastAsia="宋体"/>
          <w:color w:val="auto"/>
          <w:szCs w:val="21"/>
          <w:highlight w:val="none"/>
          <w:u w:val="single"/>
          <w:lang w:eastAsia="zh-CN"/>
        </w:rPr>
      </w:pPr>
      <w:r>
        <w:rPr>
          <w:rFonts w:hint="eastAsia" w:ascii="宋体" w:hAnsi="宋体"/>
          <w:color w:val="auto"/>
          <w:szCs w:val="21"/>
          <w:highlight w:val="none"/>
        </w:rPr>
        <w:t>名    称：</w:t>
      </w:r>
      <w:r>
        <w:rPr>
          <w:rFonts w:hint="eastAsia" w:ascii="宋体" w:hAnsi="宋体"/>
          <w:color w:val="auto"/>
          <w:szCs w:val="21"/>
          <w:highlight w:val="none"/>
          <w:u w:val="single"/>
          <w:lang w:eastAsia="zh-CN"/>
        </w:rPr>
        <w:t>广西壮族自治区无线电监测站</w:t>
      </w:r>
    </w:p>
    <w:p w14:paraId="4C67913E">
      <w:pPr>
        <w:spacing w:line="360" w:lineRule="exact"/>
        <w:ind w:firstLine="420" w:firstLineChars="200"/>
        <w:jc w:val="left"/>
        <w:rPr>
          <w:rFonts w:hint="eastAsia" w:ascii="宋体" w:hAnsi="宋体" w:eastAsia="宋体"/>
          <w:color w:val="auto"/>
          <w:szCs w:val="21"/>
          <w:highlight w:val="none"/>
          <w:lang w:eastAsia="zh-CN"/>
        </w:rPr>
      </w:pPr>
      <w:r>
        <w:rPr>
          <w:rFonts w:hint="eastAsia" w:ascii="宋体" w:hAnsi="宋体"/>
          <w:color w:val="auto"/>
          <w:szCs w:val="21"/>
          <w:highlight w:val="none"/>
        </w:rPr>
        <w:t>地    址：</w:t>
      </w:r>
      <w:r>
        <w:rPr>
          <w:rFonts w:hint="eastAsia" w:ascii="宋体" w:hAnsi="宋体"/>
          <w:color w:val="auto"/>
          <w:szCs w:val="21"/>
          <w:highlight w:val="none"/>
          <w:u w:val="single"/>
          <w:lang w:eastAsia="zh-CN"/>
        </w:rPr>
        <w:t>南宁市星湖路73号</w:t>
      </w:r>
    </w:p>
    <w:p w14:paraId="0BBB21B5">
      <w:pPr>
        <w:spacing w:line="360" w:lineRule="exact"/>
        <w:ind w:firstLine="420" w:firstLineChars="200"/>
        <w:rPr>
          <w:rFonts w:hint="eastAsia" w:ascii="宋体" w:hAnsi="宋体"/>
          <w:color w:val="auto"/>
          <w:szCs w:val="21"/>
          <w:highlight w:val="none"/>
          <w:u w:val="single"/>
        </w:rPr>
      </w:pPr>
      <w:r>
        <w:rPr>
          <w:rFonts w:hint="eastAsia" w:ascii="宋体" w:hAnsi="宋体"/>
          <w:color w:val="auto"/>
          <w:szCs w:val="21"/>
          <w:highlight w:val="none"/>
        </w:rPr>
        <w:t>联系方式：</w:t>
      </w:r>
      <w:r>
        <w:rPr>
          <w:rFonts w:hint="eastAsia" w:ascii="宋体" w:hAnsi="宋体"/>
          <w:color w:val="auto"/>
          <w:szCs w:val="21"/>
          <w:highlight w:val="none"/>
          <w:u w:val="single"/>
          <w:lang w:val="en-US" w:eastAsia="zh-CN"/>
        </w:rPr>
        <w:t>邹超毅</w:t>
      </w:r>
      <w:r>
        <w:rPr>
          <w:rFonts w:hint="eastAsia" w:ascii="宋体" w:hAnsi="宋体"/>
          <w:color w:val="auto"/>
          <w:szCs w:val="21"/>
          <w:highlight w:val="none"/>
          <w:u w:val="single"/>
        </w:rPr>
        <w:t>，</w:t>
      </w:r>
      <w:r>
        <w:rPr>
          <w:rFonts w:hint="eastAsia" w:ascii="宋体" w:hAnsi="宋体"/>
          <w:color w:val="auto"/>
          <w:szCs w:val="21"/>
          <w:highlight w:val="none"/>
          <w:u w:val="single"/>
          <w:lang w:eastAsia="zh-CN"/>
        </w:rPr>
        <w:t>0771-2182</w:t>
      </w:r>
      <w:r>
        <w:rPr>
          <w:rFonts w:hint="eastAsia" w:ascii="宋体" w:hAnsi="宋体"/>
          <w:color w:val="auto"/>
          <w:szCs w:val="21"/>
          <w:highlight w:val="none"/>
          <w:u w:val="single"/>
          <w:lang w:val="en-US" w:eastAsia="zh-CN"/>
        </w:rPr>
        <w:t>382</w:t>
      </w:r>
      <w:r>
        <w:rPr>
          <w:rFonts w:ascii="宋体" w:hAnsi="宋体"/>
          <w:color w:val="auto"/>
          <w:szCs w:val="21"/>
          <w:highlight w:val="none"/>
          <w:u w:val="single"/>
        </w:rPr>
        <w:t xml:space="preserve">  </w:t>
      </w:r>
    </w:p>
    <w:p w14:paraId="7544FC3E">
      <w:pPr>
        <w:spacing w:line="360" w:lineRule="exact"/>
        <w:ind w:firstLine="420" w:firstLineChars="200"/>
        <w:rPr>
          <w:rFonts w:hint="eastAsia" w:ascii="宋体" w:hAnsi="宋体" w:cs="宋体"/>
          <w:color w:val="auto"/>
          <w:kern w:val="0"/>
          <w:szCs w:val="21"/>
          <w:highlight w:val="none"/>
        </w:rPr>
      </w:pPr>
      <w:bookmarkStart w:id="73" w:name="_Toc28359020"/>
      <w:bookmarkStart w:id="74" w:name="_Toc28359097"/>
      <w:bookmarkStart w:id="75" w:name="_Toc35393638"/>
      <w:bookmarkStart w:id="76" w:name="_Toc35393807"/>
      <w:r>
        <w:rPr>
          <w:rFonts w:hint="eastAsia" w:ascii="宋体" w:hAnsi="宋体" w:cs="宋体"/>
          <w:color w:val="auto"/>
          <w:kern w:val="0"/>
          <w:szCs w:val="21"/>
          <w:highlight w:val="none"/>
        </w:rPr>
        <w:t>2.采购代理机构信息</w:t>
      </w:r>
      <w:bookmarkEnd w:id="73"/>
      <w:bookmarkEnd w:id="74"/>
      <w:bookmarkEnd w:id="75"/>
      <w:bookmarkEnd w:id="76"/>
    </w:p>
    <w:p w14:paraId="19E6066B">
      <w:pPr>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名    称：</w:t>
      </w:r>
      <w:r>
        <w:rPr>
          <w:rFonts w:hint="eastAsia" w:ascii="宋体" w:hAnsi="宋体"/>
          <w:color w:val="auto"/>
          <w:szCs w:val="21"/>
          <w:highlight w:val="none"/>
          <w:u w:val="single"/>
        </w:rPr>
        <w:t>广西建标建设工程咨询有限责任公司</w:t>
      </w:r>
    </w:p>
    <w:p w14:paraId="26AB5902">
      <w:pPr>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地　　址：</w:t>
      </w:r>
      <w:r>
        <w:rPr>
          <w:rFonts w:hint="eastAsia" w:ascii="宋体" w:hAnsi="宋体"/>
          <w:color w:val="auto"/>
          <w:szCs w:val="21"/>
          <w:highlight w:val="none"/>
          <w:u w:val="single"/>
        </w:rPr>
        <w:t>南宁市白沙大道1-6号白沙苑综合二楼203室</w:t>
      </w:r>
    </w:p>
    <w:p w14:paraId="5FC0DC2D">
      <w:pPr>
        <w:spacing w:line="360" w:lineRule="exact"/>
        <w:ind w:firstLine="420" w:firstLineChars="200"/>
        <w:rPr>
          <w:rFonts w:hint="eastAsia" w:ascii="宋体" w:hAnsi="宋体"/>
          <w:color w:val="auto"/>
          <w:szCs w:val="21"/>
          <w:highlight w:val="none"/>
          <w:u w:val="single"/>
        </w:rPr>
      </w:pPr>
      <w:r>
        <w:rPr>
          <w:rFonts w:hint="eastAsia" w:ascii="宋体" w:hAnsi="宋体"/>
          <w:color w:val="auto"/>
          <w:szCs w:val="21"/>
          <w:highlight w:val="none"/>
        </w:rPr>
        <w:t>联系方式：</w:t>
      </w:r>
      <w:r>
        <w:rPr>
          <w:rFonts w:hint="eastAsia" w:ascii="宋体" w:hAnsi="宋体"/>
          <w:color w:val="auto"/>
          <w:szCs w:val="21"/>
          <w:highlight w:val="none"/>
          <w:u w:val="single"/>
        </w:rPr>
        <w:t>陈工；0771-4923450/18697917197</w:t>
      </w:r>
    </w:p>
    <w:p w14:paraId="7CB741DD">
      <w:pPr>
        <w:spacing w:line="360" w:lineRule="exact"/>
        <w:ind w:firstLine="420" w:firstLineChars="200"/>
        <w:rPr>
          <w:rFonts w:ascii="宋体" w:hAnsi="宋体" w:cs="宋体"/>
          <w:color w:val="auto"/>
          <w:kern w:val="0"/>
          <w:szCs w:val="21"/>
          <w:highlight w:val="none"/>
        </w:rPr>
      </w:pPr>
      <w:bookmarkStart w:id="77" w:name="_Toc35393808"/>
      <w:bookmarkStart w:id="78" w:name="_Toc28359021"/>
      <w:bookmarkStart w:id="79" w:name="_Toc28359098"/>
      <w:bookmarkStart w:id="80" w:name="_Toc35393639"/>
      <w:r>
        <w:rPr>
          <w:rFonts w:hint="eastAsia" w:ascii="宋体" w:hAnsi="宋体" w:cs="宋体"/>
          <w:color w:val="auto"/>
          <w:kern w:val="0"/>
          <w:szCs w:val="21"/>
          <w:highlight w:val="none"/>
        </w:rPr>
        <w:t>3.项目联系</w:t>
      </w:r>
      <w:r>
        <w:rPr>
          <w:rFonts w:ascii="宋体" w:hAnsi="宋体" w:cs="宋体"/>
          <w:color w:val="auto"/>
          <w:kern w:val="0"/>
          <w:szCs w:val="21"/>
          <w:highlight w:val="none"/>
        </w:rPr>
        <w:t>方式</w:t>
      </w:r>
      <w:bookmarkEnd w:id="77"/>
      <w:bookmarkEnd w:id="78"/>
      <w:bookmarkEnd w:id="79"/>
      <w:bookmarkEnd w:id="80"/>
    </w:p>
    <w:p w14:paraId="2CAC6E9B">
      <w:pPr>
        <w:pStyle w:val="15"/>
        <w:spacing w:line="360" w:lineRule="exact"/>
        <w:ind w:firstLine="420" w:firstLineChars="200"/>
        <w:rPr>
          <w:rFonts w:hint="eastAsia" w:hAnsi="宋体"/>
          <w:color w:val="auto"/>
          <w:sz w:val="21"/>
          <w:highlight w:val="none"/>
        </w:rPr>
      </w:pPr>
      <w:r>
        <w:rPr>
          <w:rFonts w:hint="eastAsia" w:hAnsi="宋体"/>
          <w:color w:val="auto"/>
          <w:sz w:val="21"/>
          <w:highlight w:val="none"/>
        </w:rPr>
        <w:t>项目联系人：</w:t>
      </w:r>
      <w:r>
        <w:rPr>
          <w:rFonts w:hint="eastAsia" w:hAnsi="宋体"/>
          <w:color w:val="auto"/>
          <w:sz w:val="21"/>
          <w:highlight w:val="none"/>
          <w:u w:val="single"/>
        </w:rPr>
        <w:t>陈工</w:t>
      </w:r>
    </w:p>
    <w:p w14:paraId="4AD56D71">
      <w:pPr>
        <w:spacing w:line="360" w:lineRule="exact"/>
        <w:ind w:firstLine="420" w:firstLineChars="200"/>
        <w:rPr>
          <w:rFonts w:hint="eastAsia" w:ascii="宋体" w:hAnsi="宋体"/>
          <w:color w:val="auto"/>
          <w:szCs w:val="21"/>
          <w:highlight w:val="none"/>
          <w:u w:val="single"/>
        </w:rPr>
      </w:pPr>
      <w:r>
        <w:rPr>
          <w:rFonts w:hint="eastAsia" w:ascii="宋体" w:hAnsi="宋体"/>
          <w:color w:val="auto"/>
          <w:szCs w:val="21"/>
          <w:highlight w:val="none"/>
        </w:rPr>
        <w:t>电　　话：</w:t>
      </w:r>
      <w:r>
        <w:rPr>
          <w:rFonts w:hint="eastAsia" w:ascii="宋体" w:hAnsi="宋体"/>
          <w:color w:val="auto"/>
          <w:szCs w:val="21"/>
          <w:highlight w:val="none"/>
          <w:u w:val="single"/>
        </w:rPr>
        <w:t>0771-4923450/18697917197</w:t>
      </w:r>
    </w:p>
    <w:bookmarkEnd w:id="21"/>
    <w:p w14:paraId="36DFEBC7">
      <w:pPr>
        <w:pStyle w:val="2"/>
        <w:jc w:val="center"/>
        <w:rPr>
          <w:rFonts w:hint="eastAsia"/>
          <w:color w:val="auto"/>
          <w:highlight w:val="none"/>
        </w:rPr>
      </w:pPr>
      <w:r>
        <w:rPr>
          <w:color w:val="auto"/>
          <w:highlight w:val="none"/>
        </w:rPr>
        <w:br w:type="page"/>
      </w:r>
      <w:bookmarkStart w:id="81" w:name="_Toc74322009"/>
      <w:r>
        <w:rPr>
          <w:rFonts w:hint="eastAsia"/>
          <w:color w:val="auto"/>
          <w:highlight w:val="none"/>
        </w:rPr>
        <w:t>第二章 供应商须知</w:t>
      </w:r>
      <w:bookmarkEnd w:id="81"/>
    </w:p>
    <w:p w14:paraId="0CF02B98">
      <w:pPr>
        <w:spacing w:line="400" w:lineRule="exact"/>
        <w:jc w:val="center"/>
        <w:rPr>
          <w:rFonts w:hint="eastAsia" w:ascii="宋体" w:hAnsi="宋体"/>
          <w:b/>
          <w:color w:val="auto"/>
          <w:sz w:val="32"/>
          <w:szCs w:val="32"/>
          <w:highlight w:val="none"/>
        </w:rPr>
      </w:pPr>
      <w:r>
        <w:rPr>
          <w:rFonts w:hint="eastAsia" w:ascii="宋体" w:hAnsi="宋体"/>
          <w:b/>
          <w:color w:val="auto"/>
          <w:sz w:val="32"/>
          <w:szCs w:val="32"/>
          <w:highlight w:val="none"/>
        </w:rPr>
        <w:t>供应商须知前附表</w:t>
      </w:r>
    </w:p>
    <w:p w14:paraId="4F43EB20">
      <w:pPr>
        <w:spacing w:line="400" w:lineRule="exact"/>
        <w:jc w:val="center"/>
        <w:rPr>
          <w:rFonts w:hint="eastAsia" w:ascii="宋体" w:hAnsi="宋体"/>
          <w:b/>
          <w:color w:val="auto"/>
          <w:sz w:val="32"/>
          <w:szCs w:val="32"/>
          <w:highlight w:val="none"/>
        </w:rPr>
      </w:pPr>
    </w:p>
    <w:tbl>
      <w:tblPr>
        <w:tblStyle w:val="24"/>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108"/>
        <w:gridCol w:w="8850"/>
      </w:tblGrid>
      <w:tr w14:paraId="1B00F4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56" w:type="pct"/>
            <w:noWrap w:val="0"/>
            <w:vAlign w:val="top"/>
          </w:tcPr>
          <w:p w14:paraId="1A3E2084">
            <w:pPr>
              <w:spacing w:line="360" w:lineRule="auto"/>
              <w:jc w:val="center"/>
              <w:rPr>
                <w:rFonts w:hint="eastAsia" w:ascii="宋体" w:hAnsi="宋体" w:cs="宋体"/>
                <w:b/>
                <w:color w:val="auto"/>
                <w:szCs w:val="21"/>
                <w:highlight w:val="none"/>
              </w:rPr>
            </w:pPr>
            <w:r>
              <w:rPr>
                <w:rFonts w:hint="eastAsia" w:ascii="宋体" w:hAnsi="宋体" w:cs="宋体"/>
                <w:b/>
                <w:color w:val="auto"/>
                <w:szCs w:val="21"/>
                <w:highlight w:val="none"/>
              </w:rPr>
              <w:t>条款号</w:t>
            </w:r>
          </w:p>
        </w:tc>
        <w:tc>
          <w:tcPr>
            <w:tcW w:w="4443" w:type="pct"/>
            <w:noWrap w:val="0"/>
            <w:vAlign w:val="top"/>
          </w:tcPr>
          <w:p w14:paraId="59D8FC7F">
            <w:pPr>
              <w:spacing w:line="360" w:lineRule="auto"/>
              <w:jc w:val="center"/>
              <w:rPr>
                <w:rFonts w:hint="eastAsia" w:ascii="宋体" w:hAnsi="宋体" w:cs="宋体"/>
                <w:b/>
                <w:color w:val="auto"/>
                <w:szCs w:val="21"/>
                <w:highlight w:val="none"/>
              </w:rPr>
            </w:pPr>
            <w:r>
              <w:rPr>
                <w:rFonts w:hint="eastAsia" w:ascii="宋体" w:hAnsi="宋体" w:cs="宋体"/>
                <w:b/>
                <w:color w:val="auto"/>
                <w:szCs w:val="21"/>
                <w:highlight w:val="none"/>
              </w:rPr>
              <w:t>内    容</w:t>
            </w:r>
          </w:p>
        </w:tc>
      </w:tr>
      <w:tr w14:paraId="488AEC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56" w:type="pct"/>
            <w:noWrap w:val="0"/>
            <w:vAlign w:val="center"/>
          </w:tcPr>
          <w:p w14:paraId="189B08DC">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3</w:t>
            </w:r>
          </w:p>
        </w:tc>
        <w:tc>
          <w:tcPr>
            <w:tcW w:w="4443" w:type="pct"/>
            <w:noWrap w:val="0"/>
            <w:vAlign w:val="center"/>
          </w:tcPr>
          <w:p w14:paraId="6D56C507">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1.供应商的资格条件：详见竞争性谈判公告</w:t>
            </w:r>
          </w:p>
          <w:p w14:paraId="05B41A56">
            <w:pPr>
              <w:spacing w:line="360" w:lineRule="auto"/>
              <w:rPr>
                <w:rFonts w:ascii="宋体" w:hAnsi="宋体" w:cs="宋体"/>
                <w:color w:val="auto"/>
                <w:szCs w:val="21"/>
                <w:highlight w:val="none"/>
              </w:rPr>
            </w:pPr>
            <w:r>
              <w:rPr>
                <w:rFonts w:hint="eastAsia" w:ascii="宋体" w:hAnsi="宋体" w:cs="宋体"/>
                <w:color w:val="auto"/>
                <w:szCs w:val="21"/>
                <w:highlight w:val="none"/>
              </w:rPr>
              <w:t>2.</w:t>
            </w:r>
            <w:r>
              <w:rPr>
                <w:rFonts w:hint="eastAsia" w:ascii="宋体" w:hAnsi="宋体" w:cs="宋体"/>
                <w:bCs/>
                <w:color w:val="auto"/>
                <w:szCs w:val="21"/>
                <w:highlight w:val="none"/>
              </w:rPr>
              <w:t>供应商</w:t>
            </w:r>
            <w:r>
              <w:rPr>
                <w:rFonts w:hint="eastAsia" w:ascii="宋体" w:hAnsi="宋体" w:cs="宋体"/>
                <w:color w:val="auto"/>
                <w:szCs w:val="21"/>
                <w:highlight w:val="none"/>
              </w:rPr>
              <w:t>出现下列情形之一的，不得参加政府采购活动：</w:t>
            </w:r>
          </w:p>
          <w:p w14:paraId="3B51DE3E">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2.1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14:paraId="18D88D8C">
            <w:pPr>
              <w:spacing w:line="360" w:lineRule="auto"/>
              <w:rPr>
                <w:rFonts w:ascii="宋体" w:hAnsi="宋体" w:cs="宋体"/>
                <w:color w:val="auto"/>
                <w:szCs w:val="21"/>
                <w:highlight w:val="none"/>
              </w:rPr>
            </w:pPr>
            <w:r>
              <w:rPr>
                <w:rFonts w:hint="eastAsia" w:ascii="宋体" w:hAnsi="宋体" w:cs="宋体"/>
                <w:color w:val="auto"/>
                <w:szCs w:val="21"/>
                <w:highlight w:val="none"/>
              </w:rPr>
              <w:t>2.2对在“信用中国”网站（www.creditchina.gov.cn）、中国政府采购网（www.ccgp.gov.cn）被列入失信被执行人、重大税收违法失信主体、政府采购严重违法失信行为记录名单及其他不符合《中华人民共和国政府采购法》第二十二条规定条件的供应商，不得参与政府采购活动。</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2.3根据《广西壮族自治区财政厅关于贯彻落实政府购买服务管理办法的通知》（桂财综[2020]45号），公益一类事业单位、使用事业编制且由财政拨款保障的群团组织，不允许为本项目采购活动的供应商。</w:t>
            </w:r>
          </w:p>
        </w:tc>
      </w:tr>
      <w:tr w14:paraId="7688E9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56" w:type="pct"/>
            <w:noWrap w:val="0"/>
            <w:vAlign w:val="center"/>
          </w:tcPr>
          <w:p w14:paraId="3405170E">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5.1</w:t>
            </w:r>
          </w:p>
        </w:tc>
        <w:tc>
          <w:tcPr>
            <w:tcW w:w="4443" w:type="pct"/>
            <w:noWrap w:val="0"/>
            <w:vAlign w:val="center"/>
          </w:tcPr>
          <w:p w14:paraId="6207B7D8">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是否接受联合体竞标: 详见竞争性谈判公告</w:t>
            </w:r>
          </w:p>
        </w:tc>
      </w:tr>
      <w:tr w14:paraId="5F5ABF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56" w:type="pct"/>
            <w:noWrap w:val="0"/>
            <w:vAlign w:val="center"/>
          </w:tcPr>
          <w:p w14:paraId="2A292CCA">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5</w:t>
            </w:r>
            <w:r>
              <w:rPr>
                <w:rFonts w:ascii="宋体" w:hAnsi="宋体" w:cs="宋体"/>
                <w:color w:val="auto"/>
                <w:szCs w:val="21"/>
                <w:highlight w:val="none"/>
              </w:rPr>
              <w:t>.2</w:t>
            </w:r>
          </w:p>
        </w:tc>
        <w:tc>
          <w:tcPr>
            <w:tcW w:w="4443" w:type="pct"/>
            <w:noWrap w:val="0"/>
            <w:vAlign w:val="center"/>
          </w:tcPr>
          <w:p w14:paraId="73144DDE">
            <w:pPr>
              <w:spacing w:line="360" w:lineRule="auto"/>
              <w:rPr>
                <w:rFonts w:hint="eastAsia" w:ascii="宋体" w:hAnsi="宋体" w:cs="宋体"/>
                <w:color w:val="auto"/>
                <w:szCs w:val="21"/>
                <w:highlight w:val="none"/>
              </w:rPr>
            </w:pPr>
            <w:r>
              <w:rPr>
                <w:rFonts w:hint="eastAsia" w:ascii="宋体" w:hAnsi="宋体"/>
                <w:color w:val="auto"/>
                <w:szCs w:val="21"/>
                <w:highlight w:val="none"/>
              </w:rPr>
              <w:t>如接受联合体竞标，联合体竞标要求如下：</w:t>
            </w:r>
          </w:p>
          <w:p w14:paraId="2627CC42">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1</w:t>
            </w:r>
            <w:r>
              <w:rPr>
                <w:rFonts w:ascii="宋体" w:hAnsi="宋体" w:cs="宋体"/>
                <w:color w:val="auto"/>
                <w:szCs w:val="21"/>
                <w:highlight w:val="none"/>
              </w:rPr>
              <w:t>.</w:t>
            </w:r>
            <w:r>
              <w:rPr>
                <w:rFonts w:hint="eastAsia" w:ascii="宋体" w:hAnsi="宋体" w:cs="宋体"/>
                <w:color w:val="auto"/>
                <w:szCs w:val="21"/>
                <w:highlight w:val="none"/>
              </w:rPr>
              <w:t>两个以上供应商可以组成一个竞标联合体，以一个供应商的身份共同参加竞标。联合体竞标的，须提供《联合体竞标协议书》（格式后附）。</w:t>
            </w:r>
          </w:p>
          <w:p w14:paraId="0B5005D2">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2</w:t>
            </w:r>
            <w:r>
              <w:rPr>
                <w:rFonts w:ascii="宋体" w:hAnsi="宋体" w:cs="宋体"/>
                <w:color w:val="auto"/>
                <w:szCs w:val="21"/>
                <w:highlight w:val="none"/>
              </w:rPr>
              <w:t>.</w:t>
            </w:r>
            <w:r>
              <w:rPr>
                <w:rFonts w:hint="eastAsia" w:ascii="宋体" w:hAnsi="宋体" w:cs="宋体"/>
                <w:color w:val="auto"/>
                <w:szCs w:val="21"/>
                <w:highlight w:val="none"/>
              </w:rPr>
              <w:t>以联合体形式参加竞标的，联合体各方均须具备《中华人民共和国政府采购法》第二十二条第一款规定的基本条件（涉及行政许可范围的内容，联合体各方均应具备相应资质）。本项目有特殊要求规定供应商特定条件的，联合体各方中至少有一方必须符合谈判文件规定的特定条件。</w:t>
            </w:r>
          </w:p>
          <w:p w14:paraId="6FB77642">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3</w:t>
            </w:r>
            <w:r>
              <w:rPr>
                <w:rFonts w:ascii="宋体" w:hAnsi="宋体" w:cs="宋体"/>
                <w:color w:val="auto"/>
                <w:szCs w:val="21"/>
                <w:highlight w:val="none"/>
              </w:rPr>
              <w:t>.</w:t>
            </w:r>
            <w:r>
              <w:rPr>
                <w:rFonts w:hint="eastAsia" w:ascii="宋体" w:hAnsi="宋体" w:cs="宋体"/>
                <w:color w:val="auto"/>
                <w:szCs w:val="21"/>
                <w:highlight w:val="none"/>
              </w:rPr>
              <w:t>联合体各方之间必须签订联合竞标协议，协议书必须明确主体方（或者牵头方）并明确约定联合体各方承担的工作和相应的责任（各方承担责任与义务的分工必须符合采购需求，否则，联合体竞标无效），并将联合竞标协议连同响应文件一并提交采购代理机构。联合体各方必须共同与采购人签订采购合同，就采购合同约定的事项对采购人承担连带责任。</w:t>
            </w:r>
          </w:p>
          <w:p w14:paraId="7101327B">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4</w:t>
            </w:r>
            <w:r>
              <w:rPr>
                <w:rFonts w:ascii="宋体" w:hAnsi="宋体" w:cs="宋体"/>
                <w:color w:val="auto"/>
                <w:szCs w:val="21"/>
                <w:highlight w:val="none"/>
              </w:rPr>
              <w:t>.</w:t>
            </w:r>
            <w:r>
              <w:rPr>
                <w:rFonts w:hint="eastAsia" w:ascii="宋体" w:hAnsi="宋体" w:cs="宋体"/>
                <w:color w:val="auto"/>
                <w:szCs w:val="21"/>
                <w:highlight w:val="none"/>
              </w:rPr>
              <w:t>以联合体形式参加政府采购活动的，联合体各方不得再单独参加或者与其他供应商另外组成联合体参加同一合同项下的政府采购活动。</w:t>
            </w:r>
          </w:p>
          <w:p w14:paraId="6BA153E4">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5</w:t>
            </w:r>
            <w:r>
              <w:rPr>
                <w:rFonts w:ascii="宋体" w:hAnsi="宋体" w:cs="宋体"/>
                <w:color w:val="auto"/>
                <w:szCs w:val="21"/>
                <w:highlight w:val="none"/>
              </w:rPr>
              <w:t>.</w:t>
            </w:r>
            <w:r>
              <w:rPr>
                <w:rFonts w:hint="eastAsia" w:ascii="宋体" w:hAnsi="宋体" w:cs="宋体"/>
                <w:color w:val="auto"/>
                <w:szCs w:val="21"/>
                <w:highlight w:val="none"/>
              </w:rPr>
              <w:t>联合体中有同类资质的供应商按照联合体分工承担相同工作的，应当按照资质等级较低的供应商确定资质等级。</w:t>
            </w:r>
          </w:p>
          <w:p w14:paraId="6B885015">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6</w:t>
            </w:r>
            <w:r>
              <w:rPr>
                <w:rFonts w:ascii="宋体" w:hAnsi="宋体" w:cs="宋体"/>
                <w:color w:val="auto"/>
                <w:szCs w:val="21"/>
                <w:highlight w:val="none"/>
              </w:rPr>
              <w:t>.</w:t>
            </w:r>
            <w:r>
              <w:rPr>
                <w:rFonts w:hint="eastAsia" w:ascii="宋体" w:hAnsi="宋体" w:cs="宋体"/>
                <w:color w:val="auto"/>
                <w:szCs w:val="21"/>
                <w:highlight w:val="none"/>
              </w:rPr>
              <w:t>联合体竞标业绩、履约能力按照联合体各方中较高的一方认定并计算。</w:t>
            </w:r>
          </w:p>
          <w:p w14:paraId="3D353B0F">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7</w:t>
            </w:r>
            <w:r>
              <w:rPr>
                <w:rFonts w:ascii="宋体" w:hAnsi="宋体" w:cs="宋体"/>
                <w:color w:val="auto"/>
                <w:szCs w:val="21"/>
                <w:highlight w:val="none"/>
              </w:rPr>
              <w:t>.</w:t>
            </w:r>
            <w:r>
              <w:rPr>
                <w:rFonts w:hint="eastAsia" w:ascii="宋体" w:hAnsi="宋体" w:cs="宋体"/>
                <w:color w:val="auto"/>
                <w:szCs w:val="21"/>
                <w:highlight w:val="none"/>
              </w:rPr>
              <w:t>供应商为联合体的，可以由联合体中的一方或者多方共同交纳保证金，其交纳的保证金对联合体各方均具有约束力。</w:t>
            </w:r>
          </w:p>
          <w:p w14:paraId="11E3C715">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8</w:t>
            </w:r>
            <w:r>
              <w:rPr>
                <w:rFonts w:ascii="宋体" w:hAnsi="宋体" w:cs="宋体"/>
                <w:color w:val="auto"/>
                <w:szCs w:val="21"/>
                <w:highlight w:val="none"/>
              </w:rPr>
              <w:t>.</w:t>
            </w:r>
            <w:r>
              <w:rPr>
                <w:rFonts w:hint="eastAsia" w:ascii="宋体" w:hAnsi="宋体" w:cs="宋体"/>
                <w:color w:val="auto"/>
                <w:szCs w:val="21"/>
                <w:highlight w:val="none"/>
              </w:rPr>
              <w:t>联合体各方均应按照谈判文件的规定分别提交资格证明文件。</w:t>
            </w:r>
          </w:p>
        </w:tc>
      </w:tr>
      <w:tr w14:paraId="15871E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56" w:type="pct"/>
            <w:noWrap w:val="0"/>
            <w:vAlign w:val="center"/>
          </w:tcPr>
          <w:p w14:paraId="5DD3FE30">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6.2</w:t>
            </w:r>
          </w:p>
        </w:tc>
        <w:tc>
          <w:tcPr>
            <w:tcW w:w="4443" w:type="pct"/>
            <w:noWrap w:val="0"/>
            <w:vAlign w:val="center"/>
          </w:tcPr>
          <w:p w14:paraId="611D9EC9">
            <w:pPr>
              <w:pStyle w:val="10"/>
              <w:spacing w:line="360" w:lineRule="auto"/>
              <w:rPr>
                <w:rFonts w:hint="eastAsia"/>
                <w:color w:val="auto"/>
                <w:highlight w:val="none"/>
              </w:rPr>
            </w:pPr>
            <w:r>
              <w:rPr>
                <w:rFonts w:hint="eastAsia" w:ascii="MS Mincho" w:hAnsi="MS Mincho" w:eastAsia="MS Mincho" w:cs="MS Mincho"/>
                <w:color w:val="auto"/>
                <w:highlight w:val="none"/>
              </w:rPr>
              <w:t>☑</w:t>
            </w:r>
            <w:r>
              <w:rPr>
                <w:rFonts w:hint="eastAsia"/>
                <w:color w:val="auto"/>
                <w:highlight w:val="none"/>
              </w:rPr>
              <w:t>不允许分包</w:t>
            </w:r>
          </w:p>
          <w:p w14:paraId="6B819B83">
            <w:pPr>
              <w:pStyle w:val="10"/>
              <w:spacing w:line="360" w:lineRule="auto"/>
              <w:rPr>
                <w:rFonts w:hint="eastAsia"/>
                <w:color w:val="auto"/>
                <w:highlight w:val="none"/>
              </w:rPr>
            </w:pPr>
            <w:r>
              <w:rPr>
                <w:rFonts w:hint="eastAsia"/>
                <w:color w:val="auto"/>
                <w:highlight w:val="none"/>
              </w:rPr>
              <w:t>□允许分包</w:t>
            </w:r>
          </w:p>
          <w:p w14:paraId="2F7DBD03">
            <w:pPr>
              <w:pStyle w:val="10"/>
              <w:spacing w:line="360" w:lineRule="auto"/>
              <w:rPr>
                <w:rFonts w:hint="eastAsia" w:ascii="宋体" w:hAnsi="宋体"/>
                <w:color w:val="auto"/>
                <w:highlight w:val="none"/>
                <w:u w:val="single"/>
              </w:rPr>
            </w:pPr>
            <w:r>
              <w:rPr>
                <w:rFonts w:hint="eastAsia" w:ascii="宋体" w:hAnsi="宋体"/>
                <w:color w:val="auto"/>
                <w:highlight w:val="none"/>
              </w:rPr>
              <w:t>分包内容：</w:t>
            </w:r>
            <w:r>
              <w:rPr>
                <w:rFonts w:hint="eastAsia" w:ascii="宋体" w:hAnsi="宋体"/>
                <w:color w:val="auto"/>
                <w:highlight w:val="none"/>
                <w:u w:val="single"/>
              </w:rPr>
              <w:t xml:space="preserve">  /  。</w:t>
            </w:r>
          </w:p>
          <w:p w14:paraId="0937240E">
            <w:pPr>
              <w:pStyle w:val="10"/>
              <w:spacing w:line="360" w:lineRule="auto"/>
              <w:rPr>
                <w:rFonts w:hint="eastAsia" w:ascii="宋体" w:hAnsi="宋体"/>
                <w:color w:val="auto"/>
                <w:highlight w:val="none"/>
                <w:u w:val="single"/>
              </w:rPr>
            </w:pPr>
            <w:r>
              <w:rPr>
                <w:rFonts w:hint="eastAsia" w:ascii="宋体" w:hAnsi="宋体"/>
                <w:color w:val="auto"/>
                <w:highlight w:val="none"/>
              </w:rPr>
              <w:t>分包金额或者比例：</w:t>
            </w:r>
            <w:r>
              <w:rPr>
                <w:rFonts w:hint="eastAsia" w:ascii="宋体" w:hAnsi="宋体"/>
                <w:color w:val="auto"/>
                <w:highlight w:val="none"/>
                <w:u w:val="single"/>
              </w:rPr>
              <w:t xml:space="preserve">  /  。</w:t>
            </w:r>
          </w:p>
          <w:p w14:paraId="5F621374">
            <w:pPr>
              <w:pStyle w:val="10"/>
              <w:spacing w:line="360" w:lineRule="auto"/>
              <w:rPr>
                <w:rFonts w:hint="eastAsia"/>
                <w:color w:val="auto"/>
                <w:highlight w:val="none"/>
                <w:u w:val="single"/>
              </w:rPr>
            </w:pPr>
            <w:r>
              <w:rPr>
                <w:rFonts w:hint="eastAsia" w:ascii="宋体" w:hAnsi="宋体"/>
                <w:color w:val="auto"/>
                <w:szCs w:val="21"/>
                <w:highlight w:val="none"/>
              </w:rPr>
              <w:t>分包供应商必须具备的资质：</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w:t>
            </w:r>
            <w:r>
              <w:rPr>
                <w:rFonts w:hint="eastAsia" w:ascii="宋体" w:hAnsi="宋体"/>
                <w:color w:val="auto"/>
                <w:szCs w:val="21"/>
                <w:highlight w:val="none"/>
                <w:u w:val="single"/>
              </w:rPr>
              <w:t>。</w:t>
            </w:r>
          </w:p>
        </w:tc>
      </w:tr>
      <w:tr w14:paraId="120615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56" w:type="pct"/>
            <w:noWrap w:val="0"/>
            <w:vAlign w:val="center"/>
          </w:tcPr>
          <w:p w14:paraId="44977FB6">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7.1</w:t>
            </w:r>
          </w:p>
        </w:tc>
        <w:tc>
          <w:tcPr>
            <w:tcW w:w="4443" w:type="pct"/>
            <w:noWrap w:val="0"/>
            <w:vAlign w:val="center"/>
          </w:tcPr>
          <w:p w14:paraId="589204C8">
            <w:pPr>
              <w:autoSpaceDE w:val="0"/>
              <w:autoSpaceDN w:val="0"/>
              <w:snapToGrid w:val="0"/>
              <w:spacing w:line="360" w:lineRule="auto"/>
              <w:textAlignment w:val="bottom"/>
              <w:rPr>
                <w:rFonts w:hint="eastAsia" w:ascii="宋体" w:hAnsi="宋体"/>
                <w:color w:val="auto"/>
                <w:szCs w:val="21"/>
                <w:highlight w:val="none"/>
              </w:rPr>
            </w:pPr>
            <w:r>
              <w:rPr>
                <w:rFonts w:hint="eastAsia" w:ascii="宋体" w:hAnsi="宋体"/>
                <w:color w:val="auto"/>
                <w:szCs w:val="21"/>
                <w:highlight w:val="none"/>
              </w:rPr>
              <w:t>提供相同品牌产品（非单一产品采购项目的，指核心产品）的不同供应商最后报价相同时，按照下列方式确定一个供应商获得成交人推荐资格：</w:t>
            </w:r>
          </w:p>
          <w:p w14:paraId="494EA476">
            <w:pPr>
              <w:autoSpaceDE w:val="0"/>
              <w:autoSpaceDN w:val="0"/>
              <w:snapToGrid w:val="0"/>
              <w:spacing w:line="360" w:lineRule="auto"/>
              <w:textAlignment w:val="bottom"/>
              <w:rPr>
                <w:rFonts w:hint="eastAsia" w:ascii="宋体" w:hAnsi="宋体"/>
                <w:color w:val="auto"/>
                <w:szCs w:val="21"/>
                <w:highlight w:val="none"/>
              </w:rPr>
            </w:pPr>
            <w:r>
              <w:rPr>
                <w:rFonts w:hint="eastAsia" w:ascii="宋体" w:hAnsi="宋体"/>
                <w:color w:val="auto"/>
                <w:szCs w:val="21"/>
                <w:highlight w:val="none"/>
              </w:rPr>
              <w:t>□随机抽取；</w:t>
            </w:r>
          </w:p>
          <w:p w14:paraId="3E3B68A2">
            <w:pPr>
              <w:pStyle w:val="10"/>
              <w:spacing w:line="360" w:lineRule="auto"/>
              <w:rPr>
                <w:rFonts w:hint="eastAsia" w:ascii="宋体" w:hAnsi="宋体"/>
                <w:color w:val="auto"/>
                <w:szCs w:val="21"/>
                <w:highlight w:val="none"/>
              </w:rPr>
            </w:pPr>
            <w:r>
              <w:rPr>
                <w:rFonts w:hint="eastAsia" w:ascii="MS Mincho" w:hAnsi="MS Mincho" w:eastAsia="MS Mincho" w:cs="MS Mincho"/>
                <w:color w:val="auto"/>
                <w:highlight w:val="none"/>
              </w:rPr>
              <w:t>☑</w:t>
            </w:r>
            <w:r>
              <w:rPr>
                <w:rFonts w:hint="eastAsia" w:ascii="宋体" w:hAnsi="宋体"/>
                <w:color w:val="auto"/>
                <w:szCs w:val="21"/>
                <w:highlight w:val="none"/>
              </w:rPr>
              <w:t>提供相同品牌产品的不同供应商参加同一合同项下竞标的，以其中通过资格审查、符合性审查、谈判且最后报价最低的参加报价评审；最后报价相同的，由采购人自主选择确定一个供应商获得成交人推荐资格，其他响应文件按无效处理。</w:t>
            </w:r>
          </w:p>
        </w:tc>
      </w:tr>
      <w:tr w14:paraId="74BCC3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56" w:type="pct"/>
            <w:noWrap w:val="0"/>
            <w:vAlign w:val="center"/>
          </w:tcPr>
          <w:p w14:paraId="7C499F2B">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12.1</w:t>
            </w:r>
            <w:r>
              <w:rPr>
                <w:rFonts w:ascii="宋体" w:hAnsi="宋体" w:cs="宋体"/>
                <w:color w:val="auto"/>
                <w:szCs w:val="21"/>
                <w:highlight w:val="none"/>
              </w:rPr>
              <w:t>.1</w:t>
            </w:r>
          </w:p>
        </w:tc>
        <w:tc>
          <w:tcPr>
            <w:tcW w:w="4443" w:type="pct"/>
            <w:noWrap w:val="0"/>
            <w:vAlign w:val="center"/>
          </w:tcPr>
          <w:p w14:paraId="53B270A0">
            <w:pPr>
              <w:snapToGrid w:val="0"/>
              <w:spacing w:line="360" w:lineRule="auto"/>
              <w:jc w:val="left"/>
              <w:rPr>
                <w:rFonts w:hint="eastAsia" w:ascii="宋体" w:hAnsi="宋体" w:cs="宋体"/>
                <w:b/>
                <w:color w:val="auto"/>
                <w:szCs w:val="21"/>
                <w:highlight w:val="none"/>
              </w:rPr>
            </w:pPr>
            <w:r>
              <w:rPr>
                <w:rFonts w:hint="eastAsia" w:ascii="宋体" w:hAnsi="宋体" w:cs="宋体"/>
                <w:b/>
                <w:color w:val="auto"/>
                <w:szCs w:val="21"/>
                <w:highlight w:val="none"/>
              </w:rPr>
              <w:t>资格证明文件（相关“格式后附</w:t>
            </w:r>
            <w:r>
              <w:rPr>
                <w:rFonts w:ascii="宋体" w:hAnsi="宋体" w:cs="宋体"/>
                <w:b/>
                <w:color w:val="auto"/>
                <w:szCs w:val="21"/>
                <w:highlight w:val="none"/>
              </w:rPr>
              <w:t>”</w:t>
            </w:r>
            <w:r>
              <w:rPr>
                <w:rFonts w:hint="eastAsia" w:ascii="宋体" w:hAnsi="宋体" w:cs="宋体"/>
                <w:b/>
                <w:color w:val="auto"/>
                <w:szCs w:val="21"/>
                <w:highlight w:val="none"/>
              </w:rPr>
              <w:t>要求具体见本采购文件第五章</w:t>
            </w:r>
            <w:r>
              <w:rPr>
                <w:rFonts w:ascii="宋体" w:hAnsi="宋体" w:cs="宋体"/>
                <w:b/>
                <w:color w:val="auto"/>
                <w:szCs w:val="21"/>
                <w:highlight w:val="none"/>
              </w:rPr>
              <w:t>）</w:t>
            </w:r>
          </w:p>
          <w:p w14:paraId="1E61E975">
            <w:pPr>
              <w:snapToGrid w:val="0"/>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rPr>
              <w:t>1. 供应商为法人或者其他组织的提供其营业执照等证明文件（如营业执照或者事业单位法人证书或者执业许可证或者登记证书等）复印件，供应商为自然人的提供其身份证复印件；（</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5D52C2CA">
            <w:pPr>
              <w:spacing w:line="360" w:lineRule="auto"/>
              <w:contextualSpacing/>
              <w:jc w:val="left"/>
              <w:rPr>
                <w:rFonts w:hint="eastAsia" w:ascii="宋体" w:hAnsi="宋体" w:cs="宋体"/>
                <w:color w:val="auto"/>
                <w:szCs w:val="21"/>
                <w:highlight w:val="none"/>
              </w:rPr>
            </w:pPr>
            <w:r>
              <w:rPr>
                <w:rFonts w:hint="eastAsia" w:ascii="宋体" w:hAnsi="宋体" w:cs="宋体"/>
                <w:color w:val="auto"/>
                <w:szCs w:val="21"/>
                <w:highlight w:val="none"/>
              </w:rPr>
              <w:t>2. 供应商依法缴纳税收的相关材料（提交响应文件截止时间前半年内任意连续三个月的依法缴纳税收的凭据复印件；</w:t>
            </w:r>
            <w:r>
              <w:rPr>
                <w:rFonts w:hint="eastAsia" w:ascii="宋体" w:hAnsi="宋体"/>
                <w:color w:val="auto"/>
                <w:szCs w:val="21"/>
                <w:highlight w:val="none"/>
              </w:rPr>
              <w:t>依法免税或零申报的</w:t>
            </w:r>
            <w:r>
              <w:rPr>
                <w:rFonts w:hint="eastAsia"/>
                <w:color w:val="auto"/>
                <w:highlight w:val="none"/>
              </w:rPr>
              <w:t>，必须提供相应文件证明其</w:t>
            </w:r>
            <w:r>
              <w:rPr>
                <w:rFonts w:hint="eastAsia" w:ascii="宋体" w:hAnsi="宋体"/>
                <w:color w:val="auto"/>
                <w:szCs w:val="21"/>
                <w:highlight w:val="none"/>
              </w:rPr>
              <w:t>依法免税或零申报</w:t>
            </w:r>
            <w:r>
              <w:rPr>
                <w:rFonts w:hint="eastAsia"/>
                <w:color w:val="auto"/>
                <w:highlight w:val="none"/>
              </w:rPr>
              <w:t>。</w:t>
            </w:r>
            <w:r>
              <w:rPr>
                <w:rFonts w:hint="eastAsia" w:ascii="宋体" w:hAnsi="宋体" w:cs="宋体"/>
                <w:color w:val="auto"/>
                <w:szCs w:val="21"/>
                <w:highlight w:val="none"/>
              </w:rPr>
              <w:t>从</w:t>
            </w:r>
            <w:r>
              <w:rPr>
                <w:color w:val="auto"/>
                <w:szCs w:val="21"/>
                <w:highlight w:val="none"/>
              </w:rPr>
              <w:t>成立</w:t>
            </w:r>
            <w:r>
              <w:rPr>
                <w:rFonts w:hint="eastAsia"/>
                <w:color w:val="auto"/>
                <w:szCs w:val="21"/>
                <w:highlight w:val="none"/>
              </w:rPr>
              <w:t>之日起</w:t>
            </w:r>
            <w:r>
              <w:rPr>
                <w:rFonts w:hint="eastAsia" w:ascii="宋体" w:hAnsi="宋体" w:cs="宋体"/>
                <w:color w:val="auto"/>
                <w:szCs w:val="21"/>
                <w:highlight w:val="none"/>
              </w:rPr>
              <w:t>到响应文件提交截止时间止不足要求月数的，只需提供从</w:t>
            </w:r>
            <w:r>
              <w:rPr>
                <w:color w:val="auto"/>
                <w:szCs w:val="21"/>
                <w:highlight w:val="none"/>
              </w:rPr>
              <w:t>成立</w:t>
            </w:r>
            <w:r>
              <w:rPr>
                <w:rFonts w:hint="eastAsia"/>
                <w:color w:val="auto"/>
                <w:szCs w:val="21"/>
                <w:highlight w:val="none"/>
              </w:rPr>
              <w:t>之日起</w:t>
            </w:r>
            <w:r>
              <w:rPr>
                <w:rFonts w:hint="eastAsia" w:ascii="宋体" w:hAnsi="宋体" w:cs="宋体"/>
                <w:color w:val="auto"/>
                <w:szCs w:val="21"/>
                <w:highlight w:val="none"/>
              </w:rPr>
              <w:t>的依法缴纳税收</w:t>
            </w:r>
            <w:r>
              <w:rPr>
                <w:rFonts w:hint="eastAsia"/>
                <w:color w:val="auto"/>
                <w:highlight w:val="none"/>
              </w:rPr>
              <w:t>相应证明文件</w:t>
            </w:r>
            <w:r>
              <w:rPr>
                <w:rFonts w:hint="eastAsia" w:ascii="宋体" w:hAnsi="宋体" w:cs="宋体"/>
                <w:color w:val="auto"/>
                <w:szCs w:val="21"/>
                <w:highlight w:val="none"/>
              </w:rPr>
              <w:t>）；（</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4C89787E">
            <w:pPr>
              <w:spacing w:line="360" w:lineRule="auto"/>
              <w:contextualSpacing/>
              <w:jc w:val="left"/>
              <w:rPr>
                <w:rFonts w:hint="eastAsia" w:ascii="宋体" w:hAnsi="宋体" w:cs="宋体"/>
                <w:color w:val="auto"/>
                <w:szCs w:val="21"/>
                <w:highlight w:val="none"/>
              </w:rPr>
            </w:pPr>
            <w:r>
              <w:rPr>
                <w:rFonts w:hint="eastAsia" w:ascii="宋体" w:hAnsi="宋体" w:cs="宋体"/>
                <w:color w:val="auto"/>
                <w:szCs w:val="21"/>
                <w:highlight w:val="none"/>
              </w:rPr>
              <w:t>3. 供应商依法缴纳社会保障资金的相关材料[提交响应文件截止时间前半年内连续三个月的依法缴纳社会保障资金的缴费凭证（专用收据或者社会保险缴纳清单）复印件；</w:t>
            </w:r>
            <w:r>
              <w:rPr>
                <w:rFonts w:hint="eastAsia"/>
                <w:color w:val="auto"/>
                <w:highlight w:val="none"/>
              </w:rPr>
              <w:t>依法不需要缴纳社会保障资金的，必须提供相应文件证明不需要缴纳社会保障资金。</w:t>
            </w:r>
            <w:r>
              <w:rPr>
                <w:rFonts w:hint="eastAsia" w:ascii="宋体" w:hAnsi="宋体" w:cs="宋体"/>
                <w:color w:val="auto"/>
                <w:szCs w:val="21"/>
                <w:highlight w:val="none"/>
              </w:rPr>
              <w:t>从</w:t>
            </w:r>
            <w:r>
              <w:rPr>
                <w:color w:val="auto"/>
                <w:szCs w:val="21"/>
                <w:highlight w:val="none"/>
              </w:rPr>
              <w:t>成立</w:t>
            </w:r>
            <w:r>
              <w:rPr>
                <w:rFonts w:hint="eastAsia"/>
                <w:color w:val="auto"/>
                <w:szCs w:val="21"/>
                <w:highlight w:val="none"/>
              </w:rPr>
              <w:t>之日起</w:t>
            </w:r>
            <w:r>
              <w:rPr>
                <w:rFonts w:hint="eastAsia" w:ascii="宋体" w:hAnsi="宋体" w:cs="宋体"/>
                <w:color w:val="auto"/>
                <w:szCs w:val="21"/>
                <w:highlight w:val="none"/>
              </w:rPr>
              <w:t>到响应文件提交截止时间止不足要求月数的只需提供从</w:t>
            </w:r>
            <w:r>
              <w:rPr>
                <w:color w:val="auto"/>
                <w:szCs w:val="21"/>
                <w:highlight w:val="none"/>
              </w:rPr>
              <w:t>成立</w:t>
            </w:r>
            <w:r>
              <w:rPr>
                <w:rFonts w:hint="eastAsia"/>
                <w:color w:val="auto"/>
                <w:szCs w:val="21"/>
                <w:highlight w:val="none"/>
              </w:rPr>
              <w:t>之日起</w:t>
            </w:r>
            <w:r>
              <w:rPr>
                <w:rFonts w:hint="eastAsia" w:ascii="宋体" w:hAnsi="宋体" w:cs="宋体"/>
                <w:color w:val="auto"/>
                <w:szCs w:val="21"/>
                <w:highlight w:val="none"/>
              </w:rPr>
              <w:t>的依法缴纳社会保障资金的</w:t>
            </w:r>
            <w:r>
              <w:rPr>
                <w:rFonts w:hint="eastAsia"/>
                <w:color w:val="auto"/>
                <w:highlight w:val="none"/>
              </w:rPr>
              <w:t>相应证明文件</w:t>
            </w:r>
            <w:r>
              <w:rPr>
                <w:rFonts w:hint="eastAsia" w:ascii="宋体" w:hAnsi="宋体" w:cs="宋体"/>
                <w:color w:val="auto"/>
                <w:szCs w:val="21"/>
                <w:highlight w:val="none"/>
              </w:rPr>
              <w:t>]；（</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00AB789E">
            <w:pPr>
              <w:spacing w:line="360" w:lineRule="auto"/>
              <w:contextualSpacing/>
              <w:jc w:val="left"/>
              <w:rPr>
                <w:rFonts w:hint="eastAsia" w:ascii="宋体" w:hAnsi="宋体" w:cs="宋体"/>
                <w:b/>
                <w:color w:val="auto"/>
                <w:szCs w:val="21"/>
                <w:highlight w:val="none"/>
              </w:rPr>
            </w:pPr>
            <w:r>
              <w:rPr>
                <w:rFonts w:hint="eastAsia" w:ascii="宋体" w:hAnsi="宋体" w:cs="宋体"/>
                <w:color w:val="auto"/>
                <w:szCs w:val="21"/>
                <w:highlight w:val="none"/>
              </w:rPr>
              <w:t>4. 供应商</w:t>
            </w:r>
            <w:r>
              <w:rPr>
                <w:rFonts w:hint="eastAsia"/>
                <w:color w:val="auto"/>
                <w:szCs w:val="21"/>
                <w:highlight w:val="none"/>
              </w:rPr>
              <w:t>财务状况报告：提供202</w:t>
            </w:r>
            <w:r>
              <w:rPr>
                <w:rFonts w:hint="eastAsia"/>
                <w:color w:val="auto"/>
                <w:szCs w:val="21"/>
                <w:highlight w:val="none"/>
                <w:lang w:val="en-US" w:eastAsia="zh-CN"/>
              </w:rPr>
              <w:t>4</w:t>
            </w:r>
            <w:r>
              <w:rPr>
                <w:rFonts w:hint="eastAsia"/>
                <w:color w:val="auto"/>
                <w:szCs w:val="21"/>
                <w:highlight w:val="none"/>
              </w:rPr>
              <w:t>年或202</w:t>
            </w:r>
            <w:r>
              <w:rPr>
                <w:rFonts w:hint="eastAsia"/>
                <w:color w:val="auto"/>
                <w:szCs w:val="21"/>
                <w:highlight w:val="none"/>
                <w:lang w:val="en-US" w:eastAsia="zh-CN"/>
              </w:rPr>
              <w:t>5</w:t>
            </w:r>
            <w:r>
              <w:rPr>
                <w:rFonts w:hint="eastAsia"/>
                <w:color w:val="auto"/>
                <w:szCs w:val="21"/>
                <w:highlight w:val="none"/>
              </w:rPr>
              <w:t>年任意一年的财务报表或经审计的财务报告（审计报告）（如提供审计报告的，审计报告须经过“注册会计师行业统一监管平台”自动赋码，审计报告编码（二维码）能通过统一监管平台进行查验，否则无效）扫描件，或者提供银行出具的资信证明扫描件，资信证明应在有效期内，未注明有效期的，银行出具时间至响应文件提交截止时间不超过一年；供应商属于</w:t>
            </w:r>
            <w:r>
              <w:rPr>
                <w:rFonts w:hint="eastAsia"/>
                <w:color w:val="auto"/>
                <w:highlight w:val="none"/>
              </w:rPr>
              <w:t>成立</w:t>
            </w:r>
            <w:r>
              <w:rPr>
                <w:color w:val="auto"/>
                <w:highlight w:val="none"/>
              </w:rPr>
              <w:t>时间</w:t>
            </w:r>
            <w:r>
              <w:rPr>
                <w:rFonts w:hint="eastAsia"/>
                <w:color w:val="auto"/>
                <w:kern w:val="0"/>
                <w:highlight w:val="none"/>
              </w:rPr>
              <w:t>在规定年度之后</w:t>
            </w:r>
            <w:r>
              <w:rPr>
                <w:color w:val="auto"/>
                <w:highlight w:val="none"/>
              </w:rPr>
              <w:t>的</w:t>
            </w:r>
            <w:r>
              <w:rPr>
                <w:rFonts w:hint="eastAsia"/>
                <w:color w:val="auto"/>
                <w:szCs w:val="21"/>
                <w:highlight w:val="none"/>
              </w:rPr>
              <w:t>法人或其他组织</w:t>
            </w:r>
            <w:r>
              <w:rPr>
                <w:color w:val="auto"/>
                <w:highlight w:val="none"/>
              </w:rPr>
              <w:t>，需提供成立</w:t>
            </w:r>
            <w:r>
              <w:rPr>
                <w:rFonts w:hint="eastAsia"/>
                <w:color w:val="auto"/>
                <w:highlight w:val="none"/>
              </w:rPr>
              <w:t>之日起至响应文件提交截止时间前</w:t>
            </w:r>
            <w:r>
              <w:rPr>
                <w:color w:val="auto"/>
                <w:highlight w:val="none"/>
              </w:rPr>
              <w:t>的月报表</w:t>
            </w:r>
            <w:r>
              <w:rPr>
                <w:rFonts w:hint="eastAsia"/>
                <w:color w:val="auto"/>
                <w:szCs w:val="21"/>
                <w:highlight w:val="none"/>
              </w:rPr>
              <w:t>或银行出具的资信证明</w:t>
            </w:r>
            <w:r>
              <w:rPr>
                <w:rFonts w:hint="eastAsia" w:ascii="宋体" w:hAnsi="宋体" w:cs="宋体"/>
                <w:color w:val="auto"/>
                <w:szCs w:val="21"/>
                <w:highlight w:val="none"/>
              </w:rPr>
              <w:t>；</w:t>
            </w:r>
            <w:r>
              <w:rPr>
                <w:rFonts w:hint="eastAsia" w:ascii="宋体" w:hAnsi="宋体" w:cs="宋体"/>
                <w:bCs/>
                <w:color w:val="auto"/>
                <w:szCs w:val="21"/>
                <w:highlight w:val="none"/>
              </w:rPr>
              <w:t>（</w:t>
            </w:r>
            <w:r>
              <w:rPr>
                <w:rFonts w:hint="eastAsia" w:ascii="宋体" w:hAnsi="宋体"/>
                <w:b/>
                <w:color w:val="auto"/>
                <w:szCs w:val="21"/>
                <w:highlight w:val="none"/>
              </w:rPr>
              <w:t>必须提供</w:t>
            </w:r>
            <w:r>
              <w:rPr>
                <w:rFonts w:hint="eastAsia" w:ascii="宋体" w:hAnsi="宋体" w:cs="宋体"/>
                <w:b/>
                <w:color w:val="auto"/>
                <w:szCs w:val="21"/>
                <w:highlight w:val="none"/>
              </w:rPr>
              <w:t>，否则响应文件按无效响应处理</w:t>
            </w:r>
            <w:r>
              <w:rPr>
                <w:rFonts w:hint="eastAsia" w:ascii="宋体" w:hAnsi="宋体" w:cs="宋体"/>
                <w:bCs/>
                <w:color w:val="auto"/>
                <w:szCs w:val="21"/>
                <w:highlight w:val="none"/>
              </w:rPr>
              <w:t>）</w:t>
            </w:r>
          </w:p>
          <w:p w14:paraId="4E4196B9">
            <w:pPr>
              <w:snapToGrid w:val="0"/>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rPr>
              <w:t>5. 供应商直接控股、管理关系信息表（格式后附）；（</w:t>
            </w:r>
            <w:r>
              <w:rPr>
                <w:rFonts w:hint="eastAsia" w:ascii="宋体" w:hAnsi="宋体" w:cs="宋体"/>
                <w:b/>
                <w:color w:val="auto"/>
                <w:szCs w:val="21"/>
                <w:highlight w:val="none"/>
              </w:rPr>
              <w:t>必须提供，否则响应文件按无效处理</w:t>
            </w:r>
            <w:r>
              <w:rPr>
                <w:rFonts w:hint="eastAsia" w:ascii="宋体" w:hAnsi="宋体" w:cs="宋体"/>
                <w:color w:val="auto"/>
                <w:szCs w:val="21"/>
                <w:highlight w:val="none"/>
              </w:rPr>
              <w:t>）</w:t>
            </w:r>
          </w:p>
          <w:p w14:paraId="4D9C5E73">
            <w:pPr>
              <w:snapToGrid w:val="0"/>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rPr>
              <w:t>6. 竞标声明（格式后附）；（</w:t>
            </w:r>
            <w:r>
              <w:rPr>
                <w:rFonts w:hint="eastAsia" w:ascii="宋体" w:hAnsi="宋体" w:cs="宋体"/>
                <w:b/>
                <w:color w:val="auto"/>
                <w:szCs w:val="21"/>
                <w:highlight w:val="none"/>
              </w:rPr>
              <w:t>必须提供，否则响应文件按无效处理</w:t>
            </w:r>
            <w:r>
              <w:rPr>
                <w:rFonts w:hint="eastAsia" w:ascii="宋体" w:hAnsi="宋体" w:cs="宋体"/>
                <w:color w:val="auto"/>
                <w:szCs w:val="21"/>
                <w:highlight w:val="none"/>
              </w:rPr>
              <w:t>）</w:t>
            </w:r>
          </w:p>
          <w:p w14:paraId="384F13B4">
            <w:pPr>
              <w:snapToGrid w:val="0"/>
              <w:spacing w:line="360" w:lineRule="auto"/>
              <w:jc w:val="left"/>
              <w:rPr>
                <w:rFonts w:hint="eastAsia" w:ascii="宋体" w:hAnsi="宋体" w:cs="宋体"/>
                <w:color w:val="auto"/>
                <w:szCs w:val="21"/>
                <w:highlight w:val="none"/>
              </w:rPr>
            </w:pPr>
            <w:r>
              <w:rPr>
                <w:rFonts w:ascii="宋体" w:hAnsi="宋体" w:cs="宋体"/>
                <w:color w:val="auto"/>
                <w:szCs w:val="21"/>
                <w:highlight w:val="none"/>
              </w:rPr>
              <w:t>7</w:t>
            </w:r>
            <w:r>
              <w:rPr>
                <w:rFonts w:hint="eastAsia" w:ascii="宋体" w:hAnsi="宋体" w:cs="宋体"/>
                <w:color w:val="auto"/>
                <w:szCs w:val="21"/>
                <w:highlight w:val="none"/>
              </w:rPr>
              <w:t xml:space="preserve">. </w:t>
            </w:r>
            <w:r>
              <w:rPr>
                <w:rFonts w:hint="eastAsia" w:ascii="宋体" w:hAnsi="宋体" w:eastAsia="宋体" w:cs="宋体"/>
                <w:color w:val="auto"/>
                <w:szCs w:val="21"/>
                <w:highlight w:val="none"/>
              </w:rPr>
              <w:t>中小企业声明函或者残疾人福利性单位声明函或者供应商属于监狱企业的需提供由省级以上监狱管理局、戒毒管理局（含新疆生产建设兵团）出具的属于监狱企业的证明文件；</w:t>
            </w:r>
            <w:r>
              <w:rPr>
                <w:rFonts w:hint="eastAsia" w:ascii="宋体" w:hAnsi="宋体" w:eastAsia="宋体" w:cs="宋体"/>
                <w:b/>
                <w:bCs/>
                <w:color w:val="auto"/>
                <w:szCs w:val="21"/>
                <w:highlight w:val="none"/>
              </w:rPr>
              <w:t>（</w:t>
            </w:r>
            <w:r>
              <w:rPr>
                <w:rFonts w:hint="eastAsia" w:ascii="宋体" w:hAnsi="宋体" w:cs="宋体"/>
                <w:b/>
                <w:bCs/>
                <w:color w:val="auto"/>
                <w:szCs w:val="21"/>
                <w:highlight w:val="none"/>
                <w:lang w:val="en-US" w:eastAsia="zh-CN"/>
              </w:rPr>
              <w:t>标项一</w:t>
            </w:r>
            <w:r>
              <w:rPr>
                <w:rFonts w:hint="eastAsia" w:ascii="宋体" w:hAnsi="宋体" w:eastAsia="宋体" w:cs="宋体"/>
                <w:b/>
                <w:bCs/>
                <w:color w:val="auto"/>
                <w:szCs w:val="21"/>
                <w:highlight w:val="none"/>
              </w:rPr>
              <w:t>必须提供，否则响应文件按无效响应处理）</w:t>
            </w:r>
          </w:p>
          <w:p w14:paraId="3244CA21">
            <w:pPr>
              <w:snapToGrid w:val="0"/>
              <w:spacing w:line="360" w:lineRule="auto"/>
              <w:jc w:val="left"/>
              <w:rPr>
                <w:rFonts w:ascii="宋体" w:hAnsi="宋体" w:cs="宋体"/>
                <w:color w:val="auto"/>
                <w:szCs w:val="21"/>
                <w:highlight w:val="none"/>
              </w:rPr>
            </w:pPr>
            <w:r>
              <w:rPr>
                <w:rFonts w:hint="eastAsia" w:ascii="宋体" w:hAnsi="宋体" w:cs="宋体"/>
                <w:color w:val="auto"/>
                <w:szCs w:val="21"/>
                <w:highlight w:val="none"/>
                <w:lang w:val="en-US" w:eastAsia="zh-CN"/>
              </w:rPr>
              <w:t>8.</w:t>
            </w:r>
            <w:r>
              <w:rPr>
                <w:rFonts w:hint="eastAsia" w:ascii="宋体" w:hAnsi="宋体" w:cs="宋体"/>
                <w:color w:val="auto"/>
                <w:szCs w:val="21"/>
                <w:highlight w:val="none"/>
              </w:rPr>
              <w:t>除谈判文件规定必须提供以外，供应商认为需要提供的其他证明材料。</w:t>
            </w:r>
          </w:p>
          <w:p w14:paraId="1FAD0C04">
            <w:pPr>
              <w:snapToGrid w:val="0"/>
              <w:spacing w:line="360" w:lineRule="auto"/>
              <w:jc w:val="left"/>
              <w:rPr>
                <w:rFonts w:ascii="宋体" w:hAnsi="宋体" w:cs="宋体"/>
                <w:b/>
                <w:color w:val="auto"/>
                <w:szCs w:val="21"/>
                <w:highlight w:val="none"/>
              </w:rPr>
            </w:pPr>
            <w:r>
              <w:rPr>
                <w:rFonts w:hint="eastAsia" w:ascii="宋体" w:hAnsi="宋体" w:cs="宋体"/>
                <w:b/>
                <w:color w:val="auto"/>
                <w:szCs w:val="21"/>
                <w:highlight w:val="none"/>
              </w:rPr>
              <w:t>注：</w:t>
            </w:r>
          </w:p>
          <w:p w14:paraId="6FDA7507">
            <w:pPr>
              <w:snapToGrid w:val="0"/>
              <w:spacing w:line="360" w:lineRule="auto"/>
              <w:ind w:firstLine="422" w:firstLineChars="200"/>
              <w:jc w:val="left"/>
              <w:rPr>
                <w:rFonts w:ascii="宋体" w:hAnsi="宋体" w:cs="宋体"/>
                <w:b/>
                <w:color w:val="auto"/>
                <w:szCs w:val="21"/>
                <w:highlight w:val="none"/>
              </w:rPr>
            </w:pPr>
            <w:r>
              <w:rPr>
                <w:rFonts w:hint="eastAsia" w:ascii="宋体" w:hAnsi="宋体" w:cs="宋体"/>
                <w:b/>
                <w:color w:val="auto"/>
                <w:szCs w:val="21"/>
                <w:highlight w:val="none"/>
              </w:rPr>
              <w:t>1.以上标明“必须提供”的材料属于复印件的，必须加盖供应商</w:t>
            </w:r>
            <w:r>
              <w:rPr>
                <w:rFonts w:hint="eastAsia"/>
                <w:b/>
                <w:color w:val="auto"/>
                <w:highlight w:val="none"/>
              </w:rPr>
              <w:t>电子签章</w:t>
            </w:r>
            <w:r>
              <w:rPr>
                <w:rFonts w:hint="eastAsia" w:ascii="宋体" w:hAnsi="宋体" w:cs="宋体"/>
                <w:b/>
                <w:color w:val="auto"/>
                <w:szCs w:val="21"/>
                <w:highlight w:val="none"/>
              </w:rPr>
              <w:t>，否则响应文件按无效处理；格式中有要求法定代表人或者委托代理人签字的，必须按要求签字（或是电子签名），并加盖供应商电子签章，否则响应文件按无效处理。</w:t>
            </w:r>
          </w:p>
          <w:p w14:paraId="3530CDAB">
            <w:pPr>
              <w:snapToGrid w:val="0"/>
              <w:spacing w:line="360" w:lineRule="auto"/>
              <w:ind w:firstLine="422" w:firstLineChars="200"/>
              <w:jc w:val="left"/>
              <w:rPr>
                <w:rFonts w:hint="eastAsia" w:ascii="宋体" w:hAnsi="宋体" w:cs="宋体"/>
                <w:b/>
                <w:color w:val="auto"/>
                <w:szCs w:val="21"/>
                <w:highlight w:val="none"/>
              </w:rPr>
            </w:pPr>
            <w:r>
              <w:rPr>
                <w:rFonts w:hint="eastAsia" w:ascii="宋体" w:hAnsi="宋体" w:cs="宋体"/>
                <w:b/>
                <w:color w:val="auto"/>
                <w:szCs w:val="21"/>
                <w:highlight w:val="none"/>
              </w:rPr>
              <w:t>2.</w:t>
            </w:r>
            <w:r>
              <w:rPr>
                <w:rFonts w:hint="eastAsia" w:ascii="宋体" w:hAnsi="宋体"/>
                <w:b/>
                <w:bCs/>
                <w:color w:val="auto"/>
                <w:szCs w:val="21"/>
                <w:highlight w:val="none"/>
              </w:rPr>
              <w:t>分公司参加竞标的，应当取得总公司授权。</w:t>
            </w:r>
          </w:p>
        </w:tc>
      </w:tr>
      <w:tr w14:paraId="714A47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56" w:type="pct"/>
            <w:noWrap w:val="0"/>
            <w:vAlign w:val="center"/>
          </w:tcPr>
          <w:p w14:paraId="52C6A989">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12.1.2</w:t>
            </w:r>
          </w:p>
        </w:tc>
        <w:tc>
          <w:tcPr>
            <w:tcW w:w="4443" w:type="pct"/>
            <w:noWrap w:val="0"/>
            <w:vAlign w:val="center"/>
          </w:tcPr>
          <w:p w14:paraId="5F407BE9">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报价文件</w:t>
            </w:r>
          </w:p>
          <w:p w14:paraId="337FFDB9">
            <w:pPr>
              <w:spacing w:line="360" w:lineRule="auto"/>
              <w:rPr>
                <w:rFonts w:ascii="宋体" w:hAnsi="宋体" w:cs="宋体"/>
                <w:color w:val="auto"/>
                <w:szCs w:val="21"/>
                <w:highlight w:val="none"/>
              </w:rPr>
            </w:pPr>
            <w:r>
              <w:rPr>
                <w:rFonts w:hint="eastAsia" w:ascii="宋体" w:hAnsi="宋体" w:cs="宋体"/>
                <w:color w:val="auto"/>
                <w:szCs w:val="21"/>
                <w:highlight w:val="none"/>
              </w:rPr>
              <w:t>1.竞标报价表（格式后附）；（</w:t>
            </w:r>
            <w:r>
              <w:rPr>
                <w:rFonts w:hint="eastAsia" w:ascii="宋体" w:hAnsi="宋体" w:cs="宋体"/>
                <w:b/>
                <w:color w:val="auto"/>
                <w:szCs w:val="21"/>
                <w:highlight w:val="none"/>
              </w:rPr>
              <w:t>必须提供，否则响应文件按无效处理</w:t>
            </w:r>
            <w:r>
              <w:rPr>
                <w:rFonts w:hint="eastAsia" w:ascii="宋体" w:hAnsi="宋体" w:cs="宋体"/>
                <w:color w:val="auto"/>
                <w:szCs w:val="21"/>
                <w:highlight w:val="none"/>
              </w:rPr>
              <w:t>）</w:t>
            </w:r>
          </w:p>
          <w:p w14:paraId="7094466F">
            <w:pPr>
              <w:spacing w:line="360" w:lineRule="auto"/>
              <w:rPr>
                <w:rFonts w:hint="eastAsia" w:ascii="宋体" w:hAnsi="宋体"/>
                <w:color w:val="auto"/>
                <w:szCs w:val="21"/>
                <w:highlight w:val="none"/>
              </w:rPr>
            </w:pPr>
            <w:r>
              <w:rPr>
                <w:rFonts w:hint="eastAsia" w:ascii="宋体" w:hAnsi="宋体" w:cs="宋体"/>
                <w:color w:val="auto"/>
                <w:szCs w:val="21"/>
                <w:highlight w:val="none"/>
              </w:rPr>
              <w:t>2</w:t>
            </w:r>
            <w:r>
              <w:rPr>
                <w:rFonts w:ascii="宋体" w:hAnsi="宋体" w:cs="宋体"/>
                <w:color w:val="auto"/>
                <w:szCs w:val="21"/>
                <w:highlight w:val="none"/>
              </w:rPr>
              <w:t>.</w:t>
            </w:r>
            <w:r>
              <w:rPr>
                <w:rFonts w:hint="eastAsia" w:ascii="宋体" w:hAnsi="宋体" w:cs="宋体"/>
                <w:color w:val="auto"/>
                <w:szCs w:val="21"/>
                <w:highlight w:val="none"/>
              </w:rPr>
              <w:t>供应商认为需要提供的其他有关资料。</w:t>
            </w:r>
            <w:r>
              <w:rPr>
                <w:rFonts w:hint="eastAsia" w:ascii="宋体" w:hAnsi="宋体"/>
                <w:color w:val="auto"/>
                <w:szCs w:val="21"/>
                <w:highlight w:val="none"/>
              </w:rPr>
              <w:t>（如有，请提供）</w:t>
            </w:r>
          </w:p>
          <w:p w14:paraId="01A6965A">
            <w:pPr>
              <w:spacing w:line="360" w:lineRule="auto"/>
              <w:rPr>
                <w:rFonts w:hint="eastAsia" w:ascii="宋体" w:hAnsi="宋体" w:cs="宋体"/>
                <w:color w:val="auto"/>
                <w:szCs w:val="21"/>
                <w:highlight w:val="none"/>
              </w:rPr>
            </w:pPr>
            <w:r>
              <w:rPr>
                <w:rFonts w:hint="eastAsia" w:ascii="宋体" w:hAnsi="宋体" w:cs="宋体"/>
                <w:b/>
                <w:color w:val="auto"/>
                <w:szCs w:val="21"/>
                <w:highlight w:val="none"/>
              </w:rPr>
              <w:t>注：以上标明“必须提供”的材料属于复印件的，必须加盖供应商电子签章，否则响应文件按无效处理；格式中有要求法定代表人或者委托代理人签字的，必须按要求签字（或是电子签名），并加盖供应商电子签章，否则响应文件按无效处理。</w:t>
            </w:r>
          </w:p>
        </w:tc>
      </w:tr>
      <w:tr w14:paraId="6AA200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56" w:type="pct"/>
            <w:noWrap w:val="0"/>
            <w:vAlign w:val="center"/>
          </w:tcPr>
          <w:p w14:paraId="22998292">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12.</w:t>
            </w:r>
            <w:r>
              <w:rPr>
                <w:rFonts w:ascii="宋体" w:hAnsi="宋体" w:cs="宋体"/>
                <w:color w:val="auto"/>
                <w:szCs w:val="21"/>
                <w:highlight w:val="none"/>
              </w:rPr>
              <w:t>1.</w:t>
            </w:r>
            <w:r>
              <w:rPr>
                <w:rFonts w:hint="eastAsia" w:ascii="宋体" w:hAnsi="宋体" w:cs="宋体"/>
                <w:color w:val="auto"/>
                <w:szCs w:val="21"/>
                <w:highlight w:val="none"/>
              </w:rPr>
              <w:t>3</w:t>
            </w:r>
          </w:p>
        </w:tc>
        <w:tc>
          <w:tcPr>
            <w:tcW w:w="4443" w:type="pct"/>
            <w:noWrap w:val="0"/>
            <w:vAlign w:val="center"/>
          </w:tcPr>
          <w:p w14:paraId="76CB112F">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商务技术文件</w:t>
            </w:r>
          </w:p>
          <w:p w14:paraId="2AD0FCEE">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1.无串通竞标行为的承诺函（格式后附）；（</w:t>
            </w:r>
            <w:r>
              <w:rPr>
                <w:rFonts w:hint="eastAsia" w:ascii="宋体" w:hAnsi="宋体" w:cs="宋体"/>
                <w:b/>
                <w:color w:val="auto"/>
                <w:szCs w:val="21"/>
                <w:highlight w:val="none"/>
              </w:rPr>
              <w:t>必须提供，否则响应文件按无效处理</w:t>
            </w:r>
            <w:r>
              <w:rPr>
                <w:rFonts w:hint="eastAsia" w:ascii="宋体" w:hAnsi="宋体" w:cs="宋体"/>
                <w:color w:val="auto"/>
                <w:szCs w:val="21"/>
                <w:highlight w:val="none"/>
              </w:rPr>
              <w:t>）</w:t>
            </w:r>
          </w:p>
          <w:p w14:paraId="240506C8">
            <w:pPr>
              <w:snapToGrid w:val="0"/>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rPr>
              <w:t>2.法定代表人身份证明书及法定代表人有效身份证正反面复印件（格式后附）；（</w:t>
            </w:r>
            <w:r>
              <w:rPr>
                <w:rFonts w:hint="eastAsia" w:ascii="宋体" w:hAnsi="宋体" w:cs="宋体"/>
                <w:b/>
                <w:color w:val="auto"/>
                <w:szCs w:val="21"/>
                <w:highlight w:val="none"/>
              </w:rPr>
              <w:t>必须提供，否则响应文件按无效处理</w:t>
            </w:r>
            <w:r>
              <w:rPr>
                <w:rFonts w:hint="eastAsia" w:ascii="宋体" w:hAnsi="宋体" w:cs="宋体"/>
                <w:color w:val="auto"/>
                <w:szCs w:val="21"/>
                <w:highlight w:val="none"/>
              </w:rPr>
              <w:t>）</w:t>
            </w:r>
          </w:p>
          <w:p w14:paraId="537AC559">
            <w:pPr>
              <w:spacing w:line="360" w:lineRule="auto"/>
              <w:rPr>
                <w:rFonts w:hint="eastAsia" w:ascii="宋体" w:hAnsi="宋体" w:cs="宋体"/>
                <w:b/>
                <w:color w:val="auto"/>
                <w:szCs w:val="21"/>
                <w:highlight w:val="none"/>
              </w:rPr>
            </w:pPr>
            <w:r>
              <w:rPr>
                <w:rFonts w:hint="eastAsia" w:ascii="宋体" w:hAnsi="宋体" w:cs="宋体"/>
                <w:color w:val="auto"/>
                <w:szCs w:val="21"/>
                <w:highlight w:val="none"/>
              </w:rPr>
              <w:t>3.授权委托书及委托代理人有效身份证正反面复印件（格式后附）；（</w:t>
            </w:r>
            <w:r>
              <w:rPr>
                <w:rFonts w:hint="eastAsia" w:ascii="宋体" w:hAnsi="宋体" w:cs="宋体"/>
                <w:b/>
                <w:color w:val="auto"/>
                <w:szCs w:val="21"/>
                <w:highlight w:val="none"/>
              </w:rPr>
              <w:t>委托时必须提供，否则响应文件按无效处理</w:t>
            </w:r>
            <w:r>
              <w:rPr>
                <w:rFonts w:hint="eastAsia" w:ascii="宋体" w:hAnsi="宋体" w:cs="宋体"/>
                <w:color w:val="auto"/>
                <w:szCs w:val="21"/>
                <w:highlight w:val="none"/>
              </w:rPr>
              <w:t>）</w:t>
            </w:r>
          </w:p>
          <w:p w14:paraId="39E1C850">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4.竞标保证金提交凭证；（</w:t>
            </w:r>
            <w:r>
              <w:rPr>
                <w:rFonts w:hint="eastAsia"/>
                <w:b/>
                <w:bCs/>
                <w:color w:val="auto"/>
                <w:highlight w:val="none"/>
              </w:rPr>
              <w:t>如要求提交竞标保证金的则必须提供</w:t>
            </w:r>
            <w:r>
              <w:rPr>
                <w:rFonts w:hint="eastAsia" w:ascii="宋体" w:hAnsi="宋体" w:cs="宋体"/>
                <w:b/>
                <w:color w:val="auto"/>
                <w:szCs w:val="21"/>
                <w:highlight w:val="none"/>
              </w:rPr>
              <w:t>，否则响应文件按无效处理</w:t>
            </w:r>
            <w:r>
              <w:rPr>
                <w:rFonts w:hint="eastAsia" w:ascii="宋体" w:hAnsi="宋体" w:cs="宋体"/>
                <w:color w:val="auto"/>
                <w:szCs w:val="21"/>
                <w:highlight w:val="none"/>
              </w:rPr>
              <w:t>）</w:t>
            </w:r>
          </w:p>
          <w:p w14:paraId="7B0D7B13">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5.商务要求偏离表（格式后附）；（</w:t>
            </w:r>
            <w:r>
              <w:rPr>
                <w:rFonts w:hint="eastAsia" w:ascii="宋体" w:hAnsi="宋体" w:cs="宋体"/>
                <w:b/>
                <w:color w:val="auto"/>
                <w:szCs w:val="21"/>
                <w:highlight w:val="none"/>
              </w:rPr>
              <w:t>必须提供，否则响应文件按无效处理</w:t>
            </w:r>
            <w:r>
              <w:rPr>
                <w:rFonts w:hint="eastAsia" w:ascii="宋体" w:hAnsi="宋体" w:cs="宋体"/>
                <w:color w:val="auto"/>
                <w:szCs w:val="21"/>
                <w:highlight w:val="none"/>
              </w:rPr>
              <w:t>）</w:t>
            </w:r>
          </w:p>
          <w:p w14:paraId="19D2071E">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6.售后服务承诺（格式自拟）；（</w:t>
            </w:r>
            <w:r>
              <w:rPr>
                <w:rFonts w:hint="eastAsia" w:ascii="宋体" w:hAnsi="宋体" w:cs="宋体"/>
                <w:b/>
                <w:color w:val="auto"/>
                <w:szCs w:val="21"/>
                <w:highlight w:val="none"/>
              </w:rPr>
              <w:t>必须提供，否则响应文件按无效处理</w:t>
            </w:r>
            <w:r>
              <w:rPr>
                <w:rFonts w:hint="eastAsia" w:ascii="宋体" w:hAnsi="宋体" w:cs="宋体"/>
                <w:color w:val="auto"/>
                <w:szCs w:val="21"/>
                <w:highlight w:val="none"/>
              </w:rPr>
              <w:t>）</w:t>
            </w:r>
          </w:p>
          <w:p w14:paraId="2D4C71E5">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7.货物配置清单（均不含报价）（格式后附）；（</w:t>
            </w:r>
            <w:r>
              <w:rPr>
                <w:rFonts w:hint="eastAsia" w:ascii="宋体" w:hAnsi="宋体" w:cs="宋体"/>
                <w:b/>
                <w:color w:val="auto"/>
                <w:szCs w:val="21"/>
                <w:highlight w:val="none"/>
              </w:rPr>
              <w:t>必须提供，否则响应文件按无效处理</w:t>
            </w:r>
            <w:r>
              <w:rPr>
                <w:rFonts w:hint="eastAsia" w:ascii="宋体" w:hAnsi="宋体" w:cs="宋体"/>
                <w:color w:val="auto"/>
                <w:szCs w:val="21"/>
                <w:highlight w:val="none"/>
              </w:rPr>
              <w:t>）</w:t>
            </w:r>
          </w:p>
          <w:p w14:paraId="33D91050">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8.技术要求偏离表（格式后附）；（</w:t>
            </w:r>
            <w:r>
              <w:rPr>
                <w:rFonts w:hint="eastAsia" w:ascii="宋体" w:hAnsi="宋体" w:cs="宋体"/>
                <w:b/>
                <w:color w:val="auto"/>
                <w:szCs w:val="21"/>
                <w:highlight w:val="none"/>
              </w:rPr>
              <w:t>必须提供，否则响应文件按无效处理</w:t>
            </w:r>
            <w:r>
              <w:rPr>
                <w:rFonts w:hint="eastAsia" w:ascii="宋体" w:hAnsi="宋体" w:cs="宋体"/>
                <w:color w:val="auto"/>
                <w:szCs w:val="21"/>
                <w:highlight w:val="none"/>
              </w:rPr>
              <w:t>）</w:t>
            </w:r>
          </w:p>
          <w:p w14:paraId="0352D797">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9.</w:t>
            </w:r>
            <w:r>
              <w:rPr>
                <w:rFonts w:hint="eastAsia" w:ascii="宋体" w:hAnsi="宋体" w:cs="宋体"/>
                <w:color w:val="auto"/>
                <w:szCs w:val="21"/>
                <w:highlight w:val="none"/>
                <w:lang w:val="en-US" w:eastAsia="zh-CN"/>
              </w:rPr>
              <w:t>竞标货物的实物图片</w:t>
            </w:r>
            <w:r>
              <w:rPr>
                <w:rFonts w:hint="eastAsia" w:ascii="宋体" w:hAnsi="宋体" w:cs="宋体"/>
                <w:color w:val="auto"/>
                <w:szCs w:val="21"/>
                <w:highlight w:val="none"/>
              </w:rPr>
              <w:t>（</w:t>
            </w:r>
            <w:r>
              <w:rPr>
                <w:rFonts w:hint="eastAsia" w:ascii="宋体" w:hAnsi="宋体" w:cs="宋体"/>
                <w:b/>
                <w:color w:val="auto"/>
                <w:szCs w:val="21"/>
                <w:highlight w:val="none"/>
                <w:lang w:val="en-US" w:eastAsia="zh-CN"/>
              </w:rPr>
              <w:t>如有，请提供</w:t>
            </w:r>
            <w:r>
              <w:rPr>
                <w:rFonts w:hint="eastAsia" w:ascii="宋体" w:hAnsi="宋体" w:cs="宋体"/>
                <w:color w:val="auto"/>
                <w:szCs w:val="21"/>
                <w:highlight w:val="none"/>
              </w:rPr>
              <w:t>）；</w:t>
            </w:r>
          </w:p>
          <w:p w14:paraId="04FA962B">
            <w:pPr>
              <w:spacing w:line="360" w:lineRule="auto"/>
              <w:rPr>
                <w:rFonts w:hint="eastAsia" w:ascii="宋体" w:hAnsi="宋体" w:cs="宋体"/>
                <w:color w:val="auto"/>
                <w:szCs w:val="21"/>
                <w:highlight w:val="none"/>
              </w:rPr>
            </w:pPr>
            <w:r>
              <w:rPr>
                <w:rFonts w:hint="eastAsia" w:ascii="宋体" w:hAnsi="宋体" w:cs="宋体"/>
                <w:color w:val="auto"/>
                <w:szCs w:val="21"/>
                <w:highlight w:val="none"/>
                <w:lang w:val="en-US" w:eastAsia="zh-CN"/>
              </w:rPr>
              <w:t>10</w:t>
            </w:r>
            <w:r>
              <w:rPr>
                <w:rFonts w:hint="eastAsia" w:ascii="宋体" w:hAnsi="宋体" w:cs="宋体"/>
                <w:color w:val="auto"/>
                <w:szCs w:val="21"/>
                <w:highlight w:val="none"/>
              </w:rPr>
              <w:t>.对应采购需求的技术要求、商务要求提供的其他文件资料（如有，请提供）；</w:t>
            </w:r>
          </w:p>
          <w:p w14:paraId="1226299D">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1</w:t>
            </w:r>
            <w:r>
              <w:rPr>
                <w:rFonts w:hint="eastAsia" w:ascii="宋体" w:hAnsi="宋体" w:cs="宋体"/>
                <w:color w:val="auto"/>
                <w:szCs w:val="21"/>
                <w:highlight w:val="none"/>
                <w:lang w:val="en-US" w:eastAsia="zh-CN"/>
              </w:rPr>
              <w:t>1</w:t>
            </w:r>
            <w:r>
              <w:rPr>
                <w:rFonts w:hint="eastAsia" w:ascii="宋体" w:hAnsi="宋体" w:cs="宋体"/>
                <w:color w:val="auto"/>
                <w:szCs w:val="21"/>
                <w:highlight w:val="none"/>
              </w:rPr>
              <w:t>.供应商认为需要提供的其他有关资料（如有，请提供）。</w:t>
            </w:r>
          </w:p>
          <w:p w14:paraId="44B4930E">
            <w:pPr>
              <w:snapToGrid w:val="0"/>
              <w:spacing w:line="360" w:lineRule="auto"/>
              <w:jc w:val="left"/>
              <w:rPr>
                <w:rFonts w:hint="eastAsia" w:ascii="宋体" w:hAnsi="宋体" w:cs="宋体"/>
                <w:b/>
                <w:color w:val="auto"/>
                <w:szCs w:val="21"/>
                <w:highlight w:val="none"/>
              </w:rPr>
            </w:pPr>
            <w:r>
              <w:rPr>
                <w:rFonts w:hint="eastAsia" w:ascii="宋体" w:hAnsi="宋体" w:cs="宋体"/>
                <w:b/>
                <w:color w:val="auto"/>
                <w:szCs w:val="21"/>
                <w:highlight w:val="none"/>
              </w:rPr>
              <w:t>注：以上标明“必须提供”的材料属于复印件的，必须加盖供应商</w:t>
            </w:r>
            <w:r>
              <w:rPr>
                <w:rFonts w:hint="eastAsia"/>
                <w:b/>
                <w:color w:val="auto"/>
                <w:highlight w:val="none"/>
              </w:rPr>
              <w:t>电子签章</w:t>
            </w:r>
            <w:r>
              <w:rPr>
                <w:rFonts w:hint="eastAsia" w:ascii="宋体" w:hAnsi="宋体" w:cs="宋体"/>
                <w:b/>
                <w:color w:val="auto"/>
                <w:szCs w:val="21"/>
                <w:highlight w:val="none"/>
              </w:rPr>
              <w:t>，否则响应文件按无效处理；格式中有要求法定代表人或者委托代理人签字的，必须按要求签字（或是电子签名），并加盖供应商电子签章，否则响应文件按无效处理。</w:t>
            </w:r>
          </w:p>
        </w:tc>
      </w:tr>
      <w:tr w14:paraId="60B4C9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56" w:type="pct"/>
            <w:noWrap w:val="0"/>
            <w:vAlign w:val="center"/>
          </w:tcPr>
          <w:p w14:paraId="59CBFC34">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15.2</w:t>
            </w:r>
          </w:p>
        </w:tc>
        <w:tc>
          <w:tcPr>
            <w:tcW w:w="4443" w:type="pct"/>
            <w:noWrap w:val="0"/>
            <w:vAlign w:val="center"/>
          </w:tcPr>
          <w:p w14:paraId="0F0FA355">
            <w:pPr>
              <w:snapToGrid w:val="0"/>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rPr>
              <w:t>竞标报价包含竞标货物（包括备品备件、专用工具等）的价格（包括已在中国</w:t>
            </w:r>
            <w:r>
              <w:rPr>
                <w:rFonts w:hint="eastAsia"/>
                <w:color w:val="auto"/>
                <w:highlight w:val="none"/>
              </w:rPr>
              <w:t>境内</w:t>
            </w:r>
            <w:r>
              <w:rPr>
                <w:rFonts w:hint="eastAsia" w:ascii="宋体" w:hAnsi="宋体" w:cs="宋体"/>
                <w:color w:val="auto"/>
                <w:szCs w:val="21"/>
                <w:highlight w:val="none"/>
              </w:rPr>
              <w:t>的进口货物完税后的仓库交货价、展室交货价或者货架交货价），竞标货物运输（含保险）、安装（如有）、调试、检验、技术服务、培训和谈判文件要求提供的所有伴随服务、工程等费用和税费。（采购需求另有约定的，从其约定）</w:t>
            </w:r>
          </w:p>
        </w:tc>
      </w:tr>
      <w:tr w14:paraId="16765E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56" w:type="pct"/>
            <w:noWrap w:val="0"/>
            <w:vAlign w:val="center"/>
          </w:tcPr>
          <w:p w14:paraId="6FB431FF">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16.</w:t>
            </w:r>
            <w:r>
              <w:rPr>
                <w:rFonts w:ascii="宋体" w:hAnsi="宋体" w:cs="宋体"/>
                <w:color w:val="auto"/>
                <w:szCs w:val="21"/>
                <w:highlight w:val="none"/>
              </w:rPr>
              <w:t>2</w:t>
            </w:r>
          </w:p>
        </w:tc>
        <w:tc>
          <w:tcPr>
            <w:tcW w:w="4443" w:type="pct"/>
            <w:noWrap w:val="0"/>
            <w:vAlign w:val="center"/>
          </w:tcPr>
          <w:p w14:paraId="4623BEBC">
            <w:pPr>
              <w:pStyle w:val="9"/>
              <w:widowControl w:val="0"/>
              <w:tabs>
                <w:tab w:val="clear" w:pos="454"/>
              </w:tabs>
              <w:snapToGrid w:val="0"/>
              <w:spacing w:afterLines="0" w:line="360" w:lineRule="auto"/>
              <w:ind w:left="283" w:hanging="283" w:hangingChars="135"/>
              <w:rPr>
                <w:rFonts w:hint="eastAsia" w:ascii="宋体" w:hAnsi="宋体" w:cs="宋体"/>
                <w:color w:val="auto"/>
                <w:kern w:val="2"/>
                <w:sz w:val="21"/>
                <w:szCs w:val="21"/>
                <w:highlight w:val="none"/>
              </w:rPr>
            </w:pPr>
            <w:r>
              <w:rPr>
                <w:rFonts w:hint="eastAsia" w:ascii="宋体" w:hAnsi="宋体" w:cs="宋体"/>
                <w:color w:val="auto"/>
                <w:kern w:val="2"/>
                <w:sz w:val="21"/>
                <w:szCs w:val="21"/>
                <w:highlight w:val="none"/>
              </w:rPr>
              <w:t>竞标有效期：自首次响应文件提交截止之日起</w:t>
            </w:r>
            <w:r>
              <w:rPr>
                <w:rFonts w:ascii="宋体" w:hAnsi="宋体" w:cs="宋体"/>
                <w:color w:val="auto"/>
                <w:kern w:val="2"/>
                <w:sz w:val="21"/>
                <w:szCs w:val="21"/>
                <w:highlight w:val="none"/>
                <w:u w:val="single"/>
              </w:rPr>
              <w:t xml:space="preserve"> 90  </w:t>
            </w:r>
            <w:r>
              <w:rPr>
                <w:rFonts w:hint="eastAsia" w:ascii="宋体" w:hAnsi="宋体" w:cs="宋体"/>
                <w:color w:val="auto"/>
                <w:kern w:val="2"/>
                <w:sz w:val="21"/>
                <w:szCs w:val="21"/>
                <w:highlight w:val="none"/>
              </w:rPr>
              <w:t>日。</w:t>
            </w:r>
          </w:p>
        </w:tc>
      </w:tr>
      <w:tr w14:paraId="78D306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56" w:type="pct"/>
            <w:noWrap w:val="0"/>
            <w:vAlign w:val="center"/>
          </w:tcPr>
          <w:p w14:paraId="0FBB55EB">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17.1</w:t>
            </w:r>
          </w:p>
        </w:tc>
        <w:tc>
          <w:tcPr>
            <w:tcW w:w="4443" w:type="pct"/>
            <w:noWrap w:val="0"/>
            <w:vAlign w:val="center"/>
          </w:tcPr>
          <w:p w14:paraId="29441AC0">
            <w:pPr>
              <w:autoSpaceDE w:val="0"/>
              <w:autoSpaceDN w:val="0"/>
              <w:snapToGrid w:val="0"/>
              <w:spacing w:line="360" w:lineRule="auto"/>
              <w:textAlignment w:val="bottom"/>
              <w:rPr>
                <w:rFonts w:ascii="宋体" w:hAnsi="宋体"/>
                <w:color w:val="auto"/>
                <w:szCs w:val="21"/>
                <w:highlight w:val="none"/>
              </w:rPr>
            </w:pPr>
            <w:r>
              <w:rPr>
                <w:rFonts w:hint="eastAsia" w:ascii="宋体" w:hAnsi="宋体"/>
                <w:color w:val="auto"/>
                <w:szCs w:val="21"/>
                <w:highlight w:val="none"/>
              </w:rPr>
              <w:t>□本项目不收取竞标保证金。</w:t>
            </w:r>
          </w:p>
          <w:p w14:paraId="2F82E2E0">
            <w:pPr>
              <w:snapToGrid w:val="0"/>
              <w:spacing w:line="360" w:lineRule="auto"/>
              <w:rPr>
                <w:rFonts w:hint="eastAsia" w:ascii="宋体" w:hAnsi="宋体"/>
                <w:color w:val="auto"/>
                <w:szCs w:val="21"/>
                <w:highlight w:val="none"/>
              </w:rPr>
            </w:pPr>
            <w:r>
              <w:rPr>
                <w:rFonts w:hint="eastAsia" w:ascii="MS Mincho" w:hAnsi="MS Mincho" w:eastAsia="MS Mincho" w:cs="MS Mincho"/>
                <w:color w:val="auto"/>
                <w:szCs w:val="21"/>
                <w:highlight w:val="none"/>
              </w:rPr>
              <w:t>☑</w:t>
            </w:r>
            <w:r>
              <w:rPr>
                <w:rFonts w:hint="eastAsia" w:ascii="宋体" w:hAnsi="宋体"/>
                <w:color w:val="auto"/>
                <w:szCs w:val="21"/>
                <w:highlight w:val="none"/>
              </w:rPr>
              <w:t>本项目收取竞标保证金，具体规定如下：</w:t>
            </w:r>
            <w:r>
              <w:rPr>
                <w:rFonts w:hint="eastAsia" w:ascii="宋体" w:hAnsi="宋体" w:cs="宋体"/>
                <w:color w:val="auto"/>
                <w:kern w:val="0"/>
                <w:szCs w:val="21"/>
                <w:highlight w:val="none"/>
                <w:lang w:val="en-US" w:eastAsia="zh-CN"/>
              </w:rPr>
              <w:t>标项一：1000.00元；标项二：15000.00元</w:t>
            </w:r>
          </w:p>
          <w:p w14:paraId="36649A7F">
            <w:pPr>
              <w:snapToGrid w:val="0"/>
              <w:spacing w:line="360" w:lineRule="auto"/>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竞标保证金的交纳方式：银行转账、支票、汇票、本票或者银行、保险机构出具的保函，禁止采用现钞方式。采用银行转账方式的，在响应文件递交截止时间前交至采购代理机构指定账户并且到账【</w:t>
            </w:r>
            <w:r>
              <w:rPr>
                <w:rFonts w:hint="eastAsia" w:ascii="宋体" w:hAnsi="宋体" w:cs="宋体"/>
                <w:color w:val="auto"/>
                <w:kern w:val="0"/>
                <w:szCs w:val="21"/>
                <w:highlight w:val="none"/>
                <w:lang w:val="en-US" w:eastAsia="zh-CN"/>
              </w:rPr>
              <w:t>开户名称：广西建标建设工程咨询有限责任公司第一分公司；账号：45050160456300000499；开户行名称：中国建设银行股份有限公司南宁荣和支行</w:t>
            </w:r>
            <w:r>
              <w:rPr>
                <w:rFonts w:hint="eastAsia" w:ascii="宋体" w:hAnsi="宋体" w:cs="宋体"/>
                <w:color w:val="auto"/>
                <w:kern w:val="0"/>
                <w:szCs w:val="21"/>
                <w:highlight w:val="none"/>
              </w:rPr>
              <w:t>】；采用支票、汇票、本票或者保函等方式的，在首次响应文件提交截止时间前，供应商必须提交单独密封的支票、汇票、本票或者保函原件。否则视为无效竞标保证金。</w:t>
            </w:r>
          </w:p>
          <w:p w14:paraId="1F434369">
            <w:pPr>
              <w:snapToGrid w:val="0"/>
              <w:spacing w:line="360" w:lineRule="auto"/>
              <w:rPr>
                <w:rFonts w:hint="eastAsia" w:ascii="宋体" w:hAnsi="宋体" w:cs="宋体"/>
                <w:b/>
                <w:color w:val="auto"/>
                <w:szCs w:val="21"/>
                <w:highlight w:val="none"/>
              </w:rPr>
            </w:pPr>
            <w:r>
              <w:rPr>
                <w:rFonts w:hint="eastAsia" w:ascii="宋体" w:hAnsi="宋体" w:cs="宋体"/>
                <w:b/>
                <w:color w:val="auto"/>
                <w:szCs w:val="21"/>
                <w:highlight w:val="none"/>
              </w:rPr>
              <w:t>相关要求：</w:t>
            </w:r>
          </w:p>
          <w:p w14:paraId="5A561AED">
            <w:pPr>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1.竞标保证金采用银行转账交纳方式的，在响应文件提交截止时间前交至指定账户并且到账</w:t>
            </w:r>
            <w:r>
              <w:rPr>
                <w:rFonts w:hint="eastAsia"/>
                <w:color w:val="auto"/>
                <w:highlight w:val="none"/>
              </w:rPr>
              <w:t>。</w:t>
            </w:r>
            <w:r>
              <w:rPr>
                <w:rFonts w:hint="eastAsia" w:ascii="宋体" w:hAnsi="宋体" w:cs="宋体"/>
                <w:color w:val="auto"/>
                <w:szCs w:val="21"/>
                <w:highlight w:val="none"/>
              </w:rPr>
              <w:t>供应商应将银行转账底单的复印件作为竞标保证金提交凭证，放置于商务技术文件中，</w:t>
            </w:r>
            <w:r>
              <w:rPr>
                <w:rFonts w:hint="eastAsia" w:ascii="宋体" w:hAnsi="宋体" w:cs="宋体"/>
                <w:b/>
                <w:color w:val="auto"/>
                <w:szCs w:val="21"/>
                <w:highlight w:val="none"/>
              </w:rPr>
              <w:t>否则响应文件按无效处理</w:t>
            </w:r>
            <w:r>
              <w:rPr>
                <w:rFonts w:hint="eastAsia" w:ascii="宋体" w:hAnsi="宋体" w:cs="宋体"/>
                <w:color w:val="auto"/>
                <w:szCs w:val="21"/>
                <w:highlight w:val="none"/>
              </w:rPr>
              <w:t>。</w:t>
            </w:r>
          </w:p>
          <w:p w14:paraId="38CC43F4">
            <w:pPr>
              <w:snapToGrid w:val="0"/>
              <w:spacing w:line="360" w:lineRule="auto"/>
              <w:rPr>
                <w:rFonts w:hint="eastAsia" w:ascii="宋体" w:hAnsi="宋体"/>
                <w:color w:val="auto"/>
                <w:szCs w:val="21"/>
                <w:highlight w:val="none"/>
              </w:rPr>
            </w:pPr>
            <w:r>
              <w:rPr>
                <w:rFonts w:hint="eastAsia" w:ascii="宋体" w:hAnsi="宋体"/>
                <w:color w:val="auto"/>
                <w:szCs w:val="21"/>
                <w:highlight w:val="none"/>
              </w:rPr>
              <w:t>2.竞标保证金采用支票、汇票、本票或者银行、保险机构出具的保函</w:t>
            </w:r>
            <w:r>
              <w:rPr>
                <w:rFonts w:hint="eastAsia" w:ascii="宋体" w:hAnsi="宋体" w:cs="宋体"/>
                <w:color w:val="auto"/>
                <w:kern w:val="0"/>
                <w:szCs w:val="21"/>
                <w:highlight w:val="none"/>
              </w:rPr>
              <w:t>（包含电子保函）</w:t>
            </w:r>
            <w:r>
              <w:rPr>
                <w:rFonts w:hint="eastAsia" w:ascii="宋体" w:hAnsi="宋体"/>
                <w:color w:val="auto"/>
                <w:szCs w:val="21"/>
                <w:highlight w:val="none"/>
              </w:rPr>
              <w:t>交纳方式的，供应商应将支票、汇票、本票或者银行、保险机构出具的保函</w:t>
            </w:r>
            <w:r>
              <w:rPr>
                <w:rFonts w:hint="eastAsia" w:ascii="宋体" w:hAnsi="宋体" w:cs="宋体"/>
                <w:color w:val="auto"/>
                <w:kern w:val="0"/>
                <w:szCs w:val="21"/>
                <w:highlight w:val="none"/>
              </w:rPr>
              <w:t>（包含电子保函）</w:t>
            </w:r>
            <w:r>
              <w:rPr>
                <w:rFonts w:hint="eastAsia" w:ascii="宋体" w:hAnsi="宋体"/>
                <w:color w:val="auto"/>
                <w:szCs w:val="21"/>
                <w:highlight w:val="none"/>
              </w:rPr>
              <w:t>的复印件作为竞标保证金提交凭证，放置于</w:t>
            </w:r>
            <w:r>
              <w:rPr>
                <w:rFonts w:hint="eastAsia" w:ascii="宋体" w:hAnsi="宋体" w:cs="宋体"/>
                <w:color w:val="auto"/>
                <w:szCs w:val="21"/>
                <w:highlight w:val="none"/>
              </w:rPr>
              <w:t>商务技术文件</w:t>
            </w:r>
            <w:r>
              <w:rPr>
                <w:rFonts w:hint="eastAsia" w:ascii="宋体" w:hAnsi="宋体"/>
                <w:color w:val="auto"/>
                <w:szCs w:val="21"/>
                <w:highlight w:val="none"/>
              </w:rPr>
              <w:t>中，</w:t>
            </w:r>
            <w:r>
              <w:rPr>
                <w:rFonts w:hint="eastAsia" w:ascii="宋体" w:hAnsi="宋体" w:cs="宋体"/>
                <w:b/>
                <w:color w:val="auto"/>
                <w:szCs w:val="21"/>
                <w:highlight w:val="none"/>
              </w:rPr>
              <w:t>否则响应文件按无效处理</w:t>
            </w:r>
            <w:r>
              <w:rPr>
                <w:rFonts w:hint="eastAsia" w:ascii="宋体" w:hAnsi="宋体"/>
                <w:color w:val="auto"/>
                <w:szCs w:val="21"/>
                <w:highlight w:val="none"/>
              </w:rPr>
              <w:t>。供应商必须</w:t>
            </w:r>
            <w:r>
              <w:rPr>
                <w:rFonts w:hint="eastAsia"/>
                <w:color w:val="auto"/>
                <w:highlight w:val="none"/>
              </w:rPr>
              <w:t>在响应文件提交截止时间前采用现场或邮寄方式（现场提交地址：</w:t>
            </w:r>
            <w:r>
              <w:rPr>
                <w:rFonts w:hint="eastAsia"/>
                <w:color w:val="auto"/>
                <w:highlight w:val="none"/>
                <w:u w:val="single"/>
              </w:rPr>
              <w:t>南宁市白沙大道1-6号白沙苑综合二楼203室</w:t>
            </w:r>
            <w:r>
              <w:rPr>
                <w:rFonts w:hint="eastAsia"/>
                <w:color w:val="auto"/>
                <w:highlight w:val="none"/>
              </w:rPr>
              <w:t>；邮寄地址：</w:t>
            </w:r>
            <w:r>
              <w:rPr>
                <w:rFonts w:hint="eastAsia"/>
                <w:color w:val="auto"/>
                <w:highlight w:val="none"/>
                <w:u w:val="single"/>
              </w:rPr>
              <w:t>南宁市白沙大道1-6号白沙苑综合二楼203室</w:t>
            </w:r>
            <w:r>
              <w:rPr>
                <w:rFonts w:hint="eastAsia"/>
                <w:color w:val="auto"/>
                <w:highlight w:val="none"/>
              </w:rPr>
              <w:t>，收件人：</w:t>
            </w:r>
            <w:r>
              <w:rPr>
                <w:rFonts w:hint="eastAsia"/>
                <w:color w:val="auto"/>
                <w:highlight w:val="none"/>
                <w:u w:val="single"/>
              </w:rPr>
              <w:t>陈工</w:t>
            </w:r>
            <w:r>
              <w:rPr>
                <w:rFonts w:hint="eastAsia"/>
                <w:color w:val="auto"/>
                <w:highlight w:val="none"/>
              </w:rPr>
              <w:t>，联系方式：</w:t>
            </w:r>
            <w:r>
              <w:rPr>
                <w:rFonts w:hint="eastAsia"/>
                <w:color w:val="auto"/>
                <w:highlight w:val="none"/>
                <w:u w:val="single"/>
              </w:rPr>
              <w:t>0771-4923450</w:t>
            </w:r>
            <w:r>
              <w:rPr>
                <w:rFonts w:hint="eastAsia"/>
                <w:color w:val="auto"/>
                <w:highlight w:val="none"/>
              </w:rPr>
              <w:t>）</w:t>
            </w:r>
            <w:r>
              <w:rPr>
                <w:rFonts w:hint="eastAsia" w:ascii="宋体" w:hAnsi="宋体"/>
                <w:color w:val="auto"/>
                <w:szCs w:val="21"/>
                <w:highlight w:val="none"/>
              </w:rPr>
              <w:t>将</w:t>
            </w:r>
            <w:r>
              <w:rPr>
                <w:rFonts w:hint="eastAsia" w:ascii="宋体" w:hAnsi="宋体" w:cs="宋体"/>
                <w:color w:val="auto"/>
                <w:kern w:val="0"/>
                <w:szCs w:val="21"/>
                <w:highlight w:val="none"/>
              </w:rPr>
              <w:t>单独密封的</w:t>
            </w:r>
            <w:r>
              <w:rPr>
                <w:rFonts w:hint="eastAsia" w:ascii="宋体" w:hAnsi="宋体"/>
                <w:color w:val="auto"/>
                <w:szCs w:val="21"/>
                <w:highlight w:val="none"/>
              </w:rPr>
              <w:t>支票、汇票、本票或者银行、保险机构出具的保函原件提交给采购人或者采购代理机构，由采购人或者采购代理机构向供应商出具回执（邮寄方式的除外），并妥善保管。</w:t>
            </w:r>
          </w:p>
          <w:p w14:paraId="1A78B4F8">
            <w:pPr>
              <w:snapToGrid w:val="0"/>
              <w:spacing w:line="360" w:lineRule="auto"/>
              <w:rPr>
                <w:rFonts w:hint="eastAsia" w:ascii="宋体" w:hAnsi="宋体" w:cs="宋体"/>
                <w:b/>
                <w:color w:val="auto"/>
                <w:szCs w:val="21"/>
                <w:highlight w:val="none"/>
              </w:rPr>
            </w:pPr>
            <w:r>
              <w:rPr>
                <w:rFonts w:hint="eastAsia" w:ascii="宋体" w:hAnsi="宋体" w:cs="宋体"/>
                <w:color w:val="auto"/>
                <w:szCs w:val="21"/>
                <w:highlight w:val="none"/>
              </w:rPr>
              <w:t>3.供应商为联合体的，可以由联合体中的一方或者多方共同交纳谈判保证金，其交纳的保证金对联合体各方均具有约束力。</w:t>
            </w:r>
          </w:p>
          <w:p w14:paraId="37CFFA96">
            <w:pPr>
              <w:snapToGrid w:val="0"/>
              <w:spacing w:line="360" w:lineRule="auto"/>
              <w:rPr>
                <w:rFonts w:hint="eastAsia" w:ascii="宋体" w:hAnsi="宋体" w:cs="宋体"/>
                <w:b/>
                <w:color w:val="auto"/>
                <w:szCs w:val="21"/>
                <w:highlight w:val="none"/>
              </w:rPr>
            </w:pPr>
            <w:r>
              <w:rPr>
                <w:rFonts w:hint="eastAsia" w:ascii="宋体" w:hAnsi="宋体" w:cs="宋体"/>
                <w:b/>
                <w:color w:val="auto"/>
                <w:szCs w:val="21"/>
                <w:highlight w:val="none"/>
              </w:rPr>
              <w:t xml:space="preserve">备注： </w:t>
            </w:r>
          </w:p>
          <w:p w14:paraId="5C7B8846">
            <w:pPr>
              <w:snapToGrid w:val="0"/>
              <w:spacing w:line="360" w:lineRule="auto"/>
              <w:rPr>
                <w:rFonts w:hint="eastAsia" w:ascii="宋体" w:hAnsi="宋体" w:cs="宋体"/>
                <w:b/>
                <w:color w:val="auto"/>
                <w:szCs w:val="21"/>
                <w:highlight w:val="none"/>
              </w:rPr>
            </w:pPr>
            <w:r>
              <w:rPr>
                <w:rFonts w:hint="eastAsia" w:ascii="宋体" w:hAnsi="宋体" w:cs="宋体"/>
                <w:b/>
                <w:color w:val="auto"/>
                <w:szCs w:val="21"/>
                <w:highlight w:val="none"/>
              </w:rPr>
              <w:t>1.竞标保证金在响应文件提交截止时间后提交的，或者不按规定交纳方式交纳的，或者未足额交纳的（包含保函额度不足的），视为无效竞标保证金。</w:t>
            </w:r>
          </w:p>
          <w:p w14:paraId="44FE274A">
            <w:pPr>
              <w:snapToGrid w:val="0"/>
              <w:spacing w:line="360" w:lineRule="auto"/>
              <w:rPr>
                <w:rFonts w:hint="eastAsia" w:ascii="宋体" w:hAnsi="宋体" w:cs="宋体"/>
                <w:b/>
                <w:color w:val="auto"/>
                <w:szCs w:val="21"/>
                <w:highlight w:val="none"/>
              </w:rPr>
            </w:pPr>
            <w:r>
              <w:rPr>
                <w:rFonts w:hint="eastAsia" w:ascii="宋体" w:hAnsi="宋体" w:cs="宋体"/>
                <w:b/>
                <w:color w:val="auto"/>
                <w:szCs w:val="21"/>
                <w:highlight w:val="none"/>
              </w:rPr>
              <w:t>2.供应商采用现钞方式或者从个人账户（自然人竞标除外）转出的竞标保证金，视为无效竞标保证金。</w:t>
            </w:r>
          </w:p>
          <w:p w14:paraId="667F062E">
            <w:pPr>
              <w:snapToGrid w:val="0"/>
              <w:spacing w:line="360" w:lineRule="auto"/>
              <w:rPr>
                <w:rFonts w:hint="eastAsia" w:ascii="宋体" w:hAnsi="宋体" w:cs="宋体"/>
                <w:b/>
                <w:color w:val="auto"/>
                <w:szCs w:val="21"/>
                <w:highlight w:val="none"/>
              </w:rPr>
            </w:pPr>
            <w:r>
              <w:rPr>
                <w:rFonts w:hint="eastAsia" w:ascii="宋体" w:hAnsi="宋体" w:cs="宋体"/>
                <w:b/>
                <w:color w:val="auto"/>
                <w:szCs w:val="21"/>
                <w:highlight w:val="none"/>
              </w:rPr>
              <w:t>3.支票、汇票或者本票出现无效或者背书情形的，视为无效竞标保证金。</w:t>
            </w:r>
          </w:p>
          <w:p w14:paraId="705BAFF3">
            <w:pPr>
              <w:snapToGrid w:val="0"/>
              <w:spacing w:line="360" w:lineRule="auto"/>
              <w:rPr>
                <w:rFonts w:hint="eastAsia" w:ascii="宋体" w:hAnsi="宋体" w:cs="宋体"/>
                <w:b/>
                <w:color w:val="auto"/>
                <w:szCs w:val="21"/>
                <w:highlight w:val="none"/>
              </w:rPr>
            </w:pPr>
            <w:r>
              <w:rPr>
                <w:rFonts w:hint="eastAsia" w:ascii="宋体" w:hAnsi="宋体" w:cs="宋体"/>
                <w:b/>
                <w:color w:val="auto"/>
                <w:szCs w:val="21"/>
                <w:highlight w:val="none"/>
              </w:rPr>
              <w:t>4.保函有效期低于竞标有效期的，视为无效竞标保证金。</w:t>
            </w:r>
          </w:p>
          <w:p w14:paraId="4ADE773F">
            <w:pPr>
              <w:snapToGrid w:val="0"/>
              <w:spacing w:line="360" w:lineRule="auto"/>
              <w:rPr>
                <w:rFonts w:hint="eastAsia" w:ascii="宋体" w:hAnsi="宋体" w:cs="宋体"/>
                <w:color w:val="auto"/>
                <w:szCs w:val="21"/>
                <w:highlight w:val="none"/>
              </w:rPr>
            </w:pPr>
            <w:r>
              <w:rPr>
                <w:rFonts w:hint="eastAsia" w:ascii="宋体" w:hAnsi="宋体" w:cs="宋体"/>
                <w:b/>
                <w:color w:val="auto"/>
                <w:szCs w:val="21"/>
                <w:highlight w:val="none"/>
              </w:rPr>
              <w:t>5.竞标保证金采用银行、保险机构出具的保函为有条件保函的，视为无效竞标保证金。</w:t>
            </w:r>
          </w:p>
        </w:tc>
      </w:tr>
      <w:tr w14:paraId="61D3A8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56" w:type="pct"/>
            <w:noWrap w:val="0"/>
            <w:vAlign w:val="center"/>
          </w:tcPr>
          <w:p w14:paraId="4345B91E">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19</w:t>
            </w:r>
          </w:p>
        </w:tc>
        <w:tc>
          <w:tcPr>
            <w:tcW w:w="4443" w:type="pct"/>
            <w:noWrap w:val="0"/>
            <w:vAlign w:val="center"/>
          </w:tcPr>
          <w:p w14:paraId="79287C8A">
            <w:pPr>
              <w:autoSpaceDE w:val="0"/>
              <w:autoSpaceDN w:val="0"/>
              <w:snapToGrid w:val="0"/>
              <w:spacing w:line="360" w:lineRule="auto"/>
              <w:textAlignment w:val="bottom"/>
              <w:rPr>
                <w:rFonts w:hint="eastAsia" w:ascii="宋体" w:hAnsi="宋体"/>
                <w:b/>
                <w:color w:val="auto"/>
                <w:szCs w:val="21"/>
                <w:highlight w:val="none"/>
              </w:rPr>
            </w:pPr>
            <w:r>
              <w:rPr>
                <w:rFonts w:hint="eastAsia" w:ascii="宋体" w:hAnsi="宋体"/>
                <w:b/>
                <w:color w:val="auto"/>
                <w:szCs w:val="21"/>
                <w:highlight w:val="none"/>
              </w:rPr>
              <w:t>本项目不接受</w:t>
            </w:r>
            <w:r>
              <w:rPr>
                <w:rFonts w:hint="eastAsia"/>
                <w:b/>
                <w:color w:val="auto"/>
                <w:highlight w:val="none"/>
              </w:rPr>
              <w:t>电子</w:t>
            </w:r>
            <w:r>
              <w:rPr>
                <w:rFonts w:hint="eastAsia" w:ascii="宋体" w:hAnsi="宋体"/>
                <w:b/>
                <w:color w:val="auto"/>
                <w:szCs w:val="21"/>
                <w:highlight w:val="none"/>
              </w:rPr>
              <w:t>备份响应文件。</w:t>
            </w:r>
          </w:p>
        </w:tc>
      </w:tr>
      <w:tr w14:paraId="3CCC53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56" w:type="pct"/>
            <w:noWrap w:val="0"/>
            <w:vAlign w:val="center"/>
          </w:tcPr>
          <w:p w14:paraId="6CD3802A">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20.1</w:t>
            </w:r>
          </w:p>
        </w:tc>
        <w:tc>
          <w:tcPr>
            <w:tcW w:w="4443" w:type="pct"/>
            <w:noWrap w:val="0"/>
            <w:vAlign w:val="center"/>
          </w:tcPr>
          <w:p w14:paraId="58B0F8BB">
            <w:pPr>
              <w:spacing w:line="360" w:lineRule="auto"/>
              <w:contextualSpacing/>
              <w:jc w:val="left"/>
              <w:rPr>
                <w:rFonts w:hint="eastAsia" w:ascii="宋体" w:hAnsi="宋体" w:cs="宋体"/>
                <w:color w:val="auto"/>
                <w:szCs w:val="21"/>
                <w:highlight w:val="none"/>
                <w:u w:val="single"/>
              </w:rPr>
            </w:pPr>
            <w:r>
              <w:rPr>
                <w:rFonts w:hint="eastAsia" w:ascii="宋体" w:hAnsi="宋体" w:cs="宋体"/>
                <w:color w:val="auto"/>
                <w:szCs w:val="21"/>
                <w:highlight w:val="none"/>
              </w:rPr>
              <w:t>响应文件提交截止时间：详见竞争性谈判公告。</w:t>
            </w:r>
          </w:p>
          <w:p w14:paraId="4570FCA1">
            <w:pPr>
              <w:spacing w:line="360" w:lineRule="auto"/>
              <w:contextualSpacing/>
              <w:jc w:val="left"/>
              <w:rPr>
                <w:rFonts w:hint="eastAsia" w:ascii="宋体" w:hAnsi="宋体" w:cs="宋体"/>
                <w:color w:val="auto"/>
                <w:szCs w:val="21"/>
                <w:highlight w:val="none"/>
              </w:rPr>
            </w:pPr>
            <w:r>
              <w:rPr>
                <w:rFonts w:hint="eastAsia" w:ascii="宋体" w:hAnsi="宋体" w:cs="宋体"/>
                <w:color w:val="auto"/>
                <w:szCs w:val="21"/>
                <w:highlight w:val="none"/>
              </w:rPr>
              <w:t>响应文件提交地点：详见竞争性谈判公告。</w:t>
            </w:r>
          </w:p>
        </w:tc>
      </w:tr>
      <w:tr w14:paraId="49DB4D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56" w:type="pct"/>
            <w:noWrap w:val="0"/>
            <w:vAlign w:val="center"/>
          </w:tcPr>
          <w:p w14:paraId="53259F76">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24.1</w:t>
            </w:r>
          </w:p>
        </w:tc>
        <w:tc>
          <w:tcPr>
            <w:tcW w:w="4443" w:type="pct"/>
            <w:noWrap w:val="0"/>
            <w:vAlign w:val="center"/>
          </w:tcPr>
          <w:p w14:paraId="2E1128D8">
            <w:pPr>
              <w:snapToGrid w:val="0"/>
              <w:spacing w:line="360" w:lineRule="auto"/>
              <w:jc w:val="left"/>
              <w:rPr>
                <w:rFonts w:hint="eastAsia" w:ascii="宋体" w:hAnsi="宋体" w:cs="宋体"/>
                <w:color w:val="auto"/>
                <w:szCs w:val="21"/>
                <w:highlight w:val="none"/>
                <w:u w:val="single"/>
              </w:rPr>
            </w:pPr>
            <w:r>
              <w:rPr>
                <w:rFonts w:hint="eastAsia" w:ascii="宋体" w:hAnsi="宋体" w:cs="宋体"/>
                <w:color w:val="auto"/>
                <w:szCs w:val="21"/>
                <w:highlight w:val="none"/>
              </w:rPr>
              <w:t>谈判小组的人数：</w:t>
            </w:r>
            <w:r>
              <w:rPr>
                <w:rFonts w:hint="eastAsia" w:ascii="宋体" w:hAnsi="宋体" w:cs="宋体"/>
                <w:color w:val="auto"/>
                <w:szCs w:val="21"/>
                <w:highlight w:val="none"/>
                <w:u w:val="single"/>
              </w:rPr>
              <w:t xml:space="preserve"> 3</w:t>
            </w:r>
            <w:r>
              <w:rPr>
                <w:rFonts w:hint="eastAsia" w:ascii="宋体" w:hAnsi="宋体" w:cs="宋体"/>
                <w:color w:val="auto"/>
                <w:szCs w:val="21"/>
                <w:highlight w:val="none"/>
              </w:rPr>
              <w:t>人或以上单数。</w:t>
            </w:r>
          </w:p>
        </w:tc>
      </w:tr>
      <w:tr w14:paraId="455928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56" w:type="pct"/>
            <w:noWrap w:val="0"/>
            <w:vAlign w:val="center"/>
          </w:tcPr>
          <w:p w14:paraId="338A7BCA">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2</w:t>
            </w:r>
            <w:r>
              <w:rPr>
                <w:rFonts w:ascii="宋体" w:hAnsi="宋体" w:cs="宋体"/>
                <w:color w:val="auto"/>
                <w:szCs w:val="21"/>
                <w:highlight w:val="none"/>
              </w:rPr>
              <w:t>5</w:t>
            </w:r>
          </w:p>
        </w:tc>
        <w:tc>
          <w:tcPr>
            <w:tcW w:w="4443" w:type="pct"/>
            <w:noWrap w:val="0"/>
            <w:vAlign w:val="center"/>
          </w:tcPr>
          <w:p w14:paraId="49A3961D">
            <w:pPr>
              <w:snapToGrid w:val="0"/>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rPr>
              <w:t>首次响应文件开启时间详见“竞争性谈判公告”</w:t>
            </w:r>
          </w:p>
          <w:p w14:paraId="01687666">
            <w:pPr>
              <w:snapToGrid w:val="0"/>
              <w:spacing w:line="360" w:lineRule="auto"/>
              <w:jc w:val="left"/>
              <w:rPr>
                <w:rFonts w:ascii="宋体" w:hAnsi="宋体" w:cs="宋体"/>
                <w:color w:val="auto"/>
                <w:szCs w:val="21"/>
                <w:highlight w:val="none"/>
              </w:rPr>
            </w:pPr>
            <w:r>
              <w:rPr>
                <w:rFonts w:hint="eastAsia" w:ascii="宋体" w:hAnsi="宋体" w:cs="宋体"/>
                <w:color w:val="auto"/>
                <w:szCs w:val="21"/>
                <w:highlight w:val="none"/>
              </w:rPr>
              <w:t>首次响应文件解密时间：</w:t>
            </w:r>
            <w:r>
              <w:rPr>
                <w:rFonts w:hint="eastAsia" w:hAnsi="宋体"/>
                <w:color w:val="auto"/>
                <w:highlight w:val="none"/>
                <w:u w:val="single"/>
              </w:rPr>
              <w:t>30</w:t>
            </w:r>
            <w:r>
              <w:rPr>
                <w:rFonts w:hint="eastAsia" w:hAnsi="宋体"/>
                <w:color w:val="auto"/>
                <w:highlight w:val="none"/>
              </w:rPr>
              <w:t>分钟</w:t>
            </w:r>
          </w:p>
        </w:tc>
      </w:tr>
      <w:tr w14:paraId="05D9FF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4" w:hRule="atLeast"/>
          <w:jc w:val="center"/>
        </w:trPr>
        <w:tc>
          <w:tcPr>
            <w:tcW w:w="556" w:type="pct"/>
            <w:vMerge w:val="restart"/>
            <w:noWrap w:val="0"/>
            <w:vAlign w:val="center"/>
          </w:tcPr>
          <w:p w14:paraId="4692D822">
            <w:pPr>
              <w:spacing w:line="360" w:lineRule="auto"/>
              <w:jc w:val="center"/>
              <w:rPr>
                <w:rFonts w:hint="eastAsia" w:ascii="宋体" w:hAnsi="宋体" w:cs="宋体"/>
                <w:color w:val="auto"/>
                <w:szCs w:val="21"/>
                <w:highlight w:val="none"/>
              </w:rPr>
            </w:pPr>
            <w:r>
              <w:rPr>
                <w:rFonts w:ascii="宋体" w:hAnsi="宋体" w:cs="宋体"/>
                <w:color w:val="auto"/>
                <w:szCs w:val="21"/>
                <w:highlight w:val="none"/>
              </w:rPr>
              <w:t>26</w:t>
            </w:r>
          </w:p>
        </w:tc>
        <w:tc>
          <w:tcPr>
            <w:tcW w:w="4443" w:type="pct"/>
            <w:noWrap w:val="0"/>
            <w:vAlign w:val="center"/>
          </w:tcPr>
          <w:p w14:paraId="124CCD13">
            <w:pPr>
              <w:spacing w:line="360" w:lineRule="auto"/>
              <w:contextualSpacing/>
              <w:rPr>
                <w:rFonts w:hint="eastAsia" w:ascii="宋体" w:hAnsi="宋体" w:cs="宋体"/>
                <w:color w:val="auto"/>
                <w:szCs w:val="21"/>
                <w:highlight w:val="none"/>
              </w:rPr>
            </w:pPr>
            <w:r>
              <w:rPr>
                <w:rFonts w:hint="eastAsia" w:ascii="宋体" w:hAnsi="宋体" w:cs="宋体"/>
                <w:color w:val="auto"/>
                <w:szCs w:val="21"/>
                <w:highlight w:val="none"/>
              </w:rPr>
              <w:t>评审价相同时，按照最后报价由低到高顺序依次推荐；最后报价相同时，按节能、环保产品累计金额由高到低顺序依次推荐；节能、环保产品累计金额也相同时，按以下原则确定成交候选人的顺序：</w:t>
            </w:r>
          </w:p>
          <w:p w14:paraId="652C85DF">
            <w:pPr>
              <w:spacing w:line="360" w:lineRule="auto"/>
              <w:contextualSpacing/>
              <w:rPr>
                <w:rFonts w:hint="eastAsia" w:ascii="宋体" w:hAnsi="宋体" w:cs="宋体"/>
                <w:color w:val="auto"/>
                <w:szCs w:val="21"/>
                <w:highlight w:val="none"/>
              </w:rPr>
            </w:pPr>
            <w:r>
              <w:rPr>
                <w:rFonts w:hint="eastAsia" w:ascii="MS Mincho" w:hAnsi="MS Mincho" w:eastAsia="MS Mincho" w:cs="MS Mincho"/>
                <w:color w:val="auto"/>
                <w:szCs w:val="21"/>
                <w:highlight w:val="none"/>
              </w:rPr>
              <w:t>☑</w:t>
            </w:r>
            <w:r>
              <w:rPr>
                <w:rFonts w:hint="eastAsia" w:ascii="宋体" w:hAnsi="宋体" w:cs="宋体"/>
                <w:color w:val="auto"/>
                <w:szCs w:val="21"/>
                <w:highlight w:val="none"/>
              </w:rPr>
              <w:t>带“▲”的实质性要求正偏离项数多的优先、均无正偏离或者正偏离项数一致时负偏离项数少的优先、</w:t>
            </w:r>
            <w:r>
              <w:rPr>
                <w:rFonts w:hint="eastAsia" w:ascii="宋体" w:hAnsi="宋体" w:cs="宋体"/>
                <w:color w:val="auto"/>
                <w:szCs w:val="21"/>
                <w:highlight w:val="none"/>
                <w:lang w:val="en-US" w:eastAsia="zh-CN"/>
              </w:rPr>
              <w:t>质保</w:t>
            </w:r>
            <w:r>
              <w:rPr>
                <w:rFonts w:hint="eastAsia" w:ascii="宋体" w:hAnsi="宋体" w:cs="宋体"/>
                <w:color w:val="auto"/>
                <w:szCs w:val="21"/>
                <w:highlight w:val="none"/>
              </w:rPr>
              <w:t>期长优先、交货期短优先、故障响应时间短优先的顺序推荐。</w:t>
            </w:r>
          </w:p>
          <w:p w14:paraId="6C55290C">
            <w:pPr>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□由谈判小组推荐代表随机抽取。</w:t>
            </w:r>
          </w:p>
        </w:tc>
      </w:tr>
      <w:tr w14:paraId="153D96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56" w:type="pct"/>
            <w:vMerge w:val="continue"/>
            <w:noWrap w:val="0"/>
            <w:vAlign w:val="center"/>
          </w:tcPr>
          <w:p w14:paraId="1FD8C121">
            <w:pPr>
              <w:spacing w:line="360" w:lineRule="auto"/>
              <w:jc w:val="center"/>
              <w:rPr>
                <w:rFonts w:hint="eastAsia" w:ascii="宋体" w:hAnsi="宋体" w:cs="宋体"/>
                <w:color w:val="auto"/>
                <w:szCs w:val="21"/>
                <w:highlight w:val="none"/>
              </w:rPr>
            </w:pPr>
          </w:p>
        </w:tc>
        <w:tc>
          <w:tcPr>
            <w:tcW w:w="4443" w:type="pct"/>
            <w:noWrap w:val="0"/>
            <w:vAlign w:val="center"/>
          </w:tcPr>
          <w:p w14:paraId="543F842E">
            <w:pPr>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商务要求评审中允许负偏离的条款数为</w:t>
            </w:r>
            <w:r>
              <w:rPr>
                <w:rFonts w:hint="eastAsia" w:ascii="宋体" w:hAnsi="宋体" w:cs="宋体"/>
                <w:color w:val="auto"/>
                <w:szCs w:val="21"/>
                <w:highlight w:val="none"/>
                <w:u w:val="single"/>
              </w:rPr>
              <w:t xml:space="preserve"> 0 </w:t>
            </w:r>
            <w:r>
              <w:rPr>
                <w:rFonts w:hint="eastAsia" w:ascii="宋体" w:hAnsi="宋体" w:cs="宋体"/>
                <w:color w:val="auto"/>
                <w:szCs w:val="21"/>
                <w:highlight w:val="none"/>
              </w:rPr>
              <w:t>项。</w:t>
            </w:r>
          </w:p>
          <w:p w14:paraId="189BA145">
            <w:pPr>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技术要求评审中允许负偏离的条款数为</w:t>
            </w:r>
            <w:r>
              <w:rPr>
                <w:rFonts w:hint="eastAsia" w:ascii="宋体" w:hAnsi="宋体" w:cs="宋体"/>
                <w:color w:val="auto"/>
                <w:szCs w:val="21"/>
                <w:highlight w:val="none"/>
                <w:u w:val="single"/>
              </w:rPr>
              <w:t xml:space="preserve"> 0 </w:t>
            </w:r>
            <w:r>
              <w:rPr>
                <w:rFonts w:hint="eastAsia" w:ascii="宋体" w:hAnsi="宋体" w:cs="宋体"/>
                <w:color w:val="auto"/>
                <w:szCs w:val="21"/>
                <w:highlight w:val="none"/>
              </w:rPr>
              <w:t>项。</w:t>
            </w:r>
          </w:p>
        </w:tc>
      </w:tr>
      <w:tr w14:paraId="177F62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56" w:type="pct"/>
            <w:noWrap w:val="0"/>
            <w:vAlign w:val="center"/>
          </w:tcPr>
          <w:p w14:paraId="5FA8AD53">
            <w:pPr>
              <w:spacing w:line="360" w:lineRule="auto"/>
              <w:jc w:val="center"/>
              <w:rPr>
                <w:rFonts w:hint="eastAsia" w:ascii="宋体" w:hAnsi="宋体" w:cs="宋体"/>
                <w:color w:val="auto"/>
                <w:szCs w:val="21"/>
                <w:highlight w:val="none"/>
              </w:rPr>
            </w:pPr>
            <w:r>
              <w:rPr>
                <w:rFonts w:ascii="宋体" w:hAnsi="宋体" w:cs="宋体"/>
                <w:color w:val="auto"/>
                <w:szCs w:val="21"/>
                <w:highlight w:val="none"/>
              </w:rPr>
              <w:t>28.1</w:t>
            </w:r>
          </w:p>
        </w:tc>
        <w:tc>
          <w:tcPr>
            <w:tcW w:w="4443" w:type="pct"/>
            <w:noWrap w:val="0"/>
            <w:vAlign w:val="center"/>
          </w:tcPr>
          <w:p w14:paraId="6378DBBA">
            <w:pPr>
              <w:autoSpaceDE w:val="0"/>
              <w:autoSpaceDN w:val="0"/>
              <w:snapToGrid w:val="0"/>
              <w:spacing w:line="360" w:lineRule="auto"/>
              <w:textAlignment w:val="bottom"/>
              <w:rPr>
                <w:rFonts w:ascii="宋体" w:hAnsi="宋体"/>
                <w:color w:val="auto"/>
                <w:szCs w:val="21"/>
                <w:highlight w:val="none"/>
              </w:rPr>
            </w:pPr>
            <w:r>
              <w:rPr>
                <w:rFonts w:hint="eastAsia" w:ascii="MS Mincho" w:hAnsi="MS Mincho" w:cs="MS Mincho"/>
                <w:color w:val="auto"/>
                <w:szCs w:val="21"/>
                <w:highlight w:val="none"/>
                <w:lang w:eastAsia="zh-CN"/>
              </w:rPr>
              <w:t>☑</w:t>
            </w:r>
            <w:r>
              <w:rPr>
                <w:rFonts w:hint="eastAsia" w:ascii="宋体" w:hAnsi="宋体"/>
                <w:color w:val="auto"/>
                <w:szCs w:val="21"/>
                <w:highlight w:val="none"/>
              </w:rPr>
              <w:t>本项目不收取履约保证金。</w:t>
            </w:r>
          </w:p>
          <w:p w14:paraId="48496AD2">
            <w:pPr>
              <w:autoSpaceDE w:val="0"/>
              <w:autoSpaceDN w:val="0"/>
              <w:snapToGrid w:val="0"/>
              <w:spacing w:line="360" w:lineRule="auto"/>
              <w:textAlignment w:val="bottom"/>
              <w:rPr>
                <w:rFonts w:hint="eastAsia" w:ascii="宋体" w:hAnsi="宋体"/>
                <w:color w:val="auto"/>
                <w:szCs w:val="21"/>
                <w:highlight w:val="none"/>
              </w:rPr>
            </w:pPr>
            <w:r>
              <w:rPr>
                <w:rFonts w:hint="eastAsia" w:ascii="MS Gothic" w:hAnsi="MS Gothic" w:cs="MS Gothic"/>
                <w:color w:val="auto"/>
                <w:szCs w:val="21"/>
                <w:highlight w:val="none"/>
                <w:lang w:eastAsia="zh-CN"/>
              </w:rPr>
              <w:t>□</w:t>
            </w:r>
            <w:r>
              <w:rPr>
                <w:rFonts w:hint="eastAsia" w:ascii="宋体" w:hAnsi="宋体"/>
                <w:color w:val="auto"/>
                <w:szCs w:val="21"/>
                <w:highlight w:val="none"/>
              </w:rPr>
              <w:t>本项目收取履约保证金，具体规定如下：</w:t>
            </w:r>
          </w:p>
          <w:p w14:paraId="7951958F">
            <w:pPr>
              <w:autoSpaceDE w:val="0"/>
              <w:autoSpaceDN w:val="0"/>
              <w:snapToGrid w:val="0"/>
              <w:spacing w:line="360" w:lineRule="auto"/>
              <w:textAlignment w:val="bottom"/>
              <w:rPr>
                <w:rFonts w:hint="eastAsia" w:ascii="宋体" w:hAnsi="宋体" w:cs="宋体"/>
                <w:color w:val="auto"/>
                <w:szCs w:val="21"/>
                <w:highlight w:val="none"/>
              </w:rPr>
            </w:pPr>
            <w:r>
              <w:rPr>
                <w:rFonts w:hint="eastAsia" w:ascii="宋体" w:hAnsi="宋体" w:cs="宋体"/>
                <w:color w:val="auto"/>
                <w:szCs w:val="21"/>
                <w:highlight w:val="none"/>
              </w:rPr>
              <w:t>履约保证金金额：按成交金额的</w:t>
            </w:r>
            <w:r>
              <w:rPr>
                <w:rFonts w:hint="eastAsia" w:ascii="宋体" w:hAnsi="宋体" w:cs="宋体"/>
                <w:color w:val="auto"/>
                <w:szCs w:val="21"/>
                <w:highlight w:val="none"/>
                <w:u w:val="single"/>
                <w:lang w:val="en-US" w:eastAsia="zh-CN"/>
              </w:rPr>
              <w:t>/</w:t>
            </w:r>
            <w:r>
              <w:rPr>
                <w:rFonts w:hint="eastAsia" w:ascii="宋体" w:hAnsi="宋体" w:cs="宋体"/>
                <w:color w:val="auto"/>
                <w:szCs w:val="21"/>
                <w:highlight w:val="none"/>
              </w:rPr>
              <w:t>收取，成交供应商须于收到成交通知书后5个工作日内向采购人指定账户提交履约保证金。</w:t>
            </w:r>
          </w:p>
          <w:p w14:paraId="72DDFB8A">
            <w:pPr>
              <w:spacing w:line="360" w:lineRule="auto"/>
              <w:contextualSpacing/>
              <w:rPr>
                <w:rFonts w:hint="eastAsia" w:ascii="宋体" w:hAnsi="宋体" w:cs="宋体"/>
                <w:color w:val="auto"/>
                <w:szCs w:val="21"/>
                <w:highlight w:val="none"/>
              </w:rPr>
            </w:pPr>
            <w:r>
              <w:rPr>
                <w:rFonts w:hint="eastAsia" w:ascii="宋体" w:hAnsi="宋体" w:cs="宋体"/>
                <w:color w:val="auto"/>
                <w:szCs w:val="21"/>
                <w:highlight w:val="none"/>
              </w:rPr>
              <w:t>履约保证金提交方式：银行转账、支票、汇票、本票或者银行、保险机构出具的保函等非现金方式（参照竞标保证金）。</w:t>
            </w:r>
          </w:p>
          <w:p w14:paraId="6026AEB3">
            <w:pPr>
              <w:spacing w:line="360" w:lineRule="auto"/>
              <w:contextualSpacing/>
              <w:rPr>
                <w:rFonts w:hint="eastAsia" w:ascii="宋体" w:hAnsi="宋体" w:cs="宋体"/>
                <w:color w:val="auto"/>
                <w:szCs w:val="21"/>
                <w:highlight w:val="none"/>
              </w:rPr>
            </w:pPr>
            <w:r>
              <w:rPr>
                <w:rFonts w:hint="eastAsia" w:ascii="宋体" w:hAnsi="宋体" w:cs="宋体"/>
                <w:color w:val="auto"/>
                <w:szCs w:val="21"/>
                <w:highlight w:val="none"/>
              </w:rPr>
              <w:t>履约保证金退付方式、时间及条件：</w:t>
            </w:r>
            <w:r>
              <w:rPr>
                <w:rFonts w:hint="eastAsia" w:ascii="宋体" w:hAnsi="宋体" w:cs="宋体"/>
                <w:color w:val="auto"/>
                <w:szCs w:val="21"/>
                <w:highlight w:val="none"/>
                <w:u w:val="single"/>
              </w:rPr>
              <w:t>验收合格</w:t>
            </w:r>
            <w:r>
              <w:rPr>
                <w:rFonts w:hint="eastAsia" w:ascii="宋体" w:hAnsi="宋体"/>
                <w:color w:val="auto"/>
                <w:szCs w:val="21"/>
                <w:highlight w:val="none"/>
                <w:u w:val="single"/>
              </w:rPr>
              <w:t>后，无质量问题及违约问题，采购人将履约保证金一次性无息退还成交人。如最终验收与合同不符，全部履约保证金不予退还，而且由成交人按合同标的额的30%承担违约责任，并承担采购人在实现其合同权利过程中可能产生的其他一切损失</w:t>
            </w:r>
            <w:r>
              <w:rPr>
                <w:rFonts w:hint="eastAsia" w:ascii="宋体" w:hAnsi="宋体" w:cs="宋体"/>
                <w:color w:val="auto"/>
                <w:szCs w:val="21"/>
                <w:highlight w:val="none"/>
              </w:rPr>
              <w:t>。</w:t>
            </w:r>
          </w:p>
          <w:p w14:paraId="2D4B44D9">
            <w:pPr>
              <w:spacing w:line="360" w:lineRule="auto"/>
              <w:contextualSpacing/>
              <w:rPr>
                <w:rFonts w:hint="eastAsia" w:ascii="宋体" w:hAnsi="宋体" w:cs="宋体"/>
                <w:color w:val="auto"/>
                <w:szCs w:val="21"/>
                <w:highlight w:val="none"/>
              </w:rPr>
            </w:pPr>
            <w:r>
              <w:rPr>
                <w:rFonts w:hint="eastAsia" w:ascii="宋体" w:hAnsi="宋体" w:cs="宋体"/>
                <w:color w:val="auto"/>
                <w:szCs w:val="21"/>
                <w:highlight w:val="none"/>
              </w:rPr>
              <w:t>履约保证金指定账户：由采购人提供</w:t>
            </w:r>
          </w:p>
          <w:p w14:paraId="7EB1A843">
            <w:pPr>
              <w:spacing w:line="360" w:lineRule="auto"/>
              <w:contextualSpacing/>
              <w:rPr>
                <w:rFonts w:hint="eastAsia" w:ascii="宋体" w:hAnsi="宋体" w:cs="宋体"/>
                <w:color w:val="auto"/>
                <w:szCs w:val="21"/>
                <w:highlight w:val="none"/>
              </w:rPr>
            </w:pPr>
            <w:r>
              <w:rPr>
                <w:rFonts w:hint="eastAsia" w:ascii="宋体" w:hAnsi="宋体" w:cs="宋体"/>
                <w:color w:val="auto"/>
                <w:szCs w:val="21"/>
                <w:highlight w:val="none"/>
              </w:rPr>
              <w:t>备注：</w:t>
            </w:r>
          </w:p>
          <w:p w14:paraId="3C9744E3">
            <w:pPr>
              <w:spacing w:line="360" w:lineRule="auto"/>
              <w:contextualSpacing/>
              <w:rPr>
                <w:rFonts w:ascii="宋体" w:hAnsi="宋体" w:cs="宋体"/>
                <w:b/>
                <w:color w:val="auto"/>
                <w:szCs w:val="21"/>
                <w:highlight w:val="none"/>
              </w:rPr>
            </w:pPr>
            <w:r>
              <w:rPr>
                <w:rFonts w:hint="eastAsia" w:ascii="宋体" w:hAnsi="宋体" w:cs="宋体"/>
                <w:b/>
                <w:color w:val="auto"/>
                <w:szCs w:val="21"/>
                <w:highlight w:val="none"/>
              </w:rPr>
              <w:t>1.根据《广西壮族自治区财政厅关于规范政府采购货物和服务项目保证金管理的通知》（桂财规〔2022〕8号）规定，对中小企业收取的履约保证金数额不得超过政府采购合同金额的2%。</w:t>
            </w:r>
          </w:p>
          <w:p w14:paraId="2DBEFCF9">
            <w:pPr>
              <w:spacing w:line="360" w:lineRule="auto"/>
              <w:contextualSpacing/>
              <w:rPr>
                <w:rFonts w:hint="eastAsia" w:ascii="宋体" w:hAnsi="宋体" w:cs="宋体"/>
                <w:b/>
                <w:color w:val="auto"/>
                <w:szCs w:val="21"/>
                <w:highlight w:val="none"/>
              </w:rPr>
            </w:pPr>
            <w:r>
              <w:rPr>
                <w:rFonts w:ascii="宋体" w:hAnsi="宋体" w:cs="宋体"/>
                <w:b/>
                <w:color w:val="auto"/>
                <w:szCs w:val="21"/>
                <w:highlight w:val="none"/>
              </w:rPr>
              <w:t>2.</w:t>
            </w:r>
            <w:r>
              <w:rPr>
                <w:rFonts w:hint="eastAsia" w:ascii="宋体" w:hAnsi="宋体" w:cs="宋体"/>
                <w:b/>
                <w:color w:val="auto"/>
                <w:szCs w:val="21"/>
                <w:highlight w:val="none"/>
              </w:rPr>
              <w:t>履约保证金不足额缴纳的，或者银行、保险机构出具的保函额度不足的或者保函有效期低于合同履行期限（即签订采购合同之日起至履行完合同约定的权利及义务之日止）的，不予签订合同。</w:t>
            </w:r>
          </w:p>
          <w:p w14:paraId="1C3B8488">
            <w:pPr>
              <w:spacing w:line="360" w:lineRule="auto"/>
              <w:contextualSpacing/>
              <w:rPr>
                <w:rFonts w:hint="eastAsia" w:ascii="宋体" w:hAnsi="宋体" w:cs="宋体"/>
                <w:b/>
                <w:color w:val="auto"/>
                <w:szCs w:val="21"/>
                <w:highlight w:val="none"/>
              </w:rPr>
            </w:pPr>
            <w:r>
              <w:rPr>
                <w:rFonts w:ascii="宋体" w:hAnsi="宋体" w:cs="宋体"/>
                <w:b/>
                <w:color w:val="auto"/>
                <w:szCs w:val="21"/>
                <w:highlight w:val="none"/>
              </w:rPr>
              <w:t>3.</w:t>
            </w:r>
            <w:r>
              <w:rPr>
                <w:rFonts w:hint="eastAsia" w:ascii="宋体" w:hAnsi="宋体" w:cs="宋体"/>
                <w:b/>
                <w:color w:val="auto"/>
                <w:szCs w:val="21"/>
                <w:highlight w:val="none"/>
              </w:rPr>
              <w:t>采用银行、保险机构出具的保函的，必须为无条件保函，否则不予签订合同。</w:t>
            </w:r>
          </w:p>
          <w:p w14:paraId="28C0EEBA">
            <w:pPr>
              <w:snapToGrid w:val="0"/>
              <w:spacing w:line="360" w:lineRule="auto"/>
              <w:rPr>
                <w:rFonts w:hint="eastAsia" w:ascii="宋体" w:hAnsi="宋体" w:cs="宋体"/>
                <w:color w:val="auto"/>
                <w:szCs w:val="21"/>
                <w:highlight w:val="none"/>
              </w:rPr>
            </w:pPr>
            <w:r>
              <w:rPr>
                <w:rFonts w:ascii="宋体" w:hAnsi="宋体" w:cs="宋体"/>
                <w:b/>
                <w:color w:val="auto"/>
                <w:szCs w:val="21"/>
                <w:highlight w:val="none"/>
              </w:rPr>
              <w:t>4.</w:t>
            </w:r>
            <w:r>
              <w:rPr>
                <w:rFonts w:hint="eastAsia" w:ascii="宋体" w:hAnsi="宋体" w:cs="宋体"/>
                <w:b/>
                <w:color w:val="auto"/>
                <w:szCs w:val="21"/>
                <w:highlight w:val="none"/>
              </w:rPr>
              <w:t>供应商为联合体的，由联合体任意一方按规定提交的履约保证金，视为有效履约保证金。</w:t>
            </w:r>
          </w:p>
        </w:tc>
      </w:tr>
      <w:tr w14:paraId="5B4F49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56" w:type="pct"/>
            <w:noWrap w:val="0"/>
            <w:vAlign w:val="center"/>
          </w:tcPr>
          <w:p w14:paraId="0152D333">
            <w:pPr>
              <w:spacing w:line="360" w:lineRule="auto"/>
              <w:jc w:val="center"/>
              <w:rPr>
                <w:rFonts w:hint="eastAsia" w:ascii="宋体" w:hAnsi="宋体" w:cs="宋体"/>
                <w:color w:val="auto"/>
                <w:szCs w:val="21"/>
                <w:highlight w:val="none"/>
              </w:rPr>
            </w:pPr>
            <w:r>
              <w:rPr>
                <w:rFonts w:ascii="宋体" w:hAnsi="宋体" w:cs="宋体"/>
                <w:color w:val="auto"/>
                <w:szCs w:val="21"/>
                <w:highlight w:val="none"/>
              </w:rPr>
              <w:t>29</w:t>
            </w:r>
            <w:r>
              <w:rPr>
                <w:rFonts w:hint="eastAsia" w:ascii="宋体" w:hAnsi="宋体" w:cs="宋体"/>
                <w:color w:val="auto"/>
                <w:szCs w:val="21"/>
                <w:highlight w:val="none"/>
              </w:rPr>
              <w:t>.1</w:t>
            </w:r>
          </w:p>
        </w:tc>
        <w:tc>
          <w:tcPr>
            <w:tcW w:w="4443" w:type="pct"/>
            <w:noWrap w:val="0"/>
            <w:vAlign w:val="center"/>
          </w:tcPr>
          <w:p w14:paraId="62798E46">
            <w:pPr>
              <w:autoSpaceDE w:val="0"/>
              <w:autoSpaceDN w:val="0"/>
              <w:snapToGrid w:val="0"/>
              <w:spacing w:line="360" w:lineRule="auto"/>
              <w:textAlignment w:val="bottom"/>
              <w:rPr>
                <w:rFonts w:hint="eastAsia" w:ascii="宋体" w:hAnsi="宋体"/>
                <w:color w:val="auto"/>
                <w:szCs w:val="21"/>
                <w:highlight w:val="none"/>
              </w:rPr>
            </w:pPr>
            <w:r>
              <w:rPr>
                <w:rFonts w:hint="eastAsia" w:ascii="宋体" w:hAnsi="宋体"/>
                <w:color w:val="auto"/>
                <w:szCs w:val="21"/>
                <w:highlight w:val="none"/>
              </w:rPr>
              <w:t xml:space="preserve">签订合同携带的证明材料： </w:t>
            </w:r>
          </w:p>
          <w:p w14:paraId="5D91D2CC">
            <w:pPr>
              <w:autoSpaceDE w:val="0"/>
              <w:autoSpaceDN w:val="0"/>
              <w:snapToGrid w:val="0"/>
              <w:spacing w:line="360" w:lineRule="auto"/>
              <w:textAlignment w:val="bottom"/>
              <w:rPr>
                <w:rFonts w:hint="eastAsia" w:ascii="宋体" w:hAnsi="宋体"/>
                <w:color w:val="auto"/>
                <w:szCs w:val="21"/>
                <w:highlight w:val="none"/>
              </w:rPr>
            </w:pPr>
            <w:r>
              <w:rPr>
                <w:rFonts w:hint="eastAsia" w:ascii="宋体" w:hAnsi="宋体"/>
                <w:color w:val="auto"/>
                <w:szCs w:val="21"/>
                <w:highlight w:val="none"/>
              </w:rPr>
              <w:t>委托代理人负责签订合同的，须携带授权委托书及委托代理人身份证原件等其他资格证件。</w:t>
            </w:r>
          </w:p>
          <w:p w14:paraId="312A98A0">
            <w:pPr>
              <w:snapToGrid w:val="0"/>
              <w:spacing w:line="360" w:lineRule="auto"/>
              <w:rPr>
                <w:rFonts w:hint="eastAsia" w:ascii="宋体" w:hAnsi="宋体" w:cs="宋体"/>
                <w:color w:val="auto"/>
                <w:szCs w:val="21"/>
                <w:highlight w:val="none"/>
              </w:rPr>
            </w:pPr>
            <w:r>
              <w:rPr>
                <w:rFonts w:hint="eastAsia" w:ascii="宋体" w:hAnsi="宋体"/>
                <w:color w:val="auto"/>
                <w:szCs w:val="21"/>
                <w:highlight w:val="none"/>
              </w:rPr>
              <w:t>法定代表人负责签订合同的，须携带法定代表人</w:t>
            </w:r>
            <w:r>
              <w:rPr>
                <w:rFonts w:ascii="宋体" w:hAnsi="宋体"/>
                <w:color w:val="auto"/>
                <w:szCs w:val="21"/>
                <w:highlight w:val="none"/>
              </w:rPr>
              <w:t>身份证明原件</w:t>
            </w:r>
            <w:r>
              <w:rPr>
                <w:rFonts w:hint="eastAsia" w:ascii="宋体" w:hAnsi="宋体"/>
                <w:color w:val="auto"/>
                <w:szCs w:val="21"/>
                <w:highlight w:val="none"/>
              </w:rPr>
              <w:t>及</w:t>
            </w:r>
            <w:r>
              <w:rPr>
                <w:rFonts w:ascii="宋体" w:hAnsi="宋体"/>
                <w:color w:val="auto"/>
                <w:szCs w:val="21"/>
                <w:highlight w:val="none"/>
              </w:rPr>
              <w:t>身份证原件</w:t>
            </w:r>
            <w:r>
              <w:rPr>
                <w:rFonts w:hint="eastAsia" w:ascii="宋体" w:hAnsi="宋体"/>
                <w:color w:val="auto"/>
                <w:szCs w:val="21"/>
                <w:highlight w:val="none"/>
              </w:rPr>
              <w:t>等其他证明材料。</w:t>
            </w:r>
          </w:p>
        </w:tc>
      </w:tr>
      <w:tr w14:paraId="093EA5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56" w:type="pct"/>
            <w:noWrap w:val="0"/>
            <w:vAlign w:val="center"/>
          </w:tcPr>
          <w:p w14:paraId="25825717">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3</w:t>
            </w:r>
            <w:r>
              <w:rPr>
                <w:rFonts w:ascii="宋体" w:hAnsi="宋体" w:cs="宋体"/>
                <w:color w:val="auto"/>
                <w:szCs w:val="21"/>
                <w:highlight w:val="none"/>
              </w:rPr>
              <w:t>1.2</w:t>
            </w:r>
          </w:p>
        </w:tc>
        <w:tc>
          <w:tcPr>
            <w:tcW w:w="4443" w:type="pct"/>
            <w:noWrap w:val="0"/>
            <w:vAlign w:val="center"/>
          </w:tcPr>
          <w:p w14:paraId="2CF3E87B">
            <w:pPr>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接收质疑函方式：以书面形式。</w:t>
            </w:r>
          </w:p>
          <w:p w14:paraId="00BF7DFD">
            <w:pPr>
              <w:pStyle w:val="15"/>
              <w:snapToGrid w:val="0"/>
              <w:spacing w:line="360" w:lineRule="auto"/>
              <w:rPr>
                <w:rFonts w:hint="eastAsia" w:hAnsi="宋体" w:cs="宋体"/>
                <w:color w:val="auto"/>
                <w:kern w:val="2"/>
                <w:sz w:val="21"/>
                <w:highlight w:val="none"/>
              </w:rPr>
            </w:pPr>
            <w:r>
              <w:rPr>
                <w:rFonts w:hint="eastAsia" w:hAnsi="宋体" w:cs="宋体"/>
                <w:color w:val="auto"/>
                <w:kern w:val="2"/>
                <w:sz w:val="21"/>
                <w:highlight w:val="none"/>
              </w:rPr>
              <w:t>质疑联系部门及联系方式：</w:t>
            </w:r>
            <w:r>
              <w:rPr>
                <w:rFonts w:hint="eastAsia" w:hAnsi="宋体" w:cs="宋体"/>
                <w:color w:val="auto"/>
                <w:kern w:val="2"/>
                <w:sz w:val="21"/>
                <w:highlight w:val="none"/>
                <w:u w:val="single"/>
              </w:rPr>
              <w:t>广西建标建设工程咨询有限责任公司</w:t>
            </w:r>
            <w:r>
              <w:rPr>
                <w:rFonts w:hint="eastAsia" w:hAnsi="宋体" w:cs="宋体"/>
                <w:color w:val="auto"/>
                <w:kern w:val="2"/>
                <w:sz w:val="21"/>
                <w:highlight w:val="none"/>
              </w:rPr>
              <w:t>，联系电话：</w:t>
            </w:r>
            <w:r>
              <w:rPr>
                <w:rFonts w:hint="eastAsia" w:hAnsi="宋体"/>
                <w:color w:val="auto"/>
                <w:sz w:val="21"/>
                <w:highlight w:val="none"/>
                <w:u w:val="single"/>
              </w:rPr>
              <w:t>0771-4923450/18697917197</w:t>
            </w:r>
            <w:r>
              <w:rPr>
                <w:rFonts w:hint="eastAsia" w:hAnsi="宋体" w:cs="宋体"/>
                <w:color w:val="auto"/>
                <w:kern w:val="2"/>
                <w:sz w:val="21"/>
                <w:highlight w:val="none"/>
              </w:rPr>
              <w:t>，通讯地址：</w:t>
            </w:r>
            <w:r>
              <w:rPr>
                <w:rFonts w:hint="eastAsia" w:hAnsi="宋体"/>
                <w:color w:val="auto"/>
                <w:sz w:val="21"/>
                <w:highlight w:val="none"/>
                <w:u w:val="single"/>
              </w:rPr>
              <w:t>南宁市白沙大道1-6号白沙苑综合二楼203室。</w:t>
            </w:r>
          </w:p>
          <w:p w14:paraId="42DA91E0">
            <w:pPr>
              <w:pStyle w:val="15"/>
              <w:snapToGrid w:val="0"/>
              <w:spacing w:line="360" w:lineRule="auto"/>
              <w:rPr>
                <w:rFonts w:hint="eastAsia" w:hAnsi="宋体" w:cs="宋体"/>
                <w:color w:val="auto"/>
                <w:kern w:val="2"/>
                <w:sz w:val="21"/>
                <w:highlight w:val="none"/>
              </w:rPr>
            </w:pPr>
            <w:r>
              <w:rPr>
                <w:rFonts w:hint="eastAsia" w:hAnsi="宋体" w:cs="宋体"/>
                <w:color w:val="auto"/>
                <w:highlight w:val="none"/>
              </w:rPr>
              <w:t>业务时间：工作日每天上午</w:t>
            </w:r>
            <w:r>
              <w:rPr>
                <w:rFonts w:hAnsi="宋体" w:cs="宋体"/>
                <w:color w:val="auto"/>
                <w:highlight w:val="none"/>
              </w:rPr>
              <w:t>8</w:t>
            </w:r>
            <w:r>
              <w:rPr>
                <w:rFonts w:hint="eastAsia" w:hAnsi="宋体" w:cs="宋体"/>
                <w:color w:val="auto"/>
                <w:highlight w:val="none"/>
              </w:rPr>
              <w:t>时3</w:t>
            </w:r>
            <w:r>
              <w:rPr>
                <w:rFonts w:hAnsi="宋体" w:cs="宋体"/>
                <w:color w:val="auto"/>
                <w:highlight w:val="none"/>
              </w:rPr>
              <w:t>0</w:t>
            </w:r>
            <w:r>
              <w:rPr>
                <w:rFonts w:hint="eastAsia" w:hAnsi="宋体" w:cs="宋体"/>
                <w:color w:val="auto"/>
                <w:highlight w:val="none"/>
              </w:rPr>
              <w:t>分到</w:t>
            </w:r>
            <w:r>
              <w:rPr>
                <w:rFonts w:hAnsi="宋体" w:cs="宋体"/>
                <w:color w:val="auto"/>
                <w:highlight w:val="none"/>
              </w:rPr>
              <w:t>12</w:t>
            </w:r>
            <w:r>
              <w:rPr>
                <w:rFonts w:hint="eastAsia" w:hAnsi="宋体" w:cs="宋体"/>
                <w:color w:val="auto"/>
                <w:highlight w:val="none"/>
              </w:rPr>
              <w:t>时</w:t>
            </w:r>
            <w:r>
              <w:rPr>
                <w:rFonts w:hAnsi="宋体" w:cs="宋体"/>
                <w:color w:val="auto"/>
                <w:highlight w:val="none"/>
              </w:rPr>
              <w:t>00</w:t>
            </w:r>
            <w:r>
              <w:rPr>
                <w:rFonts w:hint="eastAsia" w:hAnsi="宋体" w:cs="宋体"/>
                <w:color w:val="auto"/>
                <w:highlight w:val="none"/>
              </w:rPr>
              <w:t>分，下午15时</w:t>
            </w:r>
            <w:r>
              <w:rPr>
                <w:rFonts w:hAnsi="宋体" w:cs="宋体"/>
                <w:color w:val="auto"/>
                <w:highlight w:val="none"/>
              </w:rPr>
              <w:t>00</w:t>
            </w:r>
            <w:r>
              <w:rPr>
                <w:rFonts w:hint="eastAsia" w:hAnsi="宋体" w:cs="宋体"/>
                <w:color w:val="auto"/>
                <w:highlight w:val="none"/>
              </w:rPr>
              <w:t>分到17时3</w:t>
            </w:r>
            <w:r>
              <w:rPr>
                <w:rFonts w:hAnsi="宋体" w:cs="宋体"/>
                <w:color w:val="auto"/>
                <w:highlight w:val="none"/>
              </w:rPr>
              <w:t>0</w:t>
            </w:r>
            <w:r>
              <w:rPr>
                <w:rFonts w:hint="eastAsia" w:hAnsi="宋体" w:cs="宋体"/>
                <w:color w:val="auto"/>
                <w:highlight w:val="none"/>
              </w:rPr>
              <w:t>分。</w:t>
            </w:r>
          </w:p>
        </w:tc>
      </w:tr>
      <w:tr w14:paraId="7CB9C9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56" w:type="pct"/>
            <w:noWrap w:val="0"/>
            <w:vAlign w:val="center"/>
          </w:tcPr>
          <w:p w14:paraId="0E2E6C1B">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3</w:t>
            </w:r>
            <w:r>
              <w:rPr>
                <w:rFonts w:ascii="宋体" w:hAnsi="宋体" w:cs="宋体"/>
                <w:color w:val="auto"/>
                <w:szCs w:val="21"/>
                <w:highlight w:val="none"/>
              </w:rPr>
              <w:t>2</w:t>
            </w:r>
            <w:r>
              <w:rPr>
                <w:rFonts w:hint="eastAsia" w:ascii="宋体" w:hAnsi="宋体" w:cs="宋体"/>
                <w:color w:val="auto"/>
                <w:szCs w:val="21"/>
                <w:highlight w:val="none"/>
              </w:rPr>
              <w:t>.1</w:t>
            </w:r>
          </w:p>
        </w:tc>
        <w:tc>
          <w:tcPr>
            <w:tcW w:w="4443" w:type="pct"/>
            <w:noWrap w:val="0"/>
            <w:vAlign w:val="center"/>
          </w:tcPr>
          <w:p w14:paraId="0D4F03EF">
            <w:pPr>
              <w:pStyle w:val="15"/>
              <w:snapToGrid w:val="0"/>
              <w:spacing w:line="360" w:lineRule="auto"/>
              <w:rPr>
                <w:rFonts w:hint="eastAsia" w:hAnsi="宋体" w:cs="宋体"/>
                <w:color w:val="auto"/>
                <w:sz w:val="21"/>
                <w:highlight w:val="none"/>
              </w:rPr>
            </w:pPr>
            <w:r>
              <w:rPr>
                <w:rFonts w:hint="eastAsia" w:hAnsi="宋体" w:cs="宋体"/>
                <w:color w:val="auto"/>
                <w:sz w:val="21"/>
                <w:highlight w:val="none"/>
              </w:rPr>
              <w:t>1.采购代理费支付方式：</w:t>
            </w:r>
          </w:p>
          <w:p w14:paraId="35DE121A">
            <w:pPr>
              <w:pStyle w:val="15"/>
              <w:snapToGrid w:val="0"/>
              <w:spacing w:line="360" w:lineRule="auto"/>
              <w:rPr>
                <w:rFonts w:hint="eastAsia" w:hAnsi="宋体" w:cs="宋体"/>
                <w:color w:val="auto"/>
                <w:sz w:val="21"/>
                <w:highlight w:val="none"/>
              </w:rPr>
            </w:pPr>
            <w:r>
              <w:rPr>
                <w:rFonts w:hint="eastAsia" w:ascii="MS Mincho" w:hAnsi="MS Mincho" w:eastAsia="MS Mincho" w:cs="MS Mincho"/>
                <w:color w:val="auto"/>
                <w:sz w:val="21"/>
                <w:highlight w:val="none"/>
              </w:rPr>
              <w:t>☑</w:t>
            </w:r>
            <w:r>
              <w:rPr>
                <w:rFonts w:hint="eastAsia" w:hAnsi="宋体" w:cs="宋体"/>
                <w:color w:val="auto"/>
                <w:sz w:val="21"/>
                <w:highlight w:val="none"/>
              </w:rPr>
              <w:t>本项目代理服务费由</w:t>
            </w:r>
            <w:r>
              <w:rPr>
                <w:rFonts w:hint="eastAsia" w:hAnsi="宋体" w:cs="宋体"/>
                <w:color w:val="auto"/>
                <w:sz w:val="21"/>
                <w:highlight w:val="none"/>
                <w:u w:val="single"/>
              </w:rPr>
              <w:t>成交供应商</w:t>
            </w:r>
            <w:r>
              <w:rPr>
                <w:rFonts w:hint="eastAsia" w:hAnsi="宋体" w:cs="宋体"/>
                <w:color w:val="auto"/>
                <w:sz w:val="21"/>
                <w:highlight w:val="none"/>
              </w:rPr>
              <w:t>一次性向采购代理机构支付。</w:t>
            </w:r>
          </w:p>
          <w:p w14:paraId="587072A2">
            <w:pPr>
              <w:pStyle w:val="15"/>
              <w:snapToGrid w:val="0"/>
              <w:spacing w:line="360" w:lineRule="auto"/>
              <w:rPr>
                <w:rFonts w:hint="eastAsia" w:hAnsi="宋体" w:cs="宋体"/>
                <w:color w:val="auto"/>
                <w:sz w:val="21"/>
                <w:highlight w:val="none"/>
              </w:rPr>
            </w:pPr>
            <w:r>
              <w:rPr>
                <w:rFonts w:hint="eastAsia" w:hAnsi="宋体" w:cs="宋体"/>
                <w:color w:val="auto"/>
                <w:sz w:val="21"/>
                <w:highlight w:val="none"/>
              </w:rPr>
              <w:t>□采购人支付。</w:t>
            </w:r>
          </w:p>
          <w:p w14:paraId="4514D5C2">
            <w:pPr>
              <w:pStyle w:val="15"/>
              <w:snapToGrid w:val="0"/>
              <w:spacing w:line="360" w:lineRule="auto"/>
              <w:rPr>
                <w:rFonts w:hint="eastAsia" w:hAnsi="宋体" w:cs="宋体"/>
                <w:color w:val="auto"/>
                <w:sz w:val="21"/>
                <w:highlight w:val="none"/>
              </w:rPr>
            </w:pPr>
            <w:r>
              <w:rPr>
                <w:rFonts w:hint="eastAsia" w:hAnsi="宋体" w:cs="宋体"/>
                <w:color w:val="auto"/>
                <w:sz w:val="21"/>
                <w:highlight w:val="none"/>
              </w:rPr>
              <w:t>2.采购代理费收取标准：</w:t>
            </w:r>
            <w:r>
              <w:rPr>
                <w:rFonts w:hint="eastAsia" w:hAnsi="宋体" w:cs="宋体"/>
                <w:color w:val="auto"/>
                <w:sz w:val="21"/>
                <w:highlight w:val="none"/>
                <w:lang w:val="en-US" w:eastAsia="zh-CN"/>
              </w:rPr>
              <w:t>按各标项</w:t>
            </w:r>
            <w:r>
              <w:rPr>
                <w:rFonts w:hint="eastAsia" w:hAnsi="宋体" w:cs="宋体"/>
                <w:color w:val="auto"/>
                <w:sz w:val="21"/>
                <w:highlight w:val="none"/>
              </w:rPr>
              <w:t>中标金额</w:t>
            </w:r>
            <w:r>
              <w:rPr>
                <w:rFonts w:hint="eastAsia" w:hAnsi="宋体" w:cs="宋体"/>
                <w:color w:val="auto"/>
                <w:sz w:val="21"/>
                <w:highlight w:val="none"/>
                <w:lang w:eastAsia="zh-CN"/>
              </w:rPr>
              <w:t>的</w:t>
            </w:r>
            <w:r>
              <w:rPr>
                <w:rFonts w:hint="eastAsia" w:hAnsi="宋体" w:cs="宋体"/>
                <w:color w:val="auto"/>
                <w:sz w:val="21"/>
                <w:highlight w:val="none"/>
                <w:lang w:val="en-US" w:eastAsia="zh-CN"/>
              </w:rPr>
              <w:t>1.7%计取</w:t>
            </w:r>
          </w:p>
          <w:p w14:paraId="3B59FE5D">
            <w:pPr>
              <w:pStyle w:val="15"/>
              <w:snapToGrid w:val="0"/>
              <w:spacing w:line="360" w:lineRule="auto"/>
              <w:rPr>
                <w:rFonts w:hAnsi="宋体" w:cs="宋体"/>
                <w:color w:val="auto"/>
                <w:sz w:val="21"/>
                <w:highlight w:val="none"/>
                <w:u w:val="single"/>
              </w:rPr>
            </w:pPr>
            <w:r>
              <w:rPr>
                <w:rFonts w:hint="eastAsia" w:hAnsi="宋体" w:cs="宋体"/>
                <w:color w:val="auto"/>
                <w:sz w:val="21"/>
                <w:highlight w:val="none"/>
              </w:rPr>
              <w:t>□固定采购代理收费</w:t>
            </w:r>
            <w:r>
              <w:rPr>
                <w:rFonts w:hint="eastAsia" w:hAnsi="宋体" w:cs="宋体"/>
                <w:color w:val="auto"/>
                <w:sz w:val="21"/>
                <w:highlight w:val="none"/>
                <w:u w:val="single"/>
              </w:rPr>
              <w:t xml:space="preserve"> / 。</w:t>
            </w:r>
          </w:p>
          <w:p w14:paraId="5DB79E8A">
            <w:pPr>
              <w:pStyle w:val="15"/>
              <w:snapToGrid w:val="0"/>
              <w:spacing w:line="360" w:lineRule="auto"/>
              <w:rPr>
                <w:rFonts w:hAnsi="宋体" w:cs="宋体"/>
                <w:color w:val="auto"/>
                <w:sz w:val="21"/>
                <w:highlight w:val="none"/>
              </w:rPr>
            </w:pPr>
            <w:r>
              <w:rPr>
                <w:rFonts w:hint="eastAsia" w:hAnsi="宋体" w:cs="宋体"/>
                <w:color w:val="auto"/>
                <w:sz w:val="21"/>
                <w:highlight w:val="none"/>
              </w:rPr>
              <w:t>3.采购代理费收取银行账户</w:t>
            </w:r>
          </w:p>
          <w:p w14:paraId="46437314">
            <w:pPr>
              <w:pStyle w:val="15"/>
              <w:snapToGrid w:val="0"/>
              <w:spacing w:line="360" w:lineRule="auto"/>
              <w:rPr>
                <w:rFonts w:hint="eastAsia" w:hAnsi="宋体" w:cs="宋体"/>
                <w:color w:val="auto"/>
                <w:sz w:val="21"/>
                <w:highlight w:val="none"/>
                <w:u w:val="none"/>
                <w:lang w:val="en-US" w:eastAsia="zh-CN"/>
              </w:rPr>
            </w:pPr>
            <w:r>
              <w:rPr>
                <w:rFonts w:hint="eastAsia" w:hAnsi="宋体" w:cs="宋体"/>
                <w:color w:val="auto"/>
                <w:sz w:val="21"/>
                <w:highlight w:val="none"/>
                <w:u w:val="none"/>
              </w:rPr>
              <w:t>账户名称：</w:t>
            </w:r>
            <w:r>
              <w:rPr>
                <w:rFonts w:hint="eastAsia" w:hAnsi="宋体" w:cs="宋体"/>
                <w:color w:val="auto"/>
                <w:sz w:val="21"/>
                <w:highlight w:val="none"/>
                <w:u w:val="none"/>
                <w:lang w:val="en-US" w:eastAsia="zh-CN"/>
              </w:rPr>
              <w:t xml:space="preserve">广西建标建设工程咨询有限责任公司第一分公司 </w:t>
            </w:r>
          </w:p>
          <w:p w14:paraId="29A7F1A9">
            <w:pPr>
              <w:pStyle w:val="15"/>
              <w:snapToGrid w:val="0"/>
              <w:spacing w:line="360" w:lineRule="auto"/>
              <w:rPr>
                <w:rFonts w:hint="eastAsia" w:hAnsi="宋体" w:cs="宋体"/>
                <w:color w:val="auto"/>
                <w:sz w:val="21"/>
                <w:highlight w:val="none"/>
                <w:u w:val="none"/>
                <w:lang w:val="en-US" w:eastAsia="zh-CN"/>
              </w:rPr>
            </w:pPr>
            <w:r>
              <w:rPr>
                <w:rFonts w:hint="eastAsia" w:hAnsi="宋体" w:cs="宋体"/>
                <w:color w:val="auto"/>
                <w:sz w:val="21"/>
                <w:highlight w:val="none"/>
                <w:u w:val="none"/>
                <w:lang w:val="en-US" w:eastAsia="zh-CN"/>
              </w:rPr>
              <w:t xml:space="preserve">开户银行：中国建设银行股份有限公司南宁荣和支行 </w:t>
            </w:r>
          </w:p>
          <w:p w14:paraId="34EC4A6D">
            <w:pPr>
              <w:pStyle w:val="15"/>
              <w:snapToGrid w:val="0"/>
              <w:spacing w:line="360" w:lineRule="auto"/>
              <w:rPr>
                <w:rFonts w:hint="eastAsia" w:hAnsi="宋体" w:cs="宋体"/>
                <w:color w:val="auto"/>
                <w:sz w:val="21"/>
                <w:highlight w:val="none"/>
                <w:u w:val="single"/>
              </w:rPr>
            </w:pPr>
            <w:r>
              <w:rPr>
                <w:rFonts w:hint="eastAsia" w:hAnsi="宋体" w:cs="宋体"/>
                <w:color w:val="auto"/>
                <w:sz w:val="21"/>
                <w:highlight w:val="none"/>
                <w:u w:val="none"/>
                <w:lang w:val="en-US" w:eastAsia="zh-CN"/>
              </w:rPr>
              <w:t>银行帐号：45050160456300000499</w:t>
            </w:r>
          </w:p>
        </w:tc>
      </w:tr>
      <w:tr w14:paraId="45864D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56" w:type="pct"/>
            <w:noWrap w:val="0"/>
            <w:vAlign w:val="center"/>
          </w:tcPr>
          <w:p w14:paraId="212FC4D6">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3</w:t>
            </w:r>
            <w:r>
              <w:rPr>
                <w:rFonts w:ascii="宋体" w:hAnsi="宋体" w:cs="宋体"/>
                <w:color w:val="auto"/>
                <w:szCs w:val="21"/>
                <w:highlight w:val="none"/>
              </w:rPr>
              <w:t>3.1</w:t>
            </w:r>
          </w:p>
        </w:tc>
        <w:tc>
          <w:tcPr>
            <w:tcW w:w="4443" w:type="pct"/>
            <w:noWrap w:val="0"/>
            <w:vAlign w:val="center"/>
          </w:tcPr>
          <w:p w14:paraId="0E4F2BAB">
            <w:pPr>
              <w:pStyle w:val="15"/>
              <w:snapToGrid w:val="0"/>
              <w:spacing w:line="360" w:lineRule="auto"/>
              <w:rPr>
                <w:rFonts w:hint="eastAsia" w:hAnsi="宋体" w:cs="宋体"/>
                <w:color w:val="auto"/>
                <w:sz w:val="21"/>
                <w:highlight w:val="none"/>
              </w:rPr>
            </w:pPr>
            <w:r>
              <w:rPr>
                <w:rFonts w:hint="eastAsia" w:hAnsi="宋体" w:cs="宋体"/>
                <w:color w:val="auto"/>
                <w:sz w:val="21"/>
                <w:highlight w:val="none"/>
              </w:rPr>
              <w:t>解释：</w:t>
            </w:r>
            <w:r>
              <w:rPr>
                <w:rFonts w:hAnsi="宋体" w:cs="宋体"/>
                <w:color w:val="auto"/>
                <w:sz w:val="21"/>
                <w:highlight w:val="none"/>
              </w:rPr>
              <w:t>构成本</w:t>
            </w:r>
            <w:r>
              <w:rPr>
                <w:rFonts w:hint="eastAsia" w:hAnsi="宋体" w:cs="宋体"/>
                <w:color w:val="auto"/>
                <w:sz w:val="21"/>
                <w:highlight w:val="none"/>
              </w:rPr>
              <w:t>谈判文件</w:t>
            </w:r>
            <w:r>
              <w:rPr>
                <w:rFonts w:hAnsi="宋体" w:cs="宋体"/>
                <w:color w:val="auto"/>
                <w:sz w:val="21"/>
                <w:highlight w:val="none"/>
              </w:rPr>
              <w:t>的各个组成文件应互为解释，互为说明；除</w:t>
            </w:r>
            <w:r>
              <w:rPr>
                <w:rFonts w:hint="eastAsia" w:hAnsi="宋体" w:cs="宋体"/>
                <w:color w:val="auto"/>
                <w:sz w:val="21"/>
                <w:highlight w:val="none"/>
              </w:rPr>
              <w:t>谈判文件</w:t>
            </w:r>
            <w:r>
              <w:rPr>
                <w:rFonts w:hAnsi="宋体" w:cs="宋体"/>
                <w:color w:val="auto"/>
                <w:sz w:val="21"/>
                <w:highlight w:val="none"/>
              </w:rPr>
              <w:t>中有特别规定外，仅适用于</w:t>
            </w:r>
            <w:r>
              <w:rPr>
                <w:rFonts w:hint="eastAsia" w:hAnsi="宋体" w:cs="宋体"/>
                <w:color w:val="auto"/>
                <w:sz w:val="21"/>
                <w:highlight w:val="none"/>
              </w:rPr>
              <w:t>竞标</w:t>
            </w:r>
            <w:r>
              <w:rPr>
                <w:rFonts w:hAnsi="宋体" w:cs="宋体"/>
                <w:color w:val="auto"/>
                <w:sz w:val="21"/>
                <w:highlight w:val="none"/>
              </w:rPr>
              <w:t>阶段的规定，按</w:t>
            </w:r>
            <w:r>
              <w:rPr>
                <w:rFonts w:hint="eastAsia" w:hAnsi="宋体" w:cs="宋体"/>
                <w:color w:val="auto"/>
                <w:sz w:val="21"/>
                <w:highlight w:val="none"/>
              </w:rPr>
              <w:t>更正公告（澄清公告）</w:t>
            </w:r>
            <w:r>
              <w:rPr>
                <w:rFonts w:hAnsi="宋体" w:cs="宋体"/>
                <w:color w:val="auto"/>
                <w:sz w:val="21"/>
                <w:highlight w:val="none"/>
              </w:rPr>
              <w:t>、</w:t>
            </w:r>
            <w:r>
              <w:rPr>
                <w:rFonts w:hint="eastAsia" w:hAnsi="宋体" w:cs="宋体"/>
                <w:color w:val="auto"/>
                <w:sz w:val="21"/>
                <w:highlight w:val="none"/>
              </w:rPr>
              <w:t>竞争性谈判</w:t>
            </w:r>
            <w:r>
              <w:rPr>
                <w:rFonts w:hAnsi="宋体" w:cs="宋体"/>
                <w:color w:val="auto"/>
                <w:sz w:val="21"/>
                <w:highlight w:val="none"/>
              </w:rPr>
              <w:t>公告、</w:t>
            </w:r>
            <w:r>
              <w:rPr>
                <w:rFonts w:hint="eastAsia" w:hAnsi="宋体" w:cs="宋体"/>
                <w:color w:val="auto"/>
                <w:sz w:val="21"/>
                <w:highlight w:val="none"/>
              </w:rPr>
              <w:t>供应商</w:t>
            </w:r>
            <w:r>
              <w:rPr>
                <w:rFonts w:hAnsi="宋体" w:cs="宋体"/>
                <w:color w:val="auto"/>
                <w:sz w:val="21"/>
                <w:highlight w:val="none"/>
              </w:rPr>
              <w:t>须知</w:t>
            </w:r>
            <w:r>
              <w:rPr>
                <w:rFonts w:hint="eastAsia" w:hAnsi="宋体" w:cs="宋体"/>
                <w:color w:val="auto"/>
                <w:sz w:val="21"/>
                <w:highlight w:val="none"/>
              </w:rPr>
              <w:t>、采购需求</w:t>
            </w:r>
            <w:r>
              <w:rPr>
                <w:rFonts w:hAnsi="宋体" w:cs="宋体"/>
                <w:color w:val="auto"/>
                <w:sz w:val="21"/>
                <w:highlight w:val="none"/>
              </w:rPr>
              <w:t>、</w:t>
            </w:r>
            <w:r>
              <w:rPr>
                <w:rFonts w:hint="eastAsia" w:hAnsi="宋体" w:cs="宋体"/>
                <w:color w:val="auto"/>
                <w:sz w:val="21"/>
                <w:highlight w:val="none"/>
              </w:rPr>
              <w:t>评审程序和评定成交的标准</w:t>
            </w:r>
            <w:r>
              <w:rPr>
                <w:rFonts w:hAnsi="宋体" w:cs="宋体"/>
                <w:color w:val="auto"/>
                <w:sz w:val="21"/>
                <w:highlight w:val="none"/>
              </w:rPr>
              <w:t>、</w:t>
            </w:r>
            <w:r>
              <w:rPr>
                <w:rFonts w:hint="eastAsia" w:hAnsi="宋体" w:cs="宋体"/>
                <w:color w:val="auto"/>
                <w:sz w:val="21"/>
                <w:highlight w:val="none"/>
              </w:rPr>
              <w:t>响应</w:t>
            </w:r>
            <w:r>
              <w:rPr>
                <w:rFonts w:hAnsi="宋体" w:cs="宋体"/>
                <w:color w:val="auto"/>
                <w:sz w:val="21"/>
                <w:highlight w:val="none"/>
              </w:rPr>
              <w:t>文件格式</w:t>
            </w:r>
            <w:r>
              <w:rPr>
                <w:rFonts w:hint="eastAsia" w:hAnsi="宋体" w:cs="宋体"/>
                <w:color w:val="auto"/>
                <w:sz w:val="21"/>
                <w:highlight w:val="none"/>
              </w:rPr>
              <w:t>、合同文本</w:t>
            </w:r>
            <w:r>
              <w:rPr>
                <w:rFonts w:hAnsi="宋体" w:cs="宋体"/>
                <w:color w:val="auto"/>
                <w:sz w:val="21"/>
                <w:highlight w:val="none"/>
              </w:rPr>
              <w:t>的先后顺序解释；同一组成文件中就同一事项的规定或约定不一致的，以编排顺序在后者为准；同一组成文件不同版本之间有不一致的，以形成时间在后者为准；</w:t>
            </w:r>
            <w:r>
              <w:rPr>
                <w:rFonts w:hint="eastAsia" w:hAnsi="宋体" w:cs="宋体"/>
                <w:color w:val="auto"/>
                <w:sz w:val="21"/>
                <w:highlight w:val="none"/>
              </w:rPr>
              <w:t>更正公告（澄清公告）</w:t>
            </w:r>
            <w:r>
              <w:rPr>
                <w:rFonts w:hAnsi="宋体" w:cs="宋体"/>
                <w:color w:val="auto"/>
                <w:sz w:val="21"/>
                <w:highlight w:val="none"/>
              </w:rPr>
              <w:t>与同步更新的</w:t>
            </w:r>
            <w:r>
              <w:rPr>
                <w:rFonts w:hint="eastAsia" w:hAnsi="宋体" w:cs="宋体"/>
                <w:color w:val="auto"/>
                <w:sz w:val="21"/>
                <w:highlight w:val="none"/>
              </w:rPr>
              <w:t>谈判文件</w:t>
            </w:r>
            <w:r>
              <w:rPr>
                <w:rFonts w:hAnsi="宋体" w:cs="宋体"/>
                <w:color w:val="auto"/>
                <w:sz w:val="21"/>
                <w:highlight w:val="none"/>
              </w:rPr>
              <w:t>不一致时以</w:t>
            </w:r>
            <w:r>
              <w:rPr>
                <w:rFonts w:hint="eastAsia" w:hAnsi="宋体" w:cs="宋体"/>
                <w:color w:val="auto"/>
                <w:sz w:val="21"/>
                <w:highlight w:val="none"/>
              </w:rPr>
              <w:t>更正公告（澄清公告）</w:t>
            </w:r>
            <w:r>
              <w:rPr>
                <w:rFonts w:hAnsi="宋体" w:cs="宋体"/>
                <w:color w:val="auto"/>
                <w:sz w:val="21"/>
                <w:highlight w:val="none"/>
              </w:rPr>
              <w:t>为准。按本款前述规定仍不能形成结论的，由</w:t>
            </w:r>
            <w:r>
              <w:rPr>
                <w:rFonts w:hint="eastAsia" w:hAnsi="宋体" w:cs="宋体"/>
                <w:color w:val="auto"/>
                <w:sz w:val="21"/>
                <w:highlight w:val="none"/>
              </w:rPr>
              <w:t>采购</w:t>
            </w:r>
            <w:r>
              <w:rPr>
                <w:rFonts w:hAnsi="宋体" w:cs="宋体"/>
                <w:color w:val="auto"/>
                <w:sz w:val="21"/>
                <w:highlight w:val="none"/>
              </w:rPr>
              <w:t>人</w:t>
            </w:r>
            <w:r>
              <w:rPr>
                <w:rFonts w:hint="eastAsia" w:hAnsi="宋体" w:cs="宋体"/>
                <w:color w:val="auto"/>
                <w:sz w:val="21"/>
                <w:highlight w:val="none"/>
              </w:rPr>
              <w:t>或者采购代理机构</w:t>
            </w:r>
            <w:r>
              <w:rPr>
                <w:rFonts w:hAnsi="宋体" w:cs="宋体"/>
                <w:color w:val="auto"/>
                <w:sz w:val="21"/>
                <w:highlight w:val="none"/>
              </w:rPr>
              <w:t>负责解释。</w:t>
            </w:r>
          </w:p>
        </w:tc>
      </w:tr>
      <w:tr w14:paraId="663DDF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56" w:type="pct"/>
            <w:noWrap w:val="0"/>
            <w:vAlign w:val="center"/>
          </w:tcPr>
          <w:p w14:paraId="04822506">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3</w:t>
            </w:r>
            <w:r>
              <w:rPr>
                <w:rFonts w:ascii="宋体" w:hAnsi="宋体" w:cs="宋体"/>
                <w:color w:val="auto"/>
                <w:szCs w:val="21"/>
                <w:highlight w:val="none"/>
              </w:rPr>
              <w:t>3.2</w:t>
            </w:r>
          </w:p>
        </w:tc>
        <w:tc>
          <w:tcPr>
            <w:tcW w:w="4443" w:type="pct"/>
            <w:noWrap w:val="0"/>
            <w:vAlign w:val="center"/>
          </w:tcPr>
          <w:p w14:paraId="19F7B3DD">
            <w:pPr>
              <w:pStyle w:val="15"/>
              <w:snapToGrid w:val="0"/>
              <w:spacing w:line="360" w:lineRule="auto"/>
              <w:rPr>
                <w:rFonts w:hint="eastAsia" w:hAnsi="宋体" w:cs="宋体"/>
                <w:color w:val="auto"/>
                <w:sz w:val="21"/>
                <w:highlight w:val="none"/>
              </w:rPr>
            </w:pPr>
            <w:r>
              <w:rPr>
                <w:rFonts w:hint="eastAsia" w:hAnsi="宋体" w:cs="宋体"/>
                <w:color w:val="auto"/>
                <w:sz w:val="21"/>
                <w:highlight w:val="none"/>
              </w:rPr>
              <w:t>1.本谈判文件中描述供应商的“公章”是指根据我国对公章的管理规定，用供应商法定主体行为名称制作的印章，除本谈判文件有特殊规定外，供应商的财务章、部门章、分公司章、工会章、合同章、竞标专用章、业务专用章及银行的转账章、现金收讫章、现金付讫章等其他形式印章均不能代替公章。</w:t>
            </w:r>
          </w:p>
          <w:p w14:paraId="1542198D">
            <w:pPr>
              <w:pStyle w:val="15"/>
              <w:snapToGrid w:val="0"/>
              <w:spacing w:line="360" w:lineRule="auto"/>
              <w:rPr>
                <w:rFonts w:hAnsi="宋体" w:cs="宋体"/>
                <w:bCs/>
                <w:color w:val="auto"/>
                <w:sz w:val="21"/>
                <w:highlight w:val="none"/>
              </w:rPr>
            </w:pPr>
            <w:r>
              <w:rPr>
                <w:rFonts w:hint="eastAsia" w:hAnsi="宋体" w:cs="宋体"/>
                <w:bCs/>
                <w:color w:val="auto"/>
                <w:sz w:val="21"/>
                <w:highlight w:val="none"/>
              </w:rPr>
              <w:t>2.本谈判文件所称的“</w:t>
            </w:r>
            <w:r>
              <w:rPr>
                <w:rFonts w:hint="eastAsia" w:hAnsi="宋体"/>
                <w:color w:val="auto"/>
                <w:sz w:val="21"/>
                <w:highlight w:val="none"/>
              </w:rPr>
              <w:t>电子签章</w:t>
            </w:r>
            <w:r>
              <w:rPr>
                <w:rFonts w:hint="eastAsia" w:hAnsi="宋体" w:cs="宋体"/>
                <w:bCs/>
                <w:color w:val="auto"/>
                <w:sz w:val="21"/>
                <w:highlight w:val="none"/>
              </w:rPr>
              <w:t>”、“电子签名”</w:t>
            </w:r>
            <w:r>
              <w:rPr>
                <w:rFonts w:hint="eastAsia" w:hAnsi="宋体"/>
                <w:color w:val="auto"/>
                <w:sz w:val="21"/>
                <w:highlight w:val="none"/>
              </w:rPr>
              <w:t>，是指经</w:t>
            </w:r>
            <w:r>
              <w:rPr>
                <w:rFonts w:hint="eastAsia" w:hAnsi="宋体"/>
                <w:color w:val="auto"/>
                <w:highlight w:val="none"/>
              </w:rPr>
              <w:t>广西政府采购云平台</w:t>
            </w:r>
            <w:r>
              <w:rPr>
                <w:rFonts w:hint="eastAsia" w:hAnsi="宋体"/>
                <w:color w:val="auto"/>
                <w:sz w:val="21"/>
                <w:highlight w:val="none"/>
              </w:rPr>
              <w:t>认可的CA认证的电子签名数据为表现形式的印章，可用于签署电子响应文件，电子印章与实物印章具有同等法律效力，不因其采用电子化表现形式而否定其法律效力。</w:t>
            </w:r>
          </w:p>
          <w:p w14:paraId="38B0E94F">
            <w:pPr>
              <w:pStyle w:val="15"/>
              <w:snapToGrid w:val="0"/>
              <w:spacing w:line="360" w:lineRule="auto"/>
              <w:rPr>
                <w:rFonts w:hint="eastAsia" w:hAnsi="宋体" w:cs="宋体"/>
                <w:bCs/>
                <w:color w:val="auto"/>
                <w:sz w:val="21"/>
                <w:highlight w:val="none"/>
              </w:rPr>
            </w:pPr>
            <w:r>
              <w:rPr>
                <w:rFonts w:hint="eastAsia" w:hAnsi="宋体" w:cs="宋体"/>
                <w:color w:val="auto"/>
                <w:sz w:val="21"/>
                <w:highlight w:val="none"/>
              </w:rPr>
              <w:t>3.供应商为其他组织或者自然人时，本谈判文件规定的法定代表人指负责人或者自然人。本谈判文件所称负责人是指参加竞标的其他组织</w:t>
            </w:r>
            <w:r>
              <w:rPr>
                <w:rFonts w:hint="eastAsia" w:hAnsi="宋体" w:cs="宋体"/>
                <w:bCs/>
                <w:color w:val="auto"/>
                <w:sz w:val="21"/>
                <w:highlight w:val="none"/>
              </w:rPr>
              <w:t>营业执照或者执业许可证等证照上</w:t>
            </w:r>
            <w:r>
              <w:rPr>
                <w:rFonts w:hint="eastAsia" w:hAnsi="宋体" w:cs="宋体"/>
                <w:color w:val="auto"/>
                <w:sz w:val="21"/>
                <w:highlight w:val="none"/>
              </w:rPr>
              <w:t>的负责人，本谈判文件所称自然人指参与竞标的自然人本人，</w:t>
            </w:r>
            <w:r>
              <w:rPr>
                <w:rFonts w:hint="eastAsia" w:hAnsi="宋体" w:cs="宋体"/>
                <w:bCs/>
                <w:color w:val="auto"/>
                <w:sz w:val="21"/>
                <w:highlight w:val="none"/>
              </w:rPr>
              <w:t>且应具备独立承担民事责任能力，自然人应当为年满18岁以上成年人（十六周岁以上的未成年人，以自己的劳动收入为主要生活来源的，视为完全民事行为能力人）。</w:t>
            </w:r>
          </w:p>
          <w:p w14:paraId="64350D62">
            <w:pPr>
              <w:pStyle w:val="15"/>
              <w:snapToGrid w:val="0"/>
              <w:spacing w:line="360" w:lineRule="auto"/>
              <w:rPr>
                <w:rFonts w:hint="eastAsia" w:hAnsi="宋体" w:cs="宋体"/>
                <w:color w:val="auto"/>
                <w:sz w:val="21"/>
                <w:highlight w:val="none"/>
              </w:rPr>
            </w:pPr>
            <w:r>
              <w:rPr>
                <w:rFonts w:hint="eastAsia" w:hAnsi="宋体" w:cs="宋体"/>
                <w:color w:val="auto"/>
                <w:sz w:val="21"/>
                <w:highlight w:val="none"/>
              </w:rPr>
              <w:t>4.本谈判文件中描述供应商的“签字”是指供应商的法定代表人或者委托代理人亲自在文件规定签署处亲笔写上个人的名字的行为，私章、签字章、印鉴、影印等其他形式均不能代替亲笔签字。</w:t>
            </w:r>
          </w:p>
          <w:p w14:paraId="2C9E9174">
            <w:pPr>
              <w:pStyle w:val="15"/>
              <w:snapToGrid w:val="0"/>
              <w:spacing w:line="360" w:lineRule="auto"/>
              <w:rPr>
                <w:rFonts w:hint="eastAsia" w:hAnsi="宋体" w:cs="宋体"/>
                <w:color w:val="auto"/>
                <w:sz w:val="21"/>
                <w:highlight w:val="none"/>
              </w:rPr>
            </w:pPr>
            <w:r>
              <w:rPr>
                <w:rFonts w:hAnsi="宋体" w:cs="宋体"/>
                <w:color w:val="auto"/>
                <w:sz w:val="21"/>
                <w:highlight w:val="none"/>
              </w:rPr>
              <w:t>5.</w:t>
            </w:r>
            <w:r>
              <w:rPr>
                <w:rFonts w:hint="eastAsia" w:hAnsi="宋体" w:cs="宋体"/>
                <w:color w:val="auto"/>
                <w:sz w:val="21"/>
                <w:highlight w:val="none"/>
              </w:rPr>
              <w:t>本谈判文件所称的“以上”“以下”“以内”“届满”，包括本数；所称的“不满”“超过”“以外”，不包括本数。</w:t>
            </w:r>
          </w:p>
        </w:tc>
      </w:tr>
    </w:tbl>
    <w:p w14:paraId="2ABD8974">
      <w:pPr>
        <w:spacing w:line="400" w:lineRule="exact"/>
        <w:jc w:val="center"/>
        <w:rPr>
          <w:rFonts w:hint="eastAsia" w:ascii="宋体" w:hAnsi="宋体"/>
          <w:b/>
          <w:color w:val="auto"/>
          <w:sz w:val="32"/>
          <w:szCs w:val="32"/>
          <w:highlight w:val="none"/>
        </w:rPr>
      </w:pPr>
      <w:r>
        <w:rPr>
          <w:rFonts w:ascii="宋体" w:hAnsi="宋体"/>
          <w:b/>
          <w:color w:val="auto"/>
          <w:sz w:val="32"/>
          <w:szCs w:val="32"/>
          <w:highlight w:val="none"/>
        </w:rPr>
        <w:br w:type="page"/>
      </w:r>
      <w:r>
        <w:rPr>
          <w:rFonts w:hint="eastAsia" w:ascii="宋体" w:hAnsi="宋体"/>
          <w:b/>
          <w:color w:val="auto"/>
          <w:sz w:val="32"/>
          <w:szCs w:val="32"/>
          <w:highlight w:val="none"/>
        </w:rPr>
        <w:t>供应商须知正文</w:t>
      </w:r>
    </w:p>
    <w:p w14:paraId="2BF85C23">
      <w:pPr>
        <w:spacing w:line="400" w:lineRule="exact"/>
        <w:jc w:val="center"/>
        <w:rPr>
          <w:rFonts w:hint="eastAsia" w:ascii="宋体" w:hAnsi="宋体"/>
          <w:b/>
          <w:color w:val="auto"/>
          <w:sz w:val="32"/>
          <w:szCs w:val="32"/>
          <w:highlight w:val="none"/>
        </w:rPr>
      </w:pPr>
    </w:p>
    <w:p w14:paraId="7DEE71C3">
      <w:pPr>
        <w:spacing w:line="400" w:lineRule="exact"/>
        <w:jc w:val="center"/>
        <w:rPr>
          <w:rFonts w:hint="eastAsia" w:ascii="宋体" w:hAnsi="宋体"/>
          <w:b/>
          <w:color w:val="auto"/>
          <w:sz w:val="32"/>
          <w:szCs w:val="32"/>
          <w:highlight w:val="none"/>
        </w:rPr>
      </w:pPr>
      <w:r>
        <w:rPr>
          <w:rFonts w:hint="eastAsia" w:ascii="宋体" w:hAnsi="宋体"/>
          <w:b/>
          <w:color w:val="auto"/>
          <w:sz w:val="32"/>
          <w:szCs w:val="32"/>
          <w:highlight w:val="none"/>
        </w:rPr>
        <w:t>一、总则</w:t>
      </w:r>
    </w:p>
    <w:p w14:paraId="1B3227CE">
      <w:pPr>
        <w:spacing w:line="400" w:lineRule="exact"/>
        <w:rPr>
          <w:rFonts w:hint="eastAsia" w:ascii="宋体" w:hAnsi="宋体"/>
          <w:color w:val="auto"/>
          <w:szCs w:val="21"/>
          <w:highlight w:val="none"/>
        </w:rPr>
      </w:pPr>
    </w:p>
    <w:p w14:paraId="41F4D566">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1. 适用范围</w:t>
      </w:r>
    </w:p>
    <w:p w14:paraId="07FB2679">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1.1适用法律：本项目采购人、采购代理机构、供应商、谈判小组的相关行为均受《中华人民共和国政府采购法》《中华人民共和国政府采购法实施条例》《政府采购非招标采购方式管理办法》及本项目本级和上级财政部门政府采购有关规定的约束和保护。</w:t>
      </w:r>
    </w:p>
    <w:p w14:paraId="26368841">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1.2</w:t>
      </w:r>
      <w:r>
        <w:rPr>
          <w:rFonts w:hint="eastAsia" w:ascii="宋体" w:hAnsi="宋体" w:cs="宋体"/>
          <w:color w:val="auto"/>
          <w:spacing w:val="-6"/>
          <w:szCs w:val="21"/>
          <w:highlight w:val="none"/>
        </w:rPr>
        <w:t>本竞争性谈判文件（以下简称谈判文件）适用于本项目的所有采购程序和环节（法律、法规另有规定的，从其规定）。</w:t>
      </w:r>
    </w:p>
    <w:p w14:paraId="3F744757">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2. 定义</w:t>
      </w:r>
    </w:p>
    <w:p w14:paraId="16377D0C">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2.1“采购人”是指依法进行采购的国家机关、事业单位、团体组织。</w:t>
      </w:r>
    </w:p>
    <w:p w14:paraId="191F3F40">
      <w:pPr>
        <w:spacing w:line="360" w:lineRule="auto"/>
        <w:ind w:firstLine="420" w:firstLineChars="200"/>
        <w:rPr>
          <w:rFonts w:hint="eastAsia" w:ascii="宋体" w:hAnsi="宋体"/>
          <w:b/>
          <w:color w:val="auto"/>
          <w:szCs w:val="21"/>
          <w:highlight w:val="none"/>
        </w:rPr>
      </w:pPr>
      <w:r>
        <w:rPr>
          <w:rFonts w:hint="eastAsia" w:ascii="宋体" w:hAnsi="宋体" w:cs="宋体"/>
          <w:color w:val="auto"/>
          <w:szCs w:val="21"/>
          <w:highlight w:val="none"/>
        </w:rPr>
        <w:t>2.2“采购代理机构”</w:t>
      </w:r>
      <w:r>
        <w:rPr>
          <w:rFonts w:hint="eastAsia" w:ascii="宋体" w:hAnsi="宋体"/>
          <w:b/>
          <w:color w:val="auto"/>
          <w:szCs w:val="21"/>
          <w:highlight w:val="none"/>
        </w:rPr>
        <w:t>是指政府采购集中采购机构和集中采购机构以外的采购代理机构。</w:t>
      </w:r>
    </w:p>
    <w:p w14:paraId="0D78D6DA">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2.3“供应商”是指向采购人提供货物、工程或者服务的法人、其他组织或者自然人。</w:t>
      </w:r>
    </w:p>
    <w:p w14:paraId="119FB648">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2.4“货物”是指各种形态和种类的物品，包括原材料、燃料、设备、产品等。</w:t>
      </w:r>
    </w:p>
    <w:p w14:paraId="47677CF4">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2.5“竞标”是指按照本项目竞争性谈判公告规定的方式供应商获取谈判文件、提交响应文件并希望获得标的的行为。</w:t>
      </w:r>
    </w:p>
    <w:p w14:paraId="292B4103">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2.6“售后服务” 是指包含但不限于供应商须承担的备品备件、包装、运输、装卸、保险、货到就位以及安装、调试、培训、保修和其他类似的义务。</w:t>
      </w:r>
    </w:p>
    <w:p w14:paraId="78DD35F6">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2.7“书面形式”是指合同书、信件和数据电文（包括电报、电传、传真、电子数据交换和电子邮件）等可以有形地表现所载内容的形式。</w:t>
      </w:r>
    </w:p>
    <w:p w14:paraId="429ED8CB">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2.8“响应文件”</w:t>
      </w:r>
      <w:r>
        <w:rPr>
          <w:rFonts w:hint="eastAsia" w:ascii="宋体" w:hAnsi="宋体" w:cs="宋体"/>
          <w:color w:val="auto"/>
          <w:spacing w:val="-6"/>
          <w:szCs w:val="21"/>
          <w:highlight w:val="none"/>
        </w:rPr>
        <w:t>是指：供应商根据本谈判文件要求，编制包含资格证明、报价、商务技术等所有内容的文件。</w:t>
      </w:r>
    </w:p>
    <w:p w14:paraId="4BDE3896">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2.9 “实质性要求”是指采购需求中带“▲”的条款或者不能负偏离的条款或者已经指明不满足按响应文件按无效处理的条款。</w:t>
      </w:r>
    </w:p>
    <w:p w14:paraId="75AA9641">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2.10“正偏离”，是指响应文件对谈判文件“采购需求”中有关条款作出优于条款要求并有利于采购人的响应情形；</w:t>
      </w:r>
    </w:p>
    <w:p w14:paraId="2257CA32">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2.11“负偏离”，是指响应文件对谈判文件“采购需求”中有关条款作出的响应不满足条款要求，导致采购人要求不能得到满足的情形。</w:t>
      </w:r>
    </w:p>
    <w:p w14:paraId="34B6684E">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2.12“允许负偏离的条款”是指采购需求中的不属于“实质性要求”的条款。</w:t>
      </w:r>
    </w:p>
    <w:p w14:paraId="73E7E6B9">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2.13“首次报价”是指供应商提交的首次响应文件中的竞标报价。</w:t>
      </w:r>
    </w:p>
    <w:p w14:paraId="3485D75F">
      <w:pPr>
        <w:spacing w:line="360" w:lineRule="auto"/>
        <w:ind w:firstLine="482" w:firstLineChars="200"/>
        <w:contextualSpacing/>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3. 供应商的资格条件</w:t>
      </w:r>
    </w:p>
    <w:p w14:paraId="5E8FCA0C">
      <w:pPr>
        <w:spacing w:line="360" w:lineRule="auto"/>
        <w:ind w:firstLine="420" w:firstLineChars="200"/>
        <w:contextualSpacing/>
        <w:rPr>
          <w:rFonts w:hint="eastAsia" w:ascii="宋体" w:hAnsi="宋体" w:cs="宋体"/>
          <w:color w:val="auto"/>
          <w:szCs w:val="21"/>
          <w:highlight w:val="none"/>
        </w:rPr>
      </w:pPr>
      <w:r>
        <w:rPr>
          <w:rFonts w:hint="eastAsia" w:ascii="宋体" w:hAnsi="宋体" w:cs="宋体"/>
          <w:color w:val="auto"/>
          <w:szCs w:val="21"/>
          <w:highlight w:val="none"/>
        </w:rPr>
        <w:t>供应商的资格条件详见“供应商须知前附表”。</w:t>
      </w:r>
    </w:p>
    <w:p w14:paraId="6F69EA23">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4. 竞标费用</w:t>
      </w:r>
    </w:p>
    <w:p w14:paraId="55B2D5FB">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竞标费用：供应商应承担参与本次采购活动有关的所有费用，包括但不限于获取谈判文件、勘查现场、编制和提交响应文件、参加谈判与应答、签订合同等，不论竞标结果如何，均应自行承担。</w:t>
      </w:r>
    </w:p>
    <w:p w14:paraId="18F3F3FB">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5.联合体竞标</w:t>
      </w:r>
    </w:p>
    <w:p w14:paraId="7AF01EBB">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5.1本项目是否接受联合体竞标，详见“供应商须知前附表”。</w:t>
      </w:r>
    </w:p>
    <w:p w14:paraId="56C27D51">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5.2</w:t>
      </w:r>
      <w:r>
        <w:rPr>
          <w:rFonts w:hint="eastAsia" w:ascii="宋体" w:hAnsi="宋体"/>
          <w:bCs/>
          <w:color w:val="auto"/>
          <w:szCs w:val="21"/>
          <w:highlight w:val="none"/>
        </w:rPr>
        <w:t>如接受联合体竞标，</w:t>
      </w:r>
      <w:r>
        <w:rPr>
          <w:rFonts w:hint="eastAsia" w:ascii="宋体" w:hAnsi="宋体" w:cs="宋体"/>
          <w:color w:val="auto"/>
          <w:szCs w:val="21"/>
          <w:highlight w:val="none"/>
        </w:rPr>
        <w:t>联合体竞标要求详见“供应商须知前附表”。</w:t>
      </w:r>
    </w:p>
    <w:p w14:paraId="6F91C5DD">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5.3</w:t>
      </w:r>
      <w:bookmarkStart w:id="82" w:name="_Hlk65857072"/>
      <w:r>
        <w:rPr>
          <w:rFonts w:hint="eastAsia" w:ascii="宋体" w:hAnsi="宋体"/>
          <w:color w:val="auto"/>
          <w:szCs w:val="21"/>
          <w:highlight w:val="none"/>
        </w:rPr>
        <w:t>根据《政府采购促进中小企业发展管理办法》（财库〔2020〕46号）及《广西壮族自治区财政厅关于持续优化政府采购营商环境推动高质量发展的通知》（桂财采〔2024〕55号）规定，接受大中型企业与小微企业组成联合体或者允许大中型企业向一家或者多家小微企业分包的采购项目，对于联合协议或者分包意向协议约定小微企业的合同份额占到合同总金额30%以上的，采购人、采购代理机构应当对联合体或者大中型企业的报价给予4%-6%的扣除，用扣除后的价格参加评审。</w:t>
      </w:r>
      <w:bookmarkEnd w:id="82"/>
    </w:p>
    <w:p w14:paraId="4236E48F">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 xml:space="preserve">6.转包与分包             </w:t>
      </w:r>
    </w:p>
    <w:p w14:paraId="5340BB12">
      <w:pPr>
        <w:pStyle w:val="6"/>
        <w:keepNext w:val="0"/>
        <w:keepLines w:val="0"/>
        <w:spacing w:before="0" w:after="0" w:line="360" w:lineRule="auto"/>
        <w:ind w:left="420" w:leftChars="200"/>
        <w:rPr>
          <w:rFonts w:hint="eastAsia" w:ascii="宋体" w:hAnsi="宋体"/>
          <w:b w:val="0"/>
          <w:color w:val="auto"/>
          <w:sz w:val="21"/>
          <w:szCs w:val="21"/>
          <w:highlight w:val="none"/>
        </w:rPr>
      </w:pPr>
      <w:bookmarkStart w:id="83" w:name="_Toc254970532"/>
      <w:bookmarkStart w:id="84" w:name="_Toc254970673"/>
      <w:r>
        <w:rPr>
          <w:rFonts w:hint="eastAsia" w:ascii="宋体" w:hAnsi="宋体"/>
          <w:b w:val="0"/>
          <w:color w:val="auto"/>
          <w:sz w:val="21"/>
          <w:szCs w:val="21"/>
          <w:highlight w:val="none"/>
        </w:rPr>
        <w:t>6.1本项目不允许转包。</w:t>
      </w:r>
    </w:p>
    <w:p w14:paraId="19E11B9F">
      <w:pPr>
        <w:pStyle w:val="6"/>
        <w:keepNext w:val="0"/>
        <w:keepLines w:val="0"/>
        <w:spacing w:before="0" w:after="0" w:line="360" w:lineRule="auto"/>
        <w:ind w:firstLine="315" w:firstLineChars="150"/>
        <w:rPr>
          <w:rFonts w:hint="eastAsia" w:ascii="宋体" w:hAnsi="宋体"/>
          <w:b w:val="0"/>
          <w:color w:val="auto"/>
          <w:sz w:val="21"/>
          <w:szCs w:val="21"/>
          <w:highlight w:val="none"/>
        </w:rPr>
      </w:pPr>
      <w:r>
        <w:rPr>
          <w:rFonts w:hint="eastAsia" w:ascii="宋体" w:hAnsi="宋体"/>
          <w:b w:val="0"/>
          <w:color w:val="auto"/>
          <w:sz w:val="21"/>
          <w:szCs w:val="21"/>
          <w:highlight w:val="none"/>
        </w:rPr>
        <w:t xml:space="preserve"> 6.2本项目是否允许分包详见“供应商须知前附表”，本项目不允许违法分包。允许分包的非主体、非关键性工作，根据法律法规规定承担该工作需要行政许可的，如该工作由供应商自行承担，供应商应具备相应的行政许可，如供应商不具备相应的行政许可必须采用分包的方式，但分包供应商应具备相应行政许可。</w:t>
      </w:r>
    </w:p>
    <w:p w14:paraId="2667EA3C">
      <w:pPr>
        <w:pStyle w:val="6"/>
        <w:keepNext w:val="0"/>
        <w:keepLines w:val="0"/>
        <w:spacing w:before="0" w:after="0" w:line="360" w:lineRule="auto"/>
        <w:ind w:firstLine="315" w:firstLineChars="150"/>
        <w:rPr>
          <w:rFonts w:hint="eastAsia" w:ascii="宋体" w:hAnsi="宋体"/>
          <w:b w:val="0"/>
          <w:color w:val="auto"/>
          <w:sz w:val="21"/>
          <w:szCs w:val="21"/>
          <w:highlight w:val="none"/>
        </w:rPr>
      </w:pPr>
      <w:r>
        <w:rPr>
          <w:rFonts w:hint="eastAsia" w:ascii="宋体" w:hAnsi="宋体"/>
          <w:b w:val="0"/>
          <w:color w:val="auto"/>
          <w:sz w:val="21"/>
          <w:szCs w:val="21"/>
          <w:highlight w:val="none"/>
        </w:rPr>
        <w:t xml:space="preserve"> 6.3供应商根据谈判文件的规定和采购项目的实际情况，拟在成交后将成交项目的非主体、非关键性工作分包的，应当在响应文件中载明分包承担主体，分包承担主体应当具备相应资质条件且不得再次分包。</w:t>
      </w:r>
    </w:p>
    <w:p w14:paraId="2DD2BD5A">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7.特别说明</w:t>
      </w:r>
      <w:bookmarkEnd w:id="83"/>
      <w:bookmarkEnd w:id="84"/>
    </w:p>
    <w:p w14:paraId="5ACA4EE3">
      <w:pPr>
        <w:spacing w:line="360" w:lineRule="auto"/>
        <w:ind w:firstLine="420" w:firstLineChars="200"/>
        <w:rPr>
          <w:rFonts w:hint="eastAsia" w:ascii="宋体" w:hAnsi="宋体" w:cs="宋体"/>
          <w:color w:val="auto"/>
          <w:szCs w:val="21"/>
          <w:highlight w:val="none"/>
        </w:rPr>
      </w:pPr>
      <w:bookmarkStart w:id="85" w:name="_8.1提供相同品牌产品且通过资格审查、符合性审查的不同投标人参加同一合"/>
      <w:bookmarkEnd w:id="85"/>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HYPERLINK  \l "_8.1"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7.1</w:t>
      </w:r>
      <w:r>
        <w:rPr>
          <w:rFonts w:hint="eastAsia" w:ascii="宋体" w:hAnsi="宋体" w:cs="宋体"/>
          <w:color w:val="auto"/>
          <w:szCs w:val="21"/>
          <w:highlight w:val="none"/>
        </w:rPr>
        <w:fldChar w:fldCharType="end"/>
      </w:r>
      <w:r>
        <w:rPr>
          <w:rFonts w:hint="eastAsia" w:ascii="宋体" w:hAnsi="宋体" w:cs="宋体"/>
          <w:color w:val="auto"/>
          <w:szCs w:val="21"/>
          <w:highlight w:val="none"/>
        </w:rPr>
        <w:t>提供相同品牌产品的不同供应商参加同一合同项下竞标的，以其中通过资格审查、符合性审查、谈判且最后报价最低的参加报价评审；最后报价相同的，由采购人或者采购人委托谈判小组按照“供应商须知前附表”规定的方式确定一个供应商获得成交人推荐资格，其他响应文件按无效处理。</w:t>
      </w:r>
    </w:p>
    <w:p w14:paraId="01B30668">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非单一产品采购项目，多家供应商提供的核心产品品牌相同的，按前款规定处理。</w:t>
      </w:r>
    </w:p>
    <w:p w14:paraId="3A78CD4A">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7.2</w:t>
      </w:r>
      <w:r>
        <w:rPr>
          <w:rFonts w:hint="eastAsia" w:ascii="宋体" w:hAnsi="宋体"/>
          <w:color w:val="auto"/>
          <w:szCs w:val="21"/>
          <w:highlight w:val="none"/>
        </w:rPr>
        <w:t xml:space="preserve">如果本谈判文件要求提供供应商或制造商的资格、信誉、荣誉、业绩与企业认证等材料的，资格、信誉、荣誉、业绩与企业认证等必须为供应商或者制造商所拥有或自身获得 </w:t>
      </w:r>
      <w:r>
        <w:rPr>
          <w:rFonts w:hint="eastAsia" w:ascii="宋体" w:hAnsi="宋体" w:cs="宋体"/>
          <w:color w:val="auto"/>
          <w:szCs w:val="21"/>
          <w:highlight w:val="none"/>
        </w:rPr>
        <w:t>。</w:t>
      </w:r>
    </w:p>
    <w:p w14:paraId="1136904C">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7.3供应商应仔细阅读谈判文件的所有内容，按照谈判文件的要求提交响应文件，并对所提供的全部资料的真实性承担法律责任。</w:t>
      </w:r>
    </w:p>
    <w:p w14:paraId="38CCD34D">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7.4供应商在竞标活动中提供任何虚假材料，其响应文件按无效处理，并报监管部门查处；签订合同后发现的，成交供应商须依照《中华人民共和国消费者权益保护法》规定赔偿采购人，且民事赔偿并不免除违法供应商的行政与刑事责任。</w:t>
      </w:r>
    </w:p>
    <w:p w14:paraId="18F6F9CB">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7.5在政府采购活动中，采购人员及相关人员与供应商有下列利害关系之一的，应当回避：</w:t>
      </w:r>
    </w:p>
    <w:p w14:paraId="63715457">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（1）参加采购活动前3年内与供应商存在劳动关系；</w:t>
      </w:r>
    </w:p>
    <w:p w14:paraId="488642A2">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（2）参加采购活动前3年内担任供应商的董事、监事；</w:t>
      </w:r>
    </w:p>
    <w:p w14:paraId="0F2331FA">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（3）参加采购活动前3年内是供应商的控股股东或者实际控制人；</w:t>
      </w:r>
    </w:p>
    <w:p w14:paraId="4CC215DC">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（4）与供应商的法定代表人或者负责人有夫妻、直系血亲、三代以内旁系血亲或者近姻亲关系；</w:t>
      </w:r>
    </w:p>
    <w:p w14:paraId="6909FCC6">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（5）与供应商有其他可能影响政府采购活动公平、公正进行的关系。</w:t>
      </w:r>
    </w:p>
    <w:p w14:paraId="761E1AFB">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14:paraId="0B97BE1B">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7.6有下列情形之一的视为供应商相互串通竞标，响应文件将被视为无效：</w:t>
      </w:r>
    </w:p>
    <w:p w14:paraId="407DCB2D">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（1）不同供应商的响应文件由同一单位或者个人编制；</w:t>
      </w:r>
    </w:p>
    <w:p w14:paraId="69C4E3C8">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（2）不同供应商委托同一单位或者个人办理竞标事宜；</w:t>
      </w:r>
    </w:p>
    <w:p w14:paraId="15333C60">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（3）不同的供应商的响应文件载明的项目管理员为同一个人；</w:t>
      </w:r>
    </w:p>
    <w:p w14:paraId="39D9D32F">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（4）不同供应商的响应文件异常一致或者报价呈规律性差异；</w:t>
      </w:r>
    </w:p>
    <w:p w14:paraId="26009423">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（5）不同供应商的响应文件相互混装；</w:t>
      </w:r>
    </w:p>
    <w:p w14:paraId="1B275E7B">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（6）不同供应商的竞标保证金从同一单位或者个人账户转出。</w:t>
      </w:r>
    </w:p>
    <w:p w14:paraId="25E04058">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7.7供应商有下列情形之一的，属于恶意串通行为</w:t>
      </w:r>
      <w:bookmarkStart w:id="86" w:name="_Hlk54682620"/>
      <w:r>
        <w:rPr>
          <w:rFonts w:hint="eastAsia" w:ascii="宋体" w:hAnsi="宋体" w:cs="宋体"/>
          <w:color w:val="auto"/>
          <w:szCs w:val="21"/>
          <w:highlight w:val="none"/>
        </w:rPr>
        <w:t>，将报同级监督管理部门</w:t>
      </w:r>
      <w:bookmarkEnd w:id="86"/>
      <w:r>
        <w:rPr>
          <w:rFonts w:hint="eastAsia" w:ascii="宋体" w:hAnsi="宋体" w:cs="宋体"/>
          <w:color w:val="auto"/>
          <w:szCs w:val="21"/>
          <w:highlight w:val="none"/>
        </w:rPr>
        <w:t>：</w:t>
      </w:r>
    </w:p>
    <w:p w14:paraId="09813DFC">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（1）供应商直接或者间接从采购人或者采购代理机构处获得其他供应商的相关信息并修改其响应文件；</w:t>
      </w:r>
    </w:p>
    <w:p w14:paraId="3A70C690">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（2）供应商按照采购人或者采购代理机构的授意撤换、修改响应文件；</w:t>
      </w:r>
    </w:p>
    <w:p w14:paraId="7FF986D2">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（3）供应商之间协商报价、技术方案等响应文件或者响应文件的实质性内容；</w:t>
      </w:r>
    </w:p>
    <w:p w14:paraId="754D239C">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（4）属于同一集团、协会、商会等组织成员的供应商按照该组织要求协同参加政府采购活动；</w:t>
      </w:r>
    </w:p>
    <w:p w14:paraId="07056421">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（5）供应商之间事先约定一致抬高或者压低报价，或者在政府采购活动中事先约定轮流以高价位或者低价位成交，或者事先约定由某一特定供应商成交，然后再参加竞标；</w:t>
      </w:r>
    </w:p>
    <w:p w14:paraId="4F805FF6">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（6）供应商之间商定部分供应商放弃参加政府采购活动或者放弃成交；</w:t>
      </w:r>
    </w:p>
    <w:p w14:paraId="57105739">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（7）供应商与采购人或者采购代理机构之间、供应商相互之间，为谋求特定供应商成交或者排斥其他供应商的其他串通行为。</w:t>
      </w:r>
    </w:p>
    <w:p w14:paraId="062CE403">
      <w:pPr>
        <w:spacing w:line="360" w:lineRule="auto"/>
        <w:ind w:left="1" w:firstLine="417" w:firstLineChars="199"/>
        <w:jc w:val="center"/>
        <w:rPr>
          <w:rFonts w:hint="eastAsia" w:ascii="宋体" w:hAnsi="宋体"/>
          <w:color w:val="auto"/>
          <w:highlight w:val="none"/>
        </w:rPr>
      </w:pPr>
      <w:bookmarkStart w:id="87" w:name="_Toc254970675"/>
      <w:bookmarkStart w:id="88" w:name="_Toc254970534"/>
    </w:p>
    <w:p w14:paraId="760A5062">
      <w:pPr>
        <w:spacing w:line="360" w:lineRule="auto"/>
        <w:jc w:val="center"/>
        <w:rPr>
          <w:rFonts w:hint="eastAsia" w:ascii="宋体" w:hAnsi="宋体"/>
          <w:b/>
          <w:color w:val="auto"/>
          <w:sz w:val="32"/>
          <w:szCs w:val="32"/>
          <w:highlight w:val="none"/>
        </w:rPr>
      </w:pPr>
      <w:r>
        <w:rPr>
          <w:rFonts w:hint="eastAsia" w:ascii="宋体" w:hAnsi="宋体"/>
          <w:b/>
          <w:color w:val="auto"/>
          <w:sz w:val="32"/>
          <w:szCs w:val="32"/>
          <w:highlight w:val="none"/>
        </w:rPr>
        <w:t>二、谈判文件</w:t>
      </w:r>
      <w:bookmarkEnd w:id="87"/>
      <w:bookmarkEnd w:id="88"/>
    </w:p>
    <w:p w14:paraId="57295899">
      <w:pPr>
        <w:spacing w:line="360" w:lineRule="auto"/>
        <w:jc w:val="center"/>
        <w:rPr>
          <w:rFonts w:hint="eastAsia" w:ascii="宋体" w:hAnsi="宋体"/>
          <w:color w:val="auto"/>
          <w:szCs w:val="21"/>
          <w:highlight w:val="none"/>
        </w:rPr>
      </w:pPr>
    </w:p>
    <w:p w14:paraId="7A22FF3F">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8.谈判文件的构成</w:t>
      </w:r>
    </w:p>
    <w:p w14:paraId="0F757123">
      <w:pPr>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（1）竞争性谈判公告；</w:t>
      </w:r>
    </w:p>
    <w:p w14:paraId="1CCCB518">
      <w:pPr>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 xml:space="preserve">（2）供应商须知； </w:t>
      </w:r>
    </w:p>
    <w:p w14:paraId="55D00F8B">
      <w:pPr>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（3）采购需求；</w:t>
      </w:r>
    </w:p>
    <w:p w14:paraId="1D6990FC">
      <w:pPr>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（4）响应文件格式</w:t>
      </w:r>
    </w:p>
    <w:p w14:paraId="533B8329">
      <w:pPr>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（5）合同文本；</w:t>
      </w:r>
    </w:p>
    <w:p w14:paraId="66FDB9D9">
      <w:pPr>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（6）评审程序和评定成交的标准；</w:t>
      </w:r>
    </w:p>
    <w:p w14:paraId="28C10BA3">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9.供应商的询问</w:t>
      </w:r>
    </w:p>
    <w:p w14:paraId="261A850A">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供应商应认真阅读谈判文件的采购需求，如供应商对谈判文件有疑问的，如要求采购人作出澄清或者修改的，供应商尽可能在</w:t>
      </w:r>
      <w:r>
        <w:rPr>
          <w:rFonts w:ascii="宋体" w:hAnsi="宋体"/>
          <w:color w:val="auto"/>
          <w:szCs w:val="21"/>
          <w:highlight w:val="none"/>
        </w:rPr>
        <w:t>提交首次响应文件截止之日前</w:t>
      </w:r>
      <w:r>
        <w:rPr>
          <w:rFonts w:hint="eastAsia" w:ascii="宋体" w:hAnsi="宋体"/>
          <w:color w:val="auto"/>
          <w:szCs w:val="21"/>
          <w:highlight w:val="none"/>
        </w:rPr>
        <w:t>，以书面形式向</w:t>
      </w:r>
      <w:r>
        <w:rPr>
          <w:rFonts w:ascii="宋体" w:hAnsi="宋体"/>
          <w:color w:val="auto"/>
          <w:szCs w:val="21"/>
          <w:highlight w:val="none"/>
        </w:rPr>
        <w:t>采购人、采购代理机构</w:t>
      </w:r>
      <w:r>
        <w:rPr>
          <w:rFonts w:hint="eastAsia" w:ascii="宋体" w:hAnsi="宋体"/>
          <w:color w:val="auto"/>
          <w:szCs w:val="21"/>
          <w:highlight w:val="none"/>
        </w:rPr>
        <w:t>提出。</w:t>
      </w:r>
    </w:p>
    <w:p w14:paraId="44ACDFCF">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10.谈判文件的澄清和修改</w:t>
      </w:r>
    </w:p>
    <w:p w14:paraId="0D40BF50">
      <w:pPr>
        <w:spacing w:line="360" w:lineRule="auto"/>
        <w:ind w:firstLine="420" w:firstLineChars="200"/>
        <w:rPr>
          <w:rFonts w:hint="eastAsia" w:ascii="宋体" w:hAnsi="宋体"/>
          <w:color w:val="auto"/>
          <w:szCs w:val="21"/>
          <w:highlight w:val="none"/>
        </w:rPr>
      </w:pPr>
      <w:r>
        <w:rPr>
          <w:rFonts w:ascii="宋体" w:hAnsi="宋体"/>
          <w:color w:val="auto"/>
          <w:szCs w:val="21"/>
          <w:highlight w:val="none"/>
        </w:rPr>
        <w:t>提交首次响应文件截止之日前，采购人、采购代理机构或者谈判小组可以对已发出的谈判文件进行必要的澄清或者修改，澄清或者修改的内容作为谈判文件的组成部分。澄清或者修改的内容可能影响响应文件编制的，采购人、采购代理机构或者谈判小组应当在提交首次响应文件截止之日3个工作日前，以书面形式通知所有接收谈判文件的供应商，不足3个工作日的，应当顺延提交首次响应文件截止之日。</w:t>
      </w:r>
    </w:p>
    <w:p w14:paraId="4E73DA57">
      <w:pPr>
        <w:spacing w:line="360" w:lineRule="auto"/>
        <w:rPr>
          <w:rFonts w:hint="eastAsia" w:ascii="宋体" w:hAnsi="宋体"/>
          <w:color w:val="auto"/>
          <w:szCs w:val="21"/>
          <w:highlight w:val="none"/>
        </w:rPr>
      </w:pPr>
    </w:p>
    <w:p w14:paraId="2F57E6EA">
      <w:pPr>
        <w:spacing w:line="360" w:lineRule="auto"/>
        <w:jc w:val="center"/>
        <w:rPr>
          <w:rFonts w:hint="eastAsia" w:ascii="宋体" w:hAnsi="宋体"/>
          <w:b/>
          <w:color w:val="auto"/>
          <w:szCs w:val="21"/>
          <w:highlight w:val="none"/>
        </w:rPr>
      </w:pPr>
      <w:r>
        <w:rPr>
          <w:rFonts w:hint="eastAsia" w:ascii="宋体" w:hAnsi="宋体"/>
          <w:b/>
          <w:color w:val="auto"/>
          <w:sz w:val="32"/>
          <w:szCs w:val="32"/>
          <w:highlight w:val="none"/>
        </w:rPr>
        <w:t>三、响应文件的编制</w:t>
      </w:r>
    </w:p>
    <w:p w14:paraId="6B6759DE">
      <w:pPr>
        <w:spacing w:line="360" w:lineRule="auto"/>
        <w:rPr>
          <w:rFonts w:hint="eastAsia" w:ascii="宋体" w:hAnsi="宋体"/>
          <w:color w:val="auto"/>
          <w:szCs w:val="21"/>
          <w:highlight w:val="none"/>
        </w:rPr>
      </w:pPr>
    </w:p>
    <w:p w14:paraId="770DFCB8">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11.响应文件的编制原则</w:t>
      </w:r>
    </w:p>
    <w:p w14:paraId="4EDF842B">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供应商必须按照谈判文件的要求编制响应文件，并对其提交的响应文件的真实性、合法性承担法律责任。响应文件必须对谈判文件作出实质性响应。</w:t>
      </w:r>
    </w:p>
    <w:p w14:paraId="052CC0FD">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12.响应文件的组成</w:t>
      </w:r>
    </w:p>
    <w:p w14:paraId="28C69AF9">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w:t>
      </w:r>
      <w:r>
        <w:rPr>
          <w:rFonts w:ascii="宋体" w:hAnsi="宋体" w:cs="宋体"/>
          <w:color w:val="auto"/>
          <w:szCs w:val="21"/>
          <w:highlight w:val="none"/>
        </w:rPr>
        <w:t>2.1</w:t>
      </w:r>
      <w:r>
        <w:rPr>
          <w:rFonts w:hint="eastAsia" w:ascii="宋体" w:hAnsi="宋体" w:cs="宋体"/>
          <w:color w:val="auto"/>
          <w:szCs w:val="21"/>
          <w:highlight w:val="none"/>
        </w:rPr>
        <w:t>响应文件由资格证明文件、报价文件、商务技术文件三部分组成。</w:t>
      </w:r>
    </w:p>
    <w:p w14:paraId="344E37F4">
      <w:pPr>
        <w:spacing w:line="360" w:lineRule="auto"/>
        <w:ind w:left="840" w:leftChars="200" w:hanging="420" w:hangingChars="200"/>
        <w:rPr>
          <w:rFonts w:hint="eastAsia" w:ascii="宋体" w:hAnsi="宋体" w:cs="宋体"/>
          <w:color w:val="auto"/>
          <w:szCs w:val="21"/>
          <w:highlight w:val="none"/>
        </w:rPr>
      </w:pPr>
      <w:r>
        <w:rPr>
          <w:rFonts w:hint="eastAsia" w:ascii="宋体" w:hAnsi="宋体" w:cs="宋体"/>
          <w:color w:val="auto"/>
          <w:szCs w:val="21"/>
          <w:highlight w:val="none"/>
        </w:rPr>
        <w:t>12.1</w:t>
      </w:r>
      <w:r>
        <w:rPr>
          <w:rFonts w:ascii="宋体" w:hAnsi="宋体" w:cs="宋体"/>
          <w:color w:val="auto"/>
          <w:szCs w:val="21"/>
          <w:highlight w:val="none"/>
        </w:rPr>
        <w:t>.1</w:t>
      </w:r>
      <w:r>
        <w:rPr>
          <w:rFonts w:hint="eastAsia" w:ascii="宋体" w:hAnsi="宋体" w:cs="宋体"/>
          <w:color w:val="auto"/>
          <w:szCs w:val="21"/>
          <w:highlight w:val="none"/>
        </w:rPr>
        <w:t>资格证明文件：详见“供应商须知前附表”</w:t>
      </w:r>
    </w:p>
    <w:p w14:paraId="43D63731">
      <w:pPr>
        <w:spacing w:line="360" w:lineRule="auto"/>
        <w:ind w:left="840" w:leftChars="200" w:hanging="420" w:hangingChars="200"/>
        <w:rPr>
          <w:rFonts w:hint="eastAsia" w:ascii="宋体" w:hAnsi="宋体" w:cs="宋体"/>
          <w:color w:val="auto"/>
          <w:szCs w:val="21"/>
          <w:highlight w:val="none"/>
        </w:rPr>
      </w:pPr>
      <w:r>
        <w:rPr>
          <w:rFonts w:hint="eastAsia" w:ascii="宋体" w:hAnsi="宋体" w:cs="宋体"/>
          <w:color w:val="auto"/>
          <w:szCs w:val="21"/>
          <w:highlight w:val="none"/>
        </w:rPr>
        <w:t>12.</w:t>
      </w:r>
      <w:r>
        <w:rPr>
          <w:rFonts w:ascii="宋体" w:hAnsi="宋体" w:cs="宋体"/>
          <w:color w:val="auto"/>
          <w:szCs w:val="21"/>
          <w:highlight w:val="none"/>
        </w:rPr>
        <w:t>1.</w:t>
      </w:r>
      <w:r>
        <w:rPr>
          <w:rFonts w:hint="eastAsia" w:ascii="宋体" w:hAnsi="宋体" w:cs="宋体"/>
          <w:color w:val="auto"/>
          <w:szCs w:val="21"/>
          <w:highlight w:val="none"/>
        </w:rPr>
        <w:t>2报价文件：详见“供应商须知前附表”</w:t>
      </w:r>
    </w:p>
    <w:p w14:paraId="69F8AD58">
      <w:pPr>
        <w:spacing w:line="360" w:lineRule="auto"/>
        <w:ind w:left="840" w:leftChars="200" w:hanging="420" w:hangingChars="200"/>
        <w:rPr>
          <w:rFonts w:hint="eastAsia" w:ascii="宋体" w:hAnsi="宋体" w:cs="宋体"/>
          <w:color w:val="auto"/>
          <w:szCs w:val="21"/>
          <w:highlight w:val="none"/>
        </w:rPr>
      </w:pPr>
      <w:r>
        <w:rPr>
          <w:rFonts w:hint="eastAsia" w:ascii="宋体" w:hAnsi="宋体" w:cs="宋体"/>
          <w:color w:val="auto"/>
          <w:szCs w:val="21"/>
          <w:highlight w:val="none"/>
        </w:rPr>
        <w:t>12.1.3商务技术文件：详见“供应商须知前附表”</w:t>
      </w:r>
    </w:p>
    <w:p w14:paraId="7B913DC1">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13.计量单位</w:t>
      </w:r>
    </w:p>
    <w:p w14:paraId="1043BA5A">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谈判文件已有明确规定的，使用谈判文件规定的计量单位；谈判文件没有规定的，应采用中华人民共和国法定计量单位，货币种类为人民币，否则视同未响应。</w:t>
      </w:r>
    </w:p>
    <w:p w14:paraId="0499167C">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14.竞标的风险</w:t>
      </w:r>
    </w:p>
    <w:p w14:paraId="5A5542F5">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供应商没有按照谈判文件要求提供全部资料，或者供应商没有对谈判文件在各方面作出实质性响应可能导致其响应文件按无效处理，是供应商应当考虑的风险。</w:t>
      </w:r>
    </w:p>
    <w:p w14:paraId="1BC0DFCB">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15.竞标报价</w:t>
      </w:r>
    </w:p>
    <w:p w14:paraId="19FAF8D6">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15.1竞标报价应按谈判文件中“竞标报价表”格式填写。</w:t>
      </w:r>
    </w:p>
    <w:p w14:paraId="66469461">
      <w:pPr>
        <w:tabs>
          <w:tab w:val="left" w:pos="2492"/>
        </w:tabs>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15.2竞标报价的内容详见“供应商须知前附表”。</w:t>
      </w:r>
    </w:p>
    <w:p w14:paraId="77AD1AFC">
      <w:pPr>
        <w:spacing w:line="360" w:lineRule="auto"/>
        <w:ind w:left="426" w:leftChars="203"/>
        <w:rPr>
          <w:rFonts w:hint="eastAsia" w:ascii="宋体" w:hAnsi="宋体" w:cs="宋体"/>
          <w:color w:val="auto"/>
          <w:szCs w:val="21"/>
          <w:highlight w:val="none"/>
        </w:rPr>
      </w:pPr>
      <w:r>
        <w:rPr>
          <w:rFonts w:hint="eastAsia" w:ascii="宋体" w:hAnsi="宋体" w:cs="宋体"/>
          <w:color w:val="auto"/>
          <w:szCs w:val="21"/>
          <w:highlight w:val="none"/>
        </w:rPr>
        <w:t>15.3竞标报价要求</w:t>
      </w:r>
    </w:p>
    <w:p w14:paraId="096AE725">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w:t>
      </w:r>
      <w:r>
        <w:rPr>
          <w:rFonts w:ascii="宋体" w:hAnsi="宋体" w:cs="宋体"/>
          <w:color w:val="auto"/>
          <w:szCs w:val="21"/>
          <w:highlight w:val="none"/>
        </w:rPr>
        <w:t>5.3.1</w:t>
      </w:r>
      <w:r>
        <w:rPr>
          <w:rFonts w:hint="eastAsia" w:ascii="宋体" w:hAnsi="宋体" w:cs="宋体"/>
          <w:color w:val="auto"/>
          <w:szCs w:val="21"/>
          <w:highlight w:val="none"/>
        </w:rPr>
        <w:t>供应商的竞标报价应符合以下要求，否则响应文件按无效响应处理：</w:t>
      </w:r>
    </w:p>
    <w:p w14:paraId="44F586A8">
      <w:pPr>
        <w:spacing w:line="360" w:lineRule="auto"/>
        <w:ind w:left="420" w:leftChars="200"/>
        <w:rPr>
          <w:rFonts w:ascii="宋体" w:hAnsi="宋体" w:cs="宋体"/>
          <w:color w:val="auto"/>
          <w:szCs w:val="21"/>
          <w:highlight w:val="none"/>
        </w:rPr>
      </w:pPr>
      <w:r>
        <w:rPr>
          <w:rFonts w:hint="eastAsia" w:ascii="宋体" w:hAnsi="宋体" w:cs="宋体"/>
          <w:color w:val="auto"/>
          <w:szCs w:val="21"/>
          <w:highlight w:val="none"/>
        </w:rPr>
        <w:t>（1）供应商必须就“采购需求”中所竞标的每个分标的全部内容分别作完整唯一总价报价，</w:t>
      </w:r>
    </w:p>
    <w:p w14:paraId="197745E5">
      <w:pPr>
        <w:spacing w:line="360" w:lineRule="auto"/>
        <w:rPr>
          <w:rFonts w:ascii="宋体" w:hAnsi="宋体" w:cs="宋体"/>
          <w:color w:val="auto"/>
          <w:szCs w:val="21"/>
          <w:highlight w:val="none"/>
        </w:rPr>
      </w:pPr>
      <w:r>
        <w:rPr>
          <w:rFonts w:hint="eastAsia" w:ascii="宋体" w:hAnsi="宋体" w:cs="宋体"/>
          <w:color w:val="auto"/>
          <w:szCs w:val="21"/>
          <w:highlight w:val="none"/>
        </w:rPr>
        <w:t>不得存在漏项报价；</w:t>
      </w:r>
    </w:p>
    <w:p w14:paraId="2E9809B8">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w:t>
      </w:r>
      <w:r>
        <w:rPr>
          <w:rFonts w:ascii="宋体" w:hAnsi="宋体" w:cs="宋体"/>
          <w:color w:val="auto"/>
          <w:szCs w:val="21"/>
          <w:highlight w:val="none"/>
        </w:rPr>
        <w:t>2</w:t>
      </w:r>
      <w:r>
        <w:rPr>
          <w:rFonts w:hint="eastAsia" w:ascii="宋体" w:hAnsi="宋体" w:cs="宋体"/>
          <w:color w:val="auto"/>
          <w:szCs w:val="21"/>
          <w:highlight w:val="none"/>
        </w:rPr>
        <w:t>）供应商必须就所竞标的分标的单项内容作唯一报价。</w:t>
      </w:r>
    </w:p>
    <w:p w14:paraId="79BAD1AF">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15.3.</w:t>
      </w:r>
      <w:r>
        <w:rPr>
          <w:rFonts w:ascii="宋体" w:hAnsi="宋体" w:cs="宋体"/>
          <w:color w:val="auto"/>
          <w:szCs w:val="21"/>
          <w:highlight w:val="none"/>
        </w:rPr>
        <w:t>2</w:t>
      </w:r>
      <w:r>
        <w:rPr>
          <w:rFonts w:hint="eastAsia" w:ascii="宋体" w:hAnsi="宋体" w:cs="宋体"/>
          <w:color w:val="auto"/>
          <w:szCs w:val="21"/>
          <w:highlight w:val="none"/>
        </w:rPr>
        <w:t>竞标报价（包含首次报价、最后报价）超过所竞标分标规定的采购预算金额或者最高限价的，其响应文件将按无效处理。</w:t>
      </w:r>
    </w:p>
    <w:p w14:paraId="3ED43CD6">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15.3.</w:t>
      </w:r>
      <w:r>
        <w:rPr>
          <w:rFonts w:ascii="宋体" w:hAnsi="宋体" w:cs="宋体"/>
          <w:color w:val="auto"/>
          <w:szCs w:val="21"/>
          <w:highlight w:val="none"/>
        </w:rPr>
        <w:t>3</w:t>
      </w:r>
      <w:r>
        <w:rPr>
          <w:rFonts w:hint="eastAsia" w:ascii="宋体" w:hAnsi="宋体" w:cs="宋体"/>
          <w:color w:val="auto"/>
          <w:szCs w:val="21"/>
          <w:highlight w:val="none"/>
        </w:rPr>
        <w:t>竞标报价（包含首次报价、最后报价）超过分项采购预算金额或者最高限价的，其响应文件将按无效处理。</w:t>
      </w:r>
    </w:p>
    <w:p w14:paraId="5426AB31">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16.竞标有效期</w:t>
      </w:r>
    </w:p>
    <w:p w14:paraId="3CAB0D40">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16.1竞标有效期是指为保证采购人有足够的时间在提交响应文件后完成评审、确定成交供应商、合同签订等工作而要求供应商提交的响应文件在一定时间内保持有效的期限。</w:t>
      </w:r>
    </w:p>
    <w:p w14:paraId="05491868">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16.2 竞标有效期应由供应商按“供应商须知前附表”规定的期限作出响应。</w:t>
      </w:r>
    </w:p>
    <w:p w14:paraId="24FFF0AB">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16.3供应商的响应文件在竞标有效期内均保持有效。</w:t>
      </w:r>
    </w:p>
    <w:p w14:paraId="215DF479">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17.竞标保证金</w:t>
      </w:r>
    </w:p>
    <w:p w14:paraId="53232AC4">
      <w:pPr>
        <w:spacing w:line="360" w:lineRule="auto"/>
        <w:ind w:left="420" w:leftChars="200"/>
        <w:rPr>
          <w:rFonts w:hint="eastAsia" w:ascii="宋体" w:hAnsi="宋体" w:cs="宋体"/>
          <w:color w:val="auto"/>
          <w:szCs w:val="21"/>
          <w:highlight w:val="none"/>
        </w:rPr>
      </w:pPr>
      <w:r>
        <w:rPr>
          <w:rFonts w:hint="eastAsia" w:ascii="宋体" w:hAnsi="宋体" w:cs="宋体"/>
          <w:color w:val="auto"/>
          <w:szCs w:val="21"/>
          <w:highlight w:val="none"/>
        </w:rPr>
        <w:t>17.1供应商须按“供应商须知前附表”的规定提交竞标保证金。</w:t>
      </w:r>
    </w:p>
    <w:p w14:paraId="7823BB47">
      <w:pPr>
        <w:spacing w:line="360" w:lineRule="auto"/>
        <w:ind w:left="420" w:leftChars="200"/>
        <w:rPr>
          <w:rFonts w:hint="eastAsia" w:ascii="宋体" w:hAnsi="宋体" w:cs="宋体"/>
          <w:color w:val="auto"/>
          <w:szCs w:val="21"/>
          <w:highlight w:val="none"/>
        </w:rPr>
      </w:pPr>
      <w:r>
        <w:rPr>
          <w:rFonts w:hint="eastAsia" w:ascii="宋体" w:hAnsi="宋体" w:cs="宋体"/>
          <w:color w:val="auto"/>
          <w:szCs w:val="21"/>
          <w:highlight w:val="none"/>
        </w:rPr>
        <w:t>17.2竞标保证金的退还</w:t>
      </w:r>
    </w:p>
    <w:p w14:paraId="533BCD2E">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未</w:t>
      </w:r>
      <w:r>
        <w:rPr>
          <w:rFonts w:hint="eastAsia" w:ascii="宋体" w:hAnsi="宋体" w:cs="宋体"/>
          <w:color w:val="auto"/>
          <w:spacing w:val="-6"/>
          <w:szCs w:val="21"/>
          <w:highlight w:val="none"/>
        </w:rPr>
        <w:t>成交供应商的竞标保证金自成交通知书发出之日起5个工作日内退还</w:t>
      </w:r>
      <w:r>
        <w:rPr>
          <w:rFonts w:hint="eastAsia" w:ascii="宋体" w:hAnsi="宋体"/>
          <w:color w:val="auto"/>
          <w:szCs w:val="21"/>
          <w:highlight w:val="none"/>
        </w:rPr>
        <w:t>；</w:t>
      </w:r>
      <w:r>
        <w:rPr>
          <w:rFonts w:hint="eastAsia" w:ascii="宋体" w:hAnsi="宋体" w:cs="宋体"/>
          <w:color w:val="auto"/>
          <w:szCs w:val="21"/>
          <w:highlight w:val="none"/>
        </w:rPr>
        <w:t xml:space="preserve">成交供应商的竞标保证金自签订合同之日起5个工作日内退还。 </w:t>
      </w:r>
    </w:p>
    <w:p w14:paraId="2CD0CDA4">
      <w:pPr>
        <w:spacing w:line="360" w:lineRule="auto"/>
        <w:ind w:left="420" w:leftChars="200"/>
        <w:rPr>
          <w:rFonts w:hint="eastAsia" w:ascii="宋体" w:hAnsi="宋体" w:cs="宋体"/>
          <w:color w:val="auto"/>
          <w:szCs w:val="21"/>
          <w:highlight w:val="none"/>
        </w:rPr>
      </w:pPr>
      <w:r>
        <w:rPr>
          <w:rFonts w:hint="eastAsia" w:ascii="宋体" w:hAnsi="宋体" w:cs="宋体"/>
          <w:color w:val="auto"/>
          <w:szCs w:val="21"/>
          <w:highlight w:val="none"/>
        </w:rPr>
        <w:t>17.3竞标保证金不计息。</w:t>
      </w:r>
    </w:p>
    <w:p w14:paraId="4CB9B46C">
      <w:pPr>
        <w:spacing w:line="360" w:lineRule="auto"/>
        <w:ind w:left="420" w:leftChars="200"/>
        <w:rPr>
          <w:rFonts w:hint="eastAsia" w:ascii="宋体" w:hAnsi="宋体" w:cs="宋体"/>
          <w:color w:val="auto"/>
          <w:szCs w:val="21"/>
          <w:highlight w:val="none"/>
        </w:rPr>
      </w:pPr>
      <w:r>
        <w:rPr>
          <w:rFonts w:hint="eastAsia" w:ascii="宋体" w:hAnsi="宋体" w:cs="宋体"/>
          <w:color w:val="auto"/>
          <w:szCs w:val="21"/>
          <w:highlight w:val="none"/>
        </w:rPr>
        <w:t xml:space="preserve">17.4供应商有下列情形之一的，竞标保证金将不予退还： </w:t>
      </w:r>
    </w:p>
    <w:p w14:paraId="606F5E76">
      <w:pPr>
        <w:spacing w:line="360" w:lineRule="auto"/>
        <w:ind w:left="420" w:leftChars="200"/>
        <w:rPr>
          <w:rFonts w:hint="eastAsia" w:ascii="宋体" w:hAnsi="宋体" w:cs="宋体"/>
          <w:color w:val="auto"/>
          <w:szCs w:val="21"/>
          <w:highlight w:val="none"/>
        </w:rPr>
      </w:pPr>
      <w:r>
        <w:rPr>
          <w:rFonts w:hint="eastAsia" w:ascii="宋体" w:hAnsi="宋体" w:cs="宋体"/>
          <w:color w:val="auto"/>
          <w:szCs w:val="21"/>
          <w:highlight w:val="none"/>
        </w:rPr>
        <w:t>（1）供应商在提交响应文件截止时间后撤回响应文件的；</w:t>
      </w:r>
    </w:p>
    <w:p w14:paraId="4253562B">
      <w:pPr>
        <w:spacing w:line="360" w:lineRule="auto"/>
        <w:ind w:left="420" w:leftChars="200"/>
        <w:rPr>
          <w:rFonts w:ascii="宋体" w:hAnsi="宋体" w:cs="宋体"/>
          <w:color w:val="auto"/>
          <w:szCs w:val="21"/>
          <w:highlight w:val="none"/>
        </w:rPr>
      </w:pPr>
      <w:r>
        <w:rPr>
          <w:rFonts w:hint="eastAsia" w:ascii="宋体" w:hAnsi="宋体"/>
          <w:color w:val="auto"/>
          <w:szCs w:val="21"/>
          <w:highlight w:val="none"/>
        </w:rPr>
        <w:t>（2）未按规定提交履约保证金的；</w:t>
      </w:r>
    </w:p>
    <w:p w14:paraId="768F5CC8">
      <w:pPr>
        <w:spacing w:line="360" w:lineRule="auto"/>
        <w:ind w:left="420" w:leftChars="200"/>
        <w:rPr>
          <w:rFonts w:hint="eastAsia" w:ascii="宋体" w:hAnsi="宋体" w:cs="宋体"/>
          <w:color w:val="auto"/>
          <w:szCs w:val="21"/>
          <w:highlight w:val="none"/>
        </w:rPr>
      </w:pPr>
      <w:r>
        <w:rPr>
          <w:rFonts w:hint="eastAsia" w:ascii="宋体" w:hAnsi="宋体" w:cs="宋体"/>
          <w:color w:val="auto"/>
          <w:szCs w:val="21"/>
          <w:highlight w:val="none"/>
        </w:rPr>
        <w:t>（3）供应商在响应文件中提供虚假材料的；</w:t>
      </w:r>
    </w:p>
    <w:p w14:paraId="29DFF1CD">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（4）除因不可抗力或者谈判文件认可的情形以外，成交供应商不与采购人签订合同的；</w:t>
      </w:r>
    </w:p>
    <w:p w14:paraId="55A2B4C8">
      <w:pPr>
        <w:spacing w:line="360" w:lineRule="auto"/>
        <w:ind w:left="420" w:leftChars="200"/>
        <w:rPr>
          <w:rFonts w:hint="eastAsia" w:ascii="宋体" w:hAnsi="宋体" w:cs="宋体"/>
          <w:color w:val="auto"/>
          <w:szCs w:val="21"/>
          <w:highlight w:val="none"/>
        </w:rPr>
      </w:pPr>
      <w:r>
        <w:rPr>
          <w:rFonts w:hint="eastAsia" w:ascii="宋体" w:hAnsi="宋体" w:cs="宋体"/>
          <w:color w:val="auto"/>
          <w:szCs w:val="21"/>
          <w:highlight w:val="none"/>
        </w:rPr>
        <w:t>（5）供应商与采购人、其他供应商或者采购代理机构恶意串通的；</w:t>
      </w:r>
    </w:p>
    <w:p w14:paraId="50EE3EE0">
      <w:pPr>
        <w:spacing w:line="360" w:lineRule="auto"/>
        <w:ind w:left="420" w:leftChars="200"/>
        <w:rPr>
          <w:rFonts w:hint="eastAsia" w:ascii="宋体" w:hAnsi="宋体" w:cs="宋体"/>
          <w:color w:val="auto"/>
          <w:szCs w:val="21"/>
          <w:highlight w:val="none"/>
        </w:rPr>
      </w:pPr>
      <w:r>
        <w:rPr>
          <w:rFonts w:hint="eastAsia" w:ascii="宋体" w:hAnsi="宋体" w:cs="宋体"/>
          <w:color w:val="auto"/>
          <w:szCs w:val="21"/>
          <w:highlight w:val="none"/>
        </w:rPr>
        <w:t>（6）法律法规规定的其他情形。</w:t>
      </w:r>
    </w:p>
    <w:p w14:paraId="3562ECCC">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18. 响应文件编制的要求</w:t>
      </w:r>
    </w:p>
    <w:p w14:paraId="1E4F475B">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18.1供应商应先安装“广西政府采购云平台新版客户端”（请自行前往广西政府采购云平台进行下载），并按照本项目</w:t>
      </w:r>
      <w:r>
        <w:rPr>
          <w:rFonts w:hint="eastAsia" w:ascii="宋体" w:hAnsi="宋体" w:cs="宋体"/>
          <w:color w:val="auto"/>
          <w:szCs w:val="21"/>
          <w:highlight w:val="none"/>
          <w:lang w:eastAsia="zh-CN"/>
        </w:rPr>
        <w:t>采购文件</w:t>
      </w:r>
      <w:r>
        <w:rPr>
          <w:rFonts w:hint="eastAsia" w:ascii="宋体" w:hAnsi="宋体" w:cs="宋体"/>
          <w:color w:val="auto"/>
          <w:szCs w:val="21"/>
          <w:highlight w:val="none"/>
        </w:rPr>
        <w:t>规定的格式和顺序和广西政府采购云平台的要求编制并加密。响应文件内容不完整、编排混乱导致响应文件被误读、漏读或者查找不到相关内容的，由此引发的后果由供应商承担。</w:t>
      </w:r>
    </w:p>
    <w:p w14:paraId="4499FF13">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18.2为确保网上操作合法、有效和安全，供应商应当在提交响应文件截止时间前完成在广西政府采购云平台的身份认证，确保在电子竞标过程中能够对相关数据电文进行加密和使用电子签章。</w:t>
      </w:r>
    </w:p>
    <w:p w14:paraId="33F084C3">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18.3响应文件须由供应商在规定位置签字、盖章（具体以供应商须知前附表或响应文件格式规定为准），否则按无效响应处理。</w:t>
      </w:r>
    </w:p>
    <w:p w14:paraId="0FD95B86">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18.4响应文件中标注的供应商名称应与主体资格证明（如营业执照或者事业单位法人证书或者执业许可证或者登记证书等）及公章一致，供应商为自然人的，标注的供应商名称应与身份证姓名及签名一致，否则其响应文件按无效响应处理。</w:t>
      </w:r>
    </w:p>
    <w:p w14:paraId="3090DB60">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18.5响应文件应尽量避免涂改、行间插字或者删除。如果出现上述情况，改动之处应由供应商的法定代表人或者其委托代理人签字（或者电子签名）或者加盖公章或者加盖电子签章。响应文件因涂改、行间插字或者删除导致字迹潦草或者表达不清所引起的后果由供应商承担。</w:t>
      </w:r>
    </w:p>
    <w:p w14:paraId="21BFFFC0">
      <w:pPr>
        <w:spacing w:line="360" w:lineRule="auto"/>
        <w:ind w:firstLine="482" w:firstLineChars="200"/>
        <w:rPr>
          <w:rFonts w:hint="eastAsia" w:ascii="黑体" w:hAnsi="黑体" w:eastAsia="黑体"/>
          <w:color w:val="auto"/>
          <w:sz w:val="24"/>
          <w:highlight w:val="none"/>
        </w:rPr>
      </w:pPr>
      <w:r>
        <w:rPr>
          <w:rFonts w:hint="eastAsia" w:ascii="黑体" w:hAnsi="黑体" w:eastAsia="黑体" w:cs="宋体"/>
          <w:b/>
          <w:bCs/>
          <w:color w:val="auto"/>
          <w:sz w:val="24"/>
          <w:highlight w:val="none"/>
        </w:rPr>
        <w:t>19.电子</w:t>
      </w:r>
      <w:r>
        <w:rPr>
          <w:rFonts w:hint="eastAsia" w:ascii="黑体" w:hAnsi="黑体" w:eastAsia="黑体"/>
          <w:b/>
          <w:color w:val="auto"/>
          <w:sz w:val="24"/>
          <w:highlight w:val="none"/>
        </w:rPr>
        <w:t>备份响应文件</w:t>
      </w:r>
    </w:p>
    <w:p w14:paraId="0672E8F8">
      <w:pPr>
        <w:spacing w:line="360" w:lineRule="auto"/>
        <w:ind w:firstLine="420" w:firstLineChars="200"/>
        <w:rPr>
          <w:rFonts w:hint="eastAsia" w:ascii="黑体" w:hAnsi="黑体" w:eastAsia="黑体"/>
          <w:color w:val="auto"/>
          <w:sz w:val="24"/>
          <w:highlight w:val="none"/>
        </w:rPr>
      </w:pPr>
      <w:r>
        <w:rPr>
          <w:rFonts w:hint="eastAsia"/>
          <w:color w:val="auto"/>
          <w:highlight w:val="none"/>
        </w:rPr>
        <w:t>电子备份响应文件是指通过“广西政府采购云平台电子投标客户端”在线编制生成且后缀名为“</w:t>
      </w:r>
      <w:r>
        <w:rPr>
          <w:color w:val="auto"/>
          <w:highlight w:val="none"/>
        </w:rPr>
        <w:t>bfbs</w:t>
      </w:r>
      <w:r>
        <w:rPr>
          <w:rFonts w:hint="eastAsia"/>
          <w:color w:val="auto"/>
          <w:highlight w:val="none"/>
        </w:rPr>
        <w:t>”的文件，是否接受电子备份响应文件</w:t>
      </w:r>
      <w:r>
        <w:rPr>
          <w:rFonts w:hint="eastAsia" w:hAnsi="宋体"/>
          <w:bCs/>
          <w:color w:val="auto"/>
          <w:szCs w:val="21"/>
          <w:highlight w:val="none"/>
        </w:rPr>
        <w:t>详见在“供应商须知前附表”。</w:t>
      </w:r>
    </w:p>
    <w:p w14:paraId="172A3DB9">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20.响应文件的提交</w:t>
      </w:r>
    </w:p>
    <w:p w14:paraId="3082DBFA">
      <w:pPr>
        <w:spacing w:line="360" w:lineRule="auto"/>
        <w:ind w:firstLine="420" w:firstLineChars="200"/>
        <w:rPr>
          <w:rFonts w:hAnsi="宋体"/>
          <w:b/>
          <w:color w:val="auto"/>
          <w:highlight w:val="none"/>
        </w:rPr>
      </w:pPr>
      <w:r>
        <w:rPr>
          <w:rFonts w:hint="eastAsia" w:hAnsi="宋体"/>
          <w:bCs/>
          <w:color w:val="auto"/>
          <w:szCs w:val="21"/>
          <w:highlight w:val="none"/>
        </w:rPr>
        <w:t>20.1供应商必须按“供应商须知前附表”规定的</w:t>
      </w:r>
      <w:r>
        <w:rPr>
          <w:rFonts w:hint="eastAsia" w:ascii="宋体" w:hAnsi="宋体" w:cs="宋体"/>
          <w:color w:val="auto"/>
          <w:szCs w:val="21"/>
          <w:highlight w:val="none"/>
        </w:rPr>
        <w:t>时间</w:t>
      </w:r>
      <w:r>
        <w:rPr>
          <w:rFonts w:hint="eastAsia" w:ascii="宋体" w:hAnsi="宋体"/>
          <w:color w:val="auto"/>
          <w:szCs w:val="21"/>
          <w:highlight w:val="none"/>
        </w:rPr>
        <w:t>及</w:t>
      </w:r>
      <w:r>
        <w:rPr>
          <w:rFonts w:hint="eastAsia" w:hAnsi="宋体"/>
          <w:bCs/>
          <w:color w:val="auto"/>
          <w:szCs w:val="21"/>
          <w:highlight w:val="none"/>
        </w:rPr>
        <w:t>地点提交响应文件。电子响应文件应在制作完成后，</w:t>
      </w:r>
      <w:r>
        <w:rPr>
          <w:rFonts w:hAnsi="宋体"/>
          <w:bCs/>
          <w:color w:val="auto"/>
          <w:szCs w:val="21"/>
          <w:highlight w:val="none"/>
        </w:rPr>
        <w:t>在</w:t>
      </w:r>
      <w:r>
        <w:rPr>
          <w:rFonts w:hint="eastAsia" w:hAnsi="宋体"/>
          <w:bCs/>
          <w:color w:val="auto"/>
          <w:szCs w:val="21"/>
          <w:highlight w:val="none"/>
        </w:rPr>
        <w:t>提交响应文件截止</w:t>
      </w:r>
      <w:r>
        <w:rPr>
          <w:rFonts w:hAnsi="宋体"/>
          <w:bCs/>
          <w:color w:val="auto"/>
          <w:szCs w:val="21"/>
          <w:highlight w:val="none"/>
        </w:rPr>
        <w:t>时间前</w:t>
      </w:r>
      <w:r>
        <w:rPr>
          <w:rFonts w:hint="eastAsia" w:hAnsi="宋体"/>
          <w:bCs/>
          <w:color w:val="auto"/>
          <w:szCs w:val="21"/>
          <w:highlight w:val="none"/>
        </w:rPr>
        <w:t>通过有效数字证书（CA认证锁）进行电子签章、加密，然后通过网络将加密的电子响应文件提交至</w:t>
      </w:r>
      <w:r>
        <w:rPr>
          <w:rFonts w:hint="eastAsia" w:ascii="宋体" w:hAnsi="宋体"/>
          <w:color w:val="auto"/>
          <w:szCs w:val="21"/>
          <w:highlight w:val="none"/>
        </w:rPr>
        <w:t>广西政府采购云平台</w:t>
      </w:r>
      <w:r>
        <w:rPr>
          <w:rFonts w:hint="eastAsia" w:hAnsi="宋体"/>
          <w:bCs/>
          <w:color w:val="auto"/>
          <w:szCs w:val="21"/>
          <w:highlight w:val="none"/>
        </w:rPr>
        <w:t>。</w:t>
      </w:r>
    </w:p>
    <w:p w14:paraId="63DFFD19">
      <w:pPr>
        <w:spacing w:line="360" w:lineRule="auto"/>
        <w:ind w:firstLine="422" w:firstLineChars="200"/>
        <w:rPr>
          <w:rFonts w:ascii="宋体" w:hAnsi="宋体" w:cs="宋体"/>
          <w:color w:val="auto"/>
          <w:szCs w:val="21"/>
          <w:highlight w:val="none"/>
        </w:rPr>
      </w:pPr>
      <w:r>
        <w:rPr>
          <w:rFonts w:hint="eastAsia" w:ascii="宋体" w:hAnsi="宋体"/>
          <w:b/>
          <w:color w:val="auto"/>
          <w:szCs w:val="21"/>
          <w:highlight w:val="none"/>
        </w:rPr>
        <w:t>20.</w:t>
      </w:r>
      <w:r>
        <w:rPr>
          <w:rFonts w:ascii="宋体" w:hAnsi="宋体"/>
          <w:b/>
          <w:color w:val="auto"/>
          <w:szCs w:val="21"/>
          <w:highlight w:val="none"/>
        </w:rPr>
        <w:t>2</w:t>
      </w:r>
      <w:r>
        <w:rPr>
          <w:rFonts w:hint="eastAsia" w:ascii="宋体" w:hAnsi="宋体"/>
          <w:b/>
          <w:color w:val="auto"/>
          <w:szCs w:val="21"/>
          <w:highlight w:val="none"/>
        </w:rPr>
        <w:t>未在规定时间内提交或者未按照</w:t>
      </w:r>
      <w:r>
        <w:rPr>
          <w:rFonts w:hint="eastAsia" w:ascii="宋体" w:hAnsi="宋体"/>
          <w:b/>
          <w:color w:val="auto"/>
          <w:szCs w:val="21"/>
          <w:highlight w:val="none"/>
          <w:lang w:eastAsia="zh-CN"/>
        </w:rPr>
        <w:t>采购文件</w:t>
      </w:r>
      <w:r>
        <w:rPr>
          <w:rFonts w:hint="eastAsia" w:ascii="宋体" w:hAnsi="宋体"/>
          <w:b/>
          <w:color w:val="auto"/>
          <w:szCs w:val="21"/>
          <w:highlight w:val="none"/>
        </w:rPr>
        <w:t>要求加密的电子响应文件，广西政府采购云平台将拒收。</w:t>
      </w:r>
    </w:p>
    <w:p w14:paraId="5A2C0CD2">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21.首次响应文件的补充、修改与撤回</w:t>
      </w:r>
    </w:p>
    <w:p w14:paraId="2292A73A">
      <w:pPr>
        <w:snapToGrid w:val="0"/>
        <w:spacing w:line="360" w:lineRule="auto"/>
        <w:ind w:firstLine="420"/>
        <w:jc w:val="left"/>
        <w:rPr>
          <w:rFonts w:ascii="宋体" w:hAnsi="宋体"/>
          <w:color w:val="auto"/>
          <w:szCs w:val="21"/>
          <w:highlight w:val="none"/>
        </w:rPr>
      </w:pPr>
      <w:bookmarkStart w:id="89" w:name="_Toc254970543"/>
      <w:bookmarkStart w:id="90" w:name="_Toc254970684"/>
      <w:r>
        <w:rPr>
          <w:rFonts w:ascii="宋体" w:hAnsi="宋体" w:cs="宋体"/>
          <w:color w:val="auto"/>
          <w:szCs w:val="21"/>
          <w:highlight w:val="none"/>
        </w:rPr>
        <w:t>2</w:t>
      </w:r>
      <w:r>
        <w:rPr>
          <w:rFonts w:hint="eastAsia" w:ascii="宋体" w:hAnsi="宋体" w:cs="宋体"/>
          <w:color w:val="auto"/>
          <w:szCs w:val="21"/>
          <w:highlight w:val="none"/>
        </w:rPr>
        <w:t>1.1</w:t>
      </w:r>
      <w:r>
        <w:rPr>
          <w:rFonts w:hint="eastAsia" w:ascii="宋体" w:hAnsi="宋体"/>
          <w:bCs/>
          <w:color w:val="auto"/>
          <w:szCs w:val="21"/>
          <w:highlight w:val="none"/>
        </w:rPr>
        <w:t>供应商应当在</w:t>
      </w:r>
      <w:r>
        <w:rPr>
          <w:rFonts w:hint="eastAsia" w:hAnsi="宋体"/>
          <w:bCs/>
          <w:color w:val="auto"/>
          <w:szCs w:val="21"/>
          <w:highlight w:val="none"/>
        </w:rPr>
        <w:t>提交响应文件截止</w:t>
      </w:r>
      <w:r>
        <w:rPr>
          <w:rFonts w:hAnsi="宋体"/>
          <w:bCs/>
          <w:color w:val="auto"/>
          <w:szCs w:val="21"/>
          <w:highlight w:val="none"/>
        </w:rPr>
        <w:t>时间</w:t>
      </w:r>
      <w:r>
        <w:rPr>
          <w:rFonts w:hint="eastAsia" w:ascii="宋体" w:hAnsi="宋体"/>
          <w:bCs/>
          <w:color w:val="auto"/>
          <w:szCs w:val="21"/>
          <w:highlight w:val="none"/>
        </w:rPr>
        <w:t>前完成电子响应文件的提交（上传），</w:t>
      </w:r>
      <w:r>
        <w:rPr>
          <w:rFonts w:hint="eastAsia" w:hAnsi="宋体"/>
          <w:bCs/>
          <w:color w:val="auto"/>
          <w:szCs w:val="21"/>
          <w:highlight w:val="none"/>
        </w:rPr>
        <w:t>提交响应文件截止</w:t>
      </w:r>
      <w:r>
        <w:rPr>
          <w:rFonts w:hAnsi="宋体"/>
          <w:bCs/>
          <w:color w:val="auto"/>
          <w:szCs w:val="21"/>
          <w:highlight w:val="none"/>
        </w:rPr>
        <w:t>时间</w:t>
      </w:r>
      <w:r>
        <w:rPr>
          <w:rFonts w:hint="eastAsia" w:hAnsi="宋体"/>
          <w:bCs/>
          <w:color w:val="auto"/>
          <w:szCs w:val="21"/>
          <w:highlight w:val="none"/>
        </w:rPr>
        <w:t>前</w:t>
      </w:r>
      <w:r>
        <w:rPr>
          <w:rFonts w:hint="eastAsia" w:ascii="宋体" w:hAnsi="宋体"/>
          <w:bCs/>
          <w:color w:val="auto"/>
          <w:szCs w:val="21"/>
          <w:highlight w:val="none"/>
        </w:rPr>
        <w:t>可以补充、修改或者撤回响应文件。补充或者修改响应文件的，应当先行撤回原响应文件，补充、修改后重新提交（上传），</w:t>
      </w:r>
      <w:r>
        <w:rPr>
          <w:rFonts w:hint="eastAsia" w:hAnsi="宋体"/>
          <w:bCs/>
          <w:color w:val="auto"/>
          <w:szCs w:val="21"/>
          <w:highlight w:val="none"/>
        </w:rPr>
        <w:t>提交响应文件截止</w:t>
      </w:r>
      <w:r>
        <w:rPr>
          <w:rFonts w:hAnsi="宋体"/>
          <w:bCs/>
          <w:color w:val="auto"/>
          <w:szCs w:val="21"/>
          <w:highlight w:val="none"/>
        </w:rPr>
        <w:t>时间</w:t>
      </w:r>
      <w:r>
        <w:rPr>
          <w:rFonts w:hint="eastAsia" w:hAnsi="宋体"/>
          <w:bCs/>
          <w:color w:val="auto"/>
          <w:szCs w:val="21"/>
          <w:highlight w:val="none"/>
        </w:rPr>
        <w:t>前</w:t>
      </w:r>
      <w:r>
        <w:rPr>
          <w:rFonts w:hint="eastAsia" w:ascii="宋体" w:hAnsi="宋体"/>
          <w:bCs/>
          <w:color w:val="auto"/>
          <w:szCs w:val="21"/>
          <w:highlight w:val="none"/>
        </w:rPr>
        <w:t>未完成提交（上传）的，视为撤回响应文件。</w:t>
      </w:r>
      <w:r>
        <w:rPr>
          <w:rFonts w:hint="eastAsia" w:hAnsi="宋体"/>
          <w:bCs/>
          <w:color w:val="auto"/>
          <w:szCs w:val="21"/>
          <w:highlight w:val="none"/>
        </w:rPr>
        <w:t>提交响应文件截止</w:t>
      </w:r>
      <w:r>
        <w:rPr>
          <w:rFonts w:hAnsi="宋体"/>
          <w:bCs/>
          <w:color w:val="auto"/>
          <w:szCs w:val="21"/>
          <w:highlight w:val="none"/>
        </w:rPr>
        <w:t>时间</w:t>
      </w:r>
      <w:r>
        <w:rPr>
          <w:rFonts w:hint="eastAsia" w:ascii="宋体" w:hAnsi="宋体"/>
          <w:bCs/>
          <w:color w:val="auto"/>
          <w:szCs w:val="21"/>
          <w:highlight w:val="none"/>
        </w:rPr>
        <w:t>以后提交（上传）的响应文件，广西政府采购云平台将予以拒收。</w:t>
      </w:r>
      <w:r>
        <w:rPr>
          <w:rFonts w:hint="eastAsia" w:ascii="宋体" w:hAnsi="宋体" w:cs="宋体"/>
          <w:color w:val="auto"/>
          <w:szCs w:val="21"/>
          <w:highlight w:val="none"/>
        </w:rPr>
        <w:t>（补充、修改或者撤回方式可</w:t>
      </w:r>
      <w:r>
        <w:rPr>
          <w:rFonts w:hint="eastAsia" w:ascii="宋体" w:hAnsi="宋体"/>
          <w:color w:val="auto"/>
          <w:szCs w:val="21"/>
          <w:highlight w:val="none"/>
        </w:rPr>
        <w:t>登录</w:t>
      </w:r>
      <w:r>
        <w:rPr>
          <w:rFonts w:hint="eastAsia" w:ascii="宋体" w:hAnsi="宋体" w:cs="宋体"/>
          <w:color w:val="auto"/>
          <w:kern w:val="0"/>
          <w:szCs w:val="21"/>
          <w:highlight w:val="none"/>
        </w:rPr>
        <w:t>广西政府采购云平台，</w:t>
      </w:r>
      <w:r>
        <w:rPr>
          <w:rFonts w:hint="eastAsia" w:ascii="宋体" w:hAnsi="宋体"/>
          <w:color w:val="auto"/>
          <w:szCs w:val="21"/>
          <w:highlight w:val="none"/>
        </w:rPr>
        <w:t>进入“服务中心”中查看</w:t>
      </w:r>
      <w:r>
        <w:rPr>
          <w:rFonts w:hint="eastAsia" w:ascii="宋体" w:hAnsi="宋体" w:cs="宋体"/>
          <w:color w:val="auto"/>
          <w:szCs w:val="21"/>
          <w:highlight w:val="none"/>
        </w:rPr>
        <w:t>“电子</w:t>
      </w:r>
      <w:r>
        <w:rPr>
          <w:rFonts w:hint="eastAsia" w:ascii="宋体" w:hAnsi="宋体" w:cs="宋体"/>
          <w:color w:val="auto"/>
          <w:szCs w:val="21"/>
          <w:highlight w:val="none"/>
          <w:lang w:eastAsia="zh-CN"/>
        </w:rPr>
        <w:t>响应文件</w:t>
      </w:r>
      <w:r>
        <w:rPr>
          <w:rFonts w:hint="eastAsia" w:ascii="宋体" w:hAnsi="宋体" w:cs="宋体"/>
          <w:color w:val="auto"/>
          <w:szCs w:val="21"/>
          <w:highlight w:val="none"/>
        </w:rPr>
        <w:t>制作与投送教程”）</w:t>
      </w:r>
    </w:p>
    <w:bookmarkEnd w:id="89"/>
    <w:bookmarkEnd w:id="90"/>
    <w:p w14:paraId="7882AEF7">
      <w:pPr>
        <w:pStyle w:val="63"/>
        <w:spacing w:before="0"/>
        <w:ind w:firstLine="420"/>
        <w:rPr>
          <w:rFonts w:hint="eastAsia" w:ascii="宋体" w:hAnsi="宋体" w:cs="宋体"/>
          <w:color w:val="auto"/>
          <w:sz w:val="21"/>
          <w:szCs w:val="21"/>
          <w:highlight w:val="none"/>
        </w:rPr>
      </w:pPr>
      <w:r>
        <w:rPr>
          <w:rFonts w:ascii="宋体" w:hAnsi="宋体" w:cs="宋体"/>
          <w:color w:val="auto"/>
          <w:sz w:val="21"/>
          <w:szCs w:val="21"/>
          <w:highlight w:val="none"/>
        </w:rPr>
        <w:t>2</w:t>
      </w:r>
      <w:r>
        <w:rPr>
          <w:rFonts w:hint="eastAsia" w:ascii="宋体" w:hAnsi="宋体" w:cs="宋体"/>
          <w:color w:val="auto"/>
          <w:sz w:val="21"/>
          <w:szCs w:val="21"/>
          <w:highlight w:val="none"/>
        </w:rPr>
        <w:t>1</w:t>
      </w:r>
      <w:r>
        <w:rPr>
          <w:rFonts w:ascii="宋体" w:hAnsi="宋体" w:cs="宋体"/>
          <w:color w:val="auto"/>
          <w:sz w:val="21"/>
          <w:szCs w:val="21"/>
          <w:highlight w:val="none"/>
        </w:rPr>
        <w:t>.</w:t>
      </w:r>
      <w:r>
        <w:rPr>
          <w:rFonts w:hint="eastAsia" w:ascii="宋体" w:hAnsi="宋体" w:cs="宋体"/>
          <w:color w:val="auto"/>
          <w:sz w:val="21"/>
          <w:szCs w:val="21"/>
          <w:highlight w:val="none"/>
        </w:rPr>
        <w:t>2在提交响应文件截止时间前，除供应商补充、修改或者撤回响应文件外，任何单位和个人不得解密或提取响应文件。</w:t>
      </w:r>
    </w:p>
    <w:p w14:paraId="3746216C">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22.响应文件的退回</w:t>
      </w:r>
    </w:p>
    <w:p w14:paraId="2BE8DD76">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采购人和采购代理机构对已提交的响应文件概不退回。</w:t>
      </w:r>
    </w:p>
    <w:p w14:paraId="00ACF408">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23.截止时间后的撤回</w:t>
      </w:r>
    </w:p>
    <w:p w14:paraId="75C55D4D">
      <w:pPr>
        <w:spacing w:line="360" w:lineRule="auto"/>
        <w:ind w:firstLine="420" w:firstLineChars="200"/>
        <w:rPr>
          <w:rFonts w:hint="eastAsia" w:ascii="宋体" w:hAnsi="宋体"/>
          <w:color w:val="auto"/>
          <w:szCs w:val="21"/>
          <w:highlight w:val="none"/>
        </w:rPr>
      </w:pPr>
      <w:r>
        <w:rPr>
          <w:rFonts w:hint="eastAsia" w:ascii="宋体" w:hAnsi="宋体" w:cs="宋体"/>
          <w:color w:val="auto"/>
          <w:szCs w:val="21"/>
          <w:highlight w:val="none"/>
        </w:rPr>
        <w:t>供应商在响应文件提交截止时间后向采购人、采购代理机构书面申请撤回响应文件的，将根据本须知正文第17.4条的规定不予退还其竞标保证金。</w:t>
      </w:r>
    </w:p>
    <w:p w14:paraId="6B4DF0AF">
      <w:pPr>
        <w:spacing w:line="360" w:lineRule="auto"/>
        <w:jc w:val="center"/>
        <w:rPr>
          <w:rFonts w:hint="eastAsia" w:ascii="宋体" w:hAnsi="宋体"/>
          <w:b/>
          <w:color w:val="auto"/>
          <w:sz w:val="32"/>
          <w:szCs w:val="32"/>
          <w:highlight w:val="none"/>
        </w:rPr>
      </w:pPr>
      <w:r>
        <w:rPr>
          <w:rFonts w:hint="eastAsia" w:ascii="宋体" w:hAnsi="宋体"/>
          <w:b/>
          <w:color w:val="auto"/>
          <w:sz w:val="32"/>
          <w:szCs w:val="32"/>
          <w:highlight w:val="none"/>
        </w:rPr>
        <w:t>四、评审及谈判</w:t>
      </w:r>
    </w:p>
    <w:p w14:paraId="17E090CC">
      <w:pPr>
        <w:spacing w:line="360" w:lineRule="auto"/>
        <w:ind w:left="420" w:firstLine="420"/>
        <w:rPr>
          <w:rFonts w:hint="eastAsia" w:ascii="宋体" w:hAnsi="宋体"/>
          <w:color w:val="auto"/>
          <w:szCs w:val="21"/>
          <w:highlight w:val="none"/>
        </w:rPr>
      </w:pPr>
    </w:p>
    <w:p w14:paraId="4D35A77B">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24.谈判小组成立</w:t>
      </w:r>
    </w:p>
    <w:p w14:paraId="7FFA19F6">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24.1谈判小组由采购人代表和评审专家共3人（含）以上单数组成，具体人数详见“供应商须知前附表”，其中评审专家人数不得少于竞争性谈判小组成员总数的2/3。采购人不得以评审专家身份参加本部门或者本单位采购项目的评审。采购代理机构人员不得参加本机构代理的采购项目的评审。达到公开招标数额标准的货物或者服务采购项目，或者达到招标规模标准的政府采购工程，竞争性谈判小组应当由5人以上单数组成。</w:t>
      </w:r>
    </w:p>
    <w:p w14:paraId="5C20C4C4">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24.2评审专家应当从政府采购评审专家库内相关专业的专家名单中随机抽取。技术复杂、专业性强的竞争性谈判采购项目，通过随机方式难以确定合适的评审专家的，经主管预算单位同意，可以自行选定评审专家。技术复杂、专业性强的竞争性谈判采购项目，评审专家中应当包含1名法律专家。</w:t>
      </w:r>
    </w:p>
    <w:p w14:paraId="04653730">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24.3</w:t>
      </w:r>
      <w:r>
        <w:rPr>
          <w:rFonts w:hint="eastAsia" w:hAnsi="宋体"/>
          <w:bCs/>
          <w:color w:val="auto"/>
          <w:szCs w:val="21"/>
          <w:highlight w:val="none"/>
        </w:rPr>
        <w:t>采购代理机构</w:t>
      </w:r>
      <w:r>
        <w:rPr>
          <w:rFonts w:hint="eastAsia" w:hAnsi="宋体"/>
          <w:bCs/>
          <w:color w:val="auto"/>
          <w:highlight w:val="none"/>
        </w:rPr>
        <w:t>应当</w:t>
      </w:r>
      <w:r>
        <w:rPr>
          <w:rFonts w:hint="eastAsia" w:hAnsi="宋体"/>
          <w:bCs/>
          <w:color w:val="auto"/>
          <w:szCs w:val="21"/>
          <w:highlight w:val="none"/>
        </w:rPr>
        <w:t>基于广西政府采购云平台</w:t>
      </w:r>
      <w:r>
        <w:rPr>
          <w:rFonts w:hint="eastAsia" w:hAnsi="宋体"/>
          <w:bCs/>
          <w:color w:val="auto"/>
          <w:highlight w:val="none"/>
        </w:rPr>
        <w:t>抽（选）取</w:t>
      </w:r>
      <w:r>
        <w:rPr>
          <w:rFonts w:hint="eastAsia" w:hAnsi="宋体"/>
          <w:bCs/>
          <w:color w:val="auto"/>
          <w:szCs w:val="21"/>
          <w:highlight w:val="none"/>
        </w:rPr>
        <w:t>评审专家。</w:t>
      </w:r>
    </w:p>
    <w:p w14:paraId="1F4F6B8D">
      <w:pPr>
        <w:spacing w:line="360" w:lineRule="auto"/>
        <w:ind w:firstLine="482" w:firstLineChars="200"/>
        <w:rPr>
          <w:rFonts w:ascii="黑体" w:hAnsi="黑体" w:eastAsia="黑体" w:cs="宋体"/>
          <w:b/>
          <w:bCs/>
          <w:color w:val="auto"/>
          <w:sz w:val="24"/>
          <w:highlight w:val="none"/>
        </w:rPr>
      </w:pPr>
      <w:r>
        <w:rPr>
          <w:rFonts w:ascii="黑体" w:hAnsi="黑体" w:eastAsia="黑体" w:cs="宋体"/>
          <w:b/>
          <w:bCs/>
          <w:color w:val="auto"/>
          <w:sz w:val="24"/>
          <w:highlight w:val="none"/>
        </w:rPr>
        <w:t>25.</w:t>
      </w:r>
      <w:r>
        <w:rPr>
          <w:rFonts w:hint="eastAsia" w:ascii="黑体" w:hAnsi="黑体" w:eastAsia="黑体" w:cs="宋体"/>
          <w:b/>
          <w:bCs/>
          <w:color w:val="auto"/>
          <w:sz w:val="24"/>
          <w:highlight w:val="none"/>
        </w:rPr>
        <w:t xml:space="preserve"> 首次响应文件的开启和解密</w:t>
      </w:r>
    </w:p>
    <w:p w14:paraId="465C7EAD">
      <w:pPr>
        <w:spacing w:line="360" w:lineRule="auto"/>
        <w:ind w:firstLine="420" w:firstLineChars="200"/>
        <w:rPr>
          <w:rFonts w:ascii="宋体" w:hAnsi="宋体" w:cs="宋体"/>
          <w:color w:val="auto"/>
          <w:szCs w:val="21"/>
          <w:highlight w:val="none"/>
        </w:rPr>
      </w:pPr>
      <w:r>
        <w:rPr>
          <w:rFonts w:hint="eastAsia" w:hAnsi="宋体"/>
          <w:bCs/>
          <w:color w:val="auto"/>
          <w:highlight w:val="none"/>
        </w:rPr>
        <w:t>采购代理机构将在“供应商须知前附表”规定的时</w:t>
      </w:r>
      <w:r>
        <w:rPr>
          <w:rFonts w:hint="eastAsia" w:hAnsi="宋体"/>
          <w:color w:val="auto"/>
          <w:highlight w:val="none"/>
        </w:rPr>
        <w:t>间通过电子交易平台组织响应文件开启，供应商的法定代表人或其委托代理人须携带加密时所用的CA锁，按平台提示和</w:t>
      </w:r>
      <w:r>
        <w:rPr>
          <w:rFonts w:hint="eastAsia" w:hAnsi="宋体"/>
          <w:color w:val="auto"/>
          <w:highlight w:val="none"/>
          <w:lang w:eastAsia="zh-CN"/>
        </w:rPr>
        <w:t>采购文件</w:t>
      </w:r>
      <w:r>
        <w:rPr>
          <w:rFonts w:hint="eastAsia" w:hAnsi="宋体"/>
          <w:color w:val="auto"/>
          <w:highlight w:val="none"/>
        </w:rPr>
        <w:t>的规定登录到广西政府采购云平台电子开标大厅签到，</w:t>
      </w:r>
      <w:r>
        <w:rPr>
          <w:rFonts w:hint="eastAsia"/>
          <w:color w:val="auto"/>
          <w:highlight w:val="none"/>
        </w:rPr>
        <w:t>采购代理机构依托广西政府采购云平台向各供应商发出电子加密响应文件【开始解密】通知，由供应商按</w:t>
      </w:r>
      <w:r>
        <w:rPr>
          <w:rFonts w:hint="eastAsia" w:hAnsi="宋体"/>
          <w:bCs/>
          <w:color w:val="auto"/>
          <w:szCs w:val="21"/>
          <w:highlight w:val="none"/>
        </w:rPr>
        <w:t>“供应商须知前附表”</w:t>
      </w:r>
      <w:r>
        <w:rPr>
          <w:rFonts w:hint="eastAsia"/>
          <w:color w:val="auto"/>
          <w:highlight w:val="none"/>
        </w:rPr>
        <w:t>规定的时间内自行进行响应文件解密</w:t>
      </w:r>
      <w:r>
        <w:rPr>
          <w:rFonts w:hint="eastAsia" w:hAnsi="宋体"/>
          <w:color w:val="auto"/>
          <w:highlight w:val="none"/>
        </w:rPr>
        <w:t>。</w:t>
      </w:r>
      <w:r>
        <w:rPr>
          <w:rFonts w:hint="eastAsia"/>
          <w:b/>
          <w:color w:val="auto"/>
          <w:highlight w:val="none"/>
        </w:rPr>
        <w:t>供应商未在</w:t>
      </w:r>
      <w:r>
        <w:rPr>
          <w:b/>
          <w:color w:val="auto"/>
          <w:highlight w:val="none"/>
        </w:rPr>
        <w:t>规定的时间内解密</w:t>
      </w:r>
      <w:r>
        <w:rPr>
          <w:rFonts w:hint="eastAsia"/>
          <w:b/>
          <w:color w:val="auto"/>
          <w:highlight w:val="none"/>
        </w:rPr>
        <w:t>响应文件</w:t>
      </w:r>
      <w:r>
        <w:rPr>
          <w:b/>
          <w:color w:val="auto"/>
          <w:highlight w:val="none"/>
        </w:rPr>
        <w:t>或</w:t>
      </w:r>
      <w:r>
        <w:rPr>
          <w:rFonts w:hint="eastAsia"/>
          <w:b/>
          <w:color w:val="auto"/>
          <w:highlight w:val="none"/>
        </w:rPr>
        <w:t>者</w:t>
      </w:r>
      <w:r>
        <w:rPr>
          <w:b/>
          <w:color w:val="auto"/>
          <w:highlight w:val="none"/>
        </w:rPr>
        <w:t>解密失败的</w:t>
      </w:r>
      <w:r>
        <w:rPr>
          <w:rFonts w:hint="eastAsia"/>
          <w:b/>
          <w:color w:val="auto"/>
          <w:highlight w:val="none"/>
        </w:rPr>
        <w:t>，供应商</w:t>
      </w:r>
      <w:r>
        <w:rPr>
          <w:rFonts w:hint="eastAsia" w:ascii="宋体" w:hAnsi="宋体"/>
          <w:b/>
          <w:color w:val="auto"/>
          <w:szCs w:val="21"/>
          <w:highlight w:val="none"/>
        </w:rPr>
        <w:t>的响应文件作无效处理</w:t>
      </w:r>
      <w:r>
        <w:rPr>
          <w:b/>
          <w:color w:val="auto"/>
          <w:highlight w:val="none"/>
        </w:rPr>
        <w:t>。</w:t>
      </w:r>
    </w:p>
    <w:p w14:paraId="1E1B69F5">
      <w:pPr>
        <w:spacing w:line="360" w:lineRule="auto"/>
        <w:ind w:firstLine="482" w:firstLineChars="200"/>
        <w:rPr>
          <w:rFonts w:ascii="黑体" w:hAnsi="黑体" w:eastAsia="黑体" w:cs="宋体"/>
          <w:b/>
          <w:bCs/>
          <w:color w:val="auto"/>
          <w:sz w:val="24"/>
          <w:highlight w:val="none"/>
        </w:rPr>
      </w:pPr>
      <w:r>
        <w:rPr>
          <w:rFonts w:ascii="黑体" w:hAnsi="黑体" w:eastAsia="黑体" w:cs="宋体"/>
          <w:b/>
          <w:bCs/>
          <w:color w:val="auto"/>
          <w:sz w:val="24"/>
          <w:highlight w:val="none"/>
        </w:rPr>
        <w:t>26</w:t>
      </w:r>
      <w:r>
        <w:rPr>
          <w:rFonts w:hint="eastAsia" w:ascii="黑体" w:hAnsi="黑体" w:eastAsia="黑体" w:cs="宋体"/>
          <w:b/>
          <w:bCs/>
          <w:color w:val="auto"/>
          <w:sz w:val="24"/>
          <w:highlight w:val="none"/>
        </w:rPr>
        <w:t>. 评审程序和评定成交的标准</w:t>
      </w:r>
    </w:p>
    <w:p w14:paraId="101BAA45">
      <w:pPr>
        <w:spacing w:line="360" w:lineRule="auto"/>
        <w:ind w:firstLine="420" w:firstLineChars="200"/>
        <w:rPr>
          <w:rFonts w:hint="eastAsia"/>
          <w:color w:val="auto"/>
          <w:highlight w:val="none"/>
        </w:rPr>
      </w:pPr>
      <w:r>
        <w:rPr>
          <w:rFonts w:hint="eastAsia"/>
          <w:color w:val="auto"/>
          <w:highlight w:val="none"/>
        </w:rPr>
        <w:t>26.1谈判小组按照“第四章  评审程序和评定成交的标准”规定的评审程序对响应文件进行评审，并按照评定成交的标准推荐成交候选供应商。评审价相同时，成交候选供应商推荐顺序见</w:t>
      </w:r>
      <w:r>
        <w:rPr>
          <w:rFonts w:hint="eastAsia" w:ascii="宋体" w:hAnsi="宋体"/>
          <w:color w:val="auto"/>
          <w:szCs w:val="21"/>
          <w:highlight w:val="none"/>
        </w:rPr>
        <w:t>“供应商须知前附表”。</w:t>
      </w:r>
    </w:p>
    <w:p w14:paraId="4168B075">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2</w:t>
      </w:r>
      <w:r>
        <w:rPr>
          <w:rFonts w:ascii="宋体" w:hAnsi="宋体"/>
          <w:color w:val="auto"/>
          <w:szCs w:val="21"/>
          <w:highlight w:val="none"/>
        </w:rPr>
        <w:t xml:space="preserve">6.2 </w:t>
      </w:r>
      <w:r>
        <w:rPr>
          <w:rFonts w:hint="eastAsia" w:ascii="宋体" w:hAnsi="宋体"/>
          <w:color w:val="auto"/>
          <w:szCs w:val="21"/>
          <w:highlight w:val="none"/>
        </w:rPr>
        <w:t>商务/技术要求允许负偏离的条款数详见“供应商须知前附表”。</w:t>
      </w:r>
    </w:p>
    <w:p w14:paraId="47B474DE">
      <w:pPr>
        <w:spacing w:line="360" w:lineRule="auto"/>
        <w:ind w:firstLine="420" w:firstLineChars="200"/>
        <w:rPr>
          <w:rFonts w:ascii="宋体" w:hAnsi="宋体"/>
          <w:color w:val="auto"/>
          <w:szCs w:val="21"/>
          <w:highlight w:val="none"/>
        </w:rPr>
      </w:pPr>
      <w:r>
        <w:rPr>
          <w:rFonts w:hint="eastAsia" w:ascii="宋体" w:hAnsi="宋体" w:cs="宋体"/>
          <w:color w:val="auto"/>
          <w:highlight w:val="none"/>
        </w:rPr>
        <w:t>26.3谈判小组成员要依法独立评审，并对评审意见承担个人责任。谈判小组成员对需要共同认定的事项存在争议的，按照少数服从多数的原则做出结论。持不同意见的谈判小组成员应当在评审报告上签署不同意见并说明理由，否则视为同意。</w:t>
      </w:r>
    </w:p>
    <w:p w14:paraId="74C30767">
      <w:pPr>
        <w:spacing w:line="360" w:lineRule="auto"/>
        <w:ind w:firstLine="420" w:firstLineChars="200"/>
        <w:rPr>
          <w:rFonts w:hint="eastAsia" w:hAnsi="宋体"/>
          <w:color w:val="auto"/>
          <w:highlight w:val="none"/>
        </w:rPr>
      </w:pPr>
      <w:r>
        <w:rPr>
          <w:rFonts w:hint="eastAsia" w:ascii="宋体" w:hAnsi="宋体"/>
          <w:color w:val="auto"/>
          <w:highlight w:val="none"/>
        </w:rPr>
        <w:t>2</w:t>
      </w:r>
      <w:r>
        <w:rPr>
          <w:rFonts w:ascii="宋体" w:hAnsi="宋体"/>
          <w:color w:val="auto"/>
          <w:highlight w:val="none"/>
        </w:rPr>
        <w:t>6.</w:t>
      </w:r>
      <w:r>
        <w:rPr>
          <w:rFonts w:hint="eastAsia" w:ascii="宋体" w:hAnsi="宋体"/>
          <w:color w:val="auto"/>
          <w:highlight w:val="none"/>
        </w:rPr>
        <w:t>4</w:t>
      </w:r>
      <w:r>
        <w:rPr>
          <w:rFonts w:hint="eastAsia" w:hAnsi="宋体"/>
          <w:color w:val="auto"/>
          <w:highlight w:val="none"/>
        </w:rPr>
        <w:t>电子交易活动的中止。采购过程中出现以下情形，导致电子交易平台无法正常运行，或者无法保证电子交易的公平、公正和安全时，采购机构可中止电子交易活动：</w:t>
      </w:r>
    </w:p>
    <w:p w14:paraId="7B17844E">
      <w:pPr>
        <w:spacing w:line="360" w:lineRule="auto"/>
        <w:ind w:firstLine="420" w:firstLineChars="200"/>
        <w:rPr>
          <w:rFonts w:hint="eastAsia" w:hAnsi="宋体"/>
          <w:color w:val="auto"/>
          <w:highlight w:val="none"/>
        </w:rPr>
      </w:pPr>
      <w:r>
        <w:rPr>
          <w:rFonts w:hint="eastAsia" w:hAnsi="宋体"/>
          <w:color w:val="auto"/>
          <w:highlight w:val="none"/>
        </w:rPr>
        <w:t xml:space="preserve">（1）电子交易平台发生故障而无法登录访问的； </w:t>
      </w:r>
    </w:p>
    <w:p w14:paraId="42412F53">
      <w:pPr>
        <w:spacing w:line="360" w:lineRule="auto"/>
        <w:ind w:firstLine="420" w:firstLineChars="200"/>
        <w:rPr>
          <w:rFonts w:hint="eastAsia" w:hAnsi="宋体"/>
          <w:color w:val="auto"/>
          <w:highlight w:val="none"/>
        </w:rPr>
      </w:pPr>
      <w:r>
        <w:rPr>
          <w:rFonts w:hint="eastAsia" w:hAnsi="宋体"/>
          <w:color w:val="auto"/>
          <w:highlight w:val="none"/>
        </w:rPr>
        <w:t>（2）电子交易平台应用或数据库出现错误，不能进行正常操作的；</w:t>
      </w:r>
    </w:p>
    <w:p w14:paraId="5C2FFE68">
      <w:pPr>
        <w:spacing w:line="360" w:lineRule="auto"/>
        <w:ind w:firstLine="420" w:firstLineChars="200"/>
        <w:rPr>
          <w:rFonts w:hint="eastAsia" w:hAnsi="宋体"/>
          <w:color w:val="auto"/>
          <w:highlight w:val="none"/>
        </w:rPr>
      </w:pPr>
      <w:r>
        <w:rPr>
          <w:rFonts w:hint="eastAsia" w:hAnsi="宋体"/>
          <w:color w:val="auto"/>
          <w:highlight w:val="none"/>
        </w:rPr>
        <w:t>（3）电子交易平台发现严重安全漏洞，有潜在泄密危险的；</w:t>
      </w:r>
    </w:p>
    <w:p w14:paraId="088B3D51">
      <w:pPr>
        <w:spacing w:line="360" w:lineRule="auto"/>
        <w:ind w:firstLine="420" w:firstLineChars="200"/>
        <w:rPr>
          <w:rFonts w:hint="eastAsia" w:hAnsi="宋体"/>
          <w:color w:val="auto"/>
          <w:highlight w:val="none"/>
        </w:rPr>
      </w:pPr>
      <w:r>
        <w:rPr>
          <w:rFonts w:hint="eastAsia" w:hAnsi="宋体"/>
          <w:color w:val="auto"/>
          <w:highlight w:val="none"/>
        </w:rPr>
        <w:t xml:space="preserve">（4）病毒发作导致不能进行正常操作的； </w:t>
      </w:r>
    </w:p>
    <w:p w14:paraId="0C016AEC">
      <w:pPr>
        <w:spacing w:line="360" w:lineRule="auto"/>
        <w:ind w:firstLine="420" w:firstLineChars="200"/>
        <w:rPr>
          <w:rFonts w:hint="eastAsia" w:hAnsi="宋体"/>
          <w:color w:val="auto"/>
          <w:highlight w:val="none"/>
        </w:rPr>
      </w:pPr>
      <w:r>
        <w:rPr>
          <w:rFonts w:hint="eastAsia" w:hAnsi="宋体"/>
          <w:color w:val="auto"/>
          <w:highlight w:val="none"/>
        </w:rPr>
        <w:t>（5）其他无法保证电子交易的公平、公正和安全的情况。</w:t>
      </w:r>
    </w:p>
    <w:p w14:paraId="52BCBAAD">
      <w:pPr>
        <w:spacing w:line="360" w:lineRule="auto"/>
        <w:ind w:firstLine="420" w:firstLineChars="200"/>
        <w:rPr>
          <w:rFonts w:hint="eastAsia" w:hAnsi="宋体"/>
          <w:color w:val="auto"/>
          <w:highlight w:val="none"/>
        </w:rPr>
      </w:pPr>
      <w:r>
        <w:rPr>
          <w:rFonts w:hint="eastAsia" w:ascii="宋体" w:hAnsi="宋体"/>
          <w:color w:val="auto"/>
          <w:highlight w:val="none"/>
        </w:rPr>
        <w:t>26.</w:t>
      </w:r>
      <w:r>
        <w:rPr>
          <w:rFonts w:ascii="宋体" w:hAnsi="宋体"/>
          <w:color w:val="auto"/>
          <w:highlight w:val="none"/>
        </w:rPr>
        <w:t>5</w:t>
      </w:r>
      <w:r>
        <w:rPr>
          <w:rFonts w:hint="eastAsia" w:hAnsi="宋体"/>
          <w:color w:val="auto"/>
          <w:highlight w:val="none"/>
        </w:rPr>
        <w:t>出现以上情形，不影响采购公平、公正性的，采购组织机构可以待上述情形消除后继续组织电子交易活动；影响或可能影响采购公平、公正性的，经采购代理机构确认，报采购人同意后，应当重新采购。采购代理机构必须对原有的资料及信息作出妥善保密处理，并报财政部门备案。</w:t>
      </w:r>
    </w:p>
    <w:p w14:paraId="6620F5D4">
      <w:pPr>
        <w:spacing w:line="360" w:lineRule="auto"/>
        <w:ind w:firstLine="482" w:firstLineChars="200"/>
        <w:rPr>
          <w:rFonts w:hint="eastAsia" w:ascii="黑体" w:hAnsi="黑体" w:eastAsia="黑体" w:cs="宋体"/>
          <w:b/>
          <w:bCs/>
          <w:color w:val="auto"/>
          <w:sz w:val="24"/>
          <w:highlight w:val="none"/>
        </w:rPr>
      </w:pPr>
      <w:r>
        <w:rPr>
          <w:rFonts w:ascii="黑体" w:hAnsi="黑体" w:eastAsia="黑体" w:cs="宋体"/>
          <w:b/>
          <w:bCs/>
          <w:color w:val="auto"/>
          <w:sz w:val="24"/>
          <w:highlight w:val="none"/>
        </w:rPr>
        <w:t>27</w:t>
      </w:r>
      <w:r>
        <w:rPr>
          <w:rFonts w:hint="eastAsia" w:ascii="黑体" w:hAnsi="黑体" w:eastAsia="黑体" w:cs="宋体"/>
          <w:b/>
          <w:bCs/>
          <w:color w:val="auto"/>
          <w:sz w:val="24"/>
          <w:highlight w:val="none"/>
        </w:rPr>
        <w:t>.确定成交供应商及结果公告</w:t>
      </w:r>
    </w:p>
    <w:p w14:paraId="3AB8F9ED">
      <w:pPr>
        <w:spacing w:line="360" w:lineRule="auto"/>
        <w:ind w:firstLine="420" w:firstLineChars="200"/>
        <w:rPr>
          <w:rFonts w:hint="eastAsia" w:ascii="宋体" w:hAnsi="宋体" w:cs="宋体"/>
          <w:color w:val="auto"/>
          <w:szCs w:val="21"/>
          <w:highlight w:val="none"/>
        </w:rPr>
      </w:pPr>
      <w:r>
        <w:rPr>
          <w:rFonts w:ascii="宋体" w:hAnsi="宋体" w:cs="宋体"/>
          <w:color w:val="auto"/>
          <w:szCs w:val="21"/>
          <w:highlight w:val="none"/>
        </w:rPr>
        <w:t>27</w:t>
      </w:r>
      <w:r>
        <w:rPr>
          <w:rFonts w:hint="eastAsia" w:ascii="宋体" w:hAnsi="宋体" w:cs="宋体"/>
          <w:color w:val="auto"/>
          <w:szCs w:val="21"/>
          <w:highlight w:val="none"/>
        </w:rPr>
        <w:t>.1</w:t>
      </w:r>
      <w:r>
        <w:rPr>
          <w:rFonts w:hint="eastAsia" w:ascii="宋体" w:hAnsi="宋体" w:cs="宋体"/>
          <w:color w:val="auto"/>
          <w:kern w:val="0"/>
          <w:szCs w:val="21"/>
          <w:highlight w:val="none"/>
        </w:rPr>
        <w:t xml:space="preserve"> 采购</w:t>
      </w:r>
      <w:r>
        <w:rPr>
          <w:rFonts w:hint="eastAsia" w:ascii="宋体" w:hAnsi="宋体" w:cs="宋体"/>
          <w:color w:val="auto"/>
          <w:szCs w:val="21"/>
          <w:highlight w:val="none"/>
        </w:rPr>
        <w:t>代理</w:t>
      </w:r>
      <w:r>
        <w:rPr>
          <w:rFonts w:hint="eastAsia" w:ascii="宋体" w:hAnsi="宋体" w:cs="宋体"/>
          <w:color w:val="auto"/>
          <w:kern w:val="0"/>
          <w:szCs w:val="21"/>
          <w:highlight w:val="none"/>
        </w:rPr>
        <w:t>机构应当在评审结束后2个工作日内将评审报告送采购人确认。采购人应当在收到评审报告后5个工作日内，将评审报告提出的排名第一的成交候选人确定为成交供应商，也可以书面授权谈判小组直接确定成交供应商。采购人逾期未确定成交供应商且不提出异议的，视为确定评审报告提出的排名第一的成交候选人为成交供应商。</w:t>
      </w:r>
    </w:p>
    <w:p w14:paraId="6F6197F1">
      <w:pPr>
        <w:pStyle w:val="10"/>
        <w:spacing w:line="360" w:lineRule="auto"/>
        <w:ind w:firstLine="420" w:firstLineChars="200"/>
        <w:rPr>
          <w:rFonts w:ascii="宋体" w:hAnsi="宋体" w:cs="宋体"/>
          <w:color w:val="auto"/>
          <w:kern w:val="0"/>
          <w:szCs w:val="21"/>
          <w:highlight w:val="none"/>
        </w:rPr>
      </w:pPr>
      <w:r>
        <w:rPr>
          <w:rFonts w:ascii="宋体" w:hAnsi="宋体" w:cs="宋体"/>
          <w:color w:val="auto"/>
          <w:kern w:val="0"/>
          <w:szCs w:val="21"/>
          <w:highlight w:val="none"/>
        </w:rPr>
        <w:t>27</w:t>
      </w:r>
      <w:r>
        <w:rPr>
          <w:rFonts w:hint="eastAsia" w:ascii="宋体" w:hAnsi="宋体" w:cs="宋体"/>
          <w:color w:val="auto"/>
          <w:kern w:val="0"/>
          <w:szCs w:val="21"/>
          <w:highlight w:val="none"/>
        </w:rPr>
        <w:t>.2采购代理机构应当在成交供应商确定后2个工作日内，在省级以上财政部门指定的媒体上公告成交结果，同时向成交供应商发出成交通知书。采购人或者采购代理机构发出成交通知书前，应当对成交供应商信用进行查询，对列入失信被执行人、重大税收违法失信主体、政府采购严重违法失信行为记录名单及其他不符合《中华人民共和国政府采购法》第二十二条规定条件的供应商，取消其成交资格，并确定排名第二的成交候选人为成交供应商。排名第二的成交候选人因上述规定的同样原因被取消成交资格的，采购人可以确定排名第三的成交候选人为成交供应商。以上信息查询记录及相关证据与谈判文件一并保存。</w:t>
      </w:r>
      <w:r>
        <w:rPr>
          <w:rFonts w:hint="eastAsia" w:ascii="宋体" w:hAnsi="宋体" w:cs="Courier New"/>
          <w:color w:val="auto"/>
          <w:szCs w:val="21"/>
          <w:highlight w:val="none"/>
        </w:rPr>
        <w:t>成交供应商享受《政府采购促进中小企业发展管理办法》（财库〔2020〕46号）规定的中小企业扶持政策的，采购人、采购代理机构应当随成交结果公开成交供应商的《中小企业声明函》。</w:t>
      </w:r>
    </w:p>
    <w:p w14:paraId="49836AA3">
      <w:pPr>
        <w:pStyle w:val="10"/>
        <w:spacing w:line="360" w:lineRule="auto"/>
        <w:ind w:firstLine="420" w:firstLineChars="200"/>
        <w:rPr>
          <w:rFonts w:ascii="宋体" w:hAnsi="宋体"/>
          <w:bCs/>
          <w:color w:val="auto"/>
          <w:szCs w:val="21"/>
          <w:highlight w:val="none"/>
        </w:rPr>
      </w:pPr>
      <w:r>
        <w:rPr>
          <w:rFonts w:hint="eastAsia" w:ascii="宋体" w:hAnsi="宋体"/>
          <w:bCs/>
          <w:color w:val="auto"/>
          <w:szCs w:val="21"/>
          <w:highlight w:val="none"/>
        </w:rPr>
        <w:t>27.3出现下列情形之一的，采购人或者采购代理机构应当终止竞争性谈判采购活动，发布项目终止公告并说明原因，重新开展采购活动：</w:t>
      </w:r>
    </w:p>
    <w:p w14:paraId="0209AB89">
      <w:pPr>
        <w:pStyle w:val="10"/>
        <w:spacing w:line="360" w:lineRule="auto"/>
        <w:ind w:firstLine="420" w:firstLineChars="200"/>
        <w:rPr>
          <w:rFonts w:hint="eastAsia" w:ascii="宋体" w:hAnsi="宋体"/>
          <w:bCs/>
          <w:color w:val="auto"/>
          <w:szCs w:val="21"/>
          <w:highlight w:val="none"/>
        </w:rPr>
      </w:pPr>
      <w:r>
        <w:rPr>
          <w:rFonts w:hint="eastAsia" w:ascii="宋体" w:hAnsi="宋体"/>
          <w:bCs/>
          <w:color w:val="auto"/>
          <w:szCs w:val="21"/>
          <w:highlight w:val="none"/>
        </w:rPr>
        <w:t>（1）因情况变化，不再符合规定的竞争性谈判采购方式适用情形的；</w:t>
      </w:r>
    </w:p>
    <w:p w14:paraId="4FCD2812">
      <w:pPr>
        <w:pStyle w:val="10"/>
        <w:spacing w:line="360" w:lineRule="auto"/>
        <w:ind w:firstLine="420" w:firstLineChars="200"/>
        <w:rPr>
          <w:rFonts w:hint="eastAsia" w:ascii="宋体" w:hAnsi="宋体"/>
          <w:bCs/>
          <w:color w:val="auto"/>
          <w:szCs w:val="21"/>
          <w:highlight w:val="none"/>
        </w:rPr>
      </w:pPr>
      <w:r>
        <w:rPr>
          <w:rFonts w:hint="eastAsia" w:ascii="宋体" w:hAnsi="宋体"/>
          <w:bCs/>
          <w:color w:val="auto"/>
          <w:szCs w:val="21"/>
          <w:highlight w:val="none"/>
        </w:rPr>
        <w:t>（2）出现影响采购公正的违法、违规行为的；</w:t>
      </w:r>
    </w:p>
    <w:p w14:paraId="643F5F9E">
      <w:pPr>
        <w:pStyle w:val="10"/>
        <w:spacing w:line="360" w:lineRule="auto"/>
        <w:ind w:firstLine="420" w:firstLineChars="200"/>
        <w:rPr>
          <w:rFonts w:hint="eastAsia" w:ascii="宋体" w:hAnsi="宋体"/>
          <w:bCs/>
          <w:color w:val="auto"/>
          <w:szCs w:val="21"/>
          <w:highlight w:val="none"/>
        </w:rPr>
      </w:pPr>
      <w:r>
        <w:rPr>
          <w:rFonts w:hint="eastAsia" w:ascii="宋体" w:hAnsi="宋体"/>
          <w:bCs/>
          <w:color w:val="auto"/>
          <w:szCs w:val="21"/>
          <w:highlight w:val="none"/>
        </w:rPr>
        <w:t>（3）在采购过程中符合竞争要求的供应商或者报价未超过采购预算的供应商不足3家的，但“第四章 评审程序和评定成交的标准”第3.7条规定的情形除外。</w:t>
      </w:r>
    </w:p>
    <w:p w14:paraId="7EE5B250">
      <w:pPr>
        <w:pStyle w:val="10"/>
        <w:spacing w:line="360" w:lineRule="auto"/>
        <w:ind w:firstLine="420" w:firstLineChars="200"/>
        <w:rPr>
          <w:rFonts w:ascii="宋体" w:hAnsi="宋体"/>
          <w:bCs/>
          <w:color w:val="auto"/>
          <w:szCs w:val="21"/>
          <w:highlight w:val="none"/>
        </w:rPr>
      </w:pPr>
      <w:r>
        <w:rPr>
          <w:rFonts w:hint="eastAsia" w:ascii="宋体" w:hAnsi="宋体"/>
          <w:bCs/>
          <w:color w:val="auto"/>
          <w:szCs w:val="21"/>
          <w:highlight w:val="none"/>
        </w:rPr>
        <w:t>27.4在采购活动中因重大变故，采购任务取消的，采购人或者采购代理机构应当终止采购活动，通知所有参加采购活动的供应商，并将项目实施情况和采购任务取消原因报送本级财政部门。</w:t>
      </w:r>
    </w:p>
    <w:p w14:paraId="52F88F2D">
      <w:pPr>
        <w:spacing w:line="360" w:lineRule="auto"/>
        <w:ind w:firstLine="482" w:firstLineChars="200"/>
        <w:rPr>
          <w:rFonts w:hint="eastAsia" w:ascii="黑体" w:hAnsi="黑体" w:eastAsia="黑体" w:cs="宋体"/>
          <w:b/>
          <w:bCs/>
          <w:color w:val="auto"/>
          <w:sz w:val="24"/>
          <w:highlight w:val="none"/>
        </w:rPr>
      </w:pPr>
      <w:r>
        <w:rPr>
          <w:rFonts w:ascii="黑体" w:hAnsi="黑体" w:eastAsia="黑体" w:cs="宋体"/>
          <w:b/>
          <w:bCs/>
          <w:color w:val="auto"/>
          <w:sz w:val="24"/>
          <w:highlight w:val="none"/>
        </w:rPr>
        <w:t>28</w:t>
      </w:r>
      <w:r>
        <w:rPr>
          <w:rFonts w:hint="eastAsia" w:ascii="黑体" w:hAnsi="黑体" w:eastAsia="黑体" w:cs="宋体"/>
          <w:b/>
          <w:bCs/>
          <w:color w:val="auto"/>
          <w:sz w:val="24"/>
          <w:highlight w:val="none"/>
        </w:rPr>
        <w:t>.履约保证金</w:t>
      </w:r>
    </w:p>
    <w:p w14:paraId="069BF9D7">
      <w:pPr>
        <w:pStyle w:val="10"/>
        <w:spacing w:line="360" w:lineRule="auto"/>
        <w:ind w:firstLine="420" w:firstLineChars="200"/>
        <w:rPr>
          <w:rFonts w:hint="eastAsia"/>
          <w:color w:val="auto"/>
          <w:highlight w:val="none"/>
        </w:rPr>
      </w:pPr>
      <w:r>
        <w:rPr>
          <w:rFonts w:ascii="宋体" w:hAnsi="宋体" w:cs="宋体"/>
          <w:color w:val="auto"/>
          <w:szCs w:val="21"/>
          <w:highlight w:val="none"/>
        </w:rPr>
        <w:t>28</w:t>
      </w:r>
      <w:r>
        <w:rPr>
          <w:rFonts w:hint="eastAsia" w:ascii="宋体" w:hAnsi="宋体" w:cs="宋体"/>
          <w:color w:val="auto"/>
          <w:szCs w:val="21"/>
          <w:highlight w:val="none"/>
        </w:rPr>
        <w:t>.1履约保证金的金额、提交方式、退付的时间和条件详见 “供应商须知前附表”。成交供应商未按规定提交履约保证金的，视为拒绝</w:t>
      </w:r>
      <w:r>
        <w:rPr>
          <w:color w:val="auto"/>
          <w:highlight w:val="none"/>
        </w:rPr>
        <w:t>与采购人</w:t>
      </w:r>
      <w:r>
        <w:rPr>
          <w:rFonts w:hint="eastAsia" w:ascii="宋体" w:hAnsi="宋体" w:cs="宋体"/>
          <w:color w:val="auto"/>
          <w:szCs w:val="21"/>
          <w:highlight w:val="none"/>
        </w:rPr>
        <w:t>签订合同。</w:t>
      </w:r>
    </w:p>
    <w:p w14:paraId="67B14472">
      <w:pPr>
        <w:spacing w:line="360" w:lineRule="auto"/>
        <w:ind w:firstLine="424" w:firstLineChars="202"/>
        <w:rPr>
          <w:rFonts w:hint="eastAsia" w:ascii="宋体" w:hAnsi="宋体" w:cs="宋体"/>
          <w:color w:val="auto"/>
          <w:szCs w:val="21"/>
          <w:highlight w:val="none"/>
        </w:rPr>
      </w:pPr>
      <w:r>
        <w:rPr>
          <w:rFonts w:ascii="宋体" w:hAnsi="宋体" w:cs="宋体"/>
          <w:color w:val="auto"/>
          <w:szCs w:val="21"/>
          <w:highlight w:val="none"/>
        </w:rPr>
        <w:t>28</w:t>
      </w:r>
      <w:r>
        <w:rPr>
          <w:rFonts w:hint="eastAsia" w:ascii="宋体" w:hAnsi="宋体" w:cs="宋体"/>
          <w:color w:val="auto"/>
          <w:szCs w:val="21"/>
          <w:highlight w:val="none"/>
        </w:rPr>
        <w:t>.2在履约保证金退还日期前，若成交供应商的开户名称、开户银行、账号有变动的，请以书面形式通知履约保证金收取单位，否则由此产生的后果由成交供应商自负。</w:t>
      </w:r>
    </w:p>
    <w:p w14:paraId="6F8B905B">
      <w:pPr>
        <w:spacing w:line="360" w:lineRule="auto"/>
        <w:ind w:firstLine="482" w:firstLineChars="200"/>
        <w:rPr>
          <w:rFonts w:hint="eastAsia" w:ascii="黑体" w:hAnsi="黑体" w:eastAsia="黑体" w:cs="宋体"/>
          <w:b/>
          <w:bCs/>
          <w:color w:val="auto"/>
          <w:sz w:val="24"/>
          <w:highlight w:val="none"/>
        </w:rPr>
      </w:pPr>
      <w:r>
        <w:rPr>
          <w:rFonts w:ascii="黑体" w:hAnsi="黑体" w:eastAsia="黑体" w:cs="宋体"/>
          <w:b/>
          <w:bCs/>
          <w:color w:val="auto"/>
          <w:sz w:val="24"/>
          <w:highlight w:val="none"/>
        </w:rPr>
        <w:t>29</w:t>
      </w:r>
      <w:r>
        <w:rPr>
          <w:rFonts w:hint="eastAsia" w:ascii="黑体" w:hAnsi="黑体" w:eastAsia="黑体" w:cs="宋体"/>
          <w:b/>
          <w:bCs/>
          <w:color w:val="auto"/>
          <w:sz w:val="24"/>
          <w:highlight w:val="none"/>
        </w:rPr>
        <w:t>.签订合同</w:t>
      </w:r>
    </w:p>
    <w:p w14:paraId="02C19D9A">
      <w:pPr>
        <w:spacing w:line="360" w:lineRule="auto"/>
        <w:ind w:firstLine="424" w:firstLineChars="202"/>
        <w:rPr>
          <w:rFonts w:hint="eastAsia" w:ascii="宋体" w:hAnsi="宋体" w:cs="宋体"/>
          <w:color w:val="auto"/>
          <w:szCs w:val="21"/>
          <w:highlight w:val="none"/>
        </w:rPr>
      </w:pPr>
      <w:r>
        <w:rPr>
          <w:rFonts w:hint="eastAsia" w:ascii="宋体" w:hAnsi="宋体" w:cs="宋体"/>
          <w:color w:val="auto"/>
          <w:szCs w:val="21"/>
          <w:highlight w:val="none"/>
        </w:rPr>
        <w:t>29.1签订电子采购合同：成交供应商领取电子成交通知书后，在</w:t>
      </w:r>
      <w:r>
        <w:rPr>
          <w:rFonts w:hint="eastAsia" w:ascii="宋体" w:hAnsi="宋体" w:cs="宋体"/>
          <w:color w:val="auto"/>
          <w:szCs w:val="21"/>
          <w:highlight w:val="none"/>
          <w:lang w:val="zh-CN"/>
        </w:rPr>
        <w:t>规定的日期、时间、地点，由法定代表人或其授权代表与采购人代表签订电子采购合同。如成交供应商为联合体的，由联合体成员各方法定代表人或其授权代表与采购人代表签订合同。</w:t>
      </w:r>
    </w:p>
    <w:p w14:paraId="729F221E">
      <w:pPr>
        <w:spacing w:line="360" w:lineRule="auto"/>
        <w:ind w:firstLine="424" w:firstLineChars="202"/>
        <w:rPr>
          <w:rFonts w:hint="eastAsia" w:ascii="宋体" w:hAnsi="宋体" w:cs="宋体"/>
          <w:color w:val="auto"/>
          <w:szCs w:val="21"/>
          <w:highlight w:val="none"/>
        </w:rPr>
      </w:pPr>
      <w:r>
        <w:rPr>
          <w:rFonts w:hint="eastAsia" w:ascii="宋体" w:hAnsi="宋体" w:cs="宋体"/>
          <w:color w:val="auto"/>
          <w:szCs w:val="21"/>
          <w:highlight w:val="none"/>
        </w:rPr>
        <w:t>线下签订纸质合同：供应商领取成交通知书后，按“供应商须知前附表”规定向采购人出示相关证明材料，经采购人核验合格后方可签订合同。</w:t>
      </w:r>
    </w:p>
    <w:p w14:paraId="5C1EBE03">
      <w:pPr>
        <w:spacing w:line="360" w:lineRule="auto"/>
        <w:ind w:firstLine="424" w:firstLineChars="202"/>
        <w:rPr>
          <w:rFonts w:hint="eastAsia" w:ascii="宋体" w:hAnsi="宋体" w:cs="宋体"/>
          <w:color w:val="auto"/>
          <w:szCs w:val="21"/>
          <w:highlight w:val="none"/>
        </w:rPr>
      </w:pPr>
      <w:r>
        <w:rPr>
          <w:rFonts w:hint="eastAsia" w:ascii="宋体" w:hAnsi="宋体" w:cs="宋体"/>
          <w:color w:val="auto"/>
          <w:szCs w:val="21"/>
          <w:highlight w:val="none"/>
        </w:rPr>
        <w:t>29.2签订合同时间：按成交通知书规定的时间与采购人签订合同。</w:t>
      </w:r>
    </w:p>
    <w:p w14:paraId="459EC486">
      <w:pPr>
        <w:spacing w:line="360" w:lineRule="auto"/>
        <w:ind w:firstLine="424" w:firstLineChars="202"/>
        <w:rPr>
          <w:rFonts w:hint="eastAsia" w:ascii="宋体" w:hAnsi="宋体" w:cs="宋体"/>
          <w:color w:val="auto"/>
          <w:szCs w:val="21"/>
          <w:highlight w:val="none"/>
        </w:rPr>
      </w:pPr>
      <w:r>
        <w:rPr>
          <w:rFonts w:hint="eastAsia" w:ascii="宋体" w:hAnsi="宋体" w:cs="宋体"/>
          <w:color w:val="auto"/>
          <w:szCs w:val="21"/>
          <w:highlight w:val="none"/>
        </w:rPr>
        <w:t>29.</w:t>
      </w:r>
      <w:r>
        <w:rPr>
          <w:rFonts w:ascii="宋体" w:hAnsi="宋体" w:cs="宋体"/>
          <w:color w:val="auto"/>
          <w:szCs w:val="21"/>
          <w:highlight w:val="none"/>
        </w:rPr>
        <w:t>3</w:t>
      </w:r>
      <w:r>
        <w:rPr>
          <w:rFonts w:hint="eastAsia" w:ascii="宋体" w:hAnsi="宋体" w:cs="宋体"/>
          <w:color w:val="auto"/>
          <w:szCs w:val="21"/>
          <w:highlight w:val="none"/>
        </w:rPr>
        <w:t>成交供应商拒绝签订政府采购合同（包括但不限于放弃成交、因不可抗力不能履行合同而放弃签订合同），采购人可以按照评审报告推荐的成交候选人名单排序，确定下一候选人为成交供应商，也可以重新开展政府采购活动。如采购人无正当理由拒签合同的，给成交供应商造成损失的，成交供应商可追究采购人承担相应的法律责任。</w:t>
      </w:r>
    </w:p>
    <w:p w14:paraId="7EC07C18">
      <w:pPr>
        <w:spacing w:line="360" w:lineRule="auto"/>
        <w:ind w:firstLine="424" w:firstLineChars="202"/>
        <w:rPr>
          <w:rFonts w:hint="eastAsia" w:ascii="宋体" w:hAnsi="宋体" w:cs="宋体"/>
          <w:color w:val="auto"/>
          <w:szCs w:val="21"/>
          <w:highlight w:val="none"/>
        </w:rPr>
      </w:pPr>
      <w:r>
        <w:rPr>
          <w:rFonts w:hint="eastAsia" w:ascii="宋体" w:hAnsi="宋体" w:cs="宋体"/>
          <w:color w:val="auto"/>
          <w:szCs w:val="21"/>
          <w:highlight w:val="none"/>
        </w:rPr>
        <w:t>29.4政府采购合同是政府采购项目验收的依据，成交供应商和采购人应当按照采购合同约定的各自的权利和义务全面履行合同。任何一方当事人在履行合同过程中均不得擅自变更、中止或终止合同。政府采购合同继续履行将损害国家利益和社会公共利益的，双方当事人应当变更、中止或终止合同。有过错的一方应当承担赔偿责任，双方都有过错的，各自承担相应的责任。</w:t>
      </w:r>
    </w:p>
    <w:p w14:paraId="77B37BDD">
      <w:pPr>
        <w:spacing w:line="360" w:lineRule="auto"/>
        <w:ind w:firstLine="424" w:firstLineChars="202"/>
        <w:rPr>
          <w:rFonts w:hint="eastAsia" w:ascii="宋体" w:hAnsi="宋体" w:cs="宋体"/>
          <w:color w:val="auto"/>
          <w:szCs w:val="21"/>
          <w:highlight w:val="none"/>
        </w:rPr>
      </w:pPr>
      <w:r>
        <w:rPr>
          <w:rFonts w:hint="eastAsia" w:ascii="宋体" w:hAnsi="宋体" w:cs="宋体"/>
          <w:color w:val="auto"/>
          <w:szCs w:val="21"/>
          <w:highlight w:val="none"/>
        </w:rPr>
        <w:t>29.5采购人或成交供应商不得单方面向合同另一方提出任何谈判文件没有约定的条件或不合理的要求，作为签订合同的条件；也不得协商另行订立背离谈判文件和合同实质性内容的协议。</w:t>
      </w:r>
    </w:p>
    <w:p w14:paraId="778F52B4">
      <w:pPr>
        <w:spacing w:line="360" w:lineRule="auto"/>
        <w:ind w:firstLine="424" w:firstLineChars="202"/>
        <w:rPr>
          <w:rFonts w:hint="eastAsia" w:ascii="宋体" w:hAnsi="宋体" w:cs="宋体"/>
          <w:color w:val="auto"/>
          <w:szCs w:val="21"/>
          <w:highlight w:val="none"/>
        </w:rPr>
      </w:pPr>
      <w:r>
        <w:rPr>
          <w:rFonts w:hint="eastAsia" w:ascii="宋体" w:hAnsi="宋体" w:cs="宋体"/>
          <w:color w:val="auto"/>
          <w:szCs w:val="21"/>
          <w:highlight w:val="none"/>
        </w:rPr>
        <w:t>29.6如签订合同并生效后，供应商无故拒绝或延期，除按照合同条款处理外，将承担相应的法律责任。</w:t>
      </w:r>
    </w:p>
    <w:p w14:paraId="1F949DD7">
      <w:pPr>
        <w:spacing w:line="360" w:lineRule="auto"/>
        <w:ind w:firstLine="424" w:firstLineChars="202"/>
        <w:rPr>
          <w:rFonts w:hint="eastAsia" w:ascii="宋体" w:hAnsi="宋体" w:cs="宋体"/>
          <w:color w:val="auto"/>
          <w:szCs w:val="21"/>
          <w:highlight w:val="none"/>
        </w:rPr>
      </w:pPr>
      <w:r>
        <w:rPr>
          <w:rFonts w:hint="eastAsia" w:ascii="宋体" w:hAnsi="宋体" w:cs="宋体"/>
          <w:color w:val="auto"/>
          <w:szCs w:val="21"/>
          <w:highlight w:val="none"/>
        </w:rPr>
        <w:t>29.7政府采购合同履行中，采购人需追加与合同标的相同的货物、工程或者服务的，在不改变合同其他条款的前提下，可以与供应商协商签订补充合同，但所有补充合同的采购金额不得超过原合同采购金额的10%。</w:t>
      </w:r>
    </w:p>
    <w:p w14:paraId="6492CE86">
      <w:pPr>
        <w:spacing w:line="360" w:lineRule="auto"/>
        <w:ind w:firstLine="482" w:firstLineChars="200"/>
        <w:rPr>
          <w:rFonts w:hint="eastAsia" w:ascii="黑体" w:hAnsi="黑体" w:eastAsia="黑体" w:cs="宋体"/>
          <w:b/>
          <w:bCs/>
          <w:color w:val="auto"/>
          <w:sz w:val="24"/>
          <w:highlight w:val="none"/>
        </w:rPr>
      </w:pPr>
      <w:r>
        <w:rPr>
          <w:rFonts w:ascii="黑体" w:hAnsi="黑体" w:eastAsia="黑体" w:cs="宋体"/>
          <w:b/>
          <w:bCs/>
          <w:color w:val="auto"/>
          <w:sz w:val="24"/>
          <w:highlight w:val="none"/>
        </w:rPr>
        <w:t>30</w:t>
      </w:r>
      <w:r>
        <w:rPr>
          <w:rFonts w:hint="eastAsia" w:ascii="黑体" w:hAnsi="黑体" w:eastAsia="黑体" w:cs="宋体"/>
          <w:b/>
          <w:bCs/>
          <w:color w:val="auto"/>
          <w:sz w:val="24"/>
          <w:highlight w:val="none"/>
        </w:rPr>
        <w:t>.政府采购合同公告</w:t>
      </w:r>
    </w:p>
    <w:p w14:paraId="54DFE301">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根据《中华人民共和国政府采购法实施条例》第五十条规定，采购人应当自政府采购合同签订之日起2个工作日内，将政府采购合同在省级以上人民政府财政部门指定的媒体上公告，但政府采购合同中涉及国家秘密、商业秘密的内容除外。</w:t>
      </w:r>
    </w:p>
    <w:p w14:paraId="506F8645">
      <w:pPr>
        <w:spacing w:line="360" w:lineRule="auto"/>
        <w:ind w:firstLine="482" w:firstLineChars="200"/>
        <w:rPr>
          <w:rFonts w:hint="eastAsia" w:ascii="黑体" w:hAnsi="黑体" w:eastAsia="黑体" w:cs="宋体"/>
          <w:b/>
          <w:bCs/>
          <w:color w:val="auto"/>
          <w:sz w:val="24"/>
          <w:highlight w:val="none"/>
        </w:rPr>
      </w:pPr>
      <w:r>
        <w:rPr>
          <w:rFonts w:ascii="黑体" w:hAnsi="黑体" w:eastAsia="黑体" w:cs="宋体"/>
          <w:b/>
          <w:bCs/>
          <w:color w:val="auto"/>
          <w:sz w:val="24"/>
          <w:highlight w:val="none"/>
        </w:rPr>
        <w:t>31</w:t>
      </w:r>
      <w:r>
        <w:rPr>
          <w:rFonts w:hint="eastAsia" w:ascii="黑体" w:hAnsi="黑体" w:eastAsia="黑体" w:cs="宋体"/>
          <w:b/>
          <w:bCs/>
          <w:color w:val="auto"/>
          <w:sz w:val="24"/>
          <w:highlight w:val="none"/>
        </w:rPr>
        <w:t>. 询问、质疑和投诉</w:t>
      </w:r>
    </w:p>
    <w:p w14:paraId="4BBA8045">
      <w:pPr>
        <w:pStyle w:val="7"/>
        <w:spacing w:after="120" w:line="360" w:lineRule="auto"/>
        <w:rPr>
          <w:rFonts w:hint="eastAsia" w:ascii="宋体" w:hAnsi="宋体"/>
          <w:color w:val="auto"/>
          <w:szCs w:val="21"/>
          <w:highlight w:val="none"/>
        </w:rPr>
      </w:pPr>
      <w:r>
        <w:rPr>
          <w:rFonts w:ascii="宋体" w:hAnsi="宋体" w:cs="宋体"/>
          <w:color w:val="auto"/>
          <w:highlight w:val="none"/>
        </w:rPr>
        <w:t>31</w:t>
      </w:r>
      <w:r>
        <w:rPr>
          <w:rFonts w:hint="eastAsia" w:ascii="宋体" w:hAnsi="宋体" w:cs="宋体"/>
          <w:color w:val="auto"/>
          <w:highlight w:val="none"/>
        </w:rPr>
        <w:t>.1供应商对政府采购活动事项有疑问的，可以向采购人、采购代理机构提出询问，采购人或者采购代理机构应当在3个工作日内对供应商依法提出的询问作出答复，</w:t>
      </w:r>
      <w:r>
        <w:rPr>
          <w:rFonts w:hint="eastAsia" w:ascii="宋体" w:hAnsi="宋体"/>
          <w:color w:val="auto"/>
          <w:szCs w:val="21"/>
          <w:highlight w:val="none"/>
        </w:rPr>
        <w:t>但答复的内容不得涉及商业秘密。</w:t>
      </w:r>
    </w:p>
    <w:p w14:paraId="49BB8706">
      <w:pPr>
        <w:spacing w:line="360" w:lineRule="auto"/>
        <w:ind w:firstLine="420" w:firstLineChars="200"/>
        <w:rPr>
          <w:rFonts w:hint="eastAsia" w:ascii="宋体" w:hAnsi="宋体" w:cs="宋体"/>
          <w:color w:val="auto"/>
          <w:highlight w:val="none"/>
        </w:rPr>
      </w:pPr>
      <w:r>
        <w:rPr>
          <w:rFonts w:ascii="宋体" w:hAnsi="宋体" w:cs="宋体"/>
          <w:color w:val="auto"/>
          <w:highlight w:val="none"/>
        </w:rPr>
        <w:t>31</w:t>
      </w:r>
      <w:r>
        <w:rPr>
          <w:rFonts w:hint="eastAsia" w:ascii="宋体" w:hAnsi="宋体" w:cs="宋体"/>
          <w:color w:val="auto"/>
          <w:highlight w:val="none"/>
        </w:rPr>
        <w:t>.2供应商认为谈判文件、采购过程或者成交结果使自己的合法权益受到损害的，应当在知道或者应知其权益受到损害之日起7个工作日内，以书面形式向采购人、采购代理机构提出质疑，</w:t>
      </w:r>
      <w:r>
        <w:rPr>
          <w:rFonts w:ascii="Arial" w:hAnsi="Arial" w:cs="Arial"/>
          <w:color w:val="auto"/>
          <w:highlight w:val="none"/>
          <w:shd w:val="clear" w:color="auto" w:fill="FFFFFF"/>
        </w:rPr>
        <w:t>接收质疑函的方式、联系部门、联系电话和通讯地址等信息</w:t>
      </w:r>
      <w:r>
        <w:rPr>
          <w:rFonts w:hint="eastAsia" w:ascii="宋体" w:hAnsi="宋体" w:cs="宋体"/>
          <w:color w:val="auto"/>
          <w:szCs w:val="21"/>
          <w:highlight w:val="none"/>
        </w:rPr>
        <w:t>详见“供应商须知前附表”</w:t>
      </w:r>
      <w:r>
        <w:rPr>
          <w:rFonts w:hint="eastAsia" w:ascii="宋体" w:hAnsi="宋体" w:cs="宋体"/>
          <w:color w:val="auto"/>
          <w:highlight w:val="none"/>
        </w:rPr>
        <w:t>。具体质疑起算时间如下：</w:t>
      </w:r>
    </w:p>
    <w:p w14:paraId="08219CD4">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（1）对可以质疑的谈判文件提出质疑的，为获取谈判文件之日；</w:t>
      </w:r>
    </w:p>
    <w:p w14:paraId="7294D52B">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（2）对采购过程提出质疑的，为各采购程序环节结束之日；</w:t>
      </w:r>
    </w:p>
    <w:p w14:paraId="42530691">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（3）对成交结果提出质疑的，为成交结果公告期限届满之日。</w:t>
      </w:r>
    </w:p>
    <w:p w14:paraId="26730BAA">
      <w:pPr>
        <w:spacing w:line="360" w:lineRule="auto"/>
        <w:ind w:firstLine="420" w:firstLineChars="200"/>
        <w:rPr>
          <w:rFonts w:hint="eastAsia" w:ascii="宋体" w:hAnsi="宋体" w:cs="宋体"/>
          <w:color w:val="auto"/>
          <w:highlight w:val="none"/>
        </w:rPr>
      </w:pPr>
      <w:r>
        <w:rPr>
          <w:rFonts w:ascii="宋体" w:hAnsi="宋体" w:cs="宋体"/>
          <w:color w:val="auto"/>
          <w:highlight w:val="none"/>
        </w:rPr>
        <w:t>31</w:t>
      </w:r>
      <w:r>
        <w:rPr>
          <w:rFonts w:hint="eastAsia" w:ascii="宋体" w:hAnsi="宋体" w:cs="宋体"/>
          <w:color w:val="auto"/>
          <w:highlight w:val="none"/>
        </w:rPr>
        <w:t>.3供应商提出的询问或者质疑超出采购人对采购代理机构委托授权范围的，采购代理机构应当告知供应商向采购人提出。政府采购评审专家应当配合采购人或者采购代理机构答复供应商的询问和质疑。</w:t>
      </w:r>
    </w:p>
    <w:p w14:paraId="0293D957">
      <w:pPr>
        <w:spacing w:line="360" w:lineRule="auto"/>
        <w:ind w:firstLine="420" w:firstLineChars="200"/>
        <w:rPr>
          <w:rFonts w:hint="eastAsia" w:ascii="宋体" w:hAnsi="宋体" w:cs="宋体"/>
          <w:color w:val="auto"/>
          <w:highlight w:val="none"/>
        </w:rPr>
      </w:pPr>
      <w:r>
        <w:rPr>
          <w:rFonts w:ascii="宋体" w:hAnsi="宋体" w:cs="宋体"/>
          <w:color w:val="auto"/>
          <w:highlight w:val="none"/>
        </w:rPr>
        <w:t>31</w:t>
      </w:r>
      <w:r>
        <w:rPr>
          <w:rFonts w:hint="eastAsia" w:ascii="宋体" w:hAnsi="宋体" w:cs="宋体"/>
          <w:color w:val="auto"/>
          <w:highlight w:val="none"/>
        </w:rPr>
        <w:t>.4供应商提出质疑应当提交质疑函和必要的证明材料，针对同一采购程序环节的质疑必须在法定质疑期内一次性提出。质疑函应当包括下列内容</w:t>
      </w:r>
      <w:r>
        <w:rPr>
          <w:rFonts w:hint="eastAsia" w:hAnsi="宋体"/>
          <w:bCs/>
          <w:color w:val="auto"/>
          <w:highlight w:val="none"/>
        </w:rPr>
        <w:t>（质疑函格式后附）</w:t>
      </w:r>
      <w:r>
        <w:rPr>
          <w:rFonts w:hint="eastAsia" w:ascii="宋体" w:hAnsi="宋体" w:cs="宋体"/>
          <w:color w:val="auto"/>
          <w:highlight w:val="none"/>
        </w:rPr>
        <w:t>：</w:t>
      </w:r>
    </w:p>
    <w:p w14:paraId="0301A929">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（1）供应商的姓名或者名称、地址、邮编、联系人及联系电话；</w:t>
      </w:r>
    </w:p>
    <w:p w14:paraId="2546617C">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（2）质疑项目的名称、编号；</w:t>
      </w:r>
    </w:p>
    <w:p w14:paraId="71B27FD2">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（3）具体、明确的质疑事项和与质疑事项相关的请求；</w:t>
      </w:r>
    </w:p>
    <w:p w14:paraId="2BE4CD03">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（4）事实依据；</w:t>
      </w:r>
    </w:p>
    <w:p w14:paraId="6AFFCBFF">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（5）必要的法律依据；</w:t>
      </w:r>
    </w:p>
    <w:p w14:paraId="61B896FF">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（6）提出质疑的日期。</w:t>
      </w:r>
    </w:p>
    <w:p w14:paraId="7FFFEEA3">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供应商为自然人的，应当由本人签字；供应商为法人或者其他组织的，应当由法定代表人、主要负责人，或者其委托代理人签字或者盖章，并加盖公章。</w:t>
      </w:r>
    </w:p>
    <w:p w14:paraId="75DF7B1E">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3</w:t>
      </w:r>
      <w:r>
        <w:rPr>
          <w:rFonts w:ascii="宋体" w:hAnsi="宋体" w:cs="宋体"/>
          <w:color w:val="auto"/>
          <w:highlight w:val="none"/>
        </w:rPr>
        <w:t>1.5</w:t>
      </w:r>
      <w:r>
        <w:rPr>
          <w:rFonts w:hint="eastAsia" w:ascii="宋体" w:hAnsi="宋体" w:cs="宋体"/>
          <w:color w:val="auto"/>
          <w:highlight w:val="none"/>
        </w:rPr>
        <w:t>采购人、采购代理机构认为供应商质疑不成立，或者成立但未对成交结果构成影响的，继续开展采购活动；认为供应商质疑成立且影响或者可能影响成交结果的，按照下列情况处理：</w:t>
      </w:r>
    </w:p>
    <w:p w14:paraId="18C68D09">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（一）对采购文件提出的质疑，依法通过澄清或者修改可以继续开展采购活动的，澄清或者修改采购文件后继续开展采购活动；否则应当修改采购文件后重新开展采购活动。</w:t>
      </w:r>
    </w:p>
    <w:p w14:paraId="575CB231">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（二）对采购过程或者成交结果提出的质疑，合格供应商符合法定数量时，可以从合格的成交候选人中另行确定成交供应商的，应当依法另行确定成交供应商；否则应当重新开展采购活动。</w:t>
      </w:r>
    </w:p>
    <w:p w14:paraId="6EC350B1">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质疑答复导致成交结果改变的，采购人或者采购代理机构应当将有关情况书面报告本级财政部门。</w:t>
      </w:r>
    </w:p>
    <w:p w14:paraId="3D6157CB">
      <w:pPr>
        <w:spacing w:line="360" w:lineRule="auto"/>
        <w:ind w:firstLine="420" w:firstLineChars="200"/>
        <w:rPr>
          <w:rFonts w:ascii="宋体" w:hAnsi="宋体" w:cs="宋体"/>
          <w:b/>
          <w:bCs/>
          <w:color w:val="auto"/>
          <w:szCs w:val="21"/>
          <w:highlight w:val="none"/>
        </w:rPr>
      </w:pPr>
      <w:r>
        <w:rPr>
          <w:rFonts w:ascii="宋体" w:hAnsi="宋体" w:cs="宋体"/>
          <w:color w:val="auto"/>
          <w:highlight w:val="none"/>
        </w:rPr>
        <w:t>31</w:t>
      </w:r>
      <w:r>
        <w:rPr>
          <w:rFonts w:hint="eastAsia" w:ascii="宋体" w:hAnsi="宋体" w:cs="宋体"/>
          <w:color w:val="auto"/>
          <w:highlight w:val="none"/>
        </w:rPr>
        <w:t>.</w:t>
      </w:r>
      <w:r>
        <w:rPr>
          <w:rFonts w:ascii="宋体" w:hAnsi="宋体" w:cs="宋体"/>
          <w:color w:val="auto"/>
          <w:highlight w:val="none"/>
        </w:rPr>
        <w:t>6</w:t>
      </w:r>
      <w:r>
        <w:rPr>
          <w:rFonts w:hint="eastAsia" w:ascii="宋体" w:hAnsi="宋体" w:cs="宋体"/>
          <w:color w:val="auto"/>
          <w:highlight w:val="none"/>
        </w:rPr>
        <w:t>质疑供应商对采购人、采购代理机构的答复不满意，或者采购人、采购代理机构未在规定时间内作出答复的，可以在答复期满后15个工作日内向《政府采购质疑和投诉办法》（财政部令第94号）第六条规定的财政部门提起投诉（投诉书格式后附）。</w:t>
      </w:r>
    </w:p>
    <w:p w14:paraId="64354224">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3</w:t>
      </w:r>
      <w:r>
        <w:rPr>
          <w:rFonts w:ascii="黑体" w:hAnsi="黑体" w:eastAsia="黑体" w:cs="宋体"/>
          <w:b/>
          <w:bCs/>
          <w:color w:val="auto"/>
          <w:sz w:val="24"/>
          <w:highlight w:val="none"/>
        </w:rPr>
        <w:t>2.</w:t>
      </w:r>
      <w:r>
        <w:rPr>
          <w:rFonts w:hint="eastAsia" w:ascii="黑体" w:hAnsi="黑体" w:eastAsia="黑体" w:cs="宋体"/>
          <w:b/>
          <w:bCs/>
          <w:color w:val="auto"/>
          <w:sz w:val="24"/>
          <w:highlight w:val="none"/>
        </w:rPr>
        <w:t>其他内容</w:t>
      </w:r>
    </w:p>
    <w:p w14:paraId="6BE10C44">
      <w:pPr>
        <w:tabs>
          <w:tab w:val="left" w:pos="2835"/>
        </w:tabs>
        <w:spacing w:line="360" w:lineRule="auto"/>
        <w:ind w:firstLine="420" w:firstLineChars="200"/>
        <w:rPr>
          <w:rFonts w:ascii="宋体" w:hAnsi="宋体"/>
          <w:b/>
          <w:color w:val="auto"/>
          <w:szCs w:val="21"/>
          <w:highlight w:val="none"/>
        </w:rPr>
      </w:pPr>
      <w:r>
        <w:rPr>
          <w:rFonts w:ascii="宋体" w:hAnsi="宋体" w:cs="宋体"/>
          <w:color w:val="auto"/>
          <w:szCs w:val="21"/>
          <w:highlight w:val="none"/>
        </w:rPr>
        <w:t>32</w:t>
      </w:r>
      <w:r>
        <w:rPr>
          <w:rFonts w:hint="eastAsia" w:ascii="宋体" w:hAnsi="宋体" w:cs="宋体"/>
          <w:color w:val="auto"/>
          <w:szCs w:val="21"/>
          <w:highlight w:val="none"/>
        </w:rPr>
        <w:t>.1代理服务收取标准详见“供应商须知前附表”，供应商为联合体的，可以由联合体中的一方或者多方共同交纳代理服务费：</w:t>
      </w:r>
    </w:p>
    <w:p w14:paraId="6237DC8D">
      <w:pPr>
        <w:spacing w:line="360" w:lineRule="auto"/>
        <w:ind w:firstLine="482" w:firstLineChars="200"/>
        <w:contextualSpacing/>
        <w:rPr>
          <w:rFonts w:ascii="黑体" w:hAnsi="黑体" w:eastAsia="黑体" w:cs="宋体"/>
          <w:b/>
          <w:bCs/>
          <w:color w:val="auto"/>
          <w:sz w:val="24"/>
          <w:highlight w:val="none"/>
        </w:rPr>
      </w:pPr>
      <w:r>
        <w:rPr>
          <w:rFonts w:ascii="黑体" w:hAnsi="黑体" w:eastAsia="黑体" w:cs="宋体"/>
          <w:b/>
          <w:bCs/>
          <w:color w:val="auto"/>
          <w:sz w:val="24"/>
          <w:highlight w:val="none"/>
        </w:rPr>
        <w:t>33. 需要补充的其他内容</w:t>
      </w:r>
    </w:p>
    <w:p w14:paraId="5F819E3A">
      <w:pPr>
        <w:pStyle w:val="15"/>
        <w:spacing w:line="360" w:lineRule="exact"/>
        <w:ind w:firstLine="420" w:firstLineChars="200"/>
        <w:contextualSpacing/>
        <w:rPr>
          <w:rFonts w:hAnsi="宋体"/>
          <w:color w:val="auto"/>
          <w:sz w:val="21"/>
          <w:highlight w:val="none"/>
        </w:rPr>
      </w:pPr>
      <w:r>
        <w:rPr>
          <w:rFonts w:hAnsi="宋体"/>
          <w:color w:val="auto"/>
          <w:sz w:val="21"/>
          <w:highlight w:val="none"/>
        </w:rPr>
        <w:t>33.1</w:t>
      </w:r>
      <w:r>
        <w:rPr>
          <w:rFonts w:hint="eastAsia" w:hAnsi="宋体" w:cs="宋体"/>
          <w:color w:val="auto"/>
          <w:sz w:val="21"/>
          <w:highlight w:val="none"/>
        </w:rPr>
        <w:t>本谈判文件解释规则详见</w:t>
      </w:r>
      <w:r>
        <w:rPr>
          <w:rFonts w:hint="eastAsia" w:hAnsi="宋体"/>
          <w:color w:val="auto"/>
          <w:sz w:val="21"/>
          <w:highlight w:val="none"/>
        </w:rPr>
        <w:t>“供应商须知前附表”。</w:t>
      </w:r>
    </w:p>
    <w:p w14:paraId="5ED0FB78">
      <w:pPr>
        <w:spacing w:line="360" w:lineRule="exact"/>
        <w:ind w:firstLine="420" w:firstLineChars="200"/>
        <w:contextualSpacing/>
        <w:rPr>
          <w:rFonts w:hAnsi="宋体"/>
          <w:color w:val="auto"/>
          <w:szCs w:val="21"/>
          <w:highlight w:val="none"/>
        </w:rPr>
      </w:pPr>
      <w:r>
        <w:rPr>
          <w:rFonts w:ascii="宋体" w:hAnsi="宋体" w:cs="宋体"/>
          <w:color w:val="auto"/>
          <w:kern w:val="0"/>
          <w:szCs w:val="21"/>
          <w:highlight w:val="none"/>
        </w:rPr>
        <w:t>33.2</w:t>
      </w:r>
      <w:r>
        <w:rPr>
          <w:rFonts w:hint="eastAsia" w:ascii="宋体" w:hAnsi="宋体" w:cs="宋体"/>
          <w:color w:val="auto"/>
          <w:kern w:val="0"/>
          <w:szCs w:val="21"/>
          <w:highlight w:val="none"/>
        </w:rPr>
        <w:t xml:space="preserve"> 其他事</w:t>
      </w:r>
      <w:r>
        <w:rPr>
          <w:rFonts w:hint="eastAsia" w:hAnsi="宋体"/>
          <w:color w:val="auto"/>
          <w:szCs w:val="21"/>
          <w:highlight w:val="none"/>
        </w:rPr>
        <w:t>项详见“供应商须知前附表”。</w:t>
      </w:r>
    </w:p>
    <w:p w14:paraId="729F327C">
      <w:pPr>
        <w:pStyle w:val="15"/>
        <w:spacing w:line="360" w:lineRule="exact"/>
        <w:ind w:firstLine="420" w:firstLineChars="200"/>
        <w:contextualSpacing/>
        <w:rPr>
          <w:rFonts w:hint="eastAsia" w:hAnsi="宋体"/>
          <w:color w:val="auto"/>
          <w:sz w:val="21"/>
          <w:highlight w:val="none"/>
        </w:rPr>
      </w:pPr>
      <w:r>
        <w:rPr>
          <w:rFonts w:hint="eastAsia" w:hAnsi="宋体"/>
          <w:color w:val="auto"/>
          <w:sz w:val="21"/>
          <w:highlight w:val="none"/>
        </w:rPr>
        <w:t>3</w:t>
      </w:r>
      <w:r>
        <w:rPr>
          <w:rFonts w:hAnsi="宋体"/>
          <w:color w:val="auto"/>
          <w:sz w:val="21"/>
          <w:highlight w:val="none"/>
        </w:rPr>
        <w:t>3.3</w:t>
      </w:r>
      <w:bookmarkStart w:id="91" w:name="_Hlk65857140"/>
      <w:r>
        <w:rPr>
          <w:rFonts w:hint="eastAsia" w:hAnsi="宋体"/>
          <w:color w:val="auto"/>
          <w:sz w:val="21"/>
          <w:highlight w:val="none"/>
        </w:rPr>
        <w:t>本谈判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货物、工程或者服务符合下列情形的，享受本谈判文件规定的中小企业扶持政策：</w:t>
      </w:r>
    </w:p>
    <w:p w14:paraId="5AD19D1C">
      <w:pPr>
        <w:pStyle w:val="15"/>
        <w:spacing w:line="360" w:lineRule="exact"/>
        <w:ind w:firstLine="420" w:firstLineChars="200"/>
        <w:contextualSpacing/>
        <w:rPr>
          <w:rFonts w:hint="eastAsia" w:hAnsi="宋体"/>
          <w:color w:val="auto"/>
          <w:sz w:val="21"/>
          <w:highlight w:val="none"/>
        </w:rPr>
      </w:pPr>
      <w:r>
        <w:rPr>
          <w:rFonts w:hint="eastAsia" w:hAnsi="宋体"/>
          <w:color w:val="auto"/>
          <w:sz w:val="21"/>
          <w:highlight w:val="none"/>
        </w:rPr>
        <w:t>（1）在货物采购项目中，货物由中小企业制造，即货物由中小企业生产且使用该中小企业商号或者注册商标，不对其中涉及的工程承建商和服务的承接商作出要求；</w:t>
      </w:r>
    </w:p>
    <w:p w14:paraId="0D4080C7">
      <w:pPr>
        <w:pStyle w:val="15"/>
        <w:spacing w:line="360" w:lineRule="exact"/>
        <w:ind w:firstLine="420" w:firstLineChars="200"/>
        <w:contextualSpacing/>
        <w:rPr>
          <w:rFonts w:hint="eastAsia" w:hAnsi="宋体"/>
          <w:color w:val="auto"/>
          <w:sz w:val="21"/>
          <w:highlight w:val="none"/>
        </w:rPr>
      </w:pPr>
      <w:r>
        <w:rPr>
          <w:rFonts w:hint="eastAsia" w:hAnsi="宋体"/>
          <w:color w:val="auto"/>
          <w:sz w:val="21"/>
          <w:highlight w:val="none"/>
        </w:rPr>
        <w:t>（2）在工程采购项目中，工程由中小企业承建，即工程施工单位为中小企业，不对其中涉及的货物的制造商和服务的承接商作出要求；</w:t>
      </w:r>
    </w:p>
    <w:p w14:paraId="385C5888">
      <w:pPr>
        <w:pStyle w:val="15"/>
        <w:spacing w:line="360" w:lineRule="exact"/>
        <w:ind w:firstLine="420" w:firstLineChars="200"/>
        <w:contextualSpacing/>
        <w:rPr>
          <w:rFonts w:hint="eastAsia" w:hAnsi="宋体"/>
          <w:color w:val="auto"/>
          <w:sz w:val="21"/>
          <w:highlight w:val="none"/>
        </w:rPr>
      </w:pPr>
      <w:r>
        <w:rPr>
          <w:rFonts w:hint="eastAsia" w:hAnsi="宋体"/>
          <w:color w:val="auto"/>
          <w:sz w:val="21"/>
          <w:highlight w:val="none"/>
        </w:rPr>
        <w:t>（3）在服务采购项目中，服务由中小企业承接，即提供服务的人员为中小企业依照《中华人民共和国劳动合同法》订立劳动合同的从业人员，不对其中涉及的货物的制造商和工程承建商作出要求。</w:t>
      </w:r>
    </w:p>
    <w:p w14:paraId="2BC78B75">
      <w:pPr>
        <w:pStyle w:val="15"/>
        <w:spacing w:line="360" w:lineRule="exact"/>
        <w:ind w:firstLine="420" w:firstLineChars="200"/>
        <w:contextualSpacing/>
        <w:rPr>
          <w:rFonts w:hint="eastAsia" w:hAnsi="宋体"/>
          <w:color w:val="auto"/>
          <w:sz w:val="21"/>
          <w:highlight w:val="none"/>
        </w:rPr>
      </w:pPr>
      <w:r>
        <w:rPr>
          <w:rFonts w:hint="eastAsia" w:hAnsi="宋体"/>
          <w:color w:val="auto"/>
          <w:sz w:val="21"/>
          <w:highlight w:val="none"/>
        </w:rPr>
        <w:t>在货物采购项目中，供应商提供的货物既有中小企业制造货物，也有大型企业制造货物的，不享受本谈判文件规定的中小企业扶持政策。以联合体形式参加政府采购活动，联合体各方均为中小企业的，联合体视同中小企业。其中，联合体各方均为小微企业的，联合体视同小微企业。</w:t>
      </w:r>
    </w:p>
    <w:p w14:paraId="26FD094D">
      <w:pPr>
        <w:spacing w:line="360" w:lineRule="exact"/>
        <w:ind w:firstLine="420" w:firstLineChars="200"/>
        <w:contextualSpacing/>
        <w:rPr>
          <w:rFonts w:hint="eastAsia" w:ascii="宋体" w:hAnsi="宋体" w:cs="宋体"/>
          <w:color w:val="auto"/>
          <w:szCs w:val="21"/>
          <w:highlight w:val="none"/>
        </w:rPr>
      </w:pPr>
      <w:r>
        <w:rPr>
          <w:rFonts w:hint="eastAsia" w:hAnsi="宋体"/>
          <w:color w:val="auto"/>
          <w:szCs w:val="21"/>
          <w:highlight w:val="none"/>
        </w:rPr>
        <w:t>依据本谈判文件规定享受扶持政策获得政府采购合同的，小微企业不得将合同分包给大中型企业，中型企业不得将合同分包给大型企业。</w:t>
      </w:r>
      <w:bookmarkEnd w:id="91"/>
    </w:p>
    <w:p w14:paraId="4E5D271B">
      <w:pPr>
        <w:pStyle w:val="2"/>
        <w:spacing w:after="100" w:line="480" w:lineRule="auto"/>
        <w:jc w:val="center"/>
        <w:rPr>
          <w:rFonts w:hint="eastAsia" w:ascii="Times New Roman" w:hAnsi="Times New Roman" w:eastAsia="宋体" w:cs="Times New Roman"/>
          <w:b/>
          <w:bCs/>
          <w:color w:val="auto"/>
          <w:highlight w:val="none"/>
        </w:rPr>
      </w:pPr>
      <w:r>
        <w:rPr>
          <w:rFonts w:ascii="黑体" w:hAnsi="黑体" w:eastAsia="黑体" w:cs="黑体"/>
          <w:bCs w:val="0"/>
          <w:color w:val="auto"/>
          <w:sz w:val="32"/>
          <w:szCs w:val="32"/>
          <w:highlight w:val="none"/>
        </w:rPr>
        <w:br w:type="page"/>
      </w:r>
      <w:bookmarkStart w:id="92" w:name="_Toc74322010"/>
      <w:r>
        <w:rPr>
          <w:rFonts w:hint="eastAsia" w:ascii="Times New Roman" w:hAnsi="Times New Roman" w:eastAsia="宋体" w:cs="Times New Roman"/>
          <w:b/>
          <w:bCs/>
          <w:color w:val="auto"/>
          <w:highlight w:val="none"/>
        </w:rPr>
        <w:t>第三章 采购需求</w:t>
      </w:r>
      <w:bookmarkEnd w:id="92"/>
    </w:p>
    <w:p w14:paraId="550717D1">
      <w:pPr>
        <w:spacing w:line="440" w:lineRule="exact"/>
        <w:jc w:val="center"/>
        <w:rPr>
          <w:rFonts w:hint="eastAsia" w:ascii="宋体" w:hAnsi="宋体"/>
          <w:b/>
          <w:color w:val="auto"/>
          <w:sz w:val="32"/>
          <w:szCs w:val="32"/>
          <w:highlight w:val="none"/>
        </w:rPr>
      </w:pPr>
      <w:r>
        <w:rPr>
          <w:rFonts w:hint="eastAsia" w:ascii="宋体" w:hAnsi="宋体"/>
          <w:b/>
          <w:color w:val="auto"/>
          <w:sz w:val="32"/>
          <w:szCs w:val="32"/>
          <w:highlight w:val="none"/>
        </w:rPr>
        <w:t>采购项目技术规格、参数及要求</w:t>
      </w:r>
    </w:p>
    <w:p w14:paraId="48F8CB74">
      <w:pPr>
        <w:spacing w:line="440" w:lineRule="exact"/>
        <w:jc w:val="left"/>
        <w:rPr>
          <w:rFonts w:hint="eastAsia" w:ascii="宋体" w:hAnsi="宋体" w:cs="宋体"/>
          <w:color w:val="auto"/>
          <w:szCs w:val="21"/>
          <w:highlight w:val="none"/>
        </w:rPr>
      </w:pPr>
    </w:p>
    <w:p w14:paraId="7AC31A45">
      <w:pPr>
        <w:spacing w:line="400" w:lineRule="exact"/>
        <w:jc w:val="left"/>
        <w:rPr>
          <w:color w:val="auto"/>
          <w:highlight w:val="none"/>
        </w:rPr>
      </w:pPr>
      <w:r>
        <w:rPr>
          <w:rFonts w:hint="eastAsia" w:ascii="宋体" w:hAnsi="宋体" w:cs="宋体"/>
          <w:color w:val="auto"/>
          <w:szCs w:val="21"/>
          <w:highlight w:val="none"/>
        </w:rPr>
        <w:t>说明：</w:t>
      </w:r>
    </w:p>
    <w:p w14:paraId="3177F0C8">
      <w:pPr>
        <w:spacing w:line="400" w:lineRule="exact"/>
        <w:ind w:firstLine="420" w:firstLineChars="200"/>
        <w:jc w:val="left"/>
        <w:rPr>
          <w:rFonts w:hint="eastAsia" w:ascii="宋体" w:hAnsi="宋体" w:cs="宋体"/>
          <w:color w:val="auto"/>
          <w:szCs w:val="21"/>
          <w:highlight w:val="none"/>
        </w:rPr>
      </w:pPr>
      <w:r>
        <w:rPr>
          <w:rFonts w:hint="eastAsia" w:ascii="宋体" w:hAnsi="宋体"/>
          <w:color w:val="auto"/>
          <w:highlight w:val="none"/>
        </w:rPr>
        <w:t>1.为落实政府采购政策需满足的要求</w:t>
      </w:r>
    </w:p>
    <w:p w14:paraId="53053D60">
      <w:pPr>
        <w:spacing w:line="40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（1）本竞争性谈判采购文件所称中小企业必须符合《政府采购促进中小企业发展管理办法》（财库〔2020〕46号）的规定。</w:t>
      </w:r>
    </w:p>
    <w:p w14:paraId="0DAAFE8F">
      <w:pPr>
        <w:spacing w:line="40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（2）根据《财政部 发展改革委 生态环境部 市场监管总局关于调整优化节能产品、环境标志产品政府采购执行机制的通知》（财库〔2019〕9号）和《关于印发节能产品政府采购品目清单的通知》（财库〔2019〕19号）的规定，采购需求中的产品属于节能产品政府采购品目清单内标注“★”的，供应商必须在响应文件中提供所竞标产品的节能产品认证证书复印件（加盖供应商电子签章），否则响应文件按无效处理。如本项目包含的货物属于品目清单内非标注“★”的产品时，应优先采购，具体详见“第四章 评审程序和评定成交的标准”。</w:t>
      </w:r>
    </w:p>
    <w:p w14:paraId="3443949E">
      <w:pPr>
        <w:spacing w:line="400" w:lineRule="exact"/>
        <w:ind w:firstLine="424" w:firstLineChars="202"/>
        <w:jc w:val="left"/>
        <w:rPr>
          <w:rFonts w:hint="eastAsia" w:ascii="宋体" w:hAnsi="宋体" w:cs="宋体"/>
          <w:color w:val="auto"/>
          <w:szCs w:val="21"/>
          <w:highlight w:val="none"/>
        </w:rPr>
      </w:pPr>
      <w:r>
        <w:rPr>
          <w:rFonts w:hint="eastAsia" w:ascii="宋体" w:hAnsi="宋体" w:cs="宋体"/>
          <w:color w:val="auto"/>
          <w:szCs w:val="21"/>
          <w:highlight w:val="none"/>
        </w:rPr>
        <w:t>（3）根据《关于信息安全产品实施政府采购的通知》（财库〔2010〕48号）的规定，本项目采购范围包含信息安全产品的（信息安全产品包括：防火墙、网络安全隔离卡与线路选择器、安全隔离与信息交换产品、安全路由器、智能卡COS、数据备份与恢复产品、安全操作系统、安全数据库系统、反垃圾邮件产品、入侵检测系统（IDS）、网络脆弱扫描产品、安全审计产品、网站恢复产品），供应商必须在响应文件中提供中国信息安全认证中心授予的有效的信息安全产品认证证书（加盖供应商公章），否则响应文件作无效处理。</w:t>
      </w:r>
    </w:p>
    <w:p w14:paraId="2D6C0A03">
      <w:pPr>
        <w:spacing w:line="400" w:lineRule="exact"/>
        <w:ind w:firstLine="424" w:firstLineChars="202"/>
        <w:jc w:val="left"/>
        <w:rPr>
          <w:rFonts w:hint="eastAsia" w:ascii="宋体" w:hAnsi="宋体" w:cs="宋体"/>
          <w:color w:val="auto"/>
          <w:szCs w:val="21"/>
          <w:highlight w:val="none"/>
        </w:rPr>
      </w:pPr>
      <w:r>
        <w:rPr>
          <w:rFonts w:hint="eastAsia" w:ascii="宋体" w:hAnsi="宋体" w:cs="宋体"/>
          <w:color w:val="auto"/>
          <w:szCs w:val="21"/>
          <w:highlight w:val="none"/>
        </w:rPr>
        <w:t>2.“</w:t>
      </w:r>
      <w:r>
        <w:rPr>
          <w:rFonts w:hint="eastAsia" w:ascii="宋体" w:hAnsi="宋体" w:cs="宋体"/>
          <w:b/>
          <w:bCs/>
          <w:color w:val="auto"/>
          <w:szCs w:val="21"/>
        </w:rPr>
        <w:t>“实质性要求”是指采购需求中带“▲”的条款或者不能负偏离的条款或者已经指明不满足按响应文件作无效处理的条款。</w:t>
      </w:r>
    </w:p>
    <w:p w14:paraId="28D959AA">
      <w:pPr>
        <w:spacing w:line="400" w:lineRule="exact"/>
        <w:ind w:firstLine="424" w:firstLineChars="202"/>
        <w:jc w:val="left"/>
        <w:rPr>
          <w:rFonts w:hint="eastAsia" w:ascii="宋体" w:hAnsi="宋体" w:cs="宋体"/>
          <w:color w:val="auto"/>
          <w:szCs w:val="21"/>
          <w:highlight w:val="none"/>
        </w:rPr>
      </w:pPr>
      <w:r>
        <w:rPr>
          <w:rFonts w:hint="eastAsia" w:ascii="宋体" w:hAnsi="宋体" w:cs="宋体"/>
          <w:color w:val="auto"/>
          <w:szCs w:val="21"/>
          <w:highlight w:val="none"/>
        </w:rPr>
        <w:t>3.采购需求中出现的品牌、型号或者生产供应商仅起参考作用，不属于指定品牌、型号或者生产供应商的情形。供应商可参照或者选用其他相当的品牌、型号或者生产供应商替代。</w:t>
      </w:r>
    </w:p>
    <w:p w14:paraId="0E23C101">
      <w:pPr>
        <w:spacing w:line="400" w:lineRule="exact"/>
        <w:ind w:firstLine="424" w:firstLineChars="202"/>
        <w:jc w:val="left"/>
        <w:rPr>
          <w:rFonts w:hint="eastAsia" w:ascii="宋体" w:hAnsi="宋体" w:cs="宋体"/>
          <w:color w:val="auto"/>
          <w:szCs w:val="21"/>
          <w:highlight w:val="none"/>
        </w:rPr>
      </w:pPr>
      <w:r>
        <w:rPr>
          <w:rFonts w:hint="eastAsia" w:ascii="宋体" w:hAnsi="宋体" w:cs="宋体"/>
          <w:color w:val="auto"/>
          <w:szCs w:val="21"/>
          <w:highlight w:val="none"/>
        </w:rPr>
        <w:t>4.</w:t>
      </w:r>
      <w:r>
        <w:rPr>
          <w:rFonts w:hint="eastAsia"/>
          <w:color w:val="auto"/>
          <w:highlight w:val="none"/>
        </w:rPr>
        <w:t>供应商</w:t>
      </w:r>
      <w:r>
        <w:rPr>
          <w:rFonts w:hint="eastAsia" w:ascii="宋体" w:hAnsi="宋体" w:cs="宋体"/>
          <w:color w:val="auto"/>
          <w:szCs w:val="21"/>
          <w:highlight w:val="none"/>
        </w:rPr>
        <w:t>必须自行为其竞标产品侵犯他人的知识产权或者专利成果的行为承担相应法律责任。</w:t>
      </w:r>
    </w:p>
    <w:p w14:paraId="055AC57F">
      <w:pPr>
        <w:spacing w:line="400" w:lineRule="exact"/>
        <w:ind w:firstLine="424" w:firstLineChars="202"/>
        <w:jc w:val="left"/>
        <w:rPr>
          <w:rFonts w:hint="eastAsia" w:ascii="宋体" w:hAnsi="宋体"/>
          <w:color w:val="auto"/>
          <w:szCs w:val="21"/>
          <w:highlight w:val="none"/>
        </w:rPr>
      </w:pPr>
      <w:r>
        <w:rPr>
          <w:rFonts w:hint="eastAsia" w:ascii="宋体" w:hAnsi="宋体" w:cs="宋体"/>
          <w:color w:val="auto"/>
          <w:szCs w:val="21"/>
          <w:highlight w:val="none"/>
        </w:rPr>
        <w:t>5.竞争性谈判文件中所要求提供的证明材料，如为英文文本的请提供中文翻</w:t>
      </w:r>
      <w:r>
        <w:rPr>
          <w:rFonts w:hint="eastAsia" w:ascii="宋体" w:hAnsi="宋体"/>
          <w:color w:val="auto"/>
          <w:szCs w:val="21"/>
          <w:highlight w:val="none"/>
        </w:rPr>
        <w:t>译文本。</w:t>
      </w:r>
    </w:p>
    <w:p w14:paraId="6B23F2E5">
      <w:pPr>
        <w:spacing w:line="360" w:lineRule="auto"/>
        <w:ind w:firstLine="426" w:firstLineChars="202"/>
        <w:jc w:val="left"/>
        <w:rPr>
          <w:rFonts w:hint="eastAsia" w:ascii="宋体" w:hAnsi="宋体" w:cs="宋体"/>
          <w:b/>
          <w:bCs/>
          <w:color w:val="auto"/>
          <w:szCs w:val="21"/>
        </w:rPr>
      </w:pPr>
      <w:bookmarkStart w:id="93" w:name="_Hlk48036094"/>
      <w:r>
        <w:rPr>
          <w:rFonts w:hint="eastAsia" w:ascii="宋体" w:hAnsi="宋体" w:cs="宋体"/>
          <w:b/>
          <w:bCs/>
          <w:color w:val="auto"/>
          <w:szCs w:val="21"/>
          <w:lang w:val="en-US" w:eastAsia="zh-CN"/>
        </w:rPr>
        <w:t>6</w:t>
      </w:r>
      <w:r>
        <w:rPr>
          <w:rFonts w:hint="eastAsia" w:ascii="宋体" w:hAnsi="宋体" w:cs="宋体"/>
          <w:b/>
          <w:bCs/>
          <w:color w:val="auto"/>
          <w:szCs w:val="21"/>
        </w:rPr>
        <w:t>.供应商应根据自身实际情况如实响应竞争性</w:t>
      </w:r>
      <w:r>
        <w:rPr>
          <w:rFonts w:hint="eastAsia" w:ascii="宋体" w:hAnsi="宋体" w:cs="宋体"/>
          <w:b/>
          <w:bCs/>
          <w:color w:val="auto"/>
          <w:szCs w:val="21"/>
          <w:lang w:val="en-US" w:eastAsia="zh-CN"/>
        </w:rPr>
        <w:t>谈判</w:t>
      </w:r>
      <w:r>
        <w:rPr>
          <w:rFonts w:hint="eastAsia" w:ascii="宋体" w:hAnsi="宋体" w:cs="宋体"/>
          <w:b/>
          <w:bCs/>
          <w:color w:val="auto"/>
          <w:szCs w:val="21"/>
        </w:rPr>
        <w:t>文件，不得仅将竞争性</w:t>
      </w:r>
      <w:r>
        <w:rPr>
          <w:rFonts w:hint="eastAsia" w:ascii="宋体" w:hAnsi="宋体" w:cs="宋体"/>
          <w:b/>
          <w:bCs/>
          <w:color w:val="auto"/>
          <w:szCs w:val="21"/>
          <w:lang w:val="en-US" w:eastAsia="zh-CN"/>
        </w:rPr>
        <w:t>谈判</w:t>
      </w:r>
      <w:r>
        <w:rPr>
          <w:rFonts w:hint="eastAsia" w:ascii="宋体" w:hAnsi="宋体" w:cs="宋体"/>
          <w:b/>
          <w:bCs/>
          <w:color w:val="auto"/>
          <w:szCs w:val="21"/>
        </w:rPr>
        <w:t>文件内容简单复制粘贴作为竞标响应，还应当提供相关证明材料，否则将作无效响应处理（定制采购项目不适用本条款）。对于重要技术条款或技术参数应当在响应文件中提供技术支持资料，技术支持资料以竞争性</w:t>
      </w:r>
      <w:r>
        <w:rPr>
          <w:rFonts w:hint="eastAsia" w:ascii="宋体" w:hAnsi="宋体" w:cs="宋体"/>
          <w:b/>
          <w:bCs/>
          <w:color w:val="auto"/>
          <w:szCs w:val="21"/>
          <w:lang w:val="en-US" w:eastAsia="zh-CN"/>
        </w:rPr>
        <w:t>谈判</w:t>
      </w:r>
      <w:r>
        <w:rPr>
          <w:rFonts w:hint="eastAsia" w:ascii="宋体" w:hAnsi="宋体" w:cs="宋体"/>
          <w:b/>
          <w:bCs/>
          <w:color w:val="auto"/>
          <w:szCs w:val="21"/>
        </w:rPr>
        <w:t>文件中规定的形式为准，否则将视为无效技术支持资料。</w:t>
      </w:r>
    </w:p>
    <w:p w14:paraId="6028DC71">
      <w:pPr>
        <w:spacing w:line="360" w:lineRule="auto"/>
        <w:ind w:firstLine="424" w:firstLineChars="202"/>
        <w:jc w:val="left"/>
        <w:rPr>
          <w:rFonts w:hint="eastAsia"/>
          <w:color w:val="auto"/>
        </w:rPr>
        <w:sectPr>
          <w:pgSz w:w="11906" w:h="16838"/>
          <w:pgMar w:top="1440" w:right="1080" w:bottom="1440" w:left="1080" w:header="851" w:footer="992" w:gutter="0"/>
          <w:pgNumType w:fmt="decimal"/>
          <w:cols w:space="720" w:num="1"/>
          <w:titlePg/>
          <w:docGrid w:type="lines" w:linePitch="312" w:charSpace="0"/>
        </w:sectPr>
      </w:pPr>
      <w:r>
        <w:rPr>
          <w:rFonts w:hint="eastAsia" w:ascii="宋体" w:hAnsi="宋体" w:cs="宋体"/>
          <w:color w:val="auto"/>
          <w:szCs w:val="21"/>
          <w:lang w:val="en-US" w:eastAsia="zh-CN"/>
        </w:rPr>
        <w:t>7</w:t>
      </w:r>
      <w:r>
        <w:rPr>
          <w:rFonts w:hint="eastAsia" w:ascii="宋体" w:hAnsi="宋体" w:cs="宋体"/>
          <w:color w:val="auto"/>
          <w:szCs w:val="21"/>
        </w:rPr>
        <w:t>.供应商必须自行为其竞标产品侵犯他人的知识产权或者专利成果的行为承担相应法律责任</w:t>
      </w:r>
      <w:r>
        <w:rPr>
          <w:rFonts w:hint="eastAsia"/>
          <w:color w:val="auto"/>
        </w:rPr>
        <w:t>。</w:t>
      </w:r>
    </w:p>
    <w:bookmarkEnd w:id="93"/>
    <w:p w14:paraId="2C0D2AFF">
      <w:pPr>
        <w:spacing w:line="276" w:lineRule="auto"/>
        <w:ind w:firstLine="422" w:firstLineChars="200"/>
        <w:rPr>
          <w:rFonts w:hint="eastAsia" w:ascii="Calibri" w:hAnsi="Calibri"/>
          <w:b/>
          <w:bCs/>
          <w:color w:val="auto"/>
          <w:szCs w:val="21"/>
          <w:highlight w:val="none"/>
          <w:lang w:eastAsia="zh-CN"/>
        </w:rPr>
      </w:pPr>
      <w:r>
        <w:rPr>
          <w:rFonts w:hint="eastAsia" w:ascii="Calibri" w:hAnsi="Calibri"/>
          <w:b/>
          <w:bCs/>
          <w:color w:val="auto"/>
          <w:szCs w:val="21"/>
          <w:highlight w:val="none"/>
        </w:rPr>
        <w:t>标项一</w:t>
      </w:r>
      <w:r>
        <w:rPr>
          <w:rFonts w:hint="eastAsia" w:ascii="Calibri" w:hAnsi="Calibri"/>
          <w:b/>
          <w:bCs/>
          <w:color w:val="auto"/>
          <w:szCs w:val="21"/>
          <w:highlight w:val="none"/>
          <w:lang w:eastAsia="zh-CN"/>
        </w:rPr>
        <w:t>：</w:t>
      </w:r>
    </w:p>
    <w:p w14:paraId="24B88AA3">
      <w:pPr>
        <w:spacing w:line="276" w:lineRule="auto"/>
        <w:ind w:firstLine="440" w:firstLineChars="200"/>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val="en-US" w:eastAsia="zh-CN"/>
        </w:rPr>
        <w:t>标项名称：</w:t>
      </w:r>
      <w:r>
        <w:rPr>
          <w:rFonts w:hint="eastAsia" w:ascii="宋体" w:hAnsi="宋体" w:eastAsia="宋体" w:cs="宋体"/>
          <w:color w:val="auto"/>
          <w:sz w:val="22"/>
          <w:szCs w:val="22"/>
          <w:highlight w:val="none"/>
          <w:lang w:eastAsia="zh-CN"/>
        </w:rPr>
        <w:t>考试保障监测、反制设备</w:t>
      </w:r>
    </w:p>
    <w:p w14:paraId="637745CE">
      <w:pPr>
        <w:spacing w:line="276" w:lineRule="auto"/>
        <w:ind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rPr>
        <w:t>预算金额：</w:t>
      </w:r>
      <w:r>
        <w:rPr>
          <w:rFonts w:hint="eastAsia" w:ascii="宋体" w:hAnsi="宋体"/>
          <w:color w:val="auto"/>
          <w:szCs w:val="21"/>
          <w:highlight w:val="none"/>
          <w:lang w:val="en-US" w:eastAsia="zh-CN"/>
        </w:rPr>
        <w:t>35.00万元</w:t>
      </w:r>
    </w:p>
    <w:p w14:paraId="66F4050D">
      <w:pPr>
        <w:spacing w:line="276" w:lineRule="auto"/>
        <w:ind w:firstLine="420" w:firstLineChars="200"/>
        <w:rPr>
          <w:rFonts w:hint="eastAsia" w:ascii="宋体" w:hAnsi="宋体" w:cs="宋体"/>
          <w:color w:val="auto"/>
          <w:sz w:val="22"/>
          <w:szCs w:val="22"/>
          <w:highlight w:val="none"/>
        </w:rPr>
      </w:pPr>
      <w:r>
        <w:rPr>
          <w:rFonts w:hint="eastAsia" w:ascii="宋体" w:hAnsi="宋体"/>
          <w:color w:val="auto"/>
          <w:szCs w:val="21"/>
          <w:highlight w:val="none"/>
        </w:rPr>
        <w:t>最高限价</w:t>
      </w:r>
      <w:r>
        <w:rPr>
          <w:rFonts w:hint="eastAsia" w:ascii="宋体" w:hAnsi="宋体" w:cs="宋体"/>
          <w:color w:val="auto"/>
          <w:sz w:val="22"/>
          <w:szCs w:val="22"/>
          <w:highlight w:val="none"/>
        </w:rPr>
        <w:t>：</w:t>
      </w:r>
      <w:r>
        <w:rPr>
          <w:rFonts w:hint="eastAsia" w:ascii="宋体" w:hAnsi="宋体" w:cs="宋体"/>
          <w:color w:val="auto"/>
          <w:sz w:val="22"/>
          <w:szCs w:val="22"/>
          <w:highlight w:val="none"/>
          <w:lang w:val="en-US" w:eastAsia="zh-CN"/>
        </w:rPr>
        <w:t>35.00万元</w:t>
      </w:r>
    </w:p>
    <w:p w14:paraId="3A7B608D">
      <w:pPr>
        <w:spacing w:line="276" w:lineRule="auto"/>
        <w:ind w:firstLine="440" w:firstLineChars="200"/>
        <w:rPr>
          <w:rFonts w:hint="default" w:ascii="宋体" w:hAnsi="宋体" w:eastAsia="宋体" w:cs="宋体"/>
          <w:color w:val="auto"/>
          <w:sz w:val="22"/>
          <w:szCs w:val="22"/>
          <w:highlight w:val="none"/>
          <w:lang w:val="en-US" w:eastAsia="zh-CN"/>
        </w:rPr>
      </w:pPr>
      <w:r>
        <w:rPr>
          <w:rFonts w:hint="eastAsia" w:ascii="宋体" w:hAnsi="宋体" w:cs="宋体"/>
          <w:color w:val="auto"/>
          <w:sz w:val="22"/>
          <w:szCs w:val="22"/>
          <w:highlight w:val="none"/>
          <w:lang w:val="en-US" w:eastAsia="zh-CN"/>
        </w:rPr>
        <w:t>数量及单位：1套</w:t>
      </w:r>
    </w:p>
    <w:p w14:paraId="51A17BE3">
      <w:pPr>
        <w:spacing w:line="276" w:lineRule="auto"/>
        <w:ind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rPr>
        <w:t>本</w:t>
      </w:r>
      <w:r>
        <w:rPr>
          <w:rFonts w:hint="eastAsia" w:ascii="宋体" w:hAnsi="宋体" w:cs="宋体"/>
          <w:color w:val="auto"/>
          <w:sz w:val="22"/>
          <w:szCs w:val="22"/>
          <w:highlight w:val="none"/>
          <w:lang w:val="en-US" w:eastAsia="zh-CN"/>
        </w:rPr>
        <w:t>标项</w:t>
      </w:r>
      <w:r>
        <w:rPr>
          <w:rFonts w:hint="eastAsia" w:ascii="宋体" w:hAnsi="宋体" w:cs="宋体"/>
          <w:color w:val="auto"/>
          <w:sz w:val="22"/>
          <w:szCs w:val="22"/>
          <w:highlight w:val="none"/>
        </w:rPr>
        <w:t>采购标的对应的中小企业划分标准所属行业：</w:t>
      </w:r>
      <w:r>
        <w:rPr>
          <w:rFonts w:hint="eastAsia" w:ascii="宋体" w:hAnsi="宋体" w:cs="宋体"/>
          <w:color w:val="auto"/>
          <w:sz w:val="22"/>
          <w:szCs w:val="22"/>
          <w:highlight w:val="none"/>
          <w:lang w:val="en-US" w:eastAsia="zh-CN"/>
        </w:rPr>
        <w:t>工</w:t>
      </w:r>
      <w:r>
        <w:rPr>
          <w:rFonts w:hint="eastAsia" w:ascii="宋体" w:hAnsi="宋体" w:cs="宋体"/>
          <w:color w:val="auto"/>
          <w:sz w:val="22"/>
          <w:szCs w:val="22"/>
          <w:highlight w:val="none"/>
        </w:rPr>
        <w:t>业。</w:t>
      </w:r>
    </w:p>
    <w:tbl>
      <w:tblPr>
        <w:tblStyle w:val="24"/>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23"/>
        <w:gridCol w:w="495"/>
        <w:gridCol w:w="585"/>
        <w:gridCol w:w="480"/>
        <w:gridCol w:w="16"/>
        <w:gridCol w:w="7540"/>
      </w:tblGrid>
      <w:tr w14:paraId="00CCD7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24" w:hRule="atLeast"/>
          <w:jc w:val="center"/>
        </w:trPr>
        <w:tc>
          <w:tcPr>
            <w:tcW w:w="523" w:type="dxa"/>
            <w:noWrap w:val="0"/>
            <w:vAlign w:val="center"/>
          </w:tcPr>
          <w:p w14:paraId="367F7B4E">
            <w:pPr>
              <w:tabs>
                <w:tab w:val="left" w:pos="180"/>
                <w:tab w:val="left" w:pos="1620"/>
              </w:tabs>
              <w:spacing w:line="360" w:lineRule="auto"/>
              <w:jc w:val="center"/>
              <w:rPr>
                <w:rFonts w:hint="eastAsia" w:ascii="宋体" w:hAnsi="宋体" w:cs="宋体"/>
                <w:color w:val="auto"/>
                <w:szCs w:val="21"/>
              </w:rPr>
            </w:pPr>
            <w:r>
              <w:rPr>
                <w:rFonts w:hint="eastAsia" w:ascii="宋体" w:hAnsi="宋体" w:cs="宋体"/>
                <w:color w:val="auto"/>
                <w:szCs w:val="21"/>
              </w:rPr>
              <w:t>序号</w:t>
            </w:r>
          </w:p>
        </w:tc>
        <w:tc>
          <w:tcPr>
            <w:tcW w:w="495" w:type="dxa"/>
            <w:noWrap w:val="0"/>
            <w:vAlign w:val="center"/>
          </w:tcPr>
          <w:p w14:paraId="2917DC4B">
            <w:pPr>
              <w:tabs>
                <w:tab w:val="left" w:pos="180"/>
                <w:tab w:val="left" w:pos="1620"/>
              </w:tabs>
              <w:spacing w:line="360" w:lineRule="auto"/>
              <w:jc w:val="center"/>
              <w:rPr>
                <w:rFonts w:hint="eastAsia" w:ascii="宋体" w:hAnsi="宋体" w:cs="宋体"/>
                <w:color w:val="auto"/>
                <w:szCs w:val="21"/>
              </w:rPr>
            </w:pPr>
            <w:r>
              <w:rPr>
                <w:rFonts w:hint="eastAsia" w:ascii="宋体" w:hAnsi="宋体" w:cs="宋体"/>
                <w:color w:val="auto"/>
                <w:szCs w:val="21"/>
              </w:rPr>
              <w:t>标的的名称</w:t>
            </w:r>
          </w:p>
        </w:tc>
        <w:tc>
          <w:tcPr>
            <w:tcW w:w="585" w:type="dxa"/>
            <w:tcBorders>
              <w:right w:val="single" w:color="auto" w:sz="4" w:space="0"/>
            </w:tcBorders>
            <w:noWrap w:val="0"/>
            <w:vAlign w:val="center"/>
          </w:tcPr>
          <w:p w14:paraId="1167F0B7">
            <w:pPr>
              <w:tabs>
                <w:tab w:val="left" w:pos="180"/>
                <w:tab w:val="left" w:pos="1620"/>
              </w:tabs>
              <w:spacing w:line="360" w:lineRule="auto"/>
              <w:jc w:val="center"/>
              <w:rPr>
                <w:rFonts w:ascii="宋体" w:hAnsi="宋体" w:cs="宋体"/>
                <w:color w:val="auto"/>
                <w:szCs w:val="21"/>
              </w:rPr>
            </w:pPr>
            <w:r>
              <w:rPr>
                <w:rFonts w:hint="eastAsia" w:ascii="宋体" w:hAnsi="宋体" w:cs="宋体"/>
                <w:color w:val="auto"/>
                <w:szCs w:val="21"/>
              </w:rPr>
              <w:t>数量及</w:t>
            </w:r>
          </w:p>
          <w:p w14:paraId="4E04D37E">
            <w:pPr>
              <w:tabs>
                <w:tab w:val="left" w:pos="180"/>
                <w:tab w:val="left" w:pos="1620"/>
              </w:tabs>
              <w:spacing w:line="360" w:lineRule="auto"/>
              <w:jc w:val="center"/>
              <w:rPr>
                <w:rFonts w:hint="eastAsia" w:ascii="宋体" w:hAnsi="宋体" w:cs="宋体"/>
                <w:color w:val="auto"/>
                <w:szCs w:val="21"/>
              </w:rPr>
            </w:pPr>
            <w:r>
              <w:rPr>
                <w:rFonts w:hint="eastAsia" w:ascii="宋体" w:hAnsi="宋体" w:cs="宋体"/>
                <w:color w:val="auto"/>
                <w:szCs w:val="21"/>
              </w:rPr>
              <w:t>单位</w:t>
            </w:r>
          </w:p>
        </w:tc>
        <w:tc>
          <w:tcPr>
            <w:tcW w:w="480" w:type="dxa"/>
            <w:tcBorders>
              <w:left w:val="single" w:color="auto" w:sz="4" w:space="0"/>
            </w:tcBorders>
            <w:noWrap w:val="0"/>
            <w:vAlign w:val="center"/>
          </w:tcPr>
          <w:p w14:paraId="08B5ABB7">
            <w:pPr>
              <w:tabs>
                <w:tab w:val="left" w:pos="180"/>
                <w:tab w:val="left" w:pos="1620"/>
              </w:tabs>
              <w:spacing w:line="360" w:lineRule="auto"/>
              <w:jc w:val="center"/>
              <w:rPr>
                <w:rFonts w:hint="eastAsia" w:ascii="宋体" w:hAnsi="宋体" w:cs="宋体"/>
                <w:color w:val="auto"/>
                <w:szCs w:val="21"/>
              </w:rPr>
            </w:pPr>
            <w:r>
              <w:rPr>
                <w:rFonts w:hint="eastAsia" w:ascii="宋体" w:hAnsi="宋体" w:cs="宋体"/>
                <w:color w:val="auto"/>
                <w:szCs w:val="21"/>
              </w:rPr>
              <w:t>所属行业</w:t>
            </w:r>
          </w:p>
        </w:tc>
        <w:tc>
          <w:tcPr>
            <w:tcW w:w="7556" w:type="dxa"/>
            <w:gridSpan w:val="2"/>
            <w:noWrap w:val="0"/>
            <w:vAlign w:val="center"/>
          </w:tcPr>
          <w:p w14:paraId="698AE0C9">
            <w:pPr>
              <w:tabs>
                <w:tab w:val="left" w:pos="180"/>
                <w:tab w:val="left" w:pos="1620"/>
              </w:tabs>
              <w:spacing w:line="360" w:lineRule="auto"/>
              <w:jc w:val="center"/>
              <w:rPr>
                <w:rFonts w:hint="eastAsia" w:ascii="宋体" w:hAnsi="宋体" w:cs="宋体"/>
                <w:color w:val="auto"/>
                <w:szCs w:val="21"/>
              </w:rPr>
            </w:pPr>
            <w:r>
              <w:rPr>
                <w:rFonts w:hint="eastAsia" w:ascii="宋体" w:hAnsi="宋体"/>
                <w:color w:val="auto"/>
                <w:szCs w:val="21"/>
              </w:rPr>
              <w:t>技术需求</w:t>
            </w:r>
          </w:p>
        </w:tc>
      </w:tr>
      <w:tr w14:paraId="3B901F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85" w:hRule="atLeast"/>
          <w:jc w:val="center"/>
        </w:trPr>
        <w:tc>
          <w:tcPr>
            <w:tcW w:w="523" w:type="dxa"/>
            <w:noWrap w:val="0"/>
            <w:vAlign w:val="center"/>
          </w:tcPr>
          <w:p w14:paraId="321A3C6D">
            <w:pPr>
              <w:tabs>
                <w:tab w:val="left" w:pos="180"/>
                <w:tab w:val="left" w:pos="1620"/>
              </w:tabs>
              <w:spacing w:line="360" w:lineRule="auto"/>
              <w:jc w:val="center"/>
              <w:rPr>
                <w:rFonts w:hint="eastAsia" w:ascii="宋体" w:hAnsi="宋体" w:cs="宋体"/>
                <w:color w:val="auto"/>
                <w:szCs w:val="21"/>
              </w:rPr>
            </w:pPr>
            <w:r>
              <w:rPr>
                <w:rFonts w:hint="eastAsia" w:ascii="宋体" w:hAnsi="宋体" w:cs="宋体"/>
                <w:color w:val="auto"/>
                <w:szCs w:val="21"/>
              </w:rPr>
              <w:t>1</w:t>
            </w:r>
          </w:p>
        </w:tc>
        <w:tc>
          <w:tcPr>
            <w:tcW w:w="495" w:type="dxa"/>
            <w:noWrap w:val="0"/>
            <w:vAlign w:val="center"/>
          </w:tcPr>
          <w:p w14:paraId="24E07163">
            <w:pPr>
              <w:tabs>
                <w:tab w:val="left" w:pos="180"/>
                <w:tab w:val="left" w:pos="1620"/>
              </w:tabs>
              <w:snapToGrid w:val="0"/>
              <w:spacing w:line="360" w:lineRule="auto"/>
              <w:jc w:val="center"/>
              <w:rPr>
                <w:rFonts w:hint="eastAsia" w:ascii="宋体" w:hAnsi="宋体" w:cs="宋体"/>
                <w:color w:val="auto"/>
                <w:szCs w:val="21"/>
              </w:rPr>
            </w:pPr>
            <w:r>
              <w:rPr>
                <w:rFonts w:hint="eastAsia" w:ascii="宋体" w:hAnsi="宋体" w:eastAsia="宋体" w:cs="宋体"/>
                <w:b w:val="0"/>
                <w:bCs w:val="0"/>
                <w:color w:val="auto"/>
                <w:highlight w:val="none"/>
              </w:rPr>
              <w:t>考试保障监测、反制设备</w:t>
            </w:r>
          </w:p>
        </w:tc>
        <w:tc>
          <w:tcPr>
            <w:tcW w:w="585" w:type="dxa"/>
            <w:tcBorders>
              <w:right w:val="single" w:color="auto" w:sz="4" w:space="0"/>
            </w:tcBorders>
            <w:noWrap w:val="0"/>
            <w:vAlign w:val="center"/>
          </w:tcPr>
          <w:p w14:paraId="3F2BE9DA">
            <w:pPr>
              <w:pStyle w:val="10"/>
              <w:spacing w:line="360" w:lineRule="auto"/>
              <w:rPr>
                <w:rFonts w:hint="eastAsia" w:ascii="宋体" w:hAnsi="宋体" w:cs="Arial"/>
                <w:color w:val="auto"/>
                <w:szCs w:val="21"/>
              </w:rPr>
            </w:pPr>
            <w:r>
              <w:rPr>
                <w:rFonts w:hint="eastAsia" w:ascii="宋体" w:hAnsi="宋体" w:cs="Arial"/>
                <w:color w:val="auto"/>
                <w:szCs w:val="21"/>
              </w:rPr>
              <w:t>1</w:t>
            </w:r>
            <w:r>
              <w:rPr>
                <w:rFonts w:hint="eastAsia" w:ascii="宋体" w:hAnsi="宋体" w:cs="宋体"/>
                <w:color w:val="auto"/>
                <w:szCs w:val="21"/>
              </w:rPr>
              <w:t>套</w:t>
            </w:r>
          </w:p>
        </w:tc>
        <w:tc>
          <w:tcPr>
            <w:tcW w:w="480" w:type="dxa"/>
            <w:tcBorders>
              <w:left w:val="single" w:color="auto" w:sz="4" w:space="0"/>
            </w:tcBorders>
            <w:noWrap w:val="0"/>
            <w:vAlign w:val="center"/>
          </w:tcPr>
          <w:p w14:paraId="32240F6D">
            <w:pPr>
              <w:pStyle w:val="10"/>
              <w:spacing w:line="360" w:lineRule="auto"/>
              <w:rPr>
                <w:rFonts w:ascii="宋体" w:hAnsi="宋体" w:cs="Arial"/>
                <w:color w:val="auto"/>
                <w:szCs w:val="21"/>
              </w:rPr>
            </w:pPr>
            <w:r>
              <w:rPr>
                <w:rFonts w:hint="eastAsia" w:ascii="宋体" w:hAnsi="宋体" w:cs="Arial"/>
                <w:color w:val="auto"/>
                <w:szCs w:val="21"/>
              </w:rPr>
              <w:t>工业</w:t>
            </w:r>
          </w:p>
        </w:tc>
        <w:tc>
          <w:tcPr>
            <w:tcW w:w="7556" w:type="dxa"/>
            <w:gridSpan w:val="2"/>
            <w:noWrap w:val="0"/>
            <w:vAlign w:val="center"/>
          </w:tcPr>
          <w:p w14:paraId="1EB223DB">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黑体" w:hAnsi="黑体" w:eastAsia="黑体" w:cs="黑体"/>
                <w:color w:val="auto"/>
                <w:sz w:val="21"/>
                <w:szCs w:val="21"/>
                <w:lang w:val="en-US" w:eastAsia="zh-CN"/>
              </w:rPr>
            </w:pPr>
            <w:bookmarkStart w:id="94" w:name="_Toc10587"/>
            <w:r>
              <w:rPr>
                <w:rFonts w:hint="eastAsia" w:ascii="黑体" w:hAnsi="黑体" w:eastAsia="黑体" w:cs="黑体"/>
                <w:color w:val="auto"/>
                <w:sz w:val="21"/>
                <w:szCs w:val="21"/>
                <w:lang w:val="en-US" w:eastAsia="zh-CN"/>
              </w:rPr>
              <w:t>一、系统组成</w:t>
            </w:r>
            <w:bookmarkEnd w:id="94"/>
          </w:p>
          <w:p w14:paraId="776CB15D">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本项目在广西壮族自治区无线电监测站新建1套考试保障监测、反制设备。系统主要由侦测设备、压制设备、显控终端及附件组成。</w:t>
            </w:r>
          </w:p>
          <w:p w14:paraId="70BB20FC">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黑体" w:hAnsi="黑体" w:eastAsia="黑体" w:cs="黑体"/>
                <w:color w:val="auto"/>
                <w:sz w:val="21"/>
                <w:szCs w:val="21"/>
                <w:lang w:val="en-US" w:eastAsia="zh-CN"/>
              </w:rPr>
            </w:pPr>
            <w:bookmarkStart w:id="95" w:name="_Toc21239"/>
            <w:r>
              <w:rPr>
                <w:rFonts w:hint="eastAsia" w:ascii="黑体" w:hAnsi="黑体" w:eastAsia="黑体" w:cs="黑体"/>
                <w:color w:val="auto"/>
                <w:sz w:val="21"/>
                <w:szCs w:val="21"/>
                <w:lang w:val="en-US" w:eastAsia="zh-CN"/>
              </w:rPr>
              <w:t>二、总体要求</w:t>
            </w:r>
            <w:bookmarkEnd w:id="95"/>
          </w:p>
          <w:p w14:paraId="0C95E5F8">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lang w:val="en-US" w:eastAsia="zh-CN"/>
              </w:rPr>
            </w:pPr>
            <w:r>
              <w:rPr>
                <w:rFonts w:hint="eastAsia" w:ascii="宋体" w:hAnsi="宋体" w:cs="宋体"/>
                <w:color w:val="auto"/>
                <w:sz w:val="21"/>
                <w:szCs w:val="21"/>
                <w:lang w:val="en-US" w:eastAsia="zh-CN"/>
              </w:rPr>
              <w:t>1.</w:t>
            </w:r>
            <w:r>
              <w:rPr>
                <w:rFonts w:hint="eastAsia" w:ascii="宋体" w:hAnsi="宋体" w:eastAsia="宋体" w:cs="宋体"/>
                <w:color w:val="auto"/>
                <w:sz w:val="21"/>
                <w:szCs w:val="21"/>
                <w:lang w:val="en-US" w:eastAsia="zh-CN"/>
              </w:rPr>
              <w:t>侦测设备和压制设备可采用主机天线一体化设计，便携易安装，可分布组网、同步压制。</w:t>
            </w:r>
          </w:p>
          <w:p w14:paraId="2CC1D106">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lang w:val="en-US" w:eastAsia="zh-CN"/>
              </w:rPr>
            </w:pPr>
            <w:r>
              <w:rPr>
                <w:rFonts w:hint="eastAsia" w:ascii="宋体" w:hAnsi="宋体" w:cs="宋体"/>
                <w:color w:val="auto"/>
                <w:sz w:val="21"/>
                <w:szCs w:val="21"/>
                <w:lang w:val="en-US" w:eastAsia="zh-CN"/>
              </w:rPr>
              <w:t>2.</w:t>
            </w:r>
            <w:r>
              <w:rPr>
                <w:rFonts w:hint="eastAsia" w:ascii="宋体" w:hAnsi="宋体" w:eastAsia="宋体" w:cs="宋体"/>
                <w:color w:val="auto"/>
                <w:sz w:val="21"/>
                <w:szCs w:val="21"/>
                <w:lang w:val="en-US" w:eastAsia="zh-CN"/>
              </w:rPr>
              <w:t>支持通过显控终端在本地或远程设置设备的运行参数，显示其侦测状态。</w:t>
            </w:r>
          </w:p>
          <w:p w14:paraId="18B7FC35">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lang w:val="en-US" w:eastAsia="zh-CN"/>
              </w:rPr>
            </w:pPr>
            <w:r>
              <w:rPr>
                <w:rFonts w:hint="eastAsia" w:ascii="宋体" w:hAnsi="宋体" w:cs="宋体"/>
                <w:color w:val="auto"/>
                <w:sz w:val="21"/>
                <w:szCs w:val="21"/>
                <w:lang w:val="en-US" w:eastAsia="zh-CN"/>
              </w:rPr>
              <w:t>3.</w:t>
            </w:r>
            <w:r>
              <w:rPr>
                <w:rFonts w:hint="eastAsia" w:ascii="宋体" w:hAnsi="宋体" w:eastAsia="宋体" w:cs="宋体"/>
                <w:color w:val="auto"/>
                <w:sz w:val="21"/>
                <w:szCs w:val="21"/>
                <w:lang w:val="en-US" w:eastAsia="zh-CN"/>
              </w:rPr>
              <w:t>系统支持锂电池和市电两种供电方式。</w:t>
            </w:r>
          </w:p>
          <w:p w14:paraId="7332056B">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lang w:val="en-US" w:eastAsia="zh-CN"/>
              </w:rPr>
            </w:pPr>
            <w:r>
              <w:rPr>
                <w:rFonts w:hint="eastAsia" w:ascii="宋体" w:hAnsi="宋体" w:cs="宋体"/>
                <w:color w:val="auto"/>
                <w:sz w:val="21"/>
                <w:szCs w:val="21"/>
                <w:lang w:val="en-US" w:eastAsia="zh-CN"/>
              </w:rPr>
              <w:t>4.</w:t>
            </w:r>
            <w:r>
              <w:rPr>
                <w:rFonts w:hint="eastAsia" w:ascii="宋体" w:hAnsi="宋体" w:eastAsia="宋体" w:cs="宋体"/>
                <w:color w:val="auto"/>
                <w:sz w:val="21"/>
                <w:szCs w:val="21"/>
                <w:lang w:val="en-US" w:eastAsia="zh-CN"/>
              </w:rPr>
              <w:t>系统支持有线和无线两种联网方式，可移动架设，也可固定安装。</w:t>
            </w:r>
          </w:p>
          <w:p w14:paraId="2FDABFDF">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黑体" w:hAnsi="黑体" w:eastAsia="黑体" w:cs="黑体"/>
                <w:color w:val="auto"/>
                <w:sz w:val="21"/>
                <w:szCs w:val="21"/>
                <w:lang w:val="en-US" w:eastAsia="zh-CN"/>
              </w:rPr>
            </w:pPr>
            <w:bookmarkStart w:id="96" w:name="_Toc24713"/>
            <w:r>
              <w:rPr>
                <w:rFonts w:hint="eastAsia" w:ascii="黑体" w:hAnsi="黑体" w:eastAsia="黑体" w:cs="黑体"/>
                <w:color w:val="auto"/>
                <w:sz w:val="21"/>
                <w:szCs w:val="21"/>
                <w:lang w:val="en-US" w:eastAsia="zh-CN"/>
              </w:rPr>
              <w:t>三、系统功能要求</w:t>
            </w:r>
            <w:bookmarkEnd w:id="96"/>
          </w:p>
          <w:p w14:paraId="053470E0">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楷体" w:hAnsi="楷体" w:eastAsia="楷体" w:cs="楷体"/>
                <w:color w:val="auto"/>
                <w:sz w:val="21"/>
                <w:szCs w:val="21"/>
                <w:lang w:val="en-US" w:eastAsia="zh-CN"/>
              </w:rPr>
            </w:pPr>
            <w:r>
              <w:rPr>
                <w:rFonts w:hint="eastAsia" w:ascii="楷体" w:hAnsi="楷体" w:eastAsia="楷体" w:cs="楷体"/>
                <w:color w:val="auto"/>
                <w:sz w:val="21"/>
                <w:szCs w:val="21"/>
                <w:lang w:val="en-US" w:eastAsia="zh-CN"/>
              </w:rPr>
              <w:t>（一）常规监测功能</w:t>
            </w:r>
          </w:p>
          <w:p w14:paraId="185FD2AB">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lang w:val="en-US" w:eastAsia="zh-CN"/>
              </w:rPr>
            </w:pPr>
            <w:r>
              <w:rPr>
                <w:rFonts w:hint="eastAsia" w:ascii="宋体" w:hAnsi="宋体" w:cs="宋体"/>
                <w:color w:val="auto"/>
                <w:sz w:val="21"/>
                <w:szCs w:val="21"/>
                <w:lang w:val="en-US" w:eastAsia="zh-CN"/>
              </w:rPr>
              <w:t>1.</w:t>
            </w:r>
            <w:r>
              <w:rPr>
                <w:rFonts w:hint="eastAsia" w:ascii="宋体" w:hAnsi="宋体" w:eastAsia="宋体" w:cs="宋体"/>
                <w:color w:val="auto"/>
                <w:sz w:val="21"/>
                <w:szCs w:val="21"/>
                <w:lang w:val="en-US" w:eastAsia="zh-CN"/>
              </w:rPr>
              <w:t>频段扫描</w:t>
            </w:r>
          </w:p>
          <w:p w14:paraId="2E9CB3A8">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可进行一个或多个无线电业务频段的扫描，快速发现跳频信号、脉冲信号，以及测试接收机的扫描速度等。</w:t>
            </w:r>
          </w:p>
          <w:p w14:paraId="51ADF5B6">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lang w:val="en-US" w:eastAsia="zh-CN"/>
              </w:rPr>
            </w:pPr>
            <w:r>
              <w:rPr>
                <w:rFonts w:hint="eastAsia" w:ascii="宋体" w:hAnsi="宋体" w:cs="宋体"/>
                <w:color w:val="auto"/>
                <w:sz w:val="21"/>
                <w:szCs w:val="21"/>
                <w:lang w:val="en-US" w:eastAsia="zh-CN"/>
              </w:rPr>
              <w:t>2.</w:t>
            </w:r>
            <w:r>
              <w:rPr>
                <w:rFonts w:hint="eastAsia" w:ascii="宋体" w:hAnsi="宋体" w:eastAsia="宋体" w:cs="宋体"/>
                <w:color w:val="auto"/>
                <w:sz w:val="21"/>
                <w:szCs w:val="21"/>
                <w:lang w:val="en-US" w:eastAsia="zh-CN"/>
              </w:rPr>
              <w:t>离散扫描</w:t>
            </w:r>
          </w:p>
          <w:p w14:paraId="0D12A3F6">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可对任意设定的无相关的、离散的多个频率进行监测，实时测量各频率信号电平、最大值、最小值、平均值。</w:t>
            </w:r>
          </w:p>
          <w:p w14:paraId="33020D5E">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lang w:val="en-US" w:eastAsia="zh-CN"/>
              </w:rPr>
            </w:pPr>
            <w:r>
              <w:rPr>
                <w:rFonts w:hint="eastAsia" w:ascii="宋体" w:hAnsi="宋体" w:cs="宋体"/>
                <w:color w:val="auto"/>
                <w:sz w:val="21"/>
                <w:szCs w:val="21"/>
                <w:lang w:val="en-US" w:eastAsia="zh-CN"/>
              </w:rPr>
              <w:t>3.</w:t>
            </w:r>
            <w:r>
              <w:rPr>
                <w:rFonts w:hint="eastAsia" w:ascii="宋体" w:hAnsi="宋体" w:eastAsia="宋体" w:cs="宋体"/>
                <w:color w:val="auto"/>
                <w:sz w:val="21"/>
                <w:szCs w:val="21"/>
                <w:lang w:val="en-US" w:eastAsia="zh-CN"/>
              </w:rPr>
              <w:t>单频测量</w:t>
            </w:r>
          </w:p>
          <w:p w14:paraId="6E09FC8B">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具备单频测量功能，可显示指定频率的频谱图和瀑布图。</w:t>
            </w:r>
          </w:p>
          <w:p w14:paraId="3184BEA8">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楷体" w:hAnsi="楷体" w:eastAsia="楷体" w:cs="楷体"/>
                <w:color w:val="auto"/>
                <w:sz w:val="21"/>
                <w:szCs w:val="21"/>
                <w:lang w:val="en-US" w:eastAsia="zh-CN"/>
              </w:rPr>
            </w:pPr>
            <w:bookmarkStart w:id="97" w:name="_Hlk15400879"/>
            <w:r>
              <w:rPr>
                <w:rFonts w:hint="eastAsia" w:ascii="楷体" w:hAnsi="楷体" w:eastAsia="楷体" w:cs="楷体"/>
                <w:color w:val="auto"/>
                <w:sz w:val="21"/>
                <w:szCs w:val="21"/>
                <w:lang w:val="en-US" w:eastAsia="zh-CN"/>
              </w:rPr>
              <w:t>（二）信号搜索</w:t>
            </w:r>
          </w:p>
          <w:p w14:paraId="6AE0C32A">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具备频谱模板扫频功能，能够生成扫描模板。具备对超出设置门限的信号自动发现、跳转并解析、判断该信号是否为考试作弊信号的能力。</w:t>
            </w:r>
          </w:p>
          <w:p w14:paraId="4AD576A5">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楷体" w:hAnsi="楷体" w:eastAsia="楷体" w:cs="楷体"/>
                <w:color w:val="auto"/>
                <w:sz w:val="21"/>
                <w:szCs w:val="21"/>
                <w:lang w:val="en-US" w:eastAsia="zh-CN"/>
              </w:rPr>
            </w:pPr>
            <w:r>
              <w:rPr>
                <w:rFonts w:hint="eastAsia" w:ascii="楷体" w:hAnsi="楷体" w:eastAsia="楷体" w:cs="楷体"/>
                <w:color w:val="auto"/>
                <w:sz w:val="21"/>
                <w:szCs w:val="21"/>
                <w:lang w:val="en-US" w:eastAsia="zh-CN"/>
              </w:rPr>
              <w:t>（三）解调与解码</w:t>
            </w:r>
          </w:p>
          <w:p w14:paraId="2023DB9D">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lang w:val="en-US" w:eastAsia="zh-CN"/>
              </w:rPr>
            </w:pPr>
            <w:bookmarkStart w:id="98" w:name="_Hlk81756350"/>
            <w:r>
              <w:rPr>
                <w:rFonts w:hint="eastAsia" w:ascii="宋体" w:hAnsi="宋体" w:eastAsia="宋体" w:cs="宋体"/>
                <w:color w:val="auto"/>
                <w:sz w:val="21"/>
                <w:szCs w:val="21"/>
                <w:lang w:val="en-US" w:eastAsia="zh-CN"/>
              </w:rPr>
              <w:t xml:space="preserve">具备对调频 （FM）、二进制数字频率调制（2FSK）或 LORA技术的考试作弊信号解调功能，随着新型考试作弊信号的出现，应支持解调功能扩展。支持解码作弊器类型：云6、云8、XSERVER2、TK系列等常见类型。   </w:t>
            </w:r>
          </w:p>
          <w:bookmarkEnd w:id="98"/>
          <w:p w14:paraId="141C2108">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楷体" w:hAnsi="楷体" w:eastAsia="楷体" w:cs="楷体"/>
                <w:color w:val="auto"/>
                <w:sz w:val="21"/>
                <w:szCs w:val="21"/>
                <w:lang w:val="en-US" w:eastAsia="zh-CN"/>
              </w:rPr>
            </w:pPr>
            <w:r>
              <w:rPr>
                <w:rFonts w:hint="eastAsia" w:ascii="楷体" w:hAnsi="楷体" w:eastAsia="楷体" w:cs="楷体"/>
                <w:color w:val="auto"/>
                <w:sz w:val="21"/>
                <w:szCs w:val="21"/>
                <w:lang w:val="en-US" w:eastAsia="zh-CN"/>
              </w:rPr>
              <w:t>（四）信号内容判别</w:t>
            </w:r>
          </w:p>
          <w:p w14:paraId="2A3408C4">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具备对信号内容解析能力，依据目标信号类型，能够实时获取考试作弊信号的中心频率、信号强度、信号类型、调制方式、信道ID号、用户ID，以及解调的语音或文字内容等。解调出的语音能进行文字翻译，根据文字内容自动判定是否为可疑信号。</w:t>
            </w:r>
          </w:p>
          <w:p w14:paraId="146CB3FF">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楷体" w:hAnsi="楷体" w:eastAsia="楷体" w:cs="楷体"/>
                <w:color w:val="auto"/>
                <w:sz w:val="21"/>
                <w:szCs w:val="21"/>
                <w:lang w:val="en-US" w:eastAsia="zh-CN"/>
              </w:rPr>
            </w:pPr>
            <w:r>
              <w:rPr>
                <w:rFonts w:hint="eastAsia" w:ascii="楷体" w:hAnsi="楷体" w:eastAsia="楷体" w:cs="楷体"/>
                <w:color w:val="auto"/>
                <w:sz w:val="21"/>
                <w:szCs w:val="21"/>
                <w:lang w:val="en-US" w:eastAsia="zh-CN"/>
              </w:rPr>
              <w:t>（五）信号压制</w:t>
            </w:r>
          </w:p>
          <w:p w14:paraId="1628AFBA">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具备对考试作弊信号引导压制的功能。发射压制信号后，使目标接收设备无法正常接收作弊内容。</w:t>
            </w:r>
          </w:p>
          <w:p w14:paraId="32ADCD0B">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具备作弊内容擦除和警示信息发送功能。能够对目标作弊信号内容进行擦除，并发送警示内容，且不对其他正常使用的无线电信号产生有害干扰。</w:t>
            </w:r>
          </w:p>
          <w:p w14:paraId="750B1DE4">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具备人工反制和自动反制功能。人工反制可手动设置参数和启停反制，自动反制可根据自动识别作弊信号内 容自动设置参数和启停反制。该设备也适用于各类重大活动保障中对非法对讲机等通信设备进行无线电管制的场景。</w:t>
            </w:r>
          </w:p>
          <w:p w14:paraId="24E457D1">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楷体" w:hAnsi="楷体" w:eastAsia="楷体" w:cs="楷体"/>
                <w:color w:val="auto"/>
                <w:sz w:val="21"/>
                <w:szCs w:val="21"/>
                <w:lang w:val="en-US" w:eastAsia="zh-CN"/>
              </w:rPr>
            </w:pPr>
            <w:r>
              <w:rPr>
                <w:rFonts w:hint="eastAsia" w:ascii="楷体" w:hAnsi="楷体" w:eastAsia="楷体" w:cs="楷体"/>
                <w:color w:val="auto"/>
                <w:sz w:val="21"/>
                <w:szCs w:val="21"/>
                <w:lang w:val="en-US" w:eastAsia="zh-CN"/>
              </w:rPr>
              <w:t>（六）多机联网</w:t>
            </w:r>
          </w:p>
          <w:p w14:paraId="2FA86264">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提供指挥中心软件。多机组网后，可通过4G网络、Wi-Fi等远程显示各考试保障设备的工作状态，可通过有线和无线的方式连接到云服务，并在电子地图上显示全网（或区域内）所有考试保障设备的部署情况和工作状态。通过指挥中心，可以调用详细的侦测数据信息，支持远程监听侦测设备解调的音频或查看解码的数传信息。一旦发现作弊信号，自动进行作弊信号的播放和提示。</w:t>
            </w:r>
          </w:p>
          <w:p w14:paraId="3E84F5AF">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楷体" w:hAnsi="楷体" w:eastAsia="楷体" w:cs="楷体"/>
                <w:color w:val="auto"/>
                <w:sz w:val="21"/>
                <w:szCs w:val="21"/>
                <w:lang w:val="en-US" w:eastAsia="zh-CN"/>
              </w:rPr>
            </w:pPr>
            <w:r>
              <w:rPr>
                <w:rFonts w:hint="eastAsia" w:ascii="楷体" w:hAnsi="楷体" w:eastAsia="楷体" w:cs="楷体"/>
                <w:color w:val="auto"/>
                <w:sz w:val="21"/>
                <w:szCs w:val="21"/>
                <w:lang w:val="en-US" w:eastAsia="zh-CN"/>
              </w:rPr>
              <w:t>（七）数据记录回放</w:t>
            </w:r>
          </w:p>
          <w:p w14:paraId="5665D059">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具备频谱、相位正交调制信号（IQ）数据存储功能。具备作弊信号数据存储及回放功能，可导出作弊信号数据。</w:t>
            </w:r>
          </w:p>
          <w:p w14:paraId="23DDCA12">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楷体" w:hAnsi="楷体" w:eastAsia="楷体" w:cs="楷体"/>
                <w:color w:val="auto"/>
                <w:sz w:val="21"/>
                <w:szCs w:val="21"/>
                <w:lang w:val="en-US" w:eastAsia="zh-CN"/>
              </w:rPr>
            </w:pPr>
            <w:r>
              <w:rPr>
                <w:rFonts w:hint="eastAsia" w:ascii="楷体" w:hAnsi="楷体" w:eastAsia="楷体" w:cs="楷体"/>
                <w:color w:val="auto"/>
                <w:sz w:val="21"/>
                <w:szCs w:val="21"/>
                <w:lang w:val="en-US" w:eastAsia="zh-CN"/>
              </w:rPr>
              <w:t>（八）报告生成</w:t>
            </w:r>
          </w:p>
          <w:p w14:paraId="54FFAFA8">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考试保障完成后可选择生成报告，报告内容包括：时间、经纬度信息、信号频率、信号强度等。</w:t>
            </w:r>
          </w:p>
          <w:bookmarkEnd w:id="97"/>
          <w:p w14:paraId="371522DC">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黑体" w:hAnsi="黑体" w:eastAsia="黑体" w:cs="黑体"/>
                <w:color w:val="auto"/>
                <w:sz w:val="21"/>
                <w:szCs w:val="21"/>
                <w:lang w:val="en-US" w:eastAsia="zh-CN"/>
              </w:rPr>
            </w:pPr>
            <w:bookmarkStart w:id="99" w:name="_Toc25812"/>
            <w:r>
              <w:rPr>
                <w:rFonts w:hint="eastAsia" w:ascii="黑体" w:hAnsi="黑体" w:eastAsia="黑体" w:cs="黑体"/>
                <w:color w:val="auto"/>
                <w:sz w:val="21"/>
                <w:szCs w:val="21"/>
                <w:lang w:val="en-US" w:eastAsia="zh-CN"/>
              </w:rPr>
              <w:t>四、系统主要指标要求</w:t>
            </w:r>
            <w:bookmarkEnd w:id="99"/>
          </w:p>
          <w:p w14:paraId="21D43424">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楷体" w:hAnsi="楷体" w:eastAsia="楷体" w:cs="楷体"/>
                <w:color w:val="auto"/>
                <w:sz w:val="21"/>
                <w:szCs w:val="21"/>
                <w:lang w:val="en-US" w:eastAsia="zh-CN"/>
              </w:rPr>
            </w:pPr>
            <w:r>
              <w:rPr>
                <w:rFonts w:hint="eastAsia" w:ascii="楷体" w:hAnsi="楷体" w:eastAsia="楷体" w:cs="楷体"/>
                <w:color w:val="auto"/>
                <w:sz w:val="21"/>
                <w:szCs w:val="21"/>
                <w:lang w:val="en-US" w:eastAsia="zh-CN"/>
              </w:rPr>
              <w:t>（一）侦测设备</w:t>
            </w:r>
          </w:p>
          <w:p w14:paraId="64BA7EE2">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lang w:eastAsia="zh-CN"/>
              </w:rPr>
            </w:pPr>
            <w:r>
              <w:rPr>
                <w:rFonts w:hint="eastAsia" w:ascii="宋体" w:hAnsi="宋体" w:cs="宋体"/>
                <w:color w:val="auto"/>
                <w:sz w:val="21"/>
                <w:szCs w:val="21"/>
                <w:lang w:val="en-US" w:eastAsia="zh-CN"/>
              </w:rPr>
              <w:t>1.</w:t>
            </w:r>
            <w:r>
              <w:rPr>
                <w:rFonts w:hint="eastAsia" w:ascii="宋体" w:hAnsi="宋体" w:eastAsia="宋体" w:cs="宋体"/>
                <w:color w:val="auto"/>
                <w:sz w:val="21"/>
                <w:szCs w:val="21"/>
                <w:lang w:eastAsia="zh-CN"/>
              </w:rPr>
              <w:t>频率范围：20MHz～8GHz；</w:t>
            </w:r>
          </w:p>
          <w:p w14:paraId="06CD498E">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lang w:eastAsia="zh-CN"/>
              </w:rPr>
            </w:pPr>
            <w:r>
              <w:rPr>
                <w:rFonts w:hint="eastAsia" w:ascii="宋体" w:hAnsi="宋体" w:cs="宋体"/>
                <w:color w:val="auto"/>
                <w:sz w:val="21"/>
                <w:szCs w:val="21"/>
                <w:lang w:val="en-US" w:eastAsia="zh-CN"/>
              </w:rPr>
              <w:t>2.</w:t>
            </w:r>
            <w:r>
              <w:rPr>
                <w:rFonts w:hint="eastAsia" w:ascii="宋体" w:hAnsi="宋体" w:eastAsia="宋体" w:cs="宋体"/>
                <w:color w:val="auto"/>
                <w:sz w:val="21"/>
                <w:szCs w:val="21"/>
                <w:lang w:eastAsia="zh-CN"/>
              </w:rPr>
              <w:t>扫描速度：≥40GHz/s；</w:t>
            </w:r>
          </w:p>
          <w:p w14:paraId="3AE582BA">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lang w:eastAsia="zh-CN"/>
              </w:rPr>
            </w:pPr>
            <w:r>
              <w:rPr>
                <w:rFonts w:hint="eastAsia" w:ascii="宋体" w:hAnsi="宋体" w:cs="宋体"/>
                <w:color w:val="auto"/>
                <w:sz w:val="21"/>
                <w:szCs w:val="21"/>
                <w:lang w:val="en-US" w:eastAsia="zh-CN"/>
              </w:rPr>
              <w:t>3.</w:t>
            </w:r>
            <w:r>
              <w:rPr>
                <w:rFonts w:hint="eastAsia" w:ascii="宋体" w:hAnsi="宋体" w:eastAsia="宋体" w:cs="宋体"/>
                <w:color w:val="auto"/>
                <w:sz w:val="21"/>
                <w:szCs w:val="21"/>
                <w:lang w:eastAsia="zh-CN"/>
              </w:rPr>
              <w:t>频率准确度≤0.5×</w:t>
            </w:r>
            <w:r>
              <w:rPr>
                <w:rFonts w:hint="eastAsia" w:ascii="宋体" w:hAnsi="宋体" w:eastAsia="宋体" w:cs="宋体"/>
                <w:color w:val="auto"/>
                <w:sz w:val="21"/>
                <w:szCs w:val="21"/>
                <w:highlight w:val="none"/>
                <w:lang w:eastAsia="zh-CN"/>
              </w:rPr>
              <w:t>10</w:t>
            </w:r>
            <w:r>
              <w:rPr>
                <w:rFonts w:hint="eastAsia" w:ascii="宋体" w:hAnsi="宋体" w:eastAsia="宋体" w:cs="宋体"/>
                <w:color w:val="auto"/>
                <w:sz w:val="21"/>
                <w:szCs w:val="21"/>
                <w:highlight w:val="none"/>
                <w:vertAlign w:val="superscript"/>
                <w:lang w:eastAsia="zh-CN"/>
              </w:rPr>
              <w:t>-6</w:t>
            </w:r>
            <w:r>
              <w:rPr>
                <w:rFonts w:hint="eastAsia" w:ascii="宋体" w:hAnsi="宋体" w:eastAsia="宋体" w:cs="宋体"/>
                <w:color w:val="auto"/>
                <w:sz w:val="21"/>
                <w:szCs w:val="21"/>
                <w:lang w:eastAsia="zh-CN"/>
              </w:rPr>
              <w:t>；</w:t>
            </w:r>
          </w:p>
          <w:p w14:paraId="69631C21">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lang w:eastAsia="zh-CN"/>
              </w:rPr>
            </w:pPr>
            <w:r>
              <w:rPr>
                <w:rFonts w:hint="eastAsia" w:ascii="宋体" w:hAnsi="宋体" w:cs="宋体"/>
                <w:color w:val="auto"/>
                <w:sz w:val="21"/>
                <w:szCs w:val="21"/>
                <w:lang w:val="en-US" w:eastAsia="zh-CN"/>
              </w:rPr>
              <w:t>4.</w:t>
            </w:r>
            <w:r>
              <w:rPr>
                <w:rFonts w:hint="eastAsia" w:ascii="宋体" w:hAnsi="宋体" w:eastAsia="宋体" w:cs="宋体"/>
                <w:color w:val="auto"/>
                <w:sz w:val="21"/>
                <w:szCs w:val="21"/>
                <w:lang w:eastAsia="zh-CN"/>
              </w:rPr>
              <w:t>频率分辨率：</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lang w:eastAsia="zh-CN"/>
              </w:rPr>
              <w:t>10Hz；</w:t>
            </w:r>
          </w:p>
          <w:p w14:paraId="4EA313AA">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lang w:eastAsia="zh-CN"/>
              </w:rPr>
            </w:pPr>
            <w:r>
              <w:rPr>
                <w:rFonts w:hint="eastAsia" w:ascii="宋体" w:hAnsi="宋体" w:cs="宋体"/>
                <w:color w:val="auto"/>
                <w:sz w:val="21"/>
                <w:szCs w:val="21"/>
                <w:lang w:val="en-US" w:eastAsia="zh-CN"/>
              </w:rPr>
              <w:t>5.</w:t>
            </w:r>
            <w:r>
              <w:rPr>
                <w:rFonts w:hint="eastAsia" w:ascii="宋体" w:hAnsi="宋体" w:eastAsia="宋体" w:cs="宋体"/>
                <w:color w:val="auto"/>
                <w:sz w:val="21"/>
                <w:szCs w:val="21"/>
                <w:lang w:eastAsia="zh-CN"/>
              </w:rPr>
              <w:t>解调模式：FM、AM；</w:t>
            </w:r>
          </w:p>
          <w:p w14:paraId="377B24E5">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lang w:eastAsia="zh-CN"/>
              </w:rPr>
            </w:pPr>
            <w:r>
              <w:rPr>
                <w:rFonts w:hint="eastAsia" w:ascii="宋体" w:hAnsi="宋体" w:cs="宋体"/>
                <w:color w:val="auto"/>
                <w:sz w:val="21"/>
                <w:szCs w:val="21"/>
                <w:lang w:val="en-US" w:eastAsia="zh-CN"/>
              </w:rPr>
              <w:t>6.</w:t>
            </w:r>
            <w:r>
              <w:rPr>
                <w:rFonts w:hint="eastAsia" w:ascii="宋体" w:hAnsi="宋体" w:eastAsia="宋体" w:cs="宋体"/>
                <w:color w:val="auto"/>
                <w:sz w:val="21"/>
                <w:szCs w:val="21"/>
                <w:lang w:eastAsia="zh-CN"/>
              </w:rPr>
              <w:t>中频带宽：≥40MHz；</w:t>
            </w:r>
          </w:p>
          <w:p w14:paraId="7AA9D1C6">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lang w:eastAsia="zh-CN"/>
              </w:rPr>
            </w:pPr>
            <w:r>
              <w:rPr>
                <w:rFonts w:hint="eastAsia" w:ascii="宋体" w:hAnsi="宋体" w:cs="宋体"/>
                <w:color w:val="auto"/>
                <w:sz w:val="21"/>
                <w:szCs w:val="21"/>
                <w:lang w:val="en-US" w:eastAsia="zh-CN"/>
              </w:rPr>
              <w:t>7.</w:t>
            </w:r>
            <w:r>
              <w:rPr>
                <w:rFonts w:hint="eastAsia" w:ascii="宋体" w:hAnsi="宋体" w:eastAsia="宋体" w:cs="宋体"/>
                <w:color w:val="auto"/>
                <w:sz w:val="21"/>
                <w:szCs w:val="21"/>
                <w:lang w:eastAsia="zh-CN"/>
              </w:rPr>
              <w:t>中频抑制：≥80dB（典型值，常规模式）；</w:t>
            </w:r>
          </w:p>
          <w:p w14:paraId="714680D1">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lang w:eastAsia="zh-CN"/>
              </w:rPr>
            </w:pPr>
            <w:r>
              <w:rPr>
                <w:rFonts w:hint="eastAsia" w:ascii="宋体" w:hAnsi="宋体" w:cs="宋体"/>
                <w:color w:val="auto"/>
                <w:sz w:val="21"/>
                <w:szCs w:val="21"/>
                <w:lang w:val="en-US" w:eastAsia="zh-CN"/>
              </w:rPr>
              <w:t>8.</w:t>
            </w:r>
            <w:r>
              <w:rPr>
                <w:rFonts w:hint="eastAsia" w:ascii="宋体" w:hAnsi="宋体" w:eastAsia="宋体" w:cs="宋体"/>
                <w:color w:val="auto"/>
                <w:sz w:val="21"/>
                <w:szCs w:val="21"/>
                <w:lang w:eastAsia="zh-CN"/>
              </w:rPr>
              <w:t>镜频抑制：≥80dB（典型值，常规模式）；</w:t>
            </w:r>
          </w:p>
          <w:p w14:paraId="71B275E7">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lang w:eastAsia="zh-CN"/>
              </w:rPr>
            </w:pPr>
            <w:r>
              <w:rPr>
                <w:rFonts w:hint="eastAsia" w:ascii="宋体" w:hAnsi="宋体" w:cs="宋体"/>
                <w:color w:val="auto"/>
                <w:sz w:val="21"/>
                <w:szCs w:val="21"/>
                <w:lang w:val="en-US" w:eastAsia="zh-CN"/>
              </w:rPr>
              <w:t>9.</w:t>
            </w:r>
            <w:r>
              <w:rPr>
                <w:rFonts w:hint="eastAsia" w:ascii="宋体" w:hAnsi="宋体" w:eastAsia="宋体" w:cs="宋体"/>
                <w:color w:val="auto"/>
                <w:sz w:val="21"/>
                <w:szCs w:val="21"/>
                <w:lang w:eastAsia="zh-CN"/>
              </w:rPr>
              <w:t>噪声系数：≤15dB（典型值，低噪声模式）；</w:t>
            </w:r>
          </w:p>
          <w:p w14:paraId="26F42C3C">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lang w:eastAsia="zh-CN"/>
              </w:rPr>
            </w:pPr>
            <w:r>
              <w:rPr>
                <w:rFonts w:hint="eastAsia" w:ascii="宋体" w:hAnsi="宋体" w:cs="宋体"/>
                <w:color w:val="auto"/>
                <w:sz w:val="21"/>
                <w:szCs w:val="21"/>
                <w:lang w:val="en-US" w:eastAsia="zh-CN"/>
              </w:rPr>
              <w:t>10.</w:t>
            </w:r>
            <w:r>
              <w:rPr>
                <w:rFonts w:hint="eastAsia" w:ascii="宋体" w:hAnsi="宋体" w:eastAsia="宋体" w:cs="宋体"/>
                <w:color w:val="auto"/>
                <w:sz w:val="21"/>
                <w:szCs w:val="21"/>
                <w:lang w:eastAsia="zh-CN"/>
              </w:rPr>
              <w:t>相位噪声：≤-90dBc/Hz@10kHz，fc=1501MHz（典型值，常规模式）；</w:t>
            </w:r>
          </w:p>
          <w:p w14:paraId="3C7B2594">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lang w:eastAsia="zh-CN"/>
              </w:rPr>
            </w:pPr>
            <w:r>
              <w:rPr>
                <w:rFonts w:hint="eastAsia" w:ascii="宋体" w:hAnsi="宋体" w:cs="宋体"/>
                <w:color w:val="auto"/>
                <w:sz w:val="21"/>
                <w:szCs w:val="21"/>
                <w:lang w:val="en-US" w:eastAsia="zh-CN"/>
              </w:rPr>
              <w:t>11.</w:t>
            </w:r>
            <w:r>
              <w:rPr>
                <w:rFonts w:hint="eastAsia" w:ascii="宋体" w:hAnsi="宋体" w:eastAsia="宋体" w:cs="宋体"/>
                <w:color w:val="auto"/>
                <w:sz w:val="21"/>
                <w:szCs w:val="21"/>
                <w:lang w:eastAsia="zh-CN"/>
              </w:rPr>
              <w:t>三阶截点（IP3）：≥7dBm（典型值，低失真模式）；</w:t>
            </w:r>
          </w:p>
          <w:p w14:paraId="677F4C37">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lang w:eastAsia="zh-CN"/>
              </w:rPr>
            </w:pPr>
            <w:r>
              <w:rPr>
                <w:rFonts w:hint="eastAsia" w:ascii="宋体" w:hAnsi="宋体" w:cs="宋体"/>
                <w:color w:val="auto"/>
                <w:sz w:val="21"/>
                <w:szCs w:val="21"/>
                <w:lang w:val="en-US" w:eastAsia="zh-CN"/>
              </w:rPr>
              <w:t>12.</w:t>
            </w:r>
            <w:r>
              <w:rPr>
                <w:rFonts w:hint="eastAsia" w:ascii="宋体" w:hAnsi="宋体" w:eastAsia="宋体" w:cs="宋体"/>
                <w:color w:val="auto"/>
                <w:sz w:val="21"/>
                <w:szCs w:val="21"/>
                <w:lang w:eastAsia="zh-CN"/>
              </w:rPr>
              <w:t>数传解码：支持FSK及LORA扩频数传，且解码库持续更新（免费）；</w:t>
            </w:r>
          </w:p>
          <w:p w14:paraId="26C11B16">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lang w:eastAsia="zh-CN"/>
              </w:rPr>
            </w:pPr>
            <w:r>
              <w:rPr>
                <w:rFonts w:hint="eastAsia" w:ascii="宋体" w:hAnsi="宋体" w:cs="宋体"/>
                <w:color w:val="auto"/>
                <w:sz w:val="21"/>
                <w:szCs w:val="21"/>
                <w:lang w:val="en-US" w:eastAsia="zh-CN"/>
              </w:rPr>
              <w:t>13.</w:t>
            </w:r>
            <w:r>
              <w:rPr>
                <w:rFonts w:hint="eastAsia" w:ascii="宋体" w:hAnsi="宋体" w:eastAsia="宋体" w:cs="宋体"/>
                <w:color w:val="auto"/>
                <w:sz w:val="21"/>
                <w:szCs w:val="21"/>
                <w:lang w:eastAsia="zh-CN"/>
              </w:rPr>
              <w:t>电池工作时间：≥6小时。</w:t>
            </w:r>
          </w:p>
          <w:p w14:paraId="509C7478">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楷体" w:hAnsi="楷体" w:eastAsia="楷体" w:cs="楷体"/>
                <w:color w:val="auto"/>
                <w:sz w:val="21"/>
                <w:szCs w:val="21"/>
                <w:lang w:val="en-US" w:eastAsia="zh-CN"/>
              </w:rPr>
            </w:pPr>
            <w:r>
              <w:rPr>
                <w:rFonts w:hint="eastAsia" w:ascii="楷体" w:hAnsi="楷体" w:eastAsia="楷体" w:cs="楷体"/>
                <w:color w:val="auto"/>
                <w:sz w:val="21"/>
                <w:szCs w:val="21"/>
                <w:lang w:val="en-US" w:eastAsia="zh-CN"/>
              </w:rPr>
              <w:t>（二）压制设备</w:t>
            </w:r>
          </w:p>
          <w:p w14:paraId="4F2980FB">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lang w:eastAsia="zh-CN"/>
              </w:rPr>
            </w:pPr>
            <w:r>
              <w:rPr>
                <w:rFonts w:hint="eastAsia" w:ascii="宋体" w:hAnsi="宋体" w:cs="宋体"/>
                <w:color w:val="auto"/>
                <w:sz w:val="21"/>
                <w:szCs w:val="21"/>
                <w:lang w:val="en-US" w:eastAsia="zh-CN"/>
              </w:rPr>
              <w:t>1.</w:t>
            </w:r>
            <w:r>
              <w:rPr>
                <w:rFonts w:hint="eastAsia" w:ascii="宋体" w:hAnsi="宋体" w:eastAsia="宋体" w:cs="宋体"/>
                <w:color w:val="auto"/>
                <w:sz w:val="21"/>
                <w:szCs w:val="21"/>
                <w:lang w:eastAsia="zh-CN"/>
              </w:rPr>
              <w:t>发射频率：100MHz~1500MHz；</w:t>
            </w:r>
          </w:p>
          <w:p w14:paraId="6D672566">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lang w:eastAsia="zh-CN"/>
              </w:rPr>
            </w:pPr>
            <w:r>
              <w:rPr>
                <w:rFonts w:hint="eastAsia" w:ascii="宋体" w:hAnsi="宋体" w:cs="宋体"/>
                <w:color w:val="auto"/>
                <w:sz w:val="21"/>
                <w:szCs w:val="21"/>
                <w:lang w:val="en-US" w:eastAsia="zh-CN"/>
              </w:rPr>
              <w:t>2.</w:t>
            </w:r>
            <w:r>
              <w:rPr>
                <w:rFonts w:hint="eastAsia" w:ascii="宋体" w:hAnsi="宋体" w:eastAsia="宋体" w:cs="宋体"/>
                <w:color w:val="auto"/>
                <w:sz w:val="21"/>
                <w:szCs w:val="21"/>
                <w:lang w:eastAsia="zh-CN"/>
              </w:rPr>
              <w:t>输出功率：≥40W；</w:t>
            </w:r>
          </w:p>
          <w:p w14:paraId="0F6DDCCF">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lang w:eastAsia="zh-CN"/>
              </w:rPr>
            </w:pPr>
            <w:r>
              <w:rPr>
                <w:rFonts w:hint="eastAsia" w:ascii="宋体" w:hAnsi="宋体" w:cs="宋体"/>
                <w:color w:val="auto"/>
                <w:sz w:val="21"/>
                <w:szCs w:val="21"/>
                <w:lang w:val="en-US" w:eastAsia="zh-CN"/>
              </w:rPr>
              <w:t>3.</w:t>
            </w:r>
            <w:r>
              <w:rPr>
                <w:rFonts w:hint="eastAsia" w:ascii="宋体" w:hAnsi="宋体" w:eastAsia="宋体" w:cs="宋体"/>
                <w:color w:val="auto"/>
                <w:sz w:val="21"/>
                <w:szCs w:val="21"/>
                <w:lang w:eastAsia="zh-CN"/>
              </w:rPr>
              <w:t>同步延迟：≤0.5秒（同步作弊信号）；</w:t>
            </w:r>
          </w:p>
          <w:p w14:paraId="79009BD2">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lang w:eastAsia="zh-CN"/>
              </w:rPr>
            </w:pPr>
            <w:r>
              <w:rPr>
                <w:rFonts w:hint="eastAsia" w:ascii="宋体" w:hAnsi="宋体" w:cs="宋体"/>
                <w:color w:val="auto"/>
                <w:sz w:val="21"/>
                <w:szCs w:val="21"/>
                <w:lang w:val="en-US" w:eastAsia="zh-CN"/>
              </w:rPr>
              <w:t>4.</w:t>
            </w:r>
            <w:r>
              <w:rPr>
                <w:rFonts w:hint="eastAsia" w:ascii="宋体" w:hAnsi="宋体" w:eastAsia="宋体" w:cs="宋体"/>
                <w:color w:val="auto"/>
                <w:sz w:val="21"/>
                <w:szCs w:val="21"/>
                <w:lang w:eastAsia="zh-CN"/>
              </w:rPr>
              <w:t>电池待机时间：≥18小时。</w:t>
            </w:r>
          </w:p>
          <w:p w14:paraId="095AE7A8">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黑体" w:hAnsi="黑体" w:eastAsia="黑体" w:cs="黑体"/>
                <w:color w:val="auto"/>
                <w:sz w:val="21"/>
                <w:szCs w:val="21"/>
                <w:lang w:val="en-US" w:eastAsia="zh-CN"/>
              </w:rPr>
            </w:pPr>
            <w:r>
              <w:rPr>
                <w:rFonts w:hint="eastAsia" w:ascii="黑体" w:hAnsi="黑体" w:eastAsia="黑体" w:cs="黑体"/>
                <w:color w:val="auto"/>
                <w:sz w:val="21"/>
                <w:szCs w:val="21"/>
                <w:lang w:val="en-US" w:eastAsia="zh-CN"/>
              </w:rPr>
              <w:t>五、项目建设依据</w:t>
            </w:r>
          </w:p>
          <w:p w14:paraId="1F61A951">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《频谱监测手册》（2002版）</w:t>
            </w:r>
          </w:p>
          <w:p w14:paraId="515D34BF">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《省级无线电监测设施建设规范和技术要求（试行）》（国无办﹝2019﹞3号）</w:t>
            </w:r>
          </w:p>
          <w:p w14:paraId="587EA9C4">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GB/T34089-2017《VHF/UHF无线电监测测向系统开场测试参数和测试方法》</w:t>
            </w:r>
          </w:p>
          <w:p w14:paraId="20EAAFEA">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GB/T32401-2015《VHF/UHF频段无线电监测接收机技术要求及测试方法》</w:t>
            </w:r>
          </w:p>
          <w:p w14:paraId="2ED9EBD3">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《超短波频段监测数据统计汇总数据库结构技术标准》；</w:t>
            </w:r>
          </w:p>
          <w:p w14:paraId="605EC5C9">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《无线电频率监测统计报告暂行规定》</w:t>
            </w:r>
          </w:p>
          <w:p w14:paraId="70B76F1C">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《超短波频段占用度测试技术规范（试行）》</w:t>
            </w:r>
          </w:p>
          <w:p w14:paraId="33884238">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《无线电实施监测协议》</w:t>
            </w:r>
          </w:p>
          <w:p w14:paraId="2D0F44CB">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《超短波监测管理服务接口规范》</w:t>
            </w:r>
          </w:p>
          <w:p w14:paraId="3884D0FA">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color w:val="auto"/>
              </w:rPr>
            </w:pPr>
            <w:r>
              <w:rPr>
                <w:rFonts w:hint="eastAsia" w:ascii="宋体" w:hAnsi="宋体" w:eastAsia="宋体" w:cs="宋体"/>
                <w:color w:val="auto"/>
                <w:sz w:val="21"/>
                <w:szCs w:val="21"/>
                <w:lang w:eastAsia="zh-CN"/>
              </w:rPr>
              <w:t>其他最新相关行业标准及规范。</w:t>
            </w:r>
          </w:p>
        </w:tc>
      </w:tr>
      <w:tr w14:paraId="4B048CB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9639" w:type="dxa"/>
            <w:gridSpan w:val="6"/>
            <w:tcBorders>
              <w:top w:val="single" w:color="auto" w:sz="4" w:space="0"/>
              <w:left w:val="single" w:color="auto" w:sz="4" w:space="0"/>
              <w:bottom w:val="single" w:color="auto" w:sz="4" w:space="0"/>
              <w:right w:val="single" w:color="auto" w:sz="4" w:space="0"/>
            </w:tcBorders>
            <w:noWrap w:val="0"/>
            <w:vAlign w:val="center"/>
          </w:tcPr>
          <w:p w14:paraId="77D91D81">
            <w:pPr>
              <w:spacing w:line="360" w:lineRule="auto"/>
              <w:rPr>
                <w:rFonts w:ascii="宋体" w:hAnsi="宋体"/>
                <w:color w:val="auto"/>
                <w:szCs w:val="21"/>
              </w:rPr>
            </w:pPr>
            <w:r>
              <w:rPr>
                <w:rFonts w:hint="eastAsia" w:ascii="宋体" w:hAnsi="宋体"/>
                <w:color w:val="auto"/>
                <w:szCs w:val="21"/>
              </w:rPr>
              <w:t>▲一、</w:t>
            </w:r>
            <w:r>
              <w:rPr>
                <w:rFonts w:hint="eastAsia" w:ascii="宋体" w:hAnsi="宋体"/>
                <w:b/>
                <w:color w:val="auto"/>
                <w:szCs w:val="21"/>
              </w:rPr>
              <w:t>商务条款</w:t>
            </w:r>
          </w:p>
        </w:tc>
      </w:tr>
      <w:tr w14:paraId="198AB1E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2" w:hRule="atLeast"/>
          <w:jc w:val="center"/>
        </w:trPr>
        <w:tc>
          <w:tcPr>
            <w:tcW w:w="2099" w:type="dxa"/>
            <w:gridSpan w:val="5"/>
            <w:tcBorders>
              <w:top w:val="single" w:color="auto" w:sz="4" w:space="0"/>
              <w:left w:val="single" w:color="auto" w:sz="4" w:space="0"/>
              <w:bottom w:val="single" w:color="auto" w:sz="4" w:space="0"/>
              <w:right w:val="single" w:color="auto" w:sz="4" w:space="0"/>
            </w:tcBorders>
            <w:noWrap w:val="0"/>
            <w:vAlign w:val="center"/>
          </w:tcPr>
          <w:p w14:paraId="5EF1D73D">
            <w:pPr>
              <w:spacing w:line="240" w:lineRule="auto"/>
              <w:jc w:val="center"/>
              <w:rPr>
                <w:rFonts w:hint="eastAsia" w:ascii="宋体" w:hAnsi="宋体"/>
                <w:color w:val="auto"/>
                <w:kern w:val="2"/>
                <w:sz w:val="21"/>
                <w:szCs w:val="21"/>
                <w:lang w:val="en-US" w:eastAsia="zh-CN" w:bidi="ar-SA"/>
              </w:rPr>
            </w:pPr>
            <w:r>
              <w:rPr>
                <w:rFonts w:hint="eastAsia" w:ascii="宋体" w:hAnsi="宋体"/>
                <w:color w:val="auto"/>
                <w:szCs w:val="21"/>
              </w:rPr>
              <w:t>合同签订时间</w:t>
            </w:r>
          </w:p>
        </w:tc>
        <w:tc>
          <w:tcPr>
            <w:tcW w:w="7540" w:type="dxa"/>
            <w:tcBorders>
              <w:top w:val="single" w:color="auto" w:sz="4" w:space="0"/>
              <w:left w:val="single" w:color="auto" w:sz="4" w:space="0"/>
              <w:bottom w:val="single" w:color="auto" w:sz="4" w:space="0"/>
              <w:right w:val="single" w:color="auto" w:sz="4" w:space="0"/>
            </w:tcBorders>
            <w:noWrap w:val="0"/>
            <w:vAlign w:val="center"/>
          </w:tcPr>
          <w:p w14:paraId="6FDA9C6E">
            <w:pPr>
              <w:spacing w:line="240" w:lineRule="auto"/>
              <w:rPr>
                <w:rFonts w:hint="eastAsia" w:ascii="宋体" w:hAnsi="宋体"/>
                <w:color w:val="auto"/>
                <w:kern w:val="2"/>
                <w:sz w:val="21"/>
                <w:szCs w:val="21"/>
                <w:lang w:val="en-US" w:eastAsia="zh-CN" w:bidi="ar-SA"/>
              </w:rPr>
            </w:pPr>
            <w:r>
              <w:rPr>
                <w:rFonts w:hint="eastAsia" w:ascii="宋体" w:hAnsi="宋体"/>
                <w:color w:val="auto"/>
                <w:szCs w:val="21"/>
              </w:rPr>
              <w:t>自成交通知书发出之日起</w:t>
            </w:r>
            <w:r>
              <w:rPr>
                <w:rFonts w:hint="eastAsia" w:ascii="宋体" w:hAnsi="宋体"/>
                <w:color w:val="auto"/>
                <w:szCs w:val="21"/>
                <w:u w:val="single"/>
              </w:rPr>
              <w:t>25</w:t>
            </w:r>
            <w:r>
              <w:rPr>
                <w:rFonts w:hint="eastAsia" w:ascii="宋体" w:hAnsi="宋体"/>
                <w:color w:val="auto"/>
                <w:szCs w:val="21"/>
              </w:rPr>
              <w:t>日内。</w:t>
            </w:r>
          </w:p>
        </w:tc>
      </w:tr>
      <w:tr w14:paraId="396F186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099" w:type="dxa"/>
            <w:gridSpan w:val="5"/>
            <w:tcBorders>
              <w:top w:val="single" w:color="auto" w:sz="4" w:space="0"/>
              <w:left w:val="single" w:color="auto" w:sz="4" w:space="0"/>
              <w:bottom w:val="single" w:color="auto" w:sz="4" w:space="0"/>
              <w:right w:val="single" w:color="auto" w:sz="4" w:space="0"/>
            </w:tcBorders>
            <w:noWrap w:val="0"/>
            <w:vAlign w:val="center"/>
          </w:tcPr>
          <w:p w14:paraId="70DFC7DC">
            <w:pPr>
              <w:spacing w:line="360" w:lineRule="auto"/>
              <w:jc w:val="center"/>
              <w:rPr>
                <w:rFonts w:ascii="宋体" w:hAnsi="宋体"/>
                <w:color w:val="auto"/>
                <w:szCs w:val="21"/>
              </w:rPr>
            </w:pPr>
            <w:r>
              <w:rPr>
                <w:rFonts w:hint="eastAsia" w:ascii="宋体" w:hAnsi="宋体"/>
                <w:color w:val="auto"/>
                <w:szCs w:val="21"/>
              </w:rPr>
              <w:t>交付期限及地点</w:t>
            </w:r>
          </w:p>
        </w:tc>
        <w:tc>
          <w:tcPr>
            <w:tcW w:w="7540" w:type="dxa"/>
            <w:tcBorders>
              <w:top w:val="single" w:color="auto" w:sz="4" w:space="0"/>
              <w:left w:val="single" w:color="auto" w:sz="4" w:space="0"/>
              <w:bottom w:val="single" w:color="auto" w:sz="4" w:space="0"/>
              <w:right w:val="single" w:color="auto" w:sz="4" w:space="0"/>
            </w:tcBorders>
            <w:noWrap w:val="0"/>
            <w:vAlign w:val="center"/>
          </w:tcPr>
          <w:p w14:paraId="09160933">
            <w:pPr>
              <w:spacing w:line="360" w:lineRule="auto"/>
              <w:rPr>
                <w:rFonts w:hint="eastAsia" w:ascii="宋体" w:hAnsi="宋体"/>
                <w:color w:val="auto"/>
                <w:szCs w:val="21"/>
              </w:rPr>
            </w:pPr>
            <w:r>
              <w:rPr>
                <w:rFonts w:hint="eastAsia" w:ascii="宋体" w:hAnsi="宋体"/>
                <w:color w:val="auto"/>
                <w:szCs w:val="21"/>
              </w:rPr>
              <w:t>1.交付期限：</w:t>
            </w:r>
            <w:r>
              <w:rPr>
                <w:rFonts w:hint="eastAsia" w:ascii="宋体" w:hAnsi="宋体" w:cs="宋体"/>
                <w:color w:val="auto"/>
                <w:szCs w:val="21"/>
              </w:rPr>
              <w:t>签订合同之日起</w:t>
            </w:r>
            <w:r>
              <w:rPr>
                <w:rFonts w:hint="eastAsia" w:ascii="宋体" w:hAnsi="宋体" w:cs="宋体"/>
                <w:color w:val="auto"/>
                <w:szCs w:val="21"/>
                <w:lang w:val="en-US" w:eastAsia="zh-CN"/>
              </w:rPr>
              <w:t>90</w:t>
            </w:r>
            <w:r>
              <w:rPr>
                <w:rFonts w:hint="eastAsia" w:ascii="宋体" w:hAnsi="宋体" w:cs="宋体"/>
                <w:color w:val="auto"/>
                <w:szCs w:val="21"/>
              </w:rPr>
              <w:t>个日历日内全部安装调试合格完毕</w:t>
            </w:r>
            <w:r>
              <w:rPr>
                <w:rFonts w:hint="eastAsia" w:ascii="宋体" w:hAnsi="宋体" w:cs="宋体"/>
                <w:color w:val="auto"/>
                <w:szCs w:val="21"/>
                <w:lang w:val="en-US" w:eastAsia="zh-CN"/>
              </w:rPr>
              <w:t>并通过合同验收</w:t>
            </w:r>
            <w:r>
              <w:rPr>
                <w:rFonts w:hint="eastAsia" w:ascii="宋体" w:hAnsi="宋体" w:cs="宋体"/>
                <w:color w:val="auto"/>
                <w:szCs w:val="21"/>
                <w:lang w:eastAsia="zh-CN"/>
              </w:rPr>
              <w:t>。</w:t>
            </w:r>
          </w:p>
          <w:p w14:paraId="41091700">
            <w:pPr>
              <w:spacing w:line="360" w:lineRule="auto"/>
              <w:rPr>
                <w:rFonts w:ascii="宋体" w:hAnsi="宋体"/>
                <w:color w:val="auto"/>
                <w:szCs w:val="21"/>
              </w:rPr>
            </w:pPr>
            <w:r>
              <w:rPr>
                <w:rFonts w:hint="eastAsia" w:ascii="宋体" w:hAnsi="宋体"/>
                <w:color w:val="auto"/>
                <w:szCs w:val="21"/>
              </w:rPr>
              <w:t>2.交付地点：</w:t>
            </w:r>
            <w:r>
              <w:rPr>
                <w:rFonts w:hint="eastAsia" w:ascii="宋体" w:hAnsi="宋体" w:cs="宋体"/>
                <w:color w:val="auto"/>
                <w:szCs w:val="21"/>
              </w:rPr>
              <w:t>采购人指定地点</w:t>
            </w:r>
            <w:r>
              <w:rPr>
                <w:rFonts w:hint="eastAsia" w:ascii="宋体" w:hAnsi="宋体"/>
                <w:color w:val="auto"/>
                <w:szCs w:val="21"/>
              </w:rPr>
              <w:t>。</w:t>
            </w:r>
          </w:p>
        </w:tc>
      </w:tr>
      <w:tr w14:paraId="6F75902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099" w:type="dxa"/>
            <w:gridSpan w:val="5"/>
            <w:tcBorders>
              <w:top w:val="single" w:color="auto" w:sz="4" w:space="0"/>
              <w:left w:val="single" w:color="auto" w:sz="4" w:space="0"/>
              <w:bottom w:val="single" w:color="auto" w:sz="4" w:space="0"/>
              <w:right w:val="single" w:color="auto" w:sz="4" w:space="0"/>
            </w:tcBorders>
            <w:noWrap w:val="0"/>
            <w:vAlign w:val="center"/>
          </w:tcPr>
          <w:p w14:paraId="59A53E42">
            <w:pPr>
              <w:spacing w:line="360" w:lineRule="auto"/>
              <w:jc w:val="center"/>
              <w:rPr>
                <w:rFonts w:ascii="宋体" w:hAnsi="宋体"/>
                <w:color w:val="auto"/>
                <w:szCs w:val="21"/>
              </w:rPr>
            </w:pPr>
            <w:r>
              <w:rPr>
                <w:rFonts w:hint="eastAsia" w:ascii="宋体" w:hAnsi="宋体"/>
                <w:color w:val="auto"/>
                <w:szCs w:val="21"/>
              </w:rPr>
              <w:t>报价要求</w:t>
            </w:r>
          </w:p>
        </w:tc>
        <w:tc>
          <w:tcPr>
            <w:tcW w:w="7540" w:type="dxa"/>
            <w:tcBorders>
              <w:top w:val="single" w:color="auto" w:sz="4" w:space="0"/>
              <w:left w:val="single" w:color="auto" w:sz="4" w:space="0"/>
              <w:bottom w:val="single" w:color="auto" w:sz="4" w:space="0"/>
              <w:right w:val="single" w:color="auto" w:sz="4" w:space="0"/>
            </w:tcBorders>
            <w:noWrap w:val="0"/>
            <w:vAlign w:val="center"/>
          </w:tcPr>
          <w:p w14:paraId="2222DD98">
            <w:pPr>
              <w:spacing w:line="360" w:lineRule="auto"/>
              <w:rPr>
                <w:rFonts w:ascii="宋体" w:hAnsi="宋体"/>
                <w:color w:val="auto"/>
                <w:szCs w:val="21"/>
              </w:rPr>
            </w:pPr>
            <w:r>
              <w:rPr>
                <w:rFonts w:hint="eastAsia" w:ascii="宋体" w:hAnsi="宋体"/>
                <w:color w:val="auto"/>
                <w:szCs w:val="21"/>
              </w:rPr>
              <w:t>竞标报价须为人民币报价，包含产品价、运输费（含装卸费）、保险费、安装调试费、税费、培训费、产品检测费、产品质保期内维护费等费用。对于本文件中明确列明必须报价的货物或服务，供应商应分别报价。对于本文件中未列明，而供应商认为必需的费用也需列入总报价。在合同实施时，采购人将不予支付成交供应商没有列入的项目费用，并认为此项目的费用已包括在响应总报价中。</w:t>
            </w:r>
          </w:p>
        </w:tc>
      </w:tr>
      <w:tr w14:paraId="4851ACC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099" w:type="dxa"/>
            <w:gridSpan w:val="5"/>
            <w:tcBorders>
              <w:top w:val="single" w:color="auto" w:sz="4" w:space="0"/>
              <w:left w:val="single" w:color="auto" w:sz="4" w:space="0"/>
              <w:bottom w:val="single" w:color="auto" w:sz="4" w:space="0"/>
              <w:right w:val="single" w:color="auto" w:sz="4" w:space="0"/>
            </w:tcBorders>
            <w:noWrap w:val="0"/>
            <w:vAlign w:val="center"/>
          </w:tcPr>
          <w:p w14:paraId="10CDA432">
            <w:pPr>
              <w:spacing w:line="360" w:lineRule="auto"/>
              <w:jc w:val="center"/>
              <w:rPr>
                <w:rFonts w:hint="eastAsia" w:ascii="宋体" w:hAnsi="宋体"/>
                <w:color w:val="auto"/>
                <w:szCs w:val="21"/>
              </w:rPr>
            </w:pPr>
            <w:r>
              <w:rPr>
                <w:rFonts w:hint="eastAsia" w:ascii="宋体" w:hAnsi="宋体" w:cs="宋体"/>
                <w:color w:val="auto"/>
                <w:szCs w:val="21"/>
              </w:rPr>
              <w:t>付款方式</w:t>
            </w:r>
          </w:p>
        </w:tc>
        <w:tc>
          <w:tcPr>
            <w:tcW w:w="7540" w:type="dxa"/>
            <w:tcBorders>
              <w:top w:val="single" w:color="auto" w:sz="4" w:space="0"/>
              <w:left w:val="single" w:color="auto" w:sz="4" w:space="0"/>
              <w:bottom w:val="single" w:color="auto" w:sz="4" w:space="0"/>
              <w:right w:val="single" w:color="auto" w:sz="4" w:space="0"/>
            </w:tcBorders>
            <w:noWrap w:val="0"/>
            <w:vAlign w:val="center"/>
          </w:tcPr>
          <w:p w14:paraId="60A4B4F3">
            <w:pPr>
              <w:spacing w:line="360" w:lineRule="auto"/>
              <w:rPr>
                <w:rFonts w:hint="eastAsia" w:ascii="宋体" w:hAnsi="宋体"/>
                <w:color w:val="auto"/>
                <w:szCs w:val="21"/>
              </w:rPr>
            </w:pPr>
            <w:bookmarkStart w:id="100" w:name="_Hlk102679720"/>
            <w:r>
              <w:rPr>
                <w:rFonts w:hint="eastAsia" w:ascii="宋体" w:hAnsi="宋体" w:cs="宋体"/>
                <w:color w:val="auto"/>
                <w:szCs w:val="21"/>
              </w:rPr>
              <w:t>签订合同</w:t>
            </w:r>
            <w:r>
              <w:rPr>
                <w:rFonts w:hint="eastAsia" w:ascii="宋体" w:hAnsi="宋体" w:cs="宋体"/>
                <w:color w:val="auto"/>
                <w:szCs w:val="21"/>
                <w:lang w:val="en-US" w:eastAsia="zh-CN"/>
              </w:rPr>
              <w:t>生效且采购方</w:t>
            </w:r>
            <w:r>
              <w:rPr>
                <w:rFonts w:hint="eastAsia" w:ascii="宋体" w:hAnsi="宋体" w:cs="宋体"/>
                <w:color w:val="auto"/>
                <w:szCs w:val="21"/>
              </w:rPr>
              <w:t>在收到成交供应商开具合同金额50%的发票后，采购方在</w:t>
            </w:r>
            <w:r>
              <w:rPr>
                <w:rFonts w:hint="eastAsia" w:ascii="宋体" w:hAnsi="宋体" w:cs="宋体"/>
                <w:color w:val="auto"/>
                <w:szCs w:val="21"/>
                <w:lang w:val="en-US" w:eastAsia="zh-CN"/>
              </w:rPr>
              <w:t>15</w:t>
            </w:r>
            <w:r>
              <w:rPr>
                <w:rFonts w:hint="eastAsia" w:ascii="宋体" w:hAnsi="宋体" w:cs="宋体"/>
                <w:color w:val="auto"/>
                <w:szCs w:val="21"/>
              </w:rPr>
              <w:t>个工作日内</w:t>
            </w:r>
            <w:r>
              <w:rPr>
                <w:rFonts w:hint="eastAsia" w:ascii="宋体" w:hAnsi="宋体" w:cs="宋体"/>
                <w:color w:val="auto"/>
                <w:szCs w:val="21"/>
                <w:lang w:val="en-US" w:eastAsia="zh-CN"/>
              </w:rPr>
              <w:t>支付相应金额的</w:t>
            </w:r>
            <w:r>
              <w:rPr>
                <w:rFonts w:hint="eastAsia" w:ascii="宋体" w:hAnsi="宋体" w:cs="宋体"/>
                <w:color w:val="auto"/>
                <w:szCs w:val="21"/>
              </w:rPr>
              <w:t>货款给成交供应商</w:t>
            </w:r>
            <w:r>
              <w:rPr>
                <w:rFonts w:hint="eastAsia" w:ascii="宋体" w:hAnsi="宋体" w:cs="宋体"/>
                <w:color w:val="auto"/>
                <w:szCs w:val="21"/>
                <w:lang w:eastAsia="zh-CN"/>
              </w:rPr>
              <w:t>；</w:t>
            </w:r>
            <w:bookmarkEnd w:id="100"/>
            <w:r>
              <w:rPr>
                <w:rFonts w:hint="eastAsia" w:ascii="宋体" w:hAnsi="宋体" w:cs="宋体"/>
                <w:color w:val="auto"/>
                <w:szCs w:val="21"/>
                <w:lang w:val="en-US" w:eastAsia="zh-CN"/>
              </w:rPr>
              <w:t>设备交付完毕且经合同</w:t>
            </w:r>
            <w:r>
              <w:rPr>
                <w:rFonts w:hint="eastAsia" w:ascii="宋体" w:hAnsi="宋体" w:cs="宋体"/>
                <w:color w:val="auto"/>
                <w:szCs w:val="21"/>
              </w:rPr>
              <w:t>验收合格</w:t>
            </w:r>
            <w:r>
              <w:rPr>
                <w:rFonts w:hint="eastAsia" w:ascii="宋体" w:hAnsi="宋体" w:cs="宋体"/>
                <w:color w:val="auto"/>
                <w:szCs w:val="21"/>
                <w:lang w:val="en-US" w:eastAsia="zh-CN"/>
              </w:rPr>
              <w:t>，采购方</w:t>
            </w:r>
            <w:r>
              <w:rPr>
                <w:rFonts w:hint="eastAsia" w:ascii="宋体" w:hAnsi="宋体" w:cs="宋体"/>
                <w:color w:val="auto"/>
                <w:szCs w:val="21"/>
              </w:rPr>
              <w:t>在收到成交供应商开具合同金额</w:t>
            </w:r>
            <w:r>
              <w:rPr>
                <w:rFonts w:hint="eastAsia" w:ascii="宋体" w:hAnsi="宋体" w:cs="宋体"/>
                <w:color w:val="auto"/>
                <w:szCs w:val="21"/>
                <w:lang w:val="en-US" w:eastAsia="zh-CN"/>
              </w:rPr>
              <w:t>5</w:t>
            </w:r>
            <w:r>
              <w:rPr>
                <w:rFonts w:hint="eastAsia" w:ascii="宋体" w:hAnsi="宋体" w:cs="宋体"/>
                <w:color w:val="auto"/>
                <w:szCs w:val="21"/>
              </w:rPr>
              <w:t>0%的发票后，采购方在</w:t>
            </w:r>
            <w:r>
              <w:rPr>
                <w:rFonts w:hint="eastAsia" w:ascii="宋体" w:hAnsi="宋体" w:cs="宋体"/>
                <w:color w:val="auto"/>
                <w:szCs w:val="21"/>
                <w:lang w:val="en-US" w:eastAsia="zh-CN"/>
              </w:rPr>
              <w:t>15</w:t>
            </w:r>
            <w:r>
              <w:rPr>
                <w:rFonts w:hint="eastAsia" w:ascii="宋体" w:hAnsi="宋体" w:cs="宋体"/>
                <w:color w:val="auto"/>
                <w:szCs w:val="21"/>
              </w:rPr>
              <w:t>个工作日内</w:t>
            </w:r>
            <w:r>
              <w:rPr>
                <w:rFonts w:hint="eastAsia" w:ascii="宋体" w:hAnsi="宋体" w:cs="宋体"/>
                <w:color w:val="auto"/>
                <w:szCs w:val="21"/>
                <w:lang w:val="en-US" w:eastAsia="zh-CN"/>
              </w:rPr>
              <w:t>支付相应金额的尾</w:t>
            </w:r>
            <w:r>
              <w:rPr>
                <w:rFonts w:hint="eastAsia" w:ascii="宋体" w:hAnsi="宋体" w:cs="宋体"/>
                <w:color w:val="auto"/>
                <w:szCs w:val="21"/>
              </w:rPr>
              <w:t>款给成交供应商</w:t>
            </w:r>
            <w:r>
              <w:rPr>
                <w:rFonts w:hint="eastAsia" w:ascii="宋体" w:hAnsi="宋体" w:cs="宋体"/>
                <w:color w:val="auto"/>
                <w:szCs w:val="21"/>
                <w:lang w:eastAsia="zh-CN"/>
              </w:rPr>
              <w:t>。</w:t>
            </w:r>
          </w:p>
        </w:tc>
      </w:tr>
      <w:tr w14:paraId="33216BD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099" w:type="dxa"/>
            <w:gridSpan w:val="5"/>
            <w:tcBorders>
              <w:top w:val="single" w:color="auto" w:sz="4" w:space="0"/>
              <w:left w:val="single" w:color="auto" w:sz="4" w:space="0"/>
              <w:bottom w:val="single" w:color="auto" w:sz="4" w:space="0"/>
              <w:right w:val="single" w:color="auto" w:sz="4" w:space="0"/>
            </w:tcBorders>
            <w:noWrap w:val="0"/>
            <w:vAlign w:val="center"/>
          </w:tcPr>
          <w:p w14:paraId="4EB8B357">
            <w:pPr>
              <w:spacing w:line="360" w:lineRule="auto"/>
              <w:jc w:val="center"/>
              <w:rPr>
                <w:rFonts w:hint="eastAsia" w:ascii="宋体" w:hAnsi="宋体" w:cs="宋体"/>
                <w:color w:val="auto"/>
                <w:szCs w:val="21"/>
              </w:rPr>
            </w:pPr>
            <w:r>
              <w:rPr>
                <w:rFonts w:hint="eastAsia" w:ascii="宋体" w:hAnsi="宋体" w:cs="宋体"/>
                <w:color w:val="auto"/>
                <w:szCs w:val="21"/>
              </w:rPr>
              <w:t>质保期</w:t>
            </w:r>
          </w:p>
        </w:tc>
        <w:tc>
          <w:tcPr>
            <w:tcW w:w="7540" w:type="dxa"/>
            <w:tcBorders>
              <w:top w:val="single" w:color="auto" w:sz="4" w:space="0"/>
              <w:left w:val="single" w:color="auto" w:sz="4" w:space="0"/>
              <w:bottom w:val="single" w:color="auto" w:sz="4" w:space="0"/>
              <w:right w:val="single" w:color="auto" w:sz="4" w:space="0"/>
            </w:tcBorders>
            <w:noWrap w:val="0"/>
            <w:vAlign w:val="center"/>
          </w:tcPr>
          <w:p w14:paraId="1F1AE2B4">
            <w:pPr>
              <w:spacing w:line="360" w:lineRule="auto"/>
              <w:rPr>
                <w:rFonts w:hint="eastAsia" w:ascii="宋体" w:hAnsi="宋体" w:cs="宋体"/>
                <w:color w:val="auto"/>
                <w:szCs w:val="21"/>
              </w:rPr>
            </w:pPr>
            <w:r>
              <w:rPr>
                <w:rFonts w:hint="eastAsia" w:ascii="宋体" w:hAnsi="宋体" w:cs="宋体"/>
                <w:color w:val="auto"/>
                <w:szCs w:val="21"/>
              </w:rPr>
              <w:t>整套设备</w:t>
            </w:r>
            <w:r>
              <w:rPr>
                <w:rFonts w:hint="eastAsia" w:ascii="宋体" w:hAnsi="宋体" w:cs="宋体"/>
                <w:color w:val="auto"/>
                <w:szCs w:val="21"/>
                <w:lang w:val="en-US" w:eastAsia="zh-CN"/>
              </w:rPr>
              <w:t>质保</w:t>
            </w:r>
            <w:r>
              <w:rPr>
                <w:rFonts w:hint="eastAsia" w:ascii="宋体" w:hAnsi="宋体" w:cs="宋体"/>
                <w:color w:val="auto"/>
                <w:szCs w:val="21"/>
              </w:rPr>
              <w:t>期至少</w:t>
            </w:r>
            <w:r>
              <w:rPr>
                <w:rFonts w:hint="eastAsia" w:ascii="宋体" w:hAnsi="宋体" w:cs="宋体"/>
                <w:color w:val="auto"/>
                <w:szCs w:val="21"/>
                <w:lang w:val="en-US" w:eastAsia="zh-CN"/>
              </w:rPr>
              <w:t>3</w:t>
            </w:r>
            <w:r>
              <w:rPr>
                <w:rFonts w:hint="eastAsia" w:ascii="宋体" w:hAnsi="宋体" w:cs="宋体"/>
                <w:color w:val="auto"/>
                <w:szCs w:val="21"/>
              </w:rPr>
              <w:t>年，自验收合格正式交付使用之日起计算。按国家有关产品“三包”规定执行“三包”，质保期内免费维修、更换配件。质保期满后，以优惠价格提供维修和备件更换，且免除一切手续费。</w:t>
            </w:r>
          </w:p>
        </w:tc>
      </w:tr>
      <w:tr w14:paraId="0E412C3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099" w:type="dxa"/>
            <w:gridSpan w:val="5"/>
            <w:tcBorders>
              <w:top w:val="single" w:color="auto" w:sz="4" w:space="0"/>
              <w:left w:val="single" w:color="auto" w:sz="4" w:space="0"/>
              <w:bottom w:val="single" w:color="auto" w:sz="4" w:space="0"/>
              <w:right w:val="single" w:color="auto" w:sz="4" w:space="0"/>
            </w:tcBorders>
            <w:noWrap w:val="0"/>
            <w:vAlign w:val="center"/>
          </w:tcPr>
          <w:p w14:paraId="0927E47D">
            <w:pPr>
              <w:spacing w:line="360" w:lineRule="auto"/>
              <w:jc w:val="center"/>
              <w:rPr>
                <w:rFonts w:hint="eastAsia" w:ascii="宋体" w:hAnsi="宋体" w:cs="宋体"/>
                <w:color w:val="auto"/>
                <w:szCs w:val="21"/>
              </w:rPr>
            </w:pPr>
            <w:r>
              <w:rPr>
                <w:rFonts w:hint="eastAsia" w:ascii="宋体" w:hAnsi="宋体" w:cs="宋体"/>
                <w:color w:val="auto"/>
                <w:szCs w:val="21"/>
              </w:rPr>
              <w:t>售后技术服务要求</w:t>
            </w:r>
          </w:p>
        </w:tc>
        <w:tc>
          <w:tcPr>
            <w:tcW w:w="7540" w:type="dxa"/>
            <w:tcBorders>
              <w:top w:val="single" w:color="auto" w:sz="4" w:space="0"/>
              <w:left w:val="single" w:color="auto" w:sz="4" w:space="0"/>
              <w:bottom w:val="single" w:color="auto" w:sz="4" w:space="0"/>
              <w:right w:val="single" w:color="auto" w:sz="4" w:space="0"/>
            </w:tcBorders>
            <w:noWrap w:val="0"/>
            <w:vAlign w:val="center"/>
          </w:tcPr>
          <w:p w14:paraId="06204DE4">
            <w:pPr>
              <w:spacing w:line="360" w:lineRule="auto"/>
              <w:rPr>
                <w:rFonts w:hint="eastAsia" w:ascii="宋体" w:hAnsi="宋体" w:cs="宋体"/>
                <w:color w:val="auto"/>
                <w:szCs w:val="21"/>
              </w:rPr>
            </w:pPr>
            <w:r>
              <w:rPr>
                <w:rFonts w:hint="eastAsia" w:ascii="宋体" w:hAnsi="宋体" w:cs="宋体"/>
                <w:color w:val="auto"/>
                <w:szCs w:val="21"/>
              </w:rPr>
              <w:t>免费送货上门，免费安装调试，为采购人免费培训技术操作人员。所需工具、器材由成交供应商自理；提供全套说明书并包括简易的中文操作说明和注意事项。</w:t>
            </w:r>
          </w:p>
        </w:tc>
      </w:tr>
      <w:tr w14:paraId="55C6C38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099" w:type="dxa"/>
            <w:gridSpan w:val="5"/>
            <w:tcBorders>
              <w:top w:val="single" w:color="auto" w:sz="4" w:space="0"/>
              <w:left w:val="single" w:color="auto" w:sz="4" w:space="0"/>
              <w:bottom w:val="single" w:color="auto" w:sz="4" w:space="0"/>
              <w:right w:val="single" w:color="auto" w:sz="4" w:space="0"/>
            </w:tcBorders>
            <w:noWrap w:val="0"/>
            <w:vAlign w:val="center"/>
          </w:tcPr>
          <w:p w14:paraId="76065D33">
            <w:pPr>
              <w:spacing w:line="360" w:lineRule="auto"/>
              <w:jc w:val="center"/>
              <w:rPr>
                <w:rFonts w:hint="eastAsia" w:ascii="宋体" w:hAnsi="宋体" w:cs="宋体"/>
                <w:color w:val="auto"/>
                <w:szCs w:val="21"/>
              </w:rPr>
            </w:pPr>
            <w:r>
              <w:rPr>
                <w:rFonts w:hint="eastAsia" w:ascii="宋体" w:hAnsi="宋体" w:cs="宋体"/>
                <w:color w:val="auto"/>
                <w:szCs w:val="21"/>
              </w:rPr>
              <w:t>售后服务保障或维修响应时间要求</w:t>
            </w:r>
          </w:p>
        </w:tc>
        <w:tc>
          <w:tcPr>
            <w:tcW w:w="7540" w:type="dxa"/>
            <w:tcBorders>
              <w:top w:val="single" w:color="auto" w:sz="4" w:space="0"/>
              <w:left w:val="single" w:color="auto" w:sz="4" w:space="0"/>
              <w:bottom w:val="single" w:color="auto" w:sz="4" w:space="0"/>
              <w:right w:val="single" w:color="auto" w:sz="4" w:space="0"/>
            </w:tcBorders>
            <w:noWrap w:val="0"/>
            <w:vAlign w:val="center"/>
          </w:tcPr>
          <w:p w14:paraId="6C7B6690">
            <w:pPr>
              <w:spacing w:line="360" w:lineRule="auto"/>
              <w:rPr>
                <w:rFonts w:hint="eastAsia" w:ascii="宋体" w:hAnsi="宋体" w:cs="宋体"/>
                <w:color w:val="auto"/>
                <w:szCs w:val="21"/>
              </w:rPr>
            </w:pPr>
            <w:r>
              <w:rPr>
                <w:rFonts w:hint="eastAsia" w:ascii="宋体" w:hAnsi="宋体" w:cs="宋体"/>
                <w:color w:val="auto"/>
                <w:szCs w:val="21"/>
              </w:rPr>
              <w:t>设备出现故障必须在24小时内做出答复，48小时内安排人员解决问题并排除故障，重大问题或其它无法迅速解决的问题应在一周内解决。</w:t>
            </w:r>
          </w:p>
        </w:tc>
      </w:tr>
      <w:tr w14:paraId="76A7E48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099" w:type="dxa"/>
            <w:gridSpan w:val="5"/>
            <w:tcBorders>
              <w:top w:val="single" w:color="auto" w:sz="4" w:space="0"/>
              <w:left w:val="single" w:color="auto" w:sz="4" w:space="0"/>
              <w:bottom w:val="single" w:color="auto" w:sz="4" w:space="0"/>
              <w:right w:val="single" w:color="auto" w:sz="4" w:space="0"/>
            </w:tcBorders>
            <w:noWrap w:val="0"/>
            <w:vAlign w:val="center"/>
          </w:tcPr>
          <w:p w14:paraId="7615641F">
            <w:pPr>
              <w:spacing w:line="360" w:lineRule="auto"/>
              <w:jc w:val="center"/>
              <w:rPr>
                <w:rFonts w:hint="eastAsia" w:ascii="宋体" w:hAnsi="宋体" w:cs="宋体"/>
                <w:color w:val="auto"/>
                <w:szCs w:val="21"/>
              </w:rPr>
            </w:pPr>
            <w:r>
              <w:rPr>
                <w:rFonts w:hint="eastAsia" w:ascii="宋体" w:hAnsi="宋体" w:cs="宋体"/>
                <w:color w:val="auto"/>
                <w:szCs w:val="21"/>
              </w:rPr>
              <w:t>验收要求</w:t>
            </w:r>
          </w:p>
        </w:tc>
        <w:tc>
          <w:tcPr>
            <w:tcW w:w="7540" w:type="dxa"/>
            <w:tcBorders>
              <w:top w:val="single" w:color="auto" w:sz="4" w:space="0"/>
              <w:left w:val="single" w:color="auto" w:sz="4" w:space="0"/>
              <w:bottom w:val="single" w:color="auto" w:sz="4" w:space="0"/>
              <w:right w:val="single" w:color="auto" w:sz="4" w:space="0"/>
            </w:tcBorders>
            <w:noWrap w:val="0"/>
            <w:vAlign w:val="center"/>
          </w:tcPr>
          <w:p w14:paraId="7C43637B">
            <w:pPr>
              <w:spacing w:line="360" w:lineRule="auto"/>
              <w:rPr>
                <w:rFonts w:hint="eastAsia" w:ascii="宋体" w:hAnsi="宋体" w:cs="宋体"/>
                <w:color w:val="auto"/>
                <w:szCs w:val="21"/>
              </w:rPr>
            </w:pPr>
            <w:r>
              <w:rPr>
                <w:rFonts w:hint="eastAsia" w:ascii="宋体" w:hAnsi="宋体" w:cs="宋体"/>
                <w:color w:val="auto"/>
                <w:szCs w:val="21"/>
              </w:rPr>
              <w:t>供应商应在</w:t>
            </w:r>
            <w:r>
              <w:rPr>
                <w:rFonts w:hint="eastAsia" w:ascii="宋体" w:hAnsi="宋体" w:cs="宋体"/>
                <w:color w:val="auto"/>
                <w:szCs w:val="21"/>
                <w:lang w:val="en-US" w:eastAsia="zh-CN"/>
              </w:rPr>
              <w:t>合同</w:t>
            </w:r>
            <w:r>
              <w:rPr>
                <w:rFonts w:hint="eastAsia" w:ascii="宋体" w:hAnsi="宋体" w:cs="宋体"/>
                <w:color w:val="auto"/>
                <w:szCs w:val="21"/>
              </w:rPr>
              <w:t>验收实施前将具体的验收计划交采购人审查。</w:t>
            </w:r>
            <w:r>
              <w:rPr>
                <w:rFonts w:hint="eastAsia" w:ascii="宋体" w:hAnsi="宋体" w:cs="宋体"/>
                <w:color w:val="auto"/>
                <w:szCs w:val="21"/>
                <w:lang w:val="en-US" w:eastAsia="zh-CN"/>
              </w:rPr>
              <w:t>若</w:t>
            </w:r>
            <w:r>
              <w:rPr>
                <w:rFonts w:hint="eastAsia" w:ascii="宋体" w:hAnsi="宋体" w:cs="宋体"/>
                <w:color w:val="auto"/>
                <w:szCs w:val="21"/>
              </w:rPr>
              <w:t>某一环节中达不到招标或合同约定要求，采购人不予签字认可，中标方须对不符合部分采取措施进行改进，直至符合要求。</w:t>
            </w:r>
          </w:p>
          <w:p w14:paraId="35C1BFC8">
            <w:pPr>
              <w:spacing w:line="360" w:lineRule="auto"/>
              <w:rPr>
                <w:rFonts w:hint="default" w:ascii="宋体" w:hAnsi="宋体" w:eastAsia="宋体" w:cs="宋体"/>
                <w:color w:val="auto"/>
                <w:szCs w:val="21"/>
                <w:lang w:val="en-US" w:eastAsia="zh-CN"/>
              </w:rPr>
            </w:pPr>
            <w:r>
              <w:rPr>
                <w:rFonts w:hint="eastAsia" w:ascii="宋体" w:hAnsi="宋体" w:cs="宋体"/>
                <w:color w:val="auto"/>
                <w:szCs w:val="21"/>
              </w:rPr>
              <w:t>（1）</w:t>
            </w:r>
            <w:r>
              <w:rPr>
                <w:rFonts w:hint="eastAsia" w:ascii="宋体" w:hAnsi="宋体" w:cs="宋体"/>
                <w:color w:val="auto"/>
                <w:szCs w:val="21"/>
                <w:lang w:val="en-US" w:eastAsia="zh-CN"/>
              </w:rPr>
              <w:t>货物交付</w:t>
            </w:r>
          </w:p>
          <w:p w14:paraId="5BEB91E0">
            <w:pPr>
              <w:spacing w:line="360" w:lineRule="auto"/>
              <w:rPr>
                <w:rFonts w:hint="eastAsia" w:ascii="宋体" w:hAnsi="宋体" w:cs="宋体"/>
                <w:color w:val="auto"/>
                <w:szCs w:val="21"/>
              </w:rPr>
            </w:pPr>
            <w:r>
              <w:rPr>
                <w:rFonts w:hint="eastAsia" w:ascii="宋体" w:hAnsi="宋体" w:cs="宋体"/>
                <w:color w:val="auto"/>
                <w:szCs w:val="21"/>
              </w:rPr>
              <w:t>主要是合同双方依据项目合同对全部设备型号、规格、数量</w:t>
            </w:r>
            <w:r>
              <w:rPr>
                <w:rFonts w:hint="eastAsia" w:ascii="宋体" w:hAnsi="宋体" w:cs="宋体"/>
                <w:color w:val="auto"/>
                <w:szCs w:val="21"/>
                <w:lang w:eastAsia="zh-CN"/>
              </w:rPr>
              <w:t>、</w:t>
            </w:r>
            <w:r>
              <w:rPr>
                <w:rFonts w:hint="eastAsia" w:ascii="宋体" w:hAnsi="宋体" w:cs="宋体"/>
                <w:color w:val="auto"/>
                <w:szCs w:val="21"/>
                <w:lang w:val="en-US" w:eastAsia="zh-CN"/>
              </w:rPr>
              <w:t>指标、功能</w:t>
            </w:r>
            <w:r>
              <w:rPr>
                <w:rFonts w:hint="eastAsia" w:ascii="宋体" w:hAnsi="宋体" w:cs="宋体"/>
                <w:color w:val="auto"/>
                <w:szCs w:val="21"/>
              </w:rPr>
              <w:t>的确认，并将货物交付用户使用。</w:t>
            </w:r>
          </w:p>
          <w:p w14:paraId="00BC00EE">
            <w:pPr>
              <w:spacing w:line="360" w:lineRule="auto"/>
              <w:rPr>
                <w:rFonts w:hint="eastAsia" w:ascii="宋体" w:hAnsi="宋体" w:cs="宋体"/>
                <w:color w:val="auto"/>
                <w:szCs w:val="21"/>
              </w:rPr>
            </w:pPr>
            <w:r>
              <w:rPr>
                <w:rFonts w:hint="eastAsia" w:ascii="宋体" w:hAnsi="宋体" w:cs="宋体"/>
                <w:color w:val="auto"/>
                <w:szCs w:val="21"/>
              </w:rPr>
              <w:t>本项目设备运输到用户指定地点后，供应商应对照合同要求，对货物清单做出全面检查，以确保与本合同约定的数量、型号等一致。</w:t>
            </w:r>
            <w:r>
              <w:rPr>
                <w:rFonts w:hint="eastAsia" w:ascii="宋体" w:hAnsi="宋体" w:cs="宋体"/>
                <w:color w:val="auto"/>
                <w:szCs w:val="21"/>
                <w:lang w:val="en-US" w:eastAsia="zh-CN"/>
              </w:rPr>
              <w:t>交付时</w:t>
            </w:r>
            <w:r>
              <w:rPr>
                <w:rFonts w:hint="eastAsia" w:ascii="宋体" w:hAnsi="宋体" w:cs="宋体"/>
                <w:color w:val="auto"/>
                <w:szCs w:val="21"/>
              </w:rPr>
              <w:t>，检验的结果应随货物一起交付用户。</w:t>
            </w:r>
          </w:p>
          <w:p w14:paraId="459971C9">
            <w:pPr>
              <w:spacing w:line="360" w:lineRule="auto"/>
              <w:rPr>
                <w:rFonts w:hint="eastAsia" w:ascii="宋体" w:hAnsi="宋体" w:cs="宋体"/>
                <w:color w:val="auto"/>
                <w:szCs w:val="21"/>
              </w:rPr>
            </w:pPr>
            <w:r>
              <w:rPr>
                <w:rFonts w:hint="eastAsia" w:ascii="宋体" w:hAnsi="宋体" w:cs="宋体"/>
                <w:color w:val="auto"/>
                <w:szCs w:val="21"/>
                <w:lang w:val="en-US" w:eastAsia="zh-CN"/>
              </w:rPr>
              <w:t>交付</w:t>
            </w:r>
            <w:r>
              <w:rPr>
                <w:rFonts w:hint="eastAsia" w:ascii="宋体" w:hAnsi="宋体" w:cs="宋体"/>
                <w:color w:val="auto"/>
                <w:szCs w:val="21"/>
              </w:rPr>
              <w:t>过程商定的相关事宜以备忘录记载并作为</w:t>
            </w:r>
            <w:r>
              <w:rPr>
                <w:rFonts w:hint="eastAsia" w:ascii="宋体" w:hAnsi="宋体" w:cs="宋体"/>
                <w:color w:val="auto"/>
                <w:szCs w:val="21"/>
                <w:lang w:val="en-US" w:eastAsia="zh-CN"/>
              </w:rPr>
              <w:t>合同</w:t>
            </w:r>
            <w:r>
              <w:rPr>
                <w:rFonts w:hint="eastAsia" w:ascii="宋体" w:hAnsi="宋体" w:cs="宋体"/>
                <w:color w:val="auto"/>
                <w:szCs w:val="21"/>
              </w:rPr>
              <w:t>验收依据的组成部分。</w:t>
            </w:r>
          </w:p>
          <w:p w14:paraId="68FE0ADF">
            <w:pPr>
              <w:spacing w:line="360" w:lineRule="auto"/>
              <w:rPr>
                <w:rFonts w:hint="eastAsia" w:ascii="宋体" w:hAnsi="宋体" w:cs="宋体"/>
                <w:color w:val="auto"/>
                <w:szCs w:val="21"/>
              </w:rPr>
            </w:pPr>
            <w:r>
              <w:rPr>
                <w:rFonts w:hint="eastAsia" w:ascii="宋体" w:hAnsi="宋体" w:cs="宋体"/>
                <w:color w:val="auto"/>
                <w:szCs w:val="21"/>
              </w:rPr>
              <w:t>（2）</w:t>
            </w:r>
            <w:r>
              <w:rPr>
                <w:rFonts w:hint="eastAsia" w:ascii="宋体" w:hAnsi="宋体" w:cs="宋体"/>
                <w:color w:val="auto"/>
                <w:szCs w:val="21"/>
                <w:lang w:val="en-US" w:eastAsia="zh-CN"/>
              </w:rPr>
              <w:t>合同</w:t>
            </w:r>
            <w:r>
              <w:rPr>
                <w:rFonts w:hint="eastAsia" w:ascii="宋体" w:hAnsi="宋体" w:cs="宋体"/>
                <w:color w:val="auto"/>
                <w:szCs w:val="21"/>
              </w:rPr>
              <w:t>验收</w:t>
            </w:r>
          </w:p>
          <w:p w14:paraId="3039A42C">
            <w:pPr>
              <w:spacing w:line="360" w:lineRule="auto"/>
              <w:rPr>
                <w:rFonts w:hint="eastAsia" w:ascii="宋体" w:hAnsi="宋体" w:cs="宋体"/>
                <w:color w:val="auto"/>
                <w:szCs w:val="21"/>
              </w:rPr>
            </w:pPr>
            <w:r>
              <w:rPr>
                <w:rFonts w:hint="eastAsia" w:ascii="宋体" w:hAnsi="宋体" w:cs="宋体"/>
                <w:color w:val="auto"/>
                <w:szCs w:val="21"/>
              </w:rPr>
              <w:t>货物交付用户使用后，进行不少于1个月的试运行，系统运行稳定可靠后再进行</w:t>
            </w:r>
            <w:r>
              <w:rPr>
                <w:rFonts w:hint="eastAsia" w:ascii="宋体" w:hAnsi="宋体" w:cs="宋体"/>
                <w:color w:val="auto"/>
                <w:szCs w:val="21"/>
                <w:lang w:val="en-US" w:eastAsia="zh-CN"/>
              </w:rPr>
              <w:t>合同</w:t>
            </w:r>
            <w:r>
              <w:rPr>
                <w:rFonts w:hint="eastAsia" w:ascii="宋体" w:hAnsi="宋体" w:cs="宋体"/>
                <w:color w:val="auto"/>
                <w:szCs w:val="21"/>
              </w:rPr>
              <w:t>验收。双方协商组织</w:t>
            </w:r>
            <w:r>
              <w:rPr>
                <w:rFonts w:hint="eastAsia" w:ascii="宋体" w:hAnsi="宋体" w:cs="宋体"/>
                <w:color w:val="auto"/>
                <w:szCs w:val="21"/>
                <w:lang w:val="en-US" w:eastAsia="zh-CN"/>
              </w:rPr>
              <w:t>验收组</w:t>
            </w:r>
            <w:r>
              <w:rPr>
                <w:rFonts w:hint="eastAsia" w:ascii="宋体" w:hAnsi="宋体" w:cs="宋体"/>
                <w:color w:val="auto"/>
                <w:szCs w:val="21"/>
              </w:rPr>
              <w:t>，对项目的全部内容包括系统功能、操作使用等进行全面详细验收。</w:t>
            </w:r>
            <w:r>
              <w:rPr>
                <w:rFonts w:hint="eastAsia" w:ascii="宋体" w:hAnsi="宋体" w:cs="宋体"/>
                <w:color w:val="auto"/>
                <w:szCs w:val="21"/>
                <w:lang w:val="en-US" w:eastAsia="zh-CN"/>
              </w:rPr>
              <w:t>合同</w:t>
            </w:r>
            <w:r>
              <w:rPr>
                <w:rFonts w:hint="eastAsia" w:ascii="宋体" w:hAnsi="宋体" w:cs="宋体"/>
                <w:color w:val="auto"/>
                <w:szCs w:val="21"/>
              </w:rPr>
              <w:t>验收时，供应商需提供招</w:t>
            </w:r>
            <w:r>
              <w:rPr>
                <w:rFonts w:hint="eastAsia" w:ascii="宋体" w:hAnsi="宋体" w:cs="宋体"/>
                <w:color w:val="auto"/>
                <w:szCs w:val="21"/>
                <w:lang w:eastAsia="zh-CN"/>
              </w:rPr>
              <w:t>响应文件</w:t>
            </w:r>
            <w:r>
              <w:rPr>
                <w:rFonts w:hint="eastAsia" w:ascii="宋体" w:hAnsi="宋体" w:cs="宋体"/>
                <w:color w:val="auto"/>
                <w:szCs w:val="21"/>
              </w:rPr>
              <w:t>、合同、培训手册等资料作为最终验收资料。</w:t>
            </w:r>
          </w:p>
        </w:tc>
      </w:tr>
      <w:tr w14:paraId="0F37AEE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099" w:type="dxa"/>
            <w:gridSpan w:val="5"/>
            <w:tcBorders>
              <w:top w:val="single" w:color="auto" w:sz="4" w:space="0"/>
              <w:left w:val="single" w:color="auto" w:sz="4" w:space="0"/>
              <w:bottom w:val="single" w:color="auto" w:sz="4" w:space="0"/>
              <w:right w:val="single" w:color="auto" w:sz="4" w:space="0"/>
            </w:tcBorders>
            <w:noWrap w:val="0"/>
            <w:vAlign w:val="center"/>
          </w:tcPr>
          <w:p w14:paraId="555FCA87">
            <w:pPr>
              <w:spacing w:line="360" w:lineRule="auto"/>
              <w:jc w:val="center"/>
              <w:rPr>
                <w:rFonts w:hint="default" w:ascii="宋体" w:hAnsi="宋体" w:eastAsia="宋体" w:cs="宋体"/>
                <w:color w:val="auto"/>
                <w:szCs w:val="21"/>
                <w:lang w:val="en-US" w:eastAsia="zh-CN"/>
              </w:rPr>
            </w:pPr>
            <w:r>
              <w:rPr>
                <w:rFonts w:hint="eastAsia" w:ascii="宋体" w:hAnsi="宋体" w:eastAsia="宋体" w:cs="宋体"/>
                <w:color w:val="auto"/>
                <w:szCs w:val="21"/>
                <w:lang w:val="en-US" w:eastAsia="zh-CN"/>
              </w:rPr>
              <w:t>其他要求</w:t>
            </w:r>
          </w:p>
        </w:tc>
        <w:tc>
          <w:tcPr>
            <w:tcW w:w="7540" w:type="dxa"/>
            <w:tcBorders>
              <w:top w:val="single" w:color="auto" w:sz="4" w:space="0"/>
              <w:left w:val="single" w:color="auto" w:sz="4" w:space="0"/>
              <w:bottom w:val="single" w:color="auto" w:sz="4" w:space="0"/>
              <w:right w:val="single" w:color="auto" w:sz="4" w:space="0"/>
            </w:tcBorders>
            <w:noWrap w:val="0"/>
            <w:vAlign w:val="center"/>
          </w:tcPr>
          <w:p w14:paraId="76034562">
            <w:pPr>
              <w:spacing w:line="360" w:lineRule="auto"/>
              <w:rPr>
                <w:rFonts w:hint="eastAsia" w:ascii="宋体" w:hAnsi="宋体" w:eastAsia="宋体" w:cs="宋体"/>
                <w:color w:val="auto"/>
                <w:szCs w:val="21"/>
              </w:rPr>
            </w:pPr>
            <w:r>
              <w:rPr>
                <w:rFonts w:hint="eastAsia" w:ascii="宋体" w:hAnsi="宋体" w:eastAsia="宋体" w:cs="宋体"/>
                <w:color w:val="auto"/>
                <w:szCs w:val="21"/>
              </w:rPr>
              <w:t>1.本项目为总包干价，所有设备、系统（包括硬件、软件等）的安装调试，至项目验收合格交付使用前所发生的所有费用均由成交供应商负责。</w:t>
            </w:r>
          </w:p>
          <w:p w14:paraId="1EEC2386">
            <w:pPr>
              <w:spacing w:line="360" w:lineRule="auto"/>
              <w:rPr>
                <w:rFonts w:hint="eastAsia" w:ascii="宋体" w:hAnsi="宋体" w:eastAsia="宋体" w:cs="宋体"/>
                <w:color w:val="auto"/>
                <w:szCs w:val="21"/>
              </w:rPr>
            </w:pPr>
            <w:r>
              <w:rPr>
                <w:rFonts w:hint="eastAsia" w:ascii="宋体" w:hAnsi="宋体" w:eastAsia="宋体" w:cs="宋体"/>
                <w:color w:val="auto"/>
                <w:szCs w:val="21"/>
              </w:rPr>
              <w:t>2.供应商投标时必须提供详细的设计和安装方案（设备型号、主要技术指标和功能的详细描述，系统结构框图、效果图等）。</w:t>
            </w:r>
          </w:p>
          <w:p w14:paraId="6583B9E4">
            <w:pPr>
              <w:spacing w:line="360" w:lineRule="auto"/>
              <w:rPr>
                <w:rFonts w:hint="eastAsia" w:ascii="宋体" w:hAnsi="宋体" w:eastAsia="宋体" w:cs="宋体"/>
                <w:color w:val="auto"/>
                <w:szCs w:val="21"/>
              </w:rPr>
            </w:pPr>
            <w:r>
              <w:rPr>
                <w:rFonts w:hint="eastAsia" w:ascii="宋体" w:hAnsi="宋体" w:eastAsia="宋体" w:cs="宋体"/>
                <w:color w:val="auto"/>
                <w:szCs w:val="21"/>
              </w:rPr>
              <w:t>3.供应商投标时必须提供具体供货时间以及生产、调试、安装、验收时间安排表。</w:t>
            </w:r>
          </w:p>
          <w:p w14:paraId="7E5FFC30">
            <w:pPr>
              <w:spacing w:line="360" w:lineRule="auto"/>
              <w:rPr>
                <w:rFonts w:hint="eastAsia" w:ascii="宋体" w:hAnsi="宋体" w:eastAsia="宋体" w:cs="宋体"/>
                <w:color w:val="auto"/>
                <w:szCs w:val="21"/>
              </w:rPr>
            </w:pPr>
            <w:r>
              <w:rPr>
                <w:rFonts w:hint="eastAsia" w:ascii="宋体" w:hAnsi="宋体" w:eastAsia="宋体" w:cs="宋体"/>
                <w:color w:val="auto"/>
                <w:szCs w:val="21"/>
              </w:rPr>
              <w:t>4.成交供应商必须负责项目所有设备的安装、校准和调试。</w:t>
            </w:r>
          </w:p>
          <w:p w14:paraId="0A7A6121">
            <w:pPr>
              <w:spacing w:line="360" w:lineRule="auto"/>
              <w:rPr>
                <w:rFonts w:hint="eastAsia" w:ascii="宋体" w:hAnsi="宋体" w:eastAsia="宋体" w:cs="宋体"/>
                <w:color w:val="auto"/>
                <w:szCs w:val="21"/>
              </w:rPr>
            </w:pPr>
            <w:r>
              <w:rPr>
                <w:rFonts w:hint="eastAsia" w:ascii="宋体" w:hAnsi="宋体" w:eastAsia="宋体" w:cs="宋体"/>
                <w:color w:val="auto"/>
                <w:szCs w:val="21"/>
              </w:rPr>
              <w:t>5.供应商投标时必须明确自项目验收合格正式交付使用后免费保修期的期限，保修期内，凡因成交供应商的设备质量原因而造成的故障，成交供应商应及时予以排除，并承担由此所发生的全部费用。</w:t>
            </w:r>
          </w:p>
          <w:p w14:paraId="23D13948">
            <w:pPr>
              <w:spacing w:line="360" w:lineRule="auto"/>
              <w:rPr>
                <w:rFonts w:hint="eastAsia" w:ascii="宋体" w:hAnsi="宋体" w:eastAsia="宋体" w:cs="宋体"/>
                <w:color w:val="auto"/>
                <w:szCs w:val="21"/>
              </w:rPr>
            </w:pPr>
            <w:r>
              <w:rPr>
                <w:rFonts w:hint="eastAsia" w:ascii="宋体" w:hAnsi="宋体" w:eastAsia="宋体" w:cs="宋体"/>
                <w:color w:val="auto"/>
                <w:szCs w:val="21"/>
              </w:rPr>
              <w:t>6.保修期过后，成交供应商应对其提供的设备、系统（包括硬件、软件等）提供技术支持。</w:t>
            </w:r>
          </w:p>
          <w:p w14:paraId="5717D0CA">
            <w:pPr>
              <w:spacing w:line="360" w:lineRule="auto"/>
              <w:rPr>
                <w:rFonts w:hint="eastAsia" w:ascii="宋体" w:hAnsi="宋体" w:eastAsia="宋体" w:cs="宋体"/>
                <w:color w:val="auto"/>
                <w:szCs w:val="21"/>
              </w:rPr>
            </w:pPr>
            <w:r>
              <w:rPr>
                <w:rFonts w:hint="eastAsia" w:ascii="宋体" w:hAnsi="宋体" w:eastAsia="宋体" w:cs="宋体"/>
                <w:color w:val="auto"/>
                <w:szCs w:val="21"/>
              </w:rPr>
              <w:t>7.成交供应商负责制定培训计划（包括培训方式、培训内容、培训时间、培训资料等），免费为采购人培训技术人员。</w:t>
            </w:r>
          </w:p>
          <w:p w14:paraId="3F3BB16F">
            <w:pPr>
              <w:spacing w:line="360" w:lineRule="auto"/>
              <w:rPr>
                <w:rFonts w:hint="eastAsia" w:ascii="宋体" w:hAnsi="宋体" w:eastAsia="宋体" w:cs="宋体"/>
                <w:color w:val="auto"/>
                <w:szCs w:val="21"/>
              </w:rPr>
            </w:pPr>
            <w:r>
              <w:rPr>
                <w:rFonts w:hint="eastAsia" w:ascii="宋体" w:hAnsi="宋体" w:eastAsia="宋体" w:cs="宋体"/>
                <w:color w:val="auto"/>
                <w:szCs w:val="21"/>
              </w:rPr>
              <w:t>8.成交供应商必须向采购人提供所有设备、系统（包括硬件、软件等）完整的技术资料，包括技术说明书、操作说明书等。</w:t>
            </w:r>
          </w:p>
          <w:p w14:paraId="69AF90D4">
            <w:pPr>
              <w:spacing w:line="360" w:lineRule="auto"/>
              <w:rPr>
                <w:rFonts w:hint="eastAsia" w:ascii="宋体" w:hAnsi="宋体" w:eastAsia="宋体" w:cs="宋体"/>
                <w:color w:val="auto"/>
                <w:szCs w:val="21"/>
              </w:rPr>
            </w:pPr>
            <w:r>
              <w:rPr>
                <w:rFonts w:hint="eastAsia" w:ascii="宋体" w:hAnsi="宋体" w:eastAsia="宋体" w:cs="宋体"/>
                <w:color w:val="auto"/>
                <w:szCs w:val="21"/>
              </w:rPr>
              <w:t>9.成交供应商必须保证采购人在使用设备、服务时不受第三方提出侵犯其专利权、商标权和设计权的指控。一旦出现任何第三方提出侵权指控，成交供应商必须与第三方交涉，并承担可能发生的一切责任和费用。</w:t>
            </w:r>
          </w:p>
        </w:tc>
      </w:tr>
      <w:tr w14:paraId="59628B6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9639" w:type="dxa"/>
            <w:gridSpan w:val="6"/>
            <w:tcBorders>
              <w:top w:val="single" w:color="auto" w:sz="4" w:space="0"/>
              <w:left w:val="single" w:color="auto" w:sz="4" w:space="0"/>
              <w:bottom w:val="single" w:color="auto" w:sz="4" w:space="0"/>
              <w:right w:val="single" w:color="auto" w:sz="4" w:space="0"/>
            </w:tcBorders>
            <w:noWrap w:val="0"/>
            <w:vAlign w:val="top"/>
          </w:tcPr>
          <w:p w14:paraId="79843BC5">
            <w:pPr>
              <w:spacing w:line="360" w:lineRule="auto"/>
              <w:rPr>
                <w:rFonts w:ascii="宋体" w:hAnsi="宋体"/>
                <w:color w:val="auto"/>
                <w:szCs w:val="21"/>
              </w:rPr>
            </w:pPr>
            <w:r>
              <w:rPr>
                <w:rFonts w:hint="eastAsia" w:ascii="宋体" w:hAnsi="宋体"/>
                <w:b/>
                <w:color w:val="auto"/>
                <w:szCs w:val="21"/>
              </w:rPr>
              <w:t>▲</w:t>
            </w:r>
            <w:r>
              <w:rPr>
                <w:rFonts w:hint="eastAsia" w:ascii="宋体" w:hAnsi="宋体"/>
                <w:b/>
                <w:color w:val="auto"/>
                <w:szCs w:val="21"/>
                <w:lang w:val="en-US" w:eastAsia="zh-CN"/>
              </w:rPr>
              <w:t>二</w:t>
            </w:r>
            <w:r>
              <w:rPr>
                <w:rFonts w:hint="eastAsia" w:ascii="宋体" w:hAnsi="宋体"/>
                <w:b/>
                <w:color w:val="auto"/>
                <w:szCs w:val="21"/>
              </w:rPr>
              <w:t>、核心产品</w:t>
            </w:r>
          </w:p>
        </w:tc>
      </w:tr>
      <w:tr w14:paraId="3FEF794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9639" w:type="dxa"/>
            <w:gridSpan w:val="6"/>
            <w:tcBorders>
              <w:top w:val="single" w:color="auto" w:sz="4" w:space="0"/>
              <w:left w:val="single" w:color="auto" w:sz="4" w:space="0"/>
              <w:bottom w:val="single" w:color="auto" w:sz="4" w:space="0"/>
              <w:right w:val="single" w:color="auto" w:sz="4" w:space="0"/>
            </w:tcBorders>
            <w:noWrap w:val="0"/>
            <w:vAlign w:val="top"/>
          </w:tcPr>
          <w:p w14:paraId="3A0874DE">
            <w:pPr>
              <w:spacing w:line="360" w:lineRule="auto"/>
              <w:rPr>
                <w:rFonts w:hint="eastAsia" w:ascii="宋体" w:hAnsi="宋体"/>
                <w:b/>
                <w:color w:val="auto"/>
                <w:szCs w:val="21"/>
              </w:rPr>
            </w:pPr>
            <w:r>
              <w:rPr>
                <w:rFonts w:hint="eastAsia" w:ascii="宋体" w:hAnsi="宋体"/>
                <w:b/>
                <w:color w:val="auto"/>
                <w:szCs w:val="21"/>
              </w:rPr>
              <w:t>本标的核心产品为</w:t>
            </w:r>
            <w:r>
              <w:rPr>
                <w:rFonts w:hint="eastAsia" w:ascii="宋体" w:hAnsi="宋体" w:eastAsia="宋体" w:cs="宋体"/>
                <w:b/>
                <w:bCs/>
                <w:color w:val="auto"/>
                <w:highlight w:val="none"/>
                <w:u w:val="single"/>
              </w:rPr>
              <w:t>考试保障监测、反制设备</w:t>
            </w:r>
            <w:r>
              <w:rPr>
                <w:rFonts w:hint="eastAsia" w:ascii="宋体" w:hAnsi="宋体"/>
                <w:b/>
                <w:color w:val="auto"/>
                <w:szCs w:val="21"/>
              </w:rPr>
              <w:t>。</w:t>
            </w:r>
          </w:p>
        </w:tc>
      </w:tr>
      <w:tr w14:paraId="5E5381A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9639" w:type="dxa"/>
            <w:gridSpan w:val="6"/>
            <w:tcBorders>
              <w:top w:val="single" w:color="auto" w:sz="4" w:space="0"/>
              <w:left w:val="single" w:color="auto" w:sz="4" w:space="0"/>
              <w:bottom w:val="single" w:color="auto" w:sz="4" w:space="0"/>
              <w:right w:val="single" w:color="auto" w:sz="4" w:space="0"/>
            </w:tcBorders>
            <w:noWrap w:val="0"/>
            <w:vAlign w:val="center"/>
          </w:tcPr>
          <w:p w14:paraId="435A14DF">
            <w:pPr>
              <w:spacing w:line="360" w:lineRule="auto"/>
              <w:rPr>
                <w:rFonts w:hint="eastAsia" w:ascii="宋体" w:hAnsi="宋体"/>
                <w:b/>
                <w:color w:val="auto"/>
                <w:szCs w:val="21"/>
              </w:rPr>
            </w:pPr>
            <w:r>
              <w:rPr>
                <w:rFonts w:hint="eastAsia" w:ascii="宋体" w:hAnsi="宋体"/>
                <w:b/>
                <w:color w:val="auto"/>
                <w:szCs w:val="21"/>
                <w:lang w:val="en-US" w:eastAsia="zh-CN"/>
              </w:rPr>
              <w:t>三</w:t>
            </w:r>
            <w:r>
              <w:rPr>
                <w:rFonts w:hint="eastAsia" w:ascii="宋体" w:hAnsi="宋体"/>
                <w:b/>
                <w:color w:val="auto"/>
                <w:szCs w:val="21"/>
              </w:rPr>
              <w:t>、进口产品说明</w:t>
            </w:r>
          </w:p>
        </w:tc>
      </w:tr>
      <w:tr w14:paraId="1752DCD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099" w:type="dxa"/>
            <w:gridSpan w:val="5"/>
            <w:tcBorders>
              <w:top w:val="single" w:color="auto" w:sz="4" w:space="0"/>
              <w:left w:val="single" w:color="auto" w:sz="4" w:space="0"/>
              <w:bottom w:val="single" w:color="auto" w:sz="4" w:space="0"/>
              <w:right w:val="single" w:color="auto" w:sz="4" w:space="0"/>
            </w:tcBorders>
            <w:noWrap w:val="0"/>
            <w:vAlign w:val="center"/>
          </w:tcPr>
          <w:p w14:paraId="0C883DEC">
            <w:pPr>
              <w:spacing w:line="360" w:lineRule="auto"/>
              <w:rPr>
                <w:rFonts w:ascii="宋体" w:hAnsi="宋体"/>
                <w:color w:val="auto"/>
                <w:szCs w:val="21"/>
              </w:rPr>
            </w:pPr>
            <w:r>
              <w:rPr>
                <w:rFonts w:hint="eastAsia" w:ascii="宋体" w:hAnsi="宋体"/>
                <w:color w:val="auto"/>
                <w:szCs w:val="21"/>
              </w:rPr>
              <w:t>进口产品说明</w:t>
            </w:r>
          </w:p>
        </w:tc>
        <w:tc>
          <w:tcPr>
            <w:tcW w:w="7540" w:type="dxa"/>
            <w:tcBorders>
              <w:top w:val="single" w:color="auto" w:sz="4" w:space="0"/>
              <w:left w:val="single" w:color="auto" w:sz="4" w:space="0"/>
              <w:bottom w:val="single" w:color="auto" w:sz="4" w:space="0"/>
              <w:right w:val="single" w:color="auto" w:sz="4" w:space="0"/>
            </w:tcBorders>
            <w:noWrap w:val="0"/>
            <w:vAlign w:val="center"/>
          </w:tcPr>
          <w:p w14:paraId="609661D9">
            <w:pPr>
              <w:spacing w:line="360" w:lineRule="auto"/>
              <w:rPr>
                <w:rFonts w:hint="eastAsia" w:ascii="宋体" w:hAnsi="宋体"/>
                <w:color w:val="auto"/>
                <w:szCs w:val="21"/>
              </w:rPr>
            </w:pPr>
            <w:r>
              <w:rPr>
                <w:rFonts w:hint="eastAsia" w:ascii="宋体" w:hAnsi="宋体"/>
                <w:color w:val="auto"/>
                <w:szCs w:val="21"/>
              </w:rPr>
              <w:t>□本表的第</w:t>
            </w:r>
            <w:r>
              <w:rPr>
                <w:rFonts w:hint="eastAsia" w:ascii="宋体" w:hAnsi="宋体"/>
                <w:color w:val="auto"/>
                <w:szCs w:val="21"/>
                <w:u w:val="single"/>
              </w:rPr>
              <w:t xml:space="preserve">  </w:t>
            </w:r>
            <w:r>
              <w:rPr>
                <w:rFonts w:hint="eastAsia" w:ascii="宋体" w:hAnsi="宋体"/>
                <w:color w:val="auto"/>
                <w:szCs w:val="21"/>
              </w:rPr>
              <w:t>项货物已按规定办妥进口产品采购审核手续，竞标产品可选用进口产品；但如选用进口产品时必须为全套原装进口产品（即通过中国海关报关验放进入中国境内且产自关境外的产品），同时供应商必须负责办理进口产品所有相关手续并承担所有费用。优先采购向我国企业转让技术、与我国企业签订消化吸收再创新方案的供应商的进口产品。其他货物不接受进口产品参与竞标，</w:t>
            </w:r>
            <w:r>
              <w:rPr>
                <w:rFonts w:hint="eastAsia" w:ascii="宋体" w:hAnsi="宋体"/>
                <w:b/>
                <w:color w:val="auto"/>
                <w:szCs w:val="21"/>
              </w:rPr>
              <w:t>否则其响应文件作无效处理。</w:t>
            </w:r>
          </w:p>
          <w:p w14:paraId="0F8073CF">
            <w:pPr>
              <w:spacing w:line="360" w:lineRule="auto"/>
              <w:rPr>
                <w:rFonts w:ascii="宋体" w:hAnsi="宋体"/>
                <w:color w:val="auto"/>
                <w:szCs w:val="21"/>
              </w:rPr>
            </w:pPr>
            <w:r>
              <w:rPr>
                <w:rFonts w:hint="eastAsia" w:ascii="宋体" w:hAnsi="宋体"/>
                <w:color w:val="auto"/>
                <w:szCs w:val="21"/>
              </w:rPr>
              <w:t>☑本分标货物不接受进口产品（即通过中国海关报关验放进入中国境内且产自关境外的产品）参与竞标，</w:t>
            </w:r>
            <w:r>
              <w:rPr>
                <w:rFonts w:hint="eastAsia" w:ascii="宋体" w:hAnsi="宋体"/>
                <w:b/>
                <w:color w:val="auto"/>
                <w:szCs w:val="21"/>
              </w:rPr>
              <w:t>如有进口产品参与竞标的，其响应文件作无效处理</w:t>
            </w:r>
            <w:r>
              <w:rPr>
                <w:rFonts w:hint="eastAsia" w:ascii="宋体" w:hAnsi="宋体"/>
                <w:color w:val="auto"/>
                <w:szCs w:val="21"/>
              </w:rPr>
              <w:t>。□本分标货物不接受进口产品（即通过中国海关报关验放进入中国境内且产自关境外的产品）参与竞标，</w:t>
            </w:r>
            <w:r>
              <w:rPr>
                <w:rFonts w:hint="eastAsia" w:ascii="宋体" w:hAnsi="宋体"/>
                <w:b/>
                <w:color w:val="auto"/>
                <w:szCs w:val="21"/>
              </w:rPr>
              <w:t>如有进口产品参与竞标的作无效标处理</w:t>
            </w:r>
            <w:r>
              <w:rPr>
                <w:rFonts w:hint="eastAsia" w:ascii="宋体" w:hAnsi="宋体"/>
                <w:color w:val="auto"/>
                <w:szCs w:val="21"/>
              </w:rPr>
              <w:t>。</w:t>
            </w:r>
          </w:p>
        </w:tc>
      </w:tr>
    </w:tbl>
    <w:p w14:paraId="32CFC002">
      <w:pPr>
        <w:spacing w:line="428" w:lineRule="exact"/>
        <w:ind w:left="119"/>
        <w:rPr>
          <w:rFonts w:hint="eastAsia" w:ascii="黑体" w:hAnsi="黑体" w:eastAsia="黑体" w:cs="黑体"/>
          <w:color w:val="auto"/>
          <w:sz w:val="32"/>
          <w:szCs w:val="32"/>
          <w:highlight w:val="none"/>
        </w:rPr>
      </w:pPr>
    </w:p>
    <w:p w14:paraId="008E9EE4">
      <w:pPr>
        <w:spacing w:line="428" w:lineRule="exact"/>
        <w:ind w:left="119"/>
        <w:rPr>
          <w:rFonts w:hint="eastAsia" w:ascii="黑体" w:hAnsi="黑体" w:eastAsia="黑体" w:cs="黑体"/>
          <w:color w:val="auto"/>
          <w:sz w:val="32"/>
          <w:szCs w:val="32"/>
          <w:highlight w:val="none"/>
        </w:rPr>
      </w:pPr>
    </w:p>
    <w:p w14:paraId="0AA0AAEB">
      <w:pPr>
        <w:spacing w:line="428" w:lineRule="exact"/>
        <w:ind w:left="119"/>
        <w:rPr>
          <w:rFonts w:hint="eastAsia" w:ascii="黑体" w:hAnsi="黑体" w:eastAsia="黑体" w:cs="黑体"/>
          <w:color w:val="auto"/>
          <w:sz w:val="32"/>
          <w:szCs w:val="32"/>
          <w:highlight w:val="none"/>
        </w:rPr>
      </w:pPr>
    </w:p>
    <w:p w14:paraId="026F12A4">
      <w:pPr>
        <w:spacing w:line="276" w:lineRule="auto"/>
        <w:ind w:firstLine="422" w:firstLineChars="200"/>
        <w:rPr>
          <w:rFonts w:hint="eastAsia" w:ascii="Calibri" w:hAnsi="Calibri"/>
          <w:b/>
          <w:bCs/>
          <w:color w:val="auto"/>
          <w:szCs w:val="21"/>
          <w:highlight w:val="none"/>
          <w:lang w:eastAsia="zh-CN"/>
        </w:rPr>
      </w:pPr>
      <w:r>
        <w:rPr>
          <w:rFonts w:hint="eastAsia" w:ascii="Calibri" w:hAnsi="Calibri"/>
          <w:b/>
          <w:bCs/>
          <w:color w:val="auto"/>
          <w:szCs w:val="21"/>
          <w:highlight w:val="none"/>
        </w:rPr>
        <w:br w:type="page"/>
      </w:r>
      <w:r>
        <w:rPr>
          <w:rFonts w:hint="eastAsia" w:ascii="Calibri" w:hAnsi="Calibri"/>
          <w:b/>
          <w:bCs/>
          <w:color w:val="auto"/>
          <w:szCs w:val="21"/>
          <w:highlight w:val="none"/>
        </w:rPr>
        <w:t>标项</w:t>
      </w:r>
      <w:r>
        <w:rPr>
          <w:rFonts w:hint="eastAsia" w:ascii="Calibri" w:hAnsi="Calibri"/>
          <w:b/>
          <w:bCs/>
          <w:color w:val="auto"/>
          <w:szCs w:val="21"/>
          <w:highlight w:val="none"/>
          <w:lang w:val="en-US" w:eastAsia="zh-CN"/>
        </w:rPr>
        <w:t>二</w:t>
      </w:r>
      <w:r>
        <w:rPr>
          <w:rFonts w:hint="eastAsia" w:ascii="Calibri" w:hAnsi="Calibri"/>
          <w:b/>
          <w:bCs/>
          <w:color w:val="auto"/>
          <w:szCs w:val="21"/>
          <w:highlight w:val="none"/>
          <w:lang w:eastAsia="zh-CN"/>
        </w:rPr>
        <w:t>：</w:t>
      </w:r>
    </w:p>
    <w:p w14:paraId="4F733800">
      <w:pPr>
        <w:spacing w:line="276" w:lineRule="auto"/>
        <w:ind w:firstLine="440" w:firstLineChars="200"/>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val="en-US" w:eastAsia="zh-CN"/>
        </w:rPr>
        <w:t>标项名称：航空GNSS干扰实时预警系统</w:t>
      </w:r>
    </w:p>
    <w:p w14:paraId="502ED53E">
      <w:pPr>
        <w:spacing w:line="276" w:lineRule="auto"/>
        <w:ind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rPr>
        <w:t>预算金额：</w:t>
      </w:r>
      <w:r>
        <w:rPr>
          <w:rFonts w:hint="eastAsia" w:ascii="宋体" w:hAnsi="宋体"/>
          <w:color w:val="auto"/>
          <w:szCs w:val="21"/>
          <w:highlight w:val="none"/>
          <w:lang w:val="en-US" w:eastAsia="zh-CN"/>
        </w:rPr>
        <w:t>180.00万元</w:t>
      </w:r>
    </w:p>
    <w:p w14:paraId="7ED819F6">
      <w:pPr>
        <w:spacing w:line="276" w:lineRule="auto"/>
        <w:ind w:firstLine="420" w:firstLineChars="200"/>
        <w:rPr>
          <w:rFonts w:hint="eastAsia" w:ascii="宋体" w:hAnsi="宋体" w:cs="宋体"/>
          <w:color w:val="auto"/>
          <w:sz w:val="22"/>
          <w:szCs w:val="22"/>
          <w:highlight w:val="none"/>
        </w:rPr>
      </w:pPr>
      <w:r>
        <w:rPr>
          <w:rFonts w:hint="eastAsia" w:ascii="宋体" w:hAnsi="宋体"/>
          <w:color w:val="auto"/>
          <w:szCs w:val="21"/>
          <w:highlight w:val="none"/>
        </w:rPr>
        <w:t>最高限价</w:t>
      </w:r>
      <w:r>
        <w:rPr>
          <w:rFonts w:hint="eastAsia" w:ascii="宋体" w:hAnsi="宋体" w:cs="宋体"/>
          <w:color w:val="auto"/>
          <w:sz w:val="22"/>
          <w:szCs w:val="22"/>
          <w:highlight w:val="none"/>
        </w:rPr>
        <w:t>：</w:t>
      </w:r>
      <w:r>
        <w:rPr>
          <w:rFonts w:hint="eastAsia" w:ascii="宋体" w:hAnsi="宋体" w:cs="宋体"/>
          <w:color w:val="auto"/>
          <w:sz w:val="22"/>
          <w:szCs w:val="22"/>
          <w:highlight w:val="none"/>
          <w:lang w:val="en-US" w:eastAsia="zh-CN"/>
        </w:rPr>
        <w:t>180.00万元</w:t>
      </w:r>
    </w:p>
    <w:p w14:paraId="4710D98C">
      <w:pPr>
        <w:spacing w:line="276" w:lineRule="auto"/>
        <w:ind w:firstLine="440" w:firstLineChars="200"/>
        <w:rPr>
          <w:rFonts w:hint="default" w:ascii="宋体" w:hAnsi="宋体" w:eastAsia="宋体" w:cs="宋体"/>
          <w:color w:val="auto"/>
          <w:sz w:val="22"/>
          <w:szCs w:val="22"/>
          <w:highlight w:val="none"/>
          <w:lang w:val="en-US" w:eastAsia="zh-CN"/>
        </w:rPr>
      </w:pPr>
      <w:r>
        <w:rPr>
          <w:rFonts w:hint="eastAsia" w:ascii="宋体" w:hAnsi="宋体" w:cs="宋体"/>
          <w:color w:val="auto"/>
          <w:sz w:val="22"/>
          <w:szCs w:val="22"/>
          <w:highlight w:val="none"/>
          <w:lang w:val="en-US" w:eastAsia="zh-CN"/>
        </w:rPr>
        <w:t>数量及单位：1套</w:t>
      </w:r>
    </w:p>
    <w:p w14:paraId="1FCB369F">
      <w:pPr>
        <w:spacing w:line="276" w:lineRule="auto"/>
        <w:ind w:firstLine="442" w:firstLineChars="200"/>
        <w:rPr>
          <w:rFonts w:hint="eastAsia" w:ascii="宋体" w:hAnsi="宋体" w:cs="宋体"/>
          <w:b/>
          <w:bCs/>
          <w:color w:val="auto"/>
          <w:sz w:val="22"/>
          <w:szCs w:val="22"/>
          <w:highlight w:val="none"/>
        </w:rPr>
      </w:pPr>
      <w:r>
        <w:rPr>
          <w:rFonts w:hint="eastAsia" w:ascii="宋体" w:hAnsi="宋体" w:cs="宋体"/>
          <w:b/>
          <w:bCs/>
          <w:color w:val="auto"/>
          <w:sz w:val="22"/>
          <w:szCs w:val="22"/>
          <w:highlight w:val="none"/>
        </w:rPr>
        <w:t>本</w:t>
      </w:r>
      <w:r>
        <w:rPr>
          <w:rFonts w:hint="eastAsia" w:ascii="宋体" w:hAnsi="宋体" w:cs="宋体"/>
          <w:b/>
          <w:bCs/>
          <w:color w:val="auto"/>
          <w:sz w:val="22"/>
          <w:szCs w:val="22"/>
          <w:highlight w:val="none"/>
          <w:lang w:val="en-US" w:eastAsia="zh-CN"/>
        </w:rPr>
        <w:t>标项</w:t>
      </w:r>
      <w:r>
        <w:rPr>
          <w:rFonts w:hint="eastAsia" w:ascii="宋体" w:hAnsi="宋体" w:cs="宋体"/>
          <w:b/>
          <w:bCs/>
          <w:color w:val="auto"/>
          <w:sz w:val="22"/>
          <w:szCs w:val="22"/>
          <w:highlight w:val="none"/>
        </w:rPr>
        <w:t>采购标的对应的中小企业划分标准所属行业：</w:t>
      </w:r>
      <w:r>
        <w:rPr>
          <w:rFonts w:hint="eastAsia" w:ascii="宋体" w:hAnsi="宋体" w:cs="宋体"/>
          <w:b/>
          <w:bCs/>
          <w:color w:val="auto"/>
          <w:sz w:val="22"/>
          <w:szCs w:val="22"/>
          <w:highlight w:val="none"/>
          <w:lang w:val="en-US" w:eastAsia="zh-CN"/>
        </w:rPr>
        <w:t>工</w:t>
      </w:r>
      <w:r>
        <w:rPr>
          <w:rFonts w:hint="eastAsia" w:ascii="宋体" w:hAnsi="宋体" w:cs="宋体"/>
          <w:b/>
          <w:bCs/>
          <w:color w:val="auto"/>
          <w:sz w:val="22"/>
          <w:szCs w:val="22"/>
          <w:highlight w:val="none"/>
        </w:rPr>
        <w:t>业。</w:t>
      </w:r>
    </w:p>
    <w:tbl>
      <w:tblPr>
        <w:tblStyle w:val="24"/>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23"/>
        <w:gridCol w:w="495"/>
        <w:gridCol w:w="585"/>
        <w:gridCol w:w="480"/>
        <w:gridCol w:w="16"/>
        <w:gridCol w:w="7540"/>
      </w:tblGrid>
      <w:tr w14:paraId="72AD19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24" w:hRule="atLeast"/>
          <w:jc w:val="center"/>
        </w:trPr>
        <w:tc>
          <w:tcPr>
            <w:tcW w:w="523" w:type="dxa"/>
            <w:noWrap w:val="0"/>
            <w:vAlign w:val="center"/>
          </w:tcPr>
          <w:p w14:paraId="08CF828A">
            <w:pPr>
              <w:pageBreakBefore w:val="0"/>
              <w:tabs>
                <w:tab w:val="left" w:pos="180"/>
                <w:tab w:val="left" w:pos="1620"/>
              </w:tabs>
              <w:kinsoku/>
              <w:wordWrap/>
              <w:overflowPunct/>
              <w:topLinePunct w:val="0"/>
              <w:autoSpaceDE/>
              <w:autoSpaceDN/>
              <w:bidi w:val="0"/>
              <w:spacing w:line="400" w:lineRule="exact"/>
              <w:ind w:left="0" w:left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序号</w:t>
            </w:r>
          </w:p>
        </w:tc>
        <w:tc>
          <w:tcPr>
            <w:tcW w:w="495" w:type="dxa"/>
            <w:noWrap w:val="0"/>
            <w:vAlign w:val="center"/>
          </w:tcPr>
          <w:p w14:paraId="54839326">
            <w:pPr>
              <w:pageBreakBefore w:val="0"/>
              <w:tabs>
                <w:tab w:val="left" w:pos="180"/>
                <w:tab w:val="left" w:pos="1620"/>
              </w:tabs>
              <w:kinsoku/>
              <w:wordWrap/>
              <w:overflowPunct/>
              <w:topLinePunct w:val="0"/>
              <w:autoSpaceDE/>
              <w:autoSpaceDN/>
              <w:bidi w:val="0"/>
              <w:spacing w:line="400" w:lineRule="exact"/>
              <w:ind w:left="0" w:left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标的的名称</w:t>
            </w:r>
          </w:p>
        </w:tc>
        <w:tc>
          <w:tcPr>
            <w:tcW w:w="585" w:type="dxa"/>
            <w:tcBorders>
              <w:right w:val="single" w:color="auto" w:sz="4" w:space="0"/>
            </w:tcBorders>
            <w:noWrap w:val="0"/>
            <w:vAlign w:val="center"/>
          </w:tcPr>
          <w:p w14:paraId="16B7EB13">
            <w:pPr>
              <w:pageBreakBefore w:val="0"/>
              <w:tabs>
                <w:tab w:val="left" w:pos="180"/>
                <w:tab w:val="left" w:pos="1620"/>
              </w:tabs>
              <w:kinsoku/>
              <w:wordWrap/>
              <w:overflowPunct/>
              <w:topLinePunct w:val="0"/>
              <w:autoSpaceDE/>
              <w:autoSpaceDN/>
              <w:bidi w:val="0"/>
              <w:spacing w:line="400" w:lineRule="exact"/>
              <w:ind w:left="0" w:left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数量及</w:t>
            </w:r>
          </w:p>
          <w:p w14:paraId="2B4E6206">
            <w:pPr>
              <w:pageBreakBefore w:val="0"/>
              <w:tabs>
                <w:tab w:val="left" w:pos="180"/>
                <w:tab w:val="left" w:pos="1620"/>
              </w:tabs>
              <w:kinsoku/>
              <w:wordWrap/>
              <w:overflowPunct/>
              <w:topLinePunct w:val="0"/>
              <w:autoSpaceDE/>
              <w:autoSpaceDN/>
              <w:bidi w:val="0"/>
              <w:spacing w:line="400" w:lineRule="exact"/>
              <w:ind w:left="0" w:left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单位</w:t>
            </w:r>
          </w:p>
        </w:tc>
        <w:tc>
          <w:tcPr>
            <w:tcW w:w="480" w:type="dxa"/>
            <w:tcBorders>
              <w:left w:val="single" w:color="auto" w:sz="4" w:space="0"/>
            </w:tcBorders>
            <w:noWrap w:val="0"/>
            <w:vAlign w:val="center"/>
          </w:tcPr>
          <w:p w14:paraId="4F082D46">
            <w:pPr>
              <w:pageBreakBefore w:val="0"/>
              <w:tabs>
                <w:tab w:val="left" w:pos="180"/>
                <w:tab w:val="left" w:pos="1620"/>
              </w:tabs>
              <w:kinsoku/>
              <w:wordWrap/>
              <w:overflowPunct/>
              <w:topLinePunct w:val="0"/>
              <w:autoSpaceDE/>
              <w:autoSpaceDN/>
              <w:bidi w:val="0"/>
              <w:spacing w:line="400" w:lineRule="exact"/>
              <w:ind w:left="0" w:leftChars="0"/>
              <w:jc w:val="center"/>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所属行业</w:t>
            </w:r>
          </w:p>
        </w:tc>
        <w:tc>
          <w:tcPr>
            <w:tcW w:w="7556" w:type="dxa"/>
            <w:gridSpan w:val="2"/>
            <w:noWrap w:val="0"/>
            <w:vAlign w:val="center"/>
          </w:tcPr>
          <w:p w14:paraId="5089261A">
            <w:pPr>
              <w:pageBreakBefore w:val="0"/>
              <w:tabs>
                <w:tab w:val="left" w:pos="180"/>
                <w:tab w:val="left" w:pos="1620"/>
              </w:tabs>
              <w:kinsoku/>
              <w:wordWrap/>
              <w:overflowPunct/>
              <w:topLinePunct w:val="0"/>
              <w:autoSpaceDE/>
              <w:autoSpaceDN/>
              <w:bidi w:val="0"/>
              <w:spacing w:line="400" w:lineRule="exact"/>
              <w:ind w:left="0" w:left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技术需求</w:t>
            </w:r>
          </w:p>
        </w:tc>
      </w:tr>
      <w:tr w14:paraId="3C609E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85" w:hRule="atLeast"/>
          <w:jc w:val="center"/>
        </w:trPr>
        <w:tc>
          <w:tcPr>
            <w:tcW w:w="523" w:type="dxa"/>
            <w:noWrap w:val="0"/>
            <w:vAlign w:val="center"/>
          </w:tcPr>
          <w:p w14:paraId="05545217">
            <w:pPr>
              <w:pageBreakBefore w:val="0"/>
              <w:tabs>
                <w:tab w:val="left" w:pos="180"/>
                <w:tab w:val="left" w:pos="1620"/>
              </w:tabs>
              <w:kinsoku/>
              <w:wordWrap/>
              <w:overflowPunct/>
              <w:topLinePunct w:val="0"/>
              <w:autoSpaceDE/>
              <w:autoSpaceDN/>
              <w:bidi w:val="0"/>
              <w:spacing w:line="400" w:lineRule="exact"/>
              <w:ind w:left="0" w:left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W w:w="495" w:type="dxa"/>
            <w:noWrap w:val="0"/>
            <w:vAlign w:val="center"/>
          </w:tcPr>
          <w:p w14:paraId="21869B37">
            <w:pPr>
              <w:pageBreakBefore w:val="0"/>
              <w:tabs>
                <w:tab w:val="left" w:pos="180"/>
                <w:tab w:val="left" w:pos="1620"/>
              </w:tabs>
              <w:kinsoku/>
              <w:wordWrap/>
              <w:overflowPunct/>
              <w:topLinePunct w:val="0"/>
              <w:autoSpaceDE/>
              <w:autoSpaceDN/>
              <w:bidi w:val="0"/>
              <w:snapToGrid w:val="0"/>
              <w:spacing w:line="400" w:lineRule="exact"/>
              <w:ind w:left="0" w:leftChars="0"/>
              <w:jc w:val="center"/>
              <w:textAlignment w:val="auto"/>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航空GNS</w:t>
            </w:r>
          </w:p>
          <w:p w14:paraId="32C0F6BC">
            <w:pPr>
              <w:pageBreakBefore w:val="0"/>
              <w:tabs>
                <w:tab w:val="left" w:pos="180"/>
                <w:tab w:val="left" w:pos="1620"/>
              </w:tabs>
              <w:kinsoku/>
              <w:wordWrap/>
              <w:overflowPunct/>
              <w:topLinePunct w:val="0"/>
              <w:autoSpaceDE/>
              <w:autoSpaceDN/>
              <w:bidi w:val="0"/>
              <w:snapToGrid w:val="0"/>
              <w:spacing w:line="400" w:lineRule="exact"/>
              <w:ind w:left="0" w:leftChars="0"/>
              <w:jc w:val="center"/>
              <w:textAlignment w:val="auto"/>
              <w:rPr>
                <w:rFonts w:hint="eastAsia" w:ascii="宋体" w:hAnsi="宋体" w:eastAsia="宋体" w:cs="宋体"/>
                <w:color w:val="auto"/>
                <w:sz w:val="21"/>
                <w:szCs w:val="21"/>
              </w:rPr>
            </w:pPr>
            <w:r>
              <w:rPr>
                <w:rFonts w:hint="eastAsia" w:ascii="宋体" w:hAnsi="宋体" w:eastAsia="宋体" w:cs="宋体"/>
                <w:b w:val="0"/>
                <w:bCs/>
                <w:color w:val="auto"/>
                <w:sz w:val="21"/>
                <w:szCs w:val="21"/>
                <w:highlight w:val="none"/>
                <w:lang w:val="en-US" w:eastAsia="zh-CN"/>
              </w:rPr>
              <w:t>S干扰实时预警系统</w:t>
            </w:r>
          </w:p>
        </w:tc>
        <w:tc>
          <w:tcPr>
            <w:tcW w:w="585" w:type="dxa"/>
            <w:tcBorders>
              <w:right w:val="single" w:color="auto" w:sz="4" w:space="0"/>
            </w:tcBorders>
            <w:noWrap w:val="0"/>
            <w:vAlign w:val="center"/>
          </w:tcPr>
          <w:p w14:paraId="530AA219">
            <w:pPr>
              <w:pStyle w:val="10"/>
              <w:pageBreakBefore w:val="0"/>
              <w:kinsoku/>
              <w:wordWrap/>
              <w:overflowPunct/>
              <w:topLinePunct w:val="0"/>
              <w:autoSpaceDE/>
              <w:autoSpaceDN/>
              <w:bidi w:val="0"/>
              <w:spacing w:line="400" w:lineRule="exact"/>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1套</w:t>
            </w:r>
          </w:p>
        </w:tc>
        <w:tc>
          <w:tcPr>
            <w:tcW w:w="480" w:type="dxa"/>
            <w:tcBorders>
              <w:left w:val="single" w:color="auto" w:sz="4" w:space="0"/>
            </w:tcBorders>
            <w:noWrap w:val="0"/>
            <w:vAlign w:val="center"/>
          </w:tcPr>
          <w:p w14:paraId="19C6EFCA">
            <w:pPr>
              <w:pStyle w:val="10"/>
              <w:pageBreakBefore w:val="0"/>
              <w:kinsoku/>
              <w:wordWrap/>
              <w:overflowPunct/>
              <w:topLinePunct w:val="0"/>
              <w:autoSpaceDE/>
              <w:autoSpaceDN/>
              <w:bidi w:val="0"/>
              <w:spacing w:line="400" w:lineRule="exact"/>
              <w:ind w:left="0" w:leftChars="0"/>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工业</w:t>
            </w:r>
          </w:p>
        </w:tc>
        <w:tc>
          <w:tcPr>
            <w:tcW w:w="7556" w:type="dxa"/>
            <w:gridSpan w:val="2"/>
            <w:noWrap w:val="0"/>
            <w:vAlign w:val="center"/>
          </w:tcPr>
          <w:p w14:paraId="19E792F6">
            <w:pPr>
              <w:pageBreakBefore w:val="0"/>
              <w:numPr>
                <w:ilvl w:val="0"/>
                <w:numId w:val="0"/>
              </w:numPr>
              <w:kinsoku/>
              <w:wordWrap/>
              <w:overflowPunct/>
              <w:topLinePunct w:val="0"/>
              <w:autoSpaceDE/>
              <w:autoSpaceDN/>
              <w:bidi w:val="0"/>
              <w:spacing w:line="360" w:lineRule="exact"/>
              <w:ind w:left="0" w:leftChars="0" w:firstLine="420" w:firstLineChars="200"/>
              <w:textAlignment w:val="auto"/>
              <w:rPr>
                <w:rFonts w:hint="eastAsia" w:ascii="黑体" w:hAnsi="黑体" w:eastAsia="黑体" w:cs="黑体"/>
                <w:color w:val="auto"/>
                <w:sz w:val="21"/>
                <w:szCs w:val="21"/>
                <w:highlight w:val="none"/>
                <w:lang w:val="en-US" w:eastAsia="zh-CN"/>
              </w:rPr>
            </w:pPr>
            <w:r>
              <w:rPr>
                <w:rFonts w:hint="eastAsia" w:ascii="黑体" w:hAnsi="黑体" w:eastAsia="黑体" w:cs="黑体"/>
                <w:color w:val="auto"/>
                <w:sz w:val="21"/>
                <w:szCs w:val="21"/>
                <w:highlight w:val="none"/>
                <w:lang w:val="en-US" w:eastAsia="zh-CN"/>
              </w:rPr>
              <w:t>一、系统组成</w:t>
            </w:r>
          </w:p>
          <w:p w14:paraId="24A3742C">
            <w:pPr>
              <w:pageBreakBefore w:val="0"/>
              <w:numPr>
                <w:ilvl w:val="0"/>
                <w:numId w:val="0"/>
              </w:numPr>
              <w:kinsoku/>
              <w:wordWrap/>
              <w:overflowPunct/>
              <w:topLinePunct w:val="0"/>
              <w:autoSpaceDE/>
              <w:autoSpaceDN/>
              <w:bidi w:val="0"/>
              <w:spacing w:line="360" w:lineRule="exact"/>
              <w:ind w:left="0" w:leftChars="0"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航空GNSS干扰实时预警系统主要由</w:t>
            </w:r>
            <w:r>
              <w:rPr>
                <w:rFonts w:hint="eastAsia" w:ascii="宋体" w:hAnsi="宋体" w:eastAsia="宋体" w:cs="宋体"/>
                <w:color w:val="auto"/>
                <w:sz w:val="21"/>
                <w:szCs w:val="21"/>
                <w:highlight w:val="none"/>
              </w:rPr>
              <w:t>干扰实时预警系统网络节点</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含天线）、</w:t>
            </w:r>
            <w:r>
              <w:rPr>
                <w:rFonts w:hint="eastAsia" w:ascii="宋体" w:hAnsi="宋体" w:eastAsia="宋体" w:cs="宋体"/>
                <w:color w:val="auto"/>
                <w:sz w:val="21"/>
                <w:szCs w:val="21"/>
                <w:highlight w:val="none"/>
              </w:rPr>
              <w:t>存储服务器</w:t>
            </w:r>
            <w:r>
              <w:rPr>
                <w:rFonts w:hint="eastAsia" w:ascii="宋体" w:hAnsi="宋体" w:eastAsia="宋体" w:cs="宋体"/>
                <w:color w:val="auto"/>
                <w:sz w:val="21"/>
                <w:szCs w:val="21"/>
                <w:highlight w:val="none"/>
                <w:lang w:val="en-US" w:eastAsia="zh-CN"/>
              </w:rPr>
              <w:t>及</w:t>
            </w:r>
            <w:r>
              <w:rPr>
                <w:rFonts w:hint="eastAsia" w:ascii="宋体" w:hAnsi="宋体" w:eastAsia="宋体" w:cs="宋体"/>
                <w:snapToGrid w:val="0"/>
                <w:color w:val="auto"/>
                <w:sz w:val="21"/>
                <w:szCs w:val="21"/>
                <w:highlight w:val="none"/>
              </w:rPr>
              <w:t>监测控制及展示软件系统</w:t>
            </w:r>
            <w:r>
              <w:rPr>
                <w:rFonts w:hint="eastAsia" w:ascii="宋体" w:hAnsi="宋体" w:eastAsia="宋体" w:cs="宋体"/>
                <w:color w:val="auto"/>
                <w:sz w:val="21"/>
                <w:szCs w:val="21"/>
                <w:highlight w:val="none"/>
                <w:lang w:val="en-US" w:eastAsia="zh-CN"/>
              </w:rPr>
              <w:t>组成；小型升空GNSS干扰源侦测定位设备主要由</w:t>
            </w:r>
            <w:r>
              <w:rPr>
                <w:rFonts w:hint="eastAsia" w:ascii="宋体" w:hAnsi="宋体" w:eastAsia="宋体" w:cs="宋体"/>
                <w:snapToGrid w:val="0"/>
                <w:color w:val="auto"/>
                <w:sz w:val="21"/>
                <w:szCs w:val="21"/>
                <w:highlight w:val="none"/>
              </w:rPr>
              <w:t>小型升空GNSS干扰源侦测定位主设备</w:t>
            </w:r>
            <w:r>
              <w:rPr>
                <w:rFonts w:hint="eastAsia" w:ascii="宋体" w:hAnsi="宋体" w:eastAsia="宋体" w:cs="宋体"/>
                <w:snapToGrid w:val="0"/>
                <w:color w:val="auto"/>
                <w:sz w:val="21"/>
                <w:szCs w:val="21"/>
                <w:highlight w:val="none"/>
                <w:lang w:eastAsia="zh-CN"/>
              </w:rPr>
              <w:t>、侦测测向天线、小型无人机、操作终端及</w:t>
            </w:r>
            <w:r>
              <w:rPr>
                <w:rFonts w:hint="eastAsia" w:ascii="宋体" w:hAnsi="宋体" w:eastAsia="宋体" w:cs="宋体"/>
                <w:snapToGrid w:val="0"/>
                <w:color w:val="auto"/>
                <w:sz w:val="21"/>
                <w:szCs w:val="21"/>
                <w:highlight w:val="none"/>
                <w:lang w:val="en-US" w:eastAsia="zh-CN"/>
              </w:rPr>
              <w:t>配套的</w:t>
            </w:r>
            <w:r>
              <w:rPr>
                <w:rFonts w:hint="eastAsia" w:ascii="宋体" w:hAnsi="宋体" w:eastAsia="宋体" w:cs="宋体"/>
                <w:snapToGrid w:val="0"/>
                <w:color w:val="auto"/>
                <w:sz w:val="21"/>
                <w:szCs w:val="21"/>
                <w:highlight w:val="none"/>
                <w:lang w:eastAsia="zh-CN"/>
              </w:rPr>
              <w:t>侦测定位软件</w:t>
            </w:r>
            <w:r>
              <w:rPr>
                <w:rFonts w:hint="eastAsia" w:ascii="宋体" w:hAnsi="宋体" w:eastAsia="宋体" w:cs="宋体"/>
                <w:color w:val="auto"/>
                <w:sz w:val="21"/>
                <w:szCs w:val="21"/>
                <w:highlight w:val="none"/>
                <w:lang w:val="en-US" w:eastAsia="zh-CN"/>
              </w:rPr>
              <w:t>组成。</w:t>
            </w:r>
          </w:p>
          <w:p w14:paraId="5C153DBF">
            <w:pPr>
              <w:pageBreakBefore w:val="0"/>
              <w:kinsoku/>
              <w:wordWrap/>
              <w:overflowPunct/>
              <w:topLinePunct w:val="0"/>
              <w:autoSpaceDE/>
              <w:autoSpaceDN/>
              <w:bidi w:val="0"/>
              <w:spacing w:line="360" w:lineRule="exact"/>
              <w:ind w:left="0" w:leftChars="0"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具体建设内容为：</w:t>
            </w:r>
          </w:p>
          <w:p w14:paraId="0F110216">
            <w:pPr>
              <w:pageBreakBefore w:val="0"/>
              <w:numPr>
                <w:ilvl w:val="0"/>
                <w:numId w:val="0"/>
              </w:numPr>
              <w:kinsoku/>
              <w:wordWrap/>
              <w:overflowPunct/>
              <w:topLinePunct w:val="0"/>
              <w:autoSpaceDE/>
              <w:autoSpaceDN/>
              <w:bidi w:val="0"/>
              <w:spacing w:line="360" w:lineRule="exact"/>
              <w:ind w:left="0" w:leftChars="0" w:firstLine="420" w:firstLineChars="200"/>
              <w:textAlignment w:val="auto"/>
              <w:rPr>
                <w:rFonts w:hint="eastAsia" w:ascii="宋体" w:hAnsi="宋体" w:eastAsia="宋体" w:cs="宋体"/>
                <w:snapToGrid/>
                <w:color w:val="auto"/>
                <w:sz w:val="21"/>
                <w:szCs w:val="21"/>
                <w:highlight w:val="none"/>
              </w:rPr>
            </w:pPr>
            <w:r>
              <w:rPr>
                <w:rFonts w:hint="eastAsia" w:ascii="宋体" w:hAnsi="宋体" w:eastAsia="宋体" w:cs="宋体"/>
                <w:snapToGrid/>
                <w:color w:val="auto"/>
                <w:sz w:val="21"/>
                <w:szCs w:val="21"/>
                <w:highlight w:val="none"/>
                <w:lang w:val="en-US" w:eastAsia="zh-CN"/>
              </w:rPr>
              <w:t>（一）</w:t>
            </w:r>
            <w:r>
              <w:rPr>
                <w:rFonts w:hint="eastAsia" w:ascii="宋体" w:hAnsi="宋体" w:eastAsia="宋体" w:cs="宋体"/>
                <w:snapToGrid/>
                <w:color w:val="auto"/>
                <w:sz w:val="21"/>
                <w:szCs w:val="21"/>
                <w:highlight w:val="none"/>
              </w:rPr>
              <w:t>在</w:t>
            </w:r>
            <w:r>
              <w:rPr>
                <w:rFonts w:hint="eastAsia" w:ascii="宋体" w:hAnsi="宋体" w:eastAsia="宋体" w:cs="宋体"/>
                <w:color w:val="auto"/>
                <w:sz w:val="21"/>
                <w:szCs w:val="21"/>
                <w:highlight w:val="none"/>
              </w:rPr>
              <w:t>南宁、桂林、北海、柳州、梧州、百色、玉林、河池</w:t>
            </w:r>
            <w:r>
              <w:rPr>
                <w:rFonts w:hint="eastAsia" w:ascii="宋体" w:hAnsi="宋体" w:eastAsia="宋体" w:cs="宋体"/>
                <w:snapToGrid/>
                <w:color w:val="auto"/>
                <w:sz w:val="21"/>
                <w:szCs w:val="21"/>
                <w:highlight w:val="none"/>
              </w:rPr>
              <w:t>等具有民用机场的地市</w:t>
            </w:r>
            <w:r>
              <w:rPr>
                <w:rFonts w:hint="eastAsia" w:ascii="宋体" w:hAnsi="宋体" w:eastAsia="宋体" w:cs="宋体"/>
                <w:color w:val="auto"/>
                <w:sz w:val="21"/>
                <w:szCs w:val="21"/>
                <w:highlight w:val="none"/>
              </w:rPr>
              <w:t>以及崇左市重点航路，</w:t>
            </w:r>
            <w:r>
              <w:rPr>
                <w:rFonts w:hint="eastAsia" w:ascii="宋体" w:hAnsi="宋体" w:eastAsia="宋体" w:cs="宋体"/>
                <w:snapToGrid/>
                <w:color w:val="auto"/>
                <w:sz w:val="21"/>
                <w:szCs w:val="21"/>
                <w:highlight w:val="none"/>
              </w:rPr>
              <w:t>选择合适的现有固定监测站点各建设1个</w:t>
            </w:r>
            <w:r>
              <w:rPr>
                <w:rFonts w:hint="eastAsia" w:ascii="宋体" w:hAnsi="宋体" w:eastAsia="宋体" w:cs="宋体"/>
                <w:color w:val="auto"/>
                <w:sz w:val="21"/>
                <w:szCs w:val="21"/>
                <w:highlight w:val="none"/>
              </w:rPr>
              <w:t>航空GNSS干扰实时预警系统网络节点</w:t>
            </w:r>
            <w:r>
              <w:rPr>
                <w:rFonts w:hint="eastAsia" w:ascii="宋体" w:hAnsi="宋体" w:eastAsia="宋体" w:cs="宋体"/>
                <w:snapToGrid/>
                <w:color w:val="auto"/>
                <w:sz w:val="21"/>
                <w:szCs w:val="21"/>
                <w:highlight w:val="none"/>
              </w:rPr>
              <w:t>，部署在现有固定站</w:t>
            </w:r>
            <w:r>
              <w:rPr>
                <w:rFonts w:hint="eastAsia" w:ascii="宋体" w:hAnsi="宋体" w:eastAsia="宋体" w:cs="宋体"/>
                <w:snapToGrid/>
                <w:color w:val="auto"/>
                <w:sz w:val="21"/>
                <w:szCs w:val="21"/>
                <w:highlight w:val="none"/>
                <w:lang w:val="en-US" w:eastAsia="zh-CN"/>
              </w:rPr>
              <w:t>点</w:t>
            </w:r>
            <w:r>
              <w:rPr>
                <w:rFonts w:hint="eastAsia" w:ascii="宋体" w:hAnsi="宋体" w:eastAsia="宋体" w:cs="宋体"/>
                <w:snapToGrid/>
                <w:color w:val="auto"/>
                <w:sz w:val="21"/>
                <w:szCs w:val="21"/>
                <w:highlight w:val="none"/>
              </w:rPr>
              <w:t>上</w:t>
            </w:r>
            <w:r>
              <w:rPr>
                <w:rFonts w:hint="eastAsia" w:ascii="宋体" w:hAnsi="宋体" w:eastAsia="宋体" w:cs="宋体"/>
                <w:snapToGrid/>
                <w:color w:val="auto"/>
                <w:sz w:val="21"/>
                <w:szCs w:val="21"/>
                <w:highlight w:val="none"/>
                <w:lang w:eastAsia="zh-CN"/>
              </w:rPr>
              <w:t>，</w:t>
            </w:r>
            <w:r>
              <w:rPr>
                <w:rFonts w:hint="eastAsia" w:ascii="宋体" w:hAnsi="宋体" w:eastAsia="宋体" w:cs="宋体"/>
                <w:color w:val="auto"/>
                <w:sz w:val="21"/>
                <w:szCs w:val="21"/>
                <w:highlight w:val="none"/>
                <w:lang w:val="en-US" w:eastAsia="zh-CN"/>
              </w:rPr>
              <w:t>具体</w:t>
            </w:r>
            <w:r>
              <w:rPr>
                <w:rFonts w:hint="eastAsia" w:ascii="宋体" w:hAnsi="宋体" w:eastAsia="宋体" w:cs="宋体"/>
                <w:color w:val="auto"/>
                <w:sz w:val="21"/>
                <w:szCs w:val="21"/>
                <w:highlight w:val="none"/>
                <w:shd w:val="clear" w:color="auto" w:fill="auto"/>
                <w:lang w:val="en-US" w:eastAsia="zh-CN"/>
              </w:rPr>
              <w:t>建设地点由建设单位统一规划</w:t>
            </w:r>
            <w:r>
              <w:rPr>
                <w:rFonts w:hint="eastAsia" w:ascii="宋体" w:hAnsi="宋体" w:eastAsia="宋体" w:cs="宋体"/>
                <w:snapToGrid/>
                <w:color w:val="auto"/>
                <w:sz w:val="21"/>
                <w:szCs w:val="21"/>
                <w:highlight w:val="none"/>
                <w:lang w:eastAsia="zh-CN"/>
              </w:rPr>
              <w:t>；</w:t>
            </w:r>
            <w:r>
              <w:rPr>
                <w:rFonts w:hint="eastAsia" w:ascii="宋体" w:hAnsi="宋体" w:eastAsia="宋体" w:cs="宋体"/>
                <w:color w:val="auto"/>
                <w:sz w:val="21"/>
                <w:szCs w:val="21"/>
                <w:highlight w:val="none"/>
              </w:rPr>
              <w:t>在区监测站</w:t>
            </w:r>
            <w:r>
              <w:rPr>
                <w:rFonts w:hint="eastAsia" w:ascii="宋体" w:hAnsi="宋体" w:eastAsia="宋体" w:cs="宋体"/>
                <w:snapToGrid/>
                <w:color w:val="auto"/>
                <w:sz w:val="21"/>
                <w:szCs w:val="21"/>
                <w:highlight w:val="none"/>
              </w:rPr>
              <w:t>建设监测控制及展示软件系统1套</w:t>
            </w:r>
            <w:r>
              <w:rPr>
                <w:rFonts w:hint="eastAsia" w:ascii="宋体" w:hAnsi="宋体" w:eastAsia="宋体" w:cs="宋体"/>
                <w:snapToGrid/>
                <w:color w:val="auto"/>
                <w:sz w:val="21"/>
                <w:szCs w:val="21"/>
                <w:highlight w:val="none"/>
                <w:lang w:eastAsia="zh-CN"/>
              </w:rPr>
              <w:t>、</w:t>
            </w:r>
            <w:r>
              <w:rPr>
                <w:rFonts w:hint="eastAsia" w:ascii="宋体" w:hAnsi="宋体" w:eastAsia="宋体" w:cs="宋体"/>
                <w:color w:val="auto"/>
                <w:sz w:val="21"/>
                <w:szCs w:val="21"/>
                <w:highlight w:val="none"/>
              </w:rPr>
              <w:t>专用存储服务器1台</w:t>
            </w:r>
            <w:r>
              <w:rPr>
                <w:rFonts w:hint="eastAsia" w:ascii="宋体" w:hAnsi="宋体" w:eastAsia="宋体" w:cs="宋体"/>
                <w:snapToGrid/>
                <w:color w:val="auto"/>
                <w:sz w:val="21"/>
                <w:szCs w:val="21"/>
                <w:highlight w:val="none"/>
              </w:rPr>
              <w:t>。</w:t>
            </w:r>
          </w:p>
          <w:p w14:paraId="4AFAFCCF">
            <w:pPr>
              <w:pageBreakBefore w:val="0"/>
              <w:kinsoku/>
              <w:wordWrap/>
              <w:overflowPunct/>
              <w:topLinePunct w:val="0"/>
              <w:autoSpaceDE/>
              <w:autoSpaceDN/>
              <w:bidi w:val="0"/>
              <w:spacing w:line="360" w:lineRule="exact"/>
              <w:ind w:left="0" w:leftChars="0" w:firstLine="420" w:firstLineChars="200"/>
              <w:textAlignment w:val="auto"/>
              <w:rPr>
                <w:rFonts w:hint="eastAsia" w:ascii="宋体" w:hAnsi="宋体" w:eastAsia="宋体" w:cs="宋体"/>
                <w:snapToGrid/>
                <w:color w:val="auto"/>
                <w:sz w:val="21"/>
                <w:szCs w:val="21"/>
                <w:highlight w:val="none"/>
              </w:rPr>
            </w:pPr>
            <w:r>
              <w:rPr>
                <w:rFonts w:hint="eastAsia" w:ascii="宋体" w:hAnsi="宋体" w:eastAsia="宋体" w:cs="宋体"/>
                <w:snapToGrid/>
                <w:color w:val="auto"/>
                <w:sz w:val="21"/>
                <w:szCs w:val="21"/>
                <w:highlight w:val="none"/>
                <w:lang w:val="en-US" w:eastAsia="zh-CN"/>
              </w:rPr>
              <w:t>（二）</w:t>
            </w:r>
            <w:r>
              <w:rPr>
                <w:rFonts w:hint="eastAsia" w:ascii="宋体" w:hAnsi="宋体" w:eastAsia="宋体" w:cs="宋体"/>
                <w:snapToGrid/>
                <w:color w:val="auto"/>
                <w:sz w:val="21"/>
                <w:szCs w:val="21"/>
                <w:highlight w:val="none"/>
              </w:rPr>
              <w:t>在</w:t>
            </w:r>
            <w:r>
              <w:rPr>
                <w:rFonts w:hint="eastAsia" w:ascii="宋体" w:hAnsi="宋体" w:eastAsia="宋体" w:cs="宋体"/>
                <w:color w:val="auto"/>
                <w:sz w:val="21"/>
                <w:szCs w:val="21"/>
                <w:highlight w:val="none"/>
                <w:lang w:val="en-US" w:eastAsia="zh-CN"/>
              </w:rPr>
              <w:t>自治区无线电</w:t>
            </w:r>
            <w:r>
              <w:rPr>
                <w:rFonts w:hint="eastAsia" w:ascii="宋体" w:hAnsi="宋体" w:eastAsia="宋体" w:cs="宋体"/>
                <w:color w:val="auto"/>
                <w:sz w:val="21"/>
                <w:szCs w:val="21"/>
                <w:highlight w:val="none"/>
              </w:rPr>
              <w:t>监测站</w:t>
            </w:r>
            <w:r>
              <w:rPr>
                <w:rFonts w:hint="eastAsia" w:ascii="宋体" w:hAnsi="宋体" w:eastAsia="宋体" w:cs="宋体"/>
                <w:snapToGrid/>
                <w:color w:val="auto"/>
                <w:sz w:val="21"/>
                <w:szCs w:val="21"/>
                <w:highlight w:val="none"/>
              </w:rPr>
              <w:t>统筹建设小型升空GNSS干扰源侦测定位设备2套</w:t>
            </w:r>
            <w:r>
              <w:rPr>
                <w:rFonts w:hint="eastAsia" w:ascii="宋体" w:hAnsi="宋体" w:eastAsia="宋体" w:cs="宋体"/>
                <w:snapToGrid/>
                <w:color w:val="auto"/>
                <w:sz w:val="21"/>
                <w:szCs w:val="21"/>
                <w:highlight w:val="none"/>
                <w:lang w:eastAsia="zh-CN"/>
              </w:rPr>
              <w:t>。</w:t>
            </w:r>
            <w:r>
              <w:rPr>
                <w:rFonts w:hint="eastAsia" w:ascii="宋体" w:hAnsi="宋体" w:eastAsia="宋体" w:cs="宋体"/>
                <w:snapToGrid/>
                <w:color w:val="auto"/>
                <w:sz w:val="21"/>
                <w:szCs w:val="21"/>
                <w:highlight w:val="none"/>
                <w:lang w:val="en-US" w:eastAsia="zh-CN"/>
              </w:rPr>
              <w:t>含</w:t>
            </w:r>
            <w:r>
              <w:rPr>
                <w:rFonts w:hint="eastAsia" w:ascii="宋体" w:hAnsi="宋体" w:eastAsia="宋体" w:cs="宋体"/>
                <w:i w:val="0"/>
                <w:iCs w:val="0"/>
                <w:color w:val="auto"/>
                <w:kern w:val="0"/>
                <w:sz w:val="21"/>
                <w:szCs w:val="21"/>
                <w:highlight w:val="none"/>
                <w:u w:val="none"/>
                <w:lang w:val="en-US" w:eastAsia="zh-CN" w:bidi="ar"/>
              </w:rPr>
              <w:t>GNSS干扰源侦测定位主设备2套、侦测测向天线2套、小型无人机2架、操作终端2台及</w:t>
            </w:r>
            <w:r>
              <w:rPr>
                <w:rFonts w:hint="eastAsia" w:ascii="宋体" w:hAnsi="宋体" w:eastAsia="宋体" w:cs="宋体"/>
                <w:snapToGrid w:val="0"/>
                <w:color w:val="auto"/>
                <w:sz w:val="21"/>
                <w:szCs w:val="21"/>
                <w:highlight w:val="none"/>
                <w:lang w:val="en-US" w:eastAsia="zh-CN"/>
              </w:rPr>
              <w:t>1套</w:t>
            </w:r>
            <w:r>
              <w:rPr>
                <w:rFonts w:hint="eastAsia" w:ascii="宋体" w:hAnsi="宋体" w:eastAsia="宋体" w:cs="宋体"/>
                <w:snapToGrid w:val="0"/>
                <w:color w:val="auto"/>
                <w:sz w:val="21"/>
                <w:szCs w:val="21"/>
                <w:highlight w:val="none"/>
              </w:rPr>
              <w:t>侦测定位软件</w:t>
            </w:r>
            <w:r>
              <w:rPr>
                <w:rFonts w:hint="eastAsia" w:ascii="宋体" w:hAnsi="宋体" w:eastAsia="宋体" w:cs="宋体"/>
                <w:snapToGrid/>
                <w:color w:val="auto"/>
                <w:sz w:val="21"/>
                <w:szCs w:val="21"/>
                <w:highlight w:val="none"/>
              </w:rPr>
              <w:t>。</w:t>
            </w:r>
          </w:p>
          <w:p w14:paraId="085DFBEF">
            <w:pPr>
              <w:pageBreakBefore w:val="0"/>
              <w:numPr>
                <w:ilvl w:val="-1"/>
                <w:numId w:val="0"/>
              </w:numPr>
              <w:kinsoku/>
              <w:wordWrap/>
              <w:overflowPunct/>
              <w:topLinePunct w:val="0"/>
              <w:autoSpaceDE/>
              <w:autoSpaceDN/>
              <w:bidi w:val="0"/>
              <w:spacing w:line="360" w:lineRule="exact"/>
              <w:ind w:left="0" w:leftChars="0" w:firstLine="420" w:firstLineChars="200"/>
              <w:textAlignment w:val="auto"/>
              <w:rPr>
                <w:rFonts w:hint="eastAsia" w:ascii="黑体" w:hAnsi="黑体" w:eastAsia="黑体" w:cs="黑体"/>
                <w:snapToGrid/>
                <w:color w:val="auto"/>
                <w:sz w:val="21"/>
                <w:szCs w:val="21"/>
                <w:highlight w:val="none"/>
                <w:lang w:val="en-US" w:eastAsia="zh-CN"/>
              </w:rPr>
            </w:pPr>
            <w:r>
              <w:rPr>
                <w:rFonts w:hint="eastAsia" w:ascii="黑体" w:hAnsi="黑体" w:eastAsia="黑体" w:cs="黑体"/>
                <w:snapToGrid/>
                <w:color w:val="auto"/>
                <w:sz w:val="21"/>
                <w:szCs w:val="21"/>
                <w:highlight w:val="none"/>
                <w:lang w:val="en-US" w:eastAsia="zh-CN"/>
              </w:rPr>
              <w:t>二、</w:t>
            </w:r>
            <w:bookmarkStart w:id="101" w:name="_Toc8557"/>
            <w:r>
              <w:rPr>
                <w:rFonts w:hint="eastAsia" w:ascii="黑体" w:hAnsi="黑体" w:eastAsia="黑体" w:cs="黑体"/>
                <w:color w:val="auto"/>
                <w:sz w:val="21"/>
                <w:szCs w:val="21"/>
                <w:highlight w:val="none"/>
                <w:lang w:val="en-US" w:eastAsia="zh-CN"/>
              </w:rPr>
              <w:t>总体要求</w:t>
            </w:r>
            <w:bookmarkEnd w:id="101"/>
          </w:p>
          <w:p w14:paraId="506DA7CB">
            <w:pPr>
              <w:pageBreakBefore w:val="0"/>
              <w:numPr>
                <w:ilvl w:val="0"/>
                <w:numId w:val="0"/>
              </w:numPr>
              <w:kinsoku/>
              <w:wordWrap/>
              <w:overflowPunct/>
              <w:topLinePunct w:val="0"/>
              <w:autoSpaceDE/>
              <w:autoSpaceDN/>
              <w:bidi w:val="0"/>
              <w:spacing w:line="36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snapToGrid/>
                <w:color w:val="auto"/>
                <w:sz w:val="21"/>
                <w:szCs w:val="21"/>
                <w:highlight w:val="none"/>
                <w:lang w:val="en-US" w:eastAsia="zh-CN"/>
              </w:rPr>
              <w:t>（</w:t>
            </w:r>
            <w:r>
              <w:rPr>
                <w:rFonts w:hint="eastAsia" w:ascii="宋体" w:hAnsi="宋体" w:eastAsia="宋体" w:cs="宋体"/>
                <w:color w:val="auto"/>
                <w:sz w:val="21"/>
                <w:szCs w:val="21"/>
                <w:highlight w:val="none"/>
                <w:lang w:val="en-US" w:eastAsia="zh-CN"/>
              </w:rPr>
              <w:t>一）</w:t>
            </w:r>
            <w:r>
              <w:rPr>
                <w:rFonts w:hint="eastAsia" w:ascii="宋体" w:hAnsi="宋体" w:eastAsia="宋体" w:cs="宋体"/>
                <w:color w:val="auto"/>
                <w:sz w:val="21"/>
                <w:szCs w:val="21"/>
                <w:highlight w:val="none"/>
              </w:rPr>
              <w:t>系统支持在无线电管理一体化平台上部署和展现。</w:t>
            </w:r>
          </w:p>
          <w:p w14:paraId="1E3040BF">
            <w:pPr>
              <w:pageBreakBefore w:val="0"/>
              <w:numPr>
                <w:ilvl w:val="0"/>
                <w:numId w:val="0"/>
              </w:numPr>
              <w:kinsoku/>
              <w:wordWrap/>
              <w:overflowPunct/>
              <w:topLinePunct w:val="0"/>
              <w:autoSpaceDE/>
              <w:autoSpaceDN/>
              <w:bidi w:val="0"/>
              <w:spacing w:line="36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snapToGrid/>
                <w:color w:val="auto"/>
                <w:sz w:val="21"/>
                <w:szCs w:val="21"/>
                <w:highlight w:val="none"/>
                <w:lang w:val="en-US" w:eastAsia="zh-CN"/>
              </w:rPr>
              <w:t>（</w:t>
            </w:r>
            <w:r>
              <w:rPr>
                <w:rFonts w:hint="eastAsia" w:ascii="宋体" w:hAnsi="宋体" w:eastAsia="宋体" w:cs="宋体"/>
                <w:color w:val="auto"/>
                <w:sz w:val="21"/>
                <w:szCs w:val="21"/>
                <w:highlight w:val="none"/>
                <w:lang w:val="en-US" w:eastAsia="zh-CN"/>
              </w:rPr>
              <w:t>二）系统支持</w:t>
            </w:r>
            <w:r>
              <w:rPr>
                <w:rFonts w:hint="eastAsia" w:ascii="宋体" w:hAnsi="宋体" w:eastAsia="宋体" w:cs="宋体"/>
                <w:color w:val="auto"/>
                <w:sz w:val="21"/>
                <w:szCs w:val="21"/>
                <w:highlight w:val="none"/>
              </w:rPr>
              <w:t>实时发现飞机GNSS系统受干扰并具有自动告警功能。</w:t>
            </w:r>
          </w:p>
          <w:p w14:paraId="657CE1A0">
            <w:pPr>
              <w:pageBreakBefore w:val="0"/>
              <w:numPr>
                <w:ilvl w:val="0"/>
                <w:numId w:val="0"/>
              </w:numPr>
              <w:kinsoku/>
              <w:wordWrap/>
              <w:overflowPunct/>
              <w:topLinePunct w:val="0"/>
              <w:autoSpaceDE/>
              <w:autoSpaceDN/>
              <w:bidi w:val="0"/>
              <w:spacing w:line="36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snapToGrid/>
                <w:color w:val="auto"/>
                <w:sz w:val="21"/>
                <w:szCs w:val="21"/>
                <w:highlight w:val="none"/>
                <w:lang w:val="en-US" w:eastAsia="zh-CN"/>
              </w:rPr>
              <w:t>（</w:t>
            </w:r>
            <w:r>
              <w:rPr>
                <w:rFonts w:hint="eastAsia" w:ascii="宋体" w:hAnsi="宋体" w:eastAsia="宋体" w:cs="宋体"/>
                <w:color w:val="auto"/>
                <w:sz w:val="21"/>
                <w:szCs w:val="21"/>
                <w:highlight w:val="none"/>
                <w:lang w:val="en-US" w:eastAsia="zh-CN"/>
              </w:rPr>
              <w:t>三）</w:t>
            </w:r>
            <w:r>
              <w:rPr>
                <w:rFonts w:hint="eastAsia" w:ascii="宋体" w:hAnsi="宋体" w:eastAsia="宋体" w:cs="宋体"/>
                <w:color w:val="auto"/>
                <w:sz w:val="21"/>
                <w:szCs w:val="21"/>
                <w:highlight w:val="none"/>
              </w:rPr>
              <w:t>支持海量数据并行高速处理，能够实时解析，灵敏度高，飞机数量和报文消息不遗漏。系统的干扰预警信息能与民航空管部门提供的民航GNSS干扰申诉表数据在相同时间、相同区域范围内的数据进行互相验证，比对成功率达90%以上。</w:t>
            </w:r>
          </w:p>
          <w:p w14:paraId="3233F12B">
            <w:pPr>
              <w:pageBreakBefore w:val="0"/>
              <w:numPr>
                <w:ilvl w:val="0"/>
                <w:numId w:val="0"/>
              </w:numPr>
              <w:kinsoku/>
              <w:wordWrap/>
              <w:overflowPunct/>
              <w:topLinePunct w:val="0"/>
              <w:autoSpaceDE/>
              <w:autoSpaceDN/>
              <w:bidi w:val="0"/>
              <w:spacing w:line="36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snapToGrid/>
                <w:color w:val="auto"/>
                <w:sz w:val="21"/>
                <w:szCs w:val="21"/>
                <w:highlight w:val="none"/>
                <w:lang w:val="en-US" w:eastAsia="zh-CN"/>
              </w:rPr>
              <w:t>（四</w:t>
            </w:r>
            <w:r>
              <w:rPr>
                <w:rFonts w:hint="eastAsia" w:ascii="宋体" w:hAnsi="宋体" w:eastAsia="宋体" w:cs="宋体"/>
                <w:color w:val="auto"/>
                <w:sz w:val="21"/>
                <w:szCs w:val="21"/>
                <w:highlight w:val="none"/>
                <w:lang w:val="en-US" w:eastAsia="zh-CN"/>
              </w:rPr>
              <w:t>）具备</w:t>
            </w:r>
            <w:r>
              <w:rPr>
                <w:rFonts w:hint="eastAsia" w:ascii="宋体" w:hAnsi="宋体" w:eastAsia="宋体" w:cs="宋体"/>
                <w:color w:val="auto"/>
                <w:sz w:val="21"/>
                <w:szCs w:val="21"/>
                <w:highlight w:val="none"/>
              </w:rPr>
              <w:t>深度挖掘分析功能，直接输出民航GNSS受干扰信息，干扰强度等级按1至6级进行分类，并对不同程度的干扰赋予不同的颜色。</w:t>
            </w:r>
          </w:p>
          <w:p w14:paraId="15D0FD1C">
            <w:pPr>
              <w:pageBreakBefore w:val="0"/>
              <w:numPr>
                <w:ilvl w:val="0"/>
                <w:numId w:val="0"/>
              </w:numPr>
              <w:kinsoku/>
              <w:wordWrap/>
              <w:overflowPunct/>
              <w:topLinePunct w:val="0"/>
              <w:autoSpaceDE/>
              <w:autoSpaceDN/>
              <w:bidi w:val="0"/>
              <w:spacing w:line="36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snapToGrid/>
                <w:color w:val="auto"/>
                <w:sz w:val="21"/>
                <w:szCs w:val="21"/>
                <w:highlight w:val="none"/>
                <w:lang w:val="en-US" w:eastAsia="zh-CN"/>
              </w:rPr>
              <w:t>（</w:t>
            </w:r>
            <w:r>
              <w:rPr>
                <w:rFonts w:hint="eastAsia" w:ascii="宋体" w:hAnsi="宋体" w:eastAsia="宋体" w:cs="宋体"/>
                <w:color w:val="auto"/>
                <w:sz w:val="21"/>
                <w:szCs w:val="21"/>
                <w:highlight w:val="none"/>
                <w:lang w:val="en-US" w:eastAsia="zh-CN"/>
              </w:rPr>
              <w:t>五）系统</w:t>
            </w:r>
            <w:r>
              <w:rPr>
                <w:rFonts w:hint="eastAsia" w:ascii="宋体" w:hAnsi="宋体" w:eastAsia="宋体" w:cs="宋体"/>
                <w:color w:val="auto"/>
                <w:sz w:val="21"/>
                <w:szCs w:val="21"/>
                <w:highlight w:val="none"/>
              </w:rPr>
              <w:t>采用模块化设计，性能稳定，可靠性高。</w:t>
            </w:r>
          </w:p>
          <w:p w14:paraId="580B2DB5">
            <w:pPr>
              <w:pageBreakBefore w:val="0"/>
              <w:numPr>
                <w:ilvl w:val="0"/>
                <w:numId w:val="0"/>
              </w:numPr>
              <w:kinsoku/>
              <w:wordWrap/>
              <w:overflowPunct/>
              <w:topLinePunct w:val="0"/>
              <w:autoSpaceDE/>
              <w:autoSpaceDN/>
              <w:bidi w:val="0"/>
              <w:spacing w:line="36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snapToGrid/>
                <w:color w:val="auto"/>
                <w:sz w:val="21"/>
                <w:szCs w:val="21"/>
                <w:highlight w:val="none"/>
                <w:lang w:val="en-US" w:eastAsia="zh-CN"/>
              </w:rPr>
              <w:t>（六</w:t>
            </w:r>
            <w:r>
              <w:rPr>
                <w:rFonts w:hint="eastAsia" w:ascii="宋体" w:hAnsi="宋体" w:eastAsia="宋体" w:cs="宋体"/>
                <w:color w:val="auto"/>
                <w:sz w:val="21"/>
                <w:szCs w:val="21"/>
                <w:highlight w:val="none"/>
                <w:lang w:val="en-US" w:eastAsia="zh-CN"/>
              </w:rPr>
              <w:t>）系统</w:t>
            </w:r>
            <w:r>
              <w:rPr>
                <w:rFonts w:hint="eastAsia" w:ascii="宋体" w:hAnsi="宋体" w:eastAsia="宋体" w:cs="宋体"/>
                <w:color w:val="auto"/>
                <w:sz w:val="21"/>
                <w:szCs w:val="21"/>
                <w:highlight w:val="none"/>
              </w:rPr>
              <w:t>主设备要求为一体化设计（采用一个独立机箱）</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确保系统运行的稳定性、可靠性</w:t>
            </w:r>
            <w:r>
              <w:rPr>
                <w:rFonts w:hint="eastAsia" w:ascii="宋体" w:hAnsi="宋体" w:eastAsia="宋体" w:cs="宋体"/>
                <w:color w:val="auto"/>
                <w:sz w:val="21"/>
                <w:szCs w:val="21"/>
                <w:highlight w:val="none"/>
                <w:lang w:eastAsia="zh-CN"/>
              </w:rPr>
              <w:t>。</w:t>
            </w:r>
          </w:p>
          <w:p w14:paraId="4392BCEB">
            <w:pPr>
              <w:pageBreakBefore w:val="0"/>
              <w:numPr>
                <w:ilvl w:val="0"/>
                <w:numId w:val="0"/>
              </w:numPr>
              <w:kinsoku/>
              <w:wordWrap/>
              <w:overflowPunct/>
              <w:topLinePunct w:val="0"/>
              <w:autoSpaceDE/>
              <w:autoSpaceDN/>
              <w:bidi w:val="0"/>
              <w:spacing w:line="36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snapToGrid/>
                <w:color w:val="auto"/>
                <w:sz w:val="21"/>
                <w:szCs w:val="21"/>
                <w:highlight w:val="none"/>
                <w:lang w:val="en-US" w:eastAsia="zh-CN"/>
              </w:rPr>
              <w:t>（</w:t>
            </w:r>
            <w:r>
              <w:rPr>
                <w:rFonts w:hint="eastAsia" w:ascii="宋体" w:hAnsi="宋体" w:eastAsia="宋体" w:cs="宋体"/>
                <w:color w:val="auto"/>
                <w:sz w:val="21"/>
                <w:szCs w:val="21"/>
                <w:highlight w:val="none"/>
                <w:lang w:val="en-US" w:eastAsia="zh-CN"/>
              </w:rPr>
              <w:t>七）系统能够接入无线电管理一体化平台</w:t>
            </w:r>
            <w:r>
              <w:rPr>
                <w:rFonts w:hint="eastAsia" w:ascii="宋体" w:hAnsi="宋体" w:eastAsia="宋体" w:cs="宋体"/>
                <w:color w:val="auto"/>
                <w:sz w:val="21"/>
                <w:szCs w:val="21"/>
                <w:highlight w:val="none"/>
              </w:rPr>
              <w:t>。</w:t>
            </w:r>
          </w:p>
          <w:p w14:paraId="70790A33">
            <w:pPr>
              <w:pageBreakBefore w:val="0"/>
              <w:numPr>
                <w:ilvl w:val="0"/>
                <w:numId w:val="0"/>
              </w:numPr>
              <w:kinsoku/>
              <w:wordWrap/>
              <w:overflowPunct/>
              <w:topLinePunct w:val="0"/>
              <w:autoSpaceDE/>
              <w:autoSpaceDN/>
              <w:bidi w:val="0"/>
              <w:spacing w:line="360" w:lineRule="exact"/>
              <w:ind w:left="0" w:leftChars="0" w:firstLine="420" w:firstLineChars="200"/>
              <w:textAlignment w:val="auto"/>
              <w:rPr>
                <w:rFonts w:hint="eastAsia" w:ascii="黑体" w:hAnsi="黑体" w:eastAsia="黑体" w:cs="黑体"/>
                <w:color w:val="auto"/>
                <w:sz w:val="21"/>
                <w:szCs w:val="21"/>
                <w:highlight w:val="none"/>
                <w:lang w:val="en-US" w:eastAsia="zh-CN"/>
              </w:rPr>
            </w:pPr>
            <w:r>
              <w:rPr>
                <w:rFonts w:hint="eastAsia" w:ascii="黑体" w:hAnsi="黑体" w:eastAsia="黑体" w:cs="黑体"/>
                <w:color w:val="auto"/>
                <w:sz w:val="21"/>
                <w:szCs w:val="21"/>
                <w:highlight w:val="none"/>
                <w:lang w:val="en-US" w:eastAsia="zh-CN"/>
              </w:rPr>
              <w:t>三、</w:t>
            </w:r>
            <w:bookmarkStart w:id="102" w:name="_Toc31041"/>
            <w:bookmarkStart w:id="103" w:name="_Toc165981438"/>
            <w:r>
              <w:rPr>
                <w:rFonts w:hint="eastAsia" w:ascii="黑体" w:hAnsi="黑体" w:eastAsia="黑体" w:cs="黑体"/>
                <w:color w:val="auto"/>
                <w:sz w:val="21"/>
                <w:szCs w:val="21"/>
                <w:highlight w:val="none"/>
                <w:lang w:val="en-US" w:eastAsia="zh-CN"/>
              </w:rPr>
              <w:t>航空GNSS干扰实时预警系统</w:t>
            </w:r>
            <w:bookmarkEnd w:id="102"/>
            <w:bookmarkEnd w:id="103"/>
          </w:p>
          <w:p w14:paraId="19DFCA04">
            <w:pPr>
              <w:pageBreakBefore w:val="0"/>
              <w:numPr>
                <w:ilvl w:val="0"/>
                <w:numId w:val="0"/>
              </w:numPr>
              <w:kinsoku/>
              <w:wordWrap/>
              <w:overflowPunct/>
              <w:topLinePunct w:val="0"/>
              <w:autoSpaceDE/>
              <w:autoSpaceDN/>
              <w:bidi w:val="0"/>
              <w:spacing w:line="360" w:lineRule="exact"/>
              <w:ind w:left="0" w:leftChars="0" w:firstLine="420" w:firstLineChars="200"/>
              <w:textAlignment w:val="auto"/>
              <w:rPr>
                <w:rFonts w:hint="eastAsia" w:ascii="楷体" w:hAnsi="楷体" w:eastAsia="楷体" w:cs="楷体"/>
                <w:color w:val="auto"/>
                <w:sz w:val="21"/>
                <w:szCs w:val="21"/>
                <w:highlight w:val="none"/>
                <w:lang w:val="en-US" w:eastAsia="zh-CN"/>
              </w:rPr>
            </w:pPr>
            <w:r>
              <w:rPr>
                <w:rFonts w:hint="eastAsia" w:ascii="楷体" w:hAnsi="楷体" w:eastAsia="楷体" w:cs="楷体"/>
                <w:color w:val="auto"/>
                <w:sz w:val="21"/>
                <w:szCs w:val="21"/>
                <w:highlight w:val="none"/>
                <w:lang w:val="en-US" w:eastAsia="zh-CN"/>
              </w:rPr>
              <w:t>（一）主要功能要求</w:t>
            </w:r>
          </w:p>
          <w:p w14:paraId="7BB684F9">
            <w:pPr>
              <w:pageBreakBefore w:val="0"/>
              <w:numPr>
                <w:ilvl w:val="0"/>
                <w:numId w:val="0"/>
              </w:numPr>
              <w:kinsoku/>
              <w:wordWrap/>
              <w:overflowPunct/>
              <w:topLinePunct w:val="0"/>
              <w:autoSpaceDE/>
              <w:autoSpaceDN/>
              <w:bidi w:val="0"/>
              <w:spacing w:line="360" w:lineRule="exact"/>
              <w:ind w:left="0" w:leftChars="0"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cs="宋体"/>
                <w:b w:val="0"/>
                <w:bCs w:val="0"/>
                <w:color w:val="auto"/>
                <w:sz w:val="21"/>
                <w:szCs w:val="21"/>
                <w:highlight w:val="none"/>
                <w:lang w:val="en-US" w:eastAsia="zh-CN"/>
              </w:rPr>
              <w:t>1.</w:t>
            </w:r>
            <w:r>
              <w:rPr>
                <w:rFonts w:hint="eastAsia" w:ascii="宋体" w:hAnsi="宋体" w:eastAsia="宋体" w:cs="宋体"/>
                <w:b w:val="0"/>
                <w:bCs w:val="0"/>
                <w:color w:val="auto"/>
                <w:sz w:val="21"/>
                <w:szCs w:val="21"/>
                <w:highlight w:val="none"/>
              </w:rPr>
              <w:t>支持导入和展现民航空管部门提供的干扰申诉列表数据，支持按照干扰发生的时间（日期以及具体的小时、分钟）对数据进行统计、分析和过滤。</w:t>
            </w:r>
          </w:p>
          <w:p w14:paraId="78A70008">
            <w:pPr>
              <w:pageBreakBefore w:val="0"/>
              <w:numPr>
                <w:ilvl w:val="0"/>
                <w:numId w:val="0"/>
              </w:numPr>
              <w:kinsoku/>
              <w:wordWrap/>
              <w:overflowPunct/>
              <w:topLinePunct w:val="0"/>
              <w:autoSpaceDE/>
              <w:autoSpaceDN/>
              <w:bidi w:val="0"/>
              <w:spacing w:line="360" w:lineRule="exact"/>
              <w:ind w:left="0" w:leftChars="0"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cs="宋体"/>
                <w:b w:val="0"/>
                <w:bCs w:val="0"/>
                <w:color w:val="auto"/>
                <w:sz w:val="21"/>
                <w:szCs w:val="21"/>
                <w:highlight w:val="none"/>
                <w:lang w:val="en-US" w:eastAsia="zh-CN"/>
              </w:rPr>
              <w:t>2.</w:t>
            </w:r>
            <w:r>
              <w:rPr>
                <w:rFonts w:hint="eastAsia" w:ascii="宋体" w:hAnsi="宋体" w:eastAsia="宋体" w:cs="宋体"/>
                <w:b w:val="0"/>
                <w:bCs w:val="0"/>
                <w:color w:val="auto"/>
                <w:sz w:val="21"/>
                <w:szCs w:val="21"/>
                <w:highlight w:val="none"/>
              </w:rPr>
              <w:t>多节点监测数据进行自动融合、汇总。</w:t>
            </w:r>
          </w:p>
          <w:p w14:paraId="05F527A9">
            <w:pPr>
              <w:pageBreakBefore w:val="0"/>
              <w:numPr>
                <w:ilvl w:val="0"/>
                <w:numId w:val="0"/>
              </w:numPr>
              <w:kinsoku/>
              <w:wordWrap/>
              <w:overflowPunct/>
              <w:topLinePunct w:val="0"/>
              <w:autoSpaceDE/>
              <w:autoSpaceDN/>
              <w:bidi w:val="0"/>
              <w:spacing w:line="360" w:lineRule="exact"/>
              <w:ind w:left="0" w:leftChars="0"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cs="宋体"/>
                <w:b w:val="0"/>
                <w:bCs w:val="0"/>
                <w:color w:val="auto"/>
                <w:sz w:val="21"/>
                <w:szCs w:val="21"/>
                <w:highlight w:val="none"/>
                <w:lang w:val="en-US" w:eastAsia="zh-CN"/>
              </w:rPr>
              <w:t>3.</w:t>
            </w:r>
            <w:r>
              <w:rPr>
                <w:rFonts w:hint="eastAsia" w:ascii="宋体" w:hAnsi="宋体" w:eastAsia="宋体" w:cs="宋体"/>
                <w:b w:val="0"/>
                <w:bCs w:val="0"/>
                <w:color w:val="auto"/>
                <w:sz w:val="21"/>
                <w:szCs w:val="21"/>
                <w:highlight w:val="none"/>
              </w:rPr>
              <w:t>支持内网、4G/5G等有线/无线远程连接方式。</w:t>
            </w:r>
          </w:p>
          <w:p w14:paraId="18E0D41B">
            <w:pPr>
              <w:pageBreakBefore w:val="0"/>
              <w:numPr>
                <w:ilvl w:val="0"/>
                <w:numId w:val="0"/>
              </w:numPr>
              <w:kinsoku/>
              <w:wordWrap/>
              <w:overflowPunct/>
              <w:topLinePunct w:val="0"/>
              <w:autoSpaceDE/>
              <w:autoSpaceDN/>
              <w:bidi w:val="0"/>
              <w:spacing w:line="360" w:lineRule="exact"/>
              <w:ind w:left="0" w:leftChars="0"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cs="宋体"/>
                <w:b w:val="0"/>
                <w:bCs w:val="0"/>
                <w:color w:val="auto"/>
                <w:sz w:val="21"/>
                <w:szCs w:val="21"/>
                <w:highlight w:val="none"/>
                <w:lang w:val="en-US" w:eastAsia="zh-CN"/>
              </w:rPr>
              <w:t>4.</w:t>
            </w:r>
            <w:r>
              <w:rPr>
                <w:rFonts w:hint="eastAsia" w:ascii="宋体" w:hAnsi="宋体" w:eastAsia="宋体" w:cs="宋体"/>
                <w:b w:val="0"/>
                <w:bCs w:val="0"/>
                <w:color w:val="auto"/>
                <w:sz w:val="21"/>
                <w:szCs w:val="21"/>
                <w:highlight w:val="none"/>
              </w:rPr>
              <w:t>对监测采集的数据进行自动化解析分析，包括各架飞机的航班号、ICAO编号、所属航空公司、经纬度、高度、速度、航向、截获时间、干扰强度、各架飞机的信号电平强度等。</w:t>
            </w:r>
          </w:p>
          <w:p w14:paraId="6764B50C">
            <w:pPr>
              <w:pageBreakBefore w:val="0"/>
              <w:numPr>
                <w:ilvl w:val="0"/>
                <w:numId w:val="0"/>
              </w:numPr>
              <w:kinsoku/>
              <w:wordWrap/>
              <w:overflowPunct/>
              <w:topLinePunct w:val="0"/>
              <w:autoSpaceDE/>
              <w:autoSpaceDN/>
              <w:bidi w:val="0"/>
              <w:spacing w:line="360" w:lineRule="exact"/>
              <w:ind w:left="0" w:leftChars="0"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cs="宋体"/>
                <w:b w:val="0"/>
                <w:bCs w:val="0"/>
                <w:color w:val="auto"/>
                <w:sz w:val="21"/>
                <w:szCs w:val="21"/>
                <w:highlight w:val="none"/>
                <w:lang w:val="en-US" w:eastAsia="zh-CN"/>
              </w:rPr>
              <w:t>5.</w:t>
            </w:r>
            <w:r>
              <w:rPr>
                <w:rFonts w:hint="eastAsia" w:ascii="宋体" w:hAnsi="宋体" w:eastAsia="宋体" w:cs="宋体"/>
                <w:b w:val="0"/>
                <w:bCs w:val="0"/>
                <w:color w:val="auto"/>
                <w:sz w:val="21"/>
                <w:szCs w:val="21"/>
                <w:highlight w:val="none"/>
              </w:rPr>
              <w:t>地图展示功能：在电子地图上动态展示监测空域所有飞行器的实时轨迹及移动趋势及被干扰的态势。</w:t>
            </w:r>
          </w:p>
          <w:p w14:paraId="64CEC223">
            <w:pPr>
              <w:pageBreakBefore w:val="0"/>
              <w:numPr>
                <w:ilvl w:val="0"/>
                <w:numId w:val="0"/>
              </w:numPr>
              <w:kinsoku/>
              <w:wordWrap/>
              <w:overflowPunct/>
              <w:topLinePunct w:val="0"/>
              <w:autoSpaceDE/>
              <w:autoSpaceDN/>
              <w:bidi w:val="0"/>
              <w:spacing w:line="360" w:lineRule="exact"/>
              <w:ind w:left="0" w:leftChars="0"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cs="宋体"/>
                <w:b w:val="0"/>
                <w:bCs w:val="0"/>
                <w:color w:val="auto"/>
                <w:sz w:val="21"/>
                <w:szCs w:val="21"/>
                <w:highlight w:val="none"/>
                <w:lang w:val="en-US" w:eastAsia="zh-CN"/>
              </w:rPr>
              <w:t>6.</w:t>
            </w:r>
            <w:r>
              <w:rPr>
                <w:rFonts w:hint="eastAsia" w:ascii="宋体" w:hAnsi="宋体" w:eastAsia="宋体" w:cs="宋体"/>
                <w:b w:val="0"/>
                <w:bCs w:val="0"/>
                <w:color w:val="auto"/>
                <w:sz w:val="21"/>
                <w:szCs w:val="21"/>
                <w:highlight w:val="none"/>
              </w:rPr>
              <w:t>在地图上实时展现各架飞机GNSS受干扰的时间、位置、高度等信息，形成高密度干扰区、低密度干扰区、零星干扰区，并基于这些信息，推测地面干扰源的大概分布区域。</w:t>
            </w:r>
          </w:p>
          <w:p w14:paraId="2CC88968">
            <w:pPr>
              <w:pageBreakBefore w:val="0"/>
              <w:numPr>
                <w:ilvl w:val="0"/>
                <w:numId w:val="0"/>
              </w:numPr>
              <w:kinsoku/>
              <w:wordWrap/>
              <w:overflowPunct/>
              <w:topLinePunct w:val="0"/>
              <w:autoSpaceDE/>
              <w:autoSpaceDN/>
              <w:bidi w:val="0"/>
              <w:spacing w:line="360" w:lineRule="exact"/>
              <w:ind w:left="0" w:leftChars="0"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cs="宋体"/>
                <w:b w:val="0"/>
                <w:bCs w:val="0"/>
                <w:color w:val="auto"/>
                <w:sz w:val="21"/>
                <w:szCs w:val="21"/>
                <w:highlight w:val="none"/>
                <w:lang w:val="en-US" w:eastAsia="zh-CN"/>
              </w:rPr>
              <w:t>7.</w:t>
            </w:r>
            <w:r>
              <w:rPr>
                <w:rFonts w:hint="eastAsia" w:ascii="宋体" w:hAnsi="宋体" w:eastAsia="宋体" w:cs="宋体"/>
                <w:b w:val="0"/>
                <w:bCs w:val="0"/>
                <w:color w:val="auto"/>
                <w:sz w:val="21"/>
                <w:szCs w:val="21"/>
                <w:highlight w:val="none"/>
              </w:rPr>
              <w:t>支持导入空管部门干扰申诉表、运营商GNSS异常基站表进行自动分析比对（以上列表为空管部门、运营商主动提供的免费数据）。</w:t>
            </w:r>
          </w:p>
          <w:p w14:paraId="0CEF0AC8">
            <w:pPr>
              <w:pageBreakBefore w:val="0"/>
              <w:numPr>
                <w:ilvl w:val="0"/>
                <w:numId w:val="0"/>
              </w:numPr>
              <w:kinsoku/>
              <w:wordWrap/>
              <w:overflowPunct/>
              <w:topLinePunct w:val="0"/>
              <w:autoSpaceDE/>
              <w:autoSpaceDN/>
              <w:bidi w:val="0"/>
              <w:spacing w:line="360" w:lineRule="exact"/>
              <w:ind w:left="0" w:leftChars="0"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cs="宋体"/>
                <w:b w:val="0"/>
                <w:bCs w:val="0"/>
                <w:color w:val="auto"/>
                <w:sz w:val="21"/>
                <w:szCs w:val="21"/>
                <w:highlight w:val="none"/>
                <w:lang w:val="en-US" w:eastAsia="zh-CN"/>
              </w:rPr>
              <w:t>8.</w:t>
            </w:r>
            <w:r>
              <w:rPr>
                <w:rFonts w:hint="eastAsia" w:ascii="宋体" w:hAnsi="宋体" w:eastAsia="宋体" w:cs="宋体"/>
                <w:b w:val="0"/>
                <w:bCs w:val="0"/>
                <w:color w:val="auto"/>
                <w:sz w:val="21"/>
                <w:szCs w:val="21"/>
                <w:highlight w:val="none"/>
              </w:rPr>
              <w:t>根据预警数据，筛选出源于地面的干扰，排除那些可能源于空中其他设备的干扰，降低无线电管理部门的工作量。</w:t>
            </w:r>
          </w:p>
          <w:p w14:paraId="4C806C40">
            <w:pPr>
              <w:pageBreakBefore w:val="0"/>
              <w:numPr>
                <w:ilvl w:val="0"/>
                <w:numId w:val="0"/>
              </w:numPr>
              <w:kinsoku/>
              <w:wordWrap/>
              <w:overflowPunct/>
              <w:topLinePunct w:val="0"/>
              <w:autoSpaceDE/>
              <w:autoSpaceDN/>
              <w:bidi w:val="0"/>
              <w:spacing w:line="360" w:lineRule="exact"/>
              <w:ind w:left="0" w:leftChars="0"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cs="宋体"/>
                <w:b w:val="0"/>
                <w:bCs w:val="0"/>
                <w:color w:val="auto"/>
                <w:sz w:val="21"/>
                <w:szCs w:val="21"/>
                <w:highlight w:val="none"/>
                <w:lang w:val="en-US" w:eastAsia="zh-CN"/>
              </w:rPr>
              <w:t>9.</w:t>
            </w:r>
            <w:r>
              <w:rPr>
                <w:rFonts w:hint="eastAsia" w:ascii="宋体" w:hAnsi="宋体" w:eastAsia="宋体" w:cs="宋体"/>
                <w:b w:val="0"/>
                <w:bCs w:val="0"/>
                <w:color w:val="auto"/>
                <w:sz w:val="21"/>
                <w:szCs w:val="21"/>
                <w:highlight w:val="none"/>
              </w:rPr>
              <w:t>根据历史预警数据，分析干扰出现的时间规律、地点规律，并给出报表，为GNSS干扰源侦测排查提供方向指引。</w:t>
            </w:r>
          </w:p>
          <w:p w14:paraId="3EEBE579">
            <w:pPr>
              <w:pageBreakBefore w:val="0"/>
              <w:numPr>
                <w:ilvl w:val="0"/>
                <w:numId w:val="0"/>
              </w:numPr>
              <w:kinsoku/>
              <w:wordWrap/>
              <w:overflowPunct/>
              <w:topLinePunct w:val="0"/>
              <w:autoSpaceDE/>
              <w:autoSpaceDN/>
              <w:bidi w:val="0"/>
              <w:spacing w:line="360" w:lineRule="exact"/>
              <w:ind w:left="0" w:leftChars="0"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cs="宋体"/>
                <w:b w:val="0"/>
                <w:bCs w:val="0"/>
                <w:color w:val="auto"/>
                <w:sz w:val="21"/>
                <w:szCs w:val="21"/>
                <w:highlight w:val="none"/>
                <w:lang w:val="en-US" w:eastAsia="zh-CN"/>
              </w:rPr>
              <w:t>10.</w:t>
            </w:r>
            <w:r>
              <w:rPr>
                <w:rFonts w:hint="eastAsia" w:ascii="宋体" w:hAnsi="宋体" w:eastAsia="宋体" w:cs="宋体"/>
                <w:b w:val="0"/>
                <w:bCs w:val="0"/>
                <w:color w:val="auto"/>
                <w:sz w:val="21"/>
                <w:szCs w:val="21"/>
                <w:highlight w:val="none"/>
              </w:rPr>
              <w:t>系统内嵌ICAO和IATA两</w:t>
            </w:r>
            <w:r>
              <w:rPr>
                <w:rFonts w:hint="eastAsia" w:ascii="宋体" w:hAnsi="宋体" w:eastAsia="宋体" w:cs="宋体"/>
                <w:b w:val="0"/>
                <w:bCs w:val="0"/>
                <w:color w:val="auto"/>
                <w:sz w:val="21"/>
                <w:szCs w:val="21"/>
                <w:highlight w:val="none"/>
                <w:lang w:val="en-US" w:eastAsia="zh-CN"/>
              </w:rPr>
              <w:t>个</w:t>
            </w:r>
            <w:r>
              <w:rPr>
                <w:rFonts w:hint="eastAsia" w:ascii="宋体" w:hAnsi="宋体" w:eastAsia="宋体" w:cs="宋体"/>
                <w:b w:val="0"/>
                <w:bCs w:val="0"/>
                <w:color w:val="auto"/>
                <w:sz w:val="21"/>
                <w:szCs w:val="21"/>
                <w:highlight w:val="none"/>
              </w:rPr>
              <w:t>国际组织对机场、航空公司、航班号等二、三、四字的编码数据库，并提供编码互译功能，便于无线电管理部门和民航部门信息交互</w:t>
            </w: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lang w:val="en-US" w:eastAsia="zh-CN"/>
              </w:rPr>
              <w:t>并支持</w:t>
            </w:r>
            <w:r>
              <w:rPr>
                <w:rFonts w:hint="eastAsia" w:ascii="宋体" w:hAnsi="宋体" w:eastAsia="宋体" w:cs="宋体"/>
                <w:b w:val="0"/>
                <w:bCs w:val="0"/>
                <w:color w:val="auto"/>
                <w:sz w:val="21"/>
                <w:szCs w:val="21"/>
                <w:highlight w:val="none"/>
                <w:lang w:eastAsia="zh-CN"/>
              </w:rPr>
              <w:t>数据库的更新</w:t>
            </w:r>
            <w:r>
              <w:rPr>
                <w:rFonts w:hint="eastAsia" w:ascii="宋体" w:hAnsi="宋体" w:eastAsia="宋体" w:cs="宋体"/>
                <w:b w:val="0"/>
                <w:bCs w:val="0"/>
                <w:color w:val="auto"/>
                <w:sz w:val="21"/>
                <w:szCs w:val="21"/>
                <w:highlight w:val="none"/>
              </w:rPr>
              <w:t>。</w:t>
            </w:r>
          </w:p>
          <w:p w14:paraId="7F79EC3A">
            <w:pPr>
              <w:pStyle w:val="55"/>
              <w:pageBreakBefore w:val="0"/>
              <w:numPr>
                <w:ilvl w:val="0"/>
                <w:numId w:val="0"/>
              </w:numPr>
              <w:kinsoku/>
              <w:wordWrap/>
              <w:overflowPunct/>
              <w:topLinePunct w:val="0"/>
              <w:autoSpaceDE/>
              <w:autoSpaceDN/>
              <w:bidi w:val="0"/>
              <w:spacing w:line="36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支持1090ES航空数据链多种数据格式（至少包括 ASTERIX格式）的解析，能将ADS-B 信号和SSR信号（空管二次雷达信号）进行自动区分和解析，形成明文报文。</w:t>
            </w:r>
          </w:p>
          <w:p w14:paraId="503FB4A2">
            <w:pPr>
              <w:pStyle w:val="5"/>
              <w:pageBreakBefore w:val="0"/>
              <w:tabs>
                <w:tab w:val="left" w:pos="0"/>
              </w:tabs>
              <w:kinsoku/>
              <w:wordWrap/>
              <w:overflowPunct/>
              <w:topLinePunct w:val="0"/>
              <w:autoSpaceDE/>
              <w:autoSpaceDN/>
              <w:bidi w:val="0"/>
              <w:spacing w:before="0" w:after="0" w:line="360" w:lineRule="exact"/>
              <w:ind w:left="0" w:leftChars="0" w:firstLine="420" w:firstLineChars="200"/>
              <w:textAlignment w:val="auto"/>
              <w:rPr>
                <w:rFonts w:hint="eastAsia" w:ascii="楷体" w:hAnsi="楷体" w:eastAsia="楷体" w:cs="楷体"/>
                <w:b w:val="0"/>
                <w:bCs w:val="0"/>
                <w:color w:val="auto"/>
                <w:kern w:val="2"/>
                <w:sz w:val="21"/>
                <w:szCs w:val="21"/>
                <w:highlight w:val="none"/>
                <w:lang w:val="en-US" w:eastAsia="zh-CN" w:bidi="ar-SA"/>
              </w:rPr>
            </w:pPr>
            <w:r>
              <w:rPr>
                <w:rFonts w:hint="eastAsia" w:ascii="楷体" w:hAnsi="楷体" w:eastAsia="楷体" w:cs="楷体"/>
                <w:b w:val="0"/>
                <w:bCs w:val="0"/>
                <w:color w:val="auto"/>
                <w:kern w:val="2"/>
                <w:sz w:val="21"/>
                <w:szCs w:val="21"/>
                <w:highlight w:val="none"/>
                <w:lang w:val="en-US" w:eastAsia="zh-CN" w:bidi="ar-SA"/>
              </w:rPr>
              <w:t>（二）主要技术指标要求</w:t>
            </w:r>
          </w:p>
          <w:p w14:paraId="128510DB">
            <w:pPr>
              <w:pageBreakBefore w:val="0"/>
              <w:kinsoku/>
              <w:wordWrap/>
              <w:overflowPunct/>
              <w:topLinePunct w:val="0"/>
              <w:autoSpaceDE/>
              <w:autoSpaceDN/>
              <w:bidi w:val="0"/>
              <w:spacing w:line="360" w:lineRule="exact"/>
              <w:ind w:left="0" w:leftChars="0" w:firstLine="420" w:firstLineChars="200"/>
              <w:textAlignment w:val="auto"/>
              <w:rPr>
                <w:rFonts w:hint="eastAsia" w:ascii="宋体" w:hAnsi="宋体" w:eastAsia="宋体" w:cs="宋体"/>
                <w:snapToGrid w:val="0"/>
                <w:color w:val="auto"/>
                <w:sz w:val="21"/>
                <w:szCs w:val="21"/>
                <w:highlight w:val="none"/>
              </w:rPr>
            </w:pPr>
            <w:r>
              <w:rPr>
                <w:rFonts w:hint="eastAsia" w:ascii="宋体" w:hAnsi="宋体" w:cs="宋体"/>
                <w:snapToGrid w:val="0"/>
                <w:color w:val="auto"/>
                <w:sz w:val="21"/>
                <w:szCs w:val="21"/>
                <w:highlight w:val="none"/>
                <w:lang w:val="en-US" w:eastAsia="zh-CN"/>
              </w:rPr>
              <w:t>1.</w:t>
            </w:r>
            <w:r>
              <w:rPr>
                <w:rFonts w:hint="eastAsia" w:ascii="宋体" w:hAnsi="宋体" w:eastAsia="宋体" w:cs="宋体"/>
                <w:snapToGrid w:val="0"/>
                <w:color w:val="auto"/>
                <w:sz w:val="21"/>
                <w:szCs w:val="21"/>
                <w:highlight w:val="none"/>
              </w:rPr>
              <w:t>预警天线</w:t>
            </w:r>
          </w:p>
          <w:p w14:paraId="3EDBDAA6">
            <w:pPr>
              <w:pageBreakBefore w:val="0"/>
              <w:numPr>
                <w:ilvl w:val="0"/>
                <w:numId w:val="0"/>
              </w:numPr>
              <w:kinsoku/>
              <w:wordWrap/>
              <w:overflowPunct/>
              <w:topLinePunct w:val="0"/>
              <w:autoSpaceDE/>
              <w:autoSpaceDN/>
              <w:bidi w:val="0"/>
              <w:spacing w:line="36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频率范围：1060MHz～1120MHz。增益：≥10dBi。极化方式：垂直极化。驻波比：≤1.5。阻抗：50欧姆。</w:t>
            </w:r>
          </w:p>
          <w:p w14:paraId="009CFAA9">
            <w:pPr>
              <w:pageBreakBefore w:val="0"/>
              <w:kinsoku/>
              <w:wordWrap/>
              <w:overflowPunct/>
              <w:topLinePunct w:val="0"/>
              <w:autoSpaceDE/>
              <w:autoSpaceDN/>
              <w:bidi w:val="0"/>
              <w:spacing w:line="360" w:lineRule="exact"/>
              <w:ind w:left="0" w:leftChars="0" w:firstLine="420" w:firstLineChars="200"/>
              <w:textAlignment w:val="auto"/>
              <w:rPr>
                <w:rFonts w:hint="eastAsia" w:ascii="宋体" w:hAnsi="宋体" w:eastAsia="宋体" w:cs="宋体"/>
                <w:snapToGrid w:val="0"/>
                <w:color w:val="auto"/>
                <w:sz w:val="21"/>
                <w:szCs w:val="21"/>
                <w:highlight w:val="none"/>
              </w:rPr>
            </w:pPr>
            <w:r>
              <w:rPr>
                <w:rFonts w:hint="eastAsia" w:ascii="宋体" w:hAnsi="宋体" w:cs="宋体"/>
                <w:snapToGrid w:val="0"/>
                <w:color w:val="auto"/>
                <w:sz w:val="21"/>
                <w:szCs w:val="21"/>
                <w:highlight w:val="none"/>
                <w:lang w:val="en-US" w:eastAsia="zh-CN"/>
              </w:rPr>
              <w:t>2.</w:t>
            </w:r>
            <w:r>
              <w:rPr>
                <w:rFonts w:hint="eastAsia" w:ascii="宋体" w:hAnsi="宋体" w:eastAsia="宋体" w:cs="宋体"/>
                <w:snapToGrid w:val="0"/>
                <w:color w:val="auto"/>
                <w:sz w:val="21"/>
                <w:szCs w:val="21"/>
                <w:highlight w:val="none"/>
              </w:rPr>
              <w:t>预警节点设备</w:t>
            </w:r>
          </w:p>
          <w:p w14:paraId="577AAB10">
            <w:pPr>
              <w:pageBreakBefore w:val="0"/>
              <w:numPr>
                <w:ilvl w:val="0"/>
                <w:numId w:val="0"/>
              </w:numPr>
              <w:kinsoku/>
              <w:wordWrap/>
              <w:overflowPunct/>
              <w:topLinePunct w:val="0"/>
              <w:autoSpaceDE/>
              <w:autoSpaceDN/>
              <w:bidi w:val="0"/>
              <w:spacing w:line="36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接收灵敏度：≤-95dBm。接收频率：1090MHz，可扩展对978MHz（UAT‌）、118～137MHz（VDL）的监测。采集速率：115200～921600bps。解调带宽：1MHz。调制解调方式：脉冲位置调制</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PPM</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支持1090ES、UAT和VDL-4三种数据链的解析。支持A/C模式和S模式二次雷达应答信号的有效接收和识别，能对二次雷达应答信号的自动化解析和区分。多通道并行接收、同步高速处理</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同时处理 ADS-B 目标容量：最少 400 个目标。模块化结构，性能稳定，便于集成到固定监测站设备机柜内或独立安装。具有定时休眠和自动重启及恢复功能。工作温湿度：-25～85摄氏度</w:t>
            </w:r>
            <w:r>
              <w:rPr>
                <w:rFonts w:hint="eastAsia" w:ascii="宋体" w:hAnsi="宋体" w:eastAsia="宋体" w:cs="宋体"/>
                <w:color w:val="auto"/>
                <w:sz w:val="21"/>
                <w:szCs w:val="21"/>
                <w:highlight w:val="none"/>
                <w:lang w:eastAsia="zh-CN"/>
              </w:rPr>
              <w:t>。</w:t>
            </w:r>
            <w:r>
              <w:rPr>
                <w:rFonts w:hint="eastAsia" w:ascii="宋体" w:hAnsi="宋体" w:eastAsia="宋体" w:cs="宋体"/>
                <w:snapToGrid w:val="0"/>
                <w:color w:val="auto"/>
                <w:sz w:val="21"/>
                <w:szCs w:val="21"/>
                <w:highlight w:val="none"/>
              </w:rPr>
              <w:t>预警节点设备内</w:t>
            </w:r>
            <w:r>
              <w:rPr>
                <w:rFonts w:hint="eastAsia" w:ascii="宋体" w:hAnsi="宋体" w:eastAsia="宋体" w:cs="宋体"/>
                <w:color w:val="auto"/>
                <w:sz w:val="21"/>
                <w:szCs w:val="21"/>
                <w:highlight w:val="none"/>
              </w:rPr>
              <w:t>嵌入式计算机采用主频不低于1.5GHz，内存不少于4GB，本机存储不少于128GB；自带GPU以辅助实现规模化并行运算；自带千兆网口、USB、HDMI口等，支持SD扩展存储；采用国产操作系统。</w:t>
            </w:r>
          </w:p>
          <w:p w14:paraId="4E58DB99">
            <w:pPr>
              <w:pageBreakBefore w:val="0"/>
              <w:kinsoku/>
              <w:wordWrap/>
              <w:overflowPunct/>
              <w:topLinePunct w:val="0"/>
              <w:autoSpaceDE/>
              <w:autoSpaceDN/>
              <w:bidi w:val="0"/>
              <w:spacing w:line="360" w:lineRule="exact"/>
              <w:ind w:left="0" w:leftChars="0" w:firstLine="0"/>
              <w:textAlignment w:val="auto"/>
              <w:rPr>
                <w:rFonts w:hint="eastAsia" w:ascii="宋体" w:hAnsi="宋体" w:eastAsia="宋体" w:cs="宋体"/>
                <w:snapToGrid w:val="0"/>
                <w:color w:val="auto"/>
                <w:sz w:val="21"/>
                <w:szCs w:val="21"/>
                <w:highlight w:val="none"/>
              </w:rPr>
            </w:pPr>
            <w:r>
              <w:rPr>
                <w:rFonts w:hint="eastAsia" w:ascii="宋体" w:hAnsi="宋体" w:cs="宋体"/>
                <w:snapToGrid w:val="0"/>
                <w:color w:val="auto"/>
                <w:sz w:val="21"/>
                <w:szCs w:val="21"/>
                <w:highlight w:val="none"/>
                <w:lang w:val="en-US" w:eastAsia="zh-CN"/>
              </w:rPr>
              <w:t xml:space="preserve">    3.</w:t>
            </w:r>
            <w:r>
              <w:rPr>
                <w:rFonts w:hint="eastAsia" w:ascii="宋体" w:hAnsi="宋体" w:eastAsia="宋体" w:cs="宋体"/>
                <w:snapToGrid w:val="0"/>
                <w:color w:val="auto"/>
                <w:sz w:val="21"/>
                <w:szCs w:val="21"/>
                <w:highlight w:val="none"/>
              </w:rPr>
              <w:t>专用存储服务器</w:t>
            </w:r>
          </w:p>
          <w:p w14:paraId="6237BC25">
            <w:pPr>
              <w:pageBreakBefore w:val="0"/>
              <w:numPr>
                <w:ilvl w:val="0"/>
                <w:numId w:val="0"/>
              </w:numPr>
              <w:kinsoku/>
              <w:wordWrap/>
              <w:overflowPunct/>
              <w:topLinePunct w:val="0"/>
              <w:autoSpaceDE/>
              <w:autoSpaceDN/>
              <w:bidi w:val="0"/>
              <w:spacing w:line="360" w:lineRule="exact"/>
              <w:ind w:left="0" w:leftChars="0" w:firstLine="420"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highlight w:val="none"/>
              </w:rPr>
              <w:t>CPU：核心数不低于8核16线程，主频不低于2.5GHz。内存：128GB。系统盘：不低于240GB（企业级固态硬盘）。硬盘：4块8T硬盘。带磁盘阵列。</w:t>
            </w:r>
            <w:r>
              <w:rPr>
                <w:rFonts w:hint="eastAsia" w:ascii="宋体" w:hAnsi="宋体" w:eastAsia="宋体" w:cs="宋体"/>
                <w:color w:val="auto"/>
                <w:kern w:val="2"/>
                <w:sz w:val="21"/>
                <w:szCs w:val="21"/>
                <w:highlight w:val="none"/>
              </w:rPr>
              <w:t>满足国产化信创要求的产品。</w:t>
            </w:r>
            <w:bookmarkStart w:id="104" w:name="_Toc25152"/>
          </w:p>
          <w:p w14:paraId="7E28E4AB">
            <w:pPr>
              <w:pageBreakBefore w:val="0"/>
              <w:numPr>
                <w:ilvl w:val="0"/>
                <w:numId w:val="0"/>
              </w:numPr>
              <w:kinsoku/>
              <w:wordWrap/>
              <w:overflowPunct/>
              <w:topLinePunct w:val="0"/>
              <w:autoSpaceDE/>
              <w:autoSpaceDN/>
              <w:bidi w:val="0"/>
              <w:spacing w:line="360" w:lineRule="exact"/>
              <w:ind w:left="0" w:leftChars="0" w:firstLine="420" w:firstLineChars="200"/>
              <w:textAlignment w:val="auto"/>
              <w:rPr>
                <w:rFonts w:hint="eastAsia" w:ascii="黑体" w:hAnsi="黑体" w:eastAsia="黑体" w:cs="黑体"/>
                <w:color w:val="auto"/>
                <w:sz w:val="21"/>
                <w:szCs w:val="21"/>
                <w:highlight w:val="none"/>
                <w:lang w:val="en-US" w:eastAsia="zh-CN"/>
              </w:rPr>
            </w:pPr>
            <w:r>
              <w:rPr>
                <w:rFonts w:hint="eastAsia" w:ascii="黑体" w:hAnsi="黑体" w:eastAsia="黑体" w:cs="黑体"/>
                <w:color w:val="auto"/>
                <w:sz w:val="21"/>
                <w:szCs w:val="21"/>
                <w:highlight w:val="none"/>
                <w:lang w:val="en-US" w:eastAsia="zh-CN"/>
              </w:rPr>
              <w:t>四、小型升空GNSS干扰源侦测定位设备</w:t>
            </w:r>
            <w:bookmarkEnd w:id="104"/>
          </w:p>
          <w:p w14:paraId="51C1A931">
            <w:pPr>
              <w:pageBreakBefore w:val="0"/>
              <w:numPr>
                <w:ilvl w:val="0"/>
                <w:numId w:val="0"/>
              </w:numPr>
              <w:kinsoku/>
              <w:wordWrap/>
              <w:overflowPunct/>
              <w:topLinePunct w:val="0"/>
              <w:autoSpaceDE/>
              <w:autoSpaceDN/>
              <w:bidi w:val="0"/>
              <w:spacing w:line="360" w:lineRule="exact"/>
              <w:ind w:left="0" w:leftChars="0" w:firstLine="420" w:firstLineChars="200"/>
              <w:textAlignment w:val="auto"/>
              <w:rPr>
                <w:rFonts w:hint="eastAsia" w:ascii="楷体" w:hAnsi="楷体" w:eastAsia="楷体" w:cs="楷体"/>
                <w:color w:val="auto"/>
                <w:kern w:val="2"/>
                <w:sz w:val="21"/>
                <w:szCs w:val="21"/>
                <w:highlight w:val="none"/>
                <w:lang w:val="en-US" w:eastAsia="zh-CN" w:bidi="ar-SA"/>
              </w:rPr>
            </w:pPr>
            <w:r>
              <w:rPr>
                <w:rFonts w:hint="eastAsia" w:ascii="楷体" w:hAnsi="楷体" w:eastAsia="楷体" w:cs="楷体"/>
                <w:color w:val="auto"/>
                <w:kern w:val="2"/>
                <w:sz w:val="21"/>
                <w:szCs w:val="21"/>
                <w:highlight w:val="none"/>
                <w:lang w:val="en-US" w:eastAsia="zh-CN" w:bidi="ar-SA"/>
              </w:rPr>
              <w:t>（一）主要功能要求</w:t>
            </w:r>
          </w:p>
          <w:p w14:paraId="47ECC2D7">
            <w:pPr>
              <w:pStyle w:val="55"/>
              <w:pageBreakBefore w:val="0"/>
              <w:numPr>
                <w:ilvl w:val="-1"/>
                <w:numId w:val="0"/>
              </w:numPr>
              <w:kinsoku/>
              <w:wordWrap/>
              <w:overflowPunct/>
              <w:topLinePunct w:val="0"/>
              <w:autoSpaceDE/>
              <w:autoSpaceDN/>
              <w:bidi w:val="0"/>
              <w:spacing w:line="360" w:lineRule="exact"/>
              <w:ind w:left="420" w:leftChars="200" w:firstLine="0" w:firstLineChars="0"/>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rPr>
              <w:t>系统应支持主流GNSS系统干扰排查，包括GPS、北斗、GLONASS和</w:t>
            </w:r>
            <w:r>
              <w:rPr>
                <w:rFonts w:hint="eastAsia" w:ascii="宋体" w:hAnsi="宋体" w:eastAsia="宋体" w:cs="宋体"/>
                <w:color w:val="auto"/>
                <w:sz w:val="21"/>
                <w:szCs w:val="21"/>
                <w:highlight w:val="none"/>
                <w:lang w:eastAsia="zh-CN"/>
              </w:rPr>
              <w:t>GALILEO</w:t>
            </w:r>
            <w:r>
              <w:rPr>
                <w:rFonts w:hint="eastAsia" w:ascii="宋体" w:hAnsi="宋体" w:eastAsia="宋体" w:cs="宋体"/>
                <w:color w:val="auto"/>
                <w:sz w:val="21"/>
                <w:szCs w:val="21"/>
                <w:highlight w:val="none"/>
              </w:rPr>
              <w:t>。</w:t>
            </w:r>
          </w:p>
          <w:p w14:paraId="2A6AA177">
            <w:pPr>
              <w:pStyle w:val="55"/>
              <w:pageBreakBefore w:val="0"/>
              <w:numPr>
                <w:ilvl w:val="-1"/>
                <w:numId w:val="0"/>
              </w:numPr>
              <w:kinsoku/>
              <w:wordWrap/>
              <w:overflowPunct/>
              <w:topLinePunct w:val="0"/>
              <w:autoSpaceDE/>
              <w:autoSpaceDN/>
              <w:bidi w:val="0"/>
              <w:spacing w:line="360" w:lineRule="exact"/>
              <w:ind w:left="0" w:leftChars="0" w:firstLine="420"/>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rPr>
              <w:t>具备GNSS信号质量实时显示功能，能够实时显示当前能够接收到的GNSS卫星导航信号质量。</w:t>
            </w:r>
          </w:p>
          <w:p w14:paraId="1013CE8E">
            <w:pPr>
              <w:pStyle w:val="55"/>
              <w:pageBreakBefore w:val="0"/>
              <w:numPr>
                <w:ilvl w:val="-1"/>
                <w:numId w:val="0"/>
              </w:numPr>
              <w:kinsoku/>
              <w:wordWrap/>
              <w:overflowPunct/>
              <w:topLinePunct w:val="0"/>
              <w:autoSpaceDE/>
              <w:autoSpaceDN/>
              <w:bidi w:val="0"/>
              <w:spacing w:line="360" w:lineRule="exact"/>
              <w:ind w:left="0" w:leftChars="0" w:firstLine="420"/>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rPr>
              <w:t>具备GNSS干扰测向功能，能够对压制式和欺骗式GNSS干扰进行测向。</w:t>
            </w:r>
          </w:p>
          <w:p w14:paraId="1D286BC8">
            <w:pPr>
              <w:pStyle w:val="55"/>
              <w:pageBreakBefore w:val="0"/>
              <w:numPr>
                <w:ilvl w:val="-1"/>
                <w:numId w:val="0"/>
              </w:numPr>
              <w:kinsoku/>
              <w:wordWrap/>
              <w:overflowPunct/>
              <w:topLinePunct w:val="0"/>
              <w:autoSpaceDE/>
              <w:autoSpaceDN/>
              <w:bidi w:val="0"/>
              <w:spacing w:line="360" w:lineRule="exact"/>
              <w:ind w:left="0" w:leftChars="0" w:firstLine="420"/>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4.</w:t>
            </w:r>
            <w:r>
              <w:rPr>
                <w:rFonts w:hint="eastAsia" w:ascii="宋体" w:hAnsi="宋体" w:eastAsia="宋体" w:cs="宋体"/>
                <w:color w:val="auto"/>
                <w:sz w:val="21"/>
                <w:szCs w:val="21"/>
                <w:highlight w:val="none"/>
              </w:rPr>
              <w:t>能够自动侦测并识别出窄带噪声干扰、宽带噪声干扰。</w:t>
            </w:r>
          </w:p>
          <w:p w14:paraId="3202AF08">
            <w:pPr>
              <w:pStyle w:val="55"/>
              <w:pageBreakBefore w:val="0"/>
              <w:numPr>
                <w:ilvl w:val="-1"/>
                <w:numId w:val="0"/>
              </w:numPr>
              <w:kinsoku/>
              <w:wordWrap/>
              <w:overflowPunct/>
              <w:topLinePunct w:val="0"/>
              <w:autoSpaceDE/>
              <w:autoSpaceDN/>
              <w:bidi w:val="0"/>
              <w:spacing w:line="360" w:lineRule="exact"/>
              <w:ind w:left="0" w:leftChars="0" w:firstLine="420"/>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rPr>
              <w:t>能够自动分析识别出真、假卫星信号。</w:t>
            </w:r>
          </w:p>
          <w:p w14:paraId="6F2DC9C0">
            <w:pPr>
              <w:pStyle w:val="55"/>
              <w:pageBreakBefore w:val="0"/>
              <w:numPr>
                <w:ilvl w:val="-1"/>
                <w:numId w:val="0"/>
              </w:numPr>
              <w:kinsoku/>
              <w:wordWrap/>
              <w:overflowPunct/>
              <w:topLinePunct w:val="0"/>
              <w:autoSpaceDE/>
              <w:autoSpaceDN/>
              <w:bidi w:val="0"/>
              <w:spacing w:line="360" w:lineRule="exact"/>
              <w:ind w:left="0" w:leftChars="0" w:firstLine="420"/>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6.</w:t>
            </w:r>
            <w:r>
              <w:rPr>
                <w:rFonts w:hint="eastAsia" w:ascii="宋体" w:hAnsi="宋体" w:eastAsia="宋体" w:cs="宋体"/>
                <w:color w:val="auto"/>
                <w:sz w:val="21"/>
                <w:szCs w:val="21"/>
                <w:highlight w:val="none"/>
              </w:rPr>
              <w:t>当发现噪声干扰、欺骗式干扰（假卫星信号）时，能迅速报警。</w:t>
            </w:r>
          </w:p>
          <w:p w14:paraId="7BE953B6">
            <w:pPr>
              <w:pStyle w:val="55"/>
              <w:pageBreakBefore w:val="0"/>
              <w:numPr>
                <w:ilvl w:val="-1"/>
                <w:numId w:val="0"/>
              </w:numPr>
              <w:kinsoku/>
              <w:wordWrap/>
              <w:overflowPunct/>
              <w:topLinePunct w:val="0"/>
              <w:autoSpaceDE/>
              <w:autoSpaceDN/>
              <w:bidi w:val="0"/>
              <w:spacing w:line="360" w:lineRule="exact"/>
              <w:ind w:left="0" w:leftChars="0" w:firstLine="420"/>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7.</w:t>
            </w:r>
            <w:r>
              <w:rPr>
                <w:rFonts w:hint="eastAsia" w:ascii="宋体" w:hAnsi="宋体" w:eastAsia="宋体" w:cs="宋体"/>
                <w:color w:val="auto"/>
                <w:sz w:val="21"/>
                <w:szCs w:val="21"/>
                <w:highlight w:val="none"/>
              </w:rPr>
              <w:t>具备多点交会定位功能，可以实现单台设备多点联合定位。</w:t>
            </w:r>
          </w:p>
          <w:p w14:paraId="5B8761A7">
            <w:pPr>
              <w:pStyle w:val="55"/>
              <w:pageBreakBefore w:val="0"/>
              <w:numPr>
                <w:ilvl w:val="-1"/>
                <w:numId w:val="0"/>
              </w:numPr>
              <w:kinsoku/>
              <w:wordWrap/>
              <w:overflowPunct/>
              <w:topLinePunct w:val="0"/>
              <w:autoSpaceDE/>
              <w:autoSpaceDN/>
              <w:bidi w:val="0"/>
              <w:spacing w:line="360" w:lineRule="exact"/>
              <w:ind w:left="0" w:leftChars="0" w:firstLine="420"/>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8.</w:t>
            </w:r>
            <w:r>
              <w:rPr>
                <w:rFonts w:hint="eastAsia" w:ascii="宋体" w:hAnsi="宋体" w:eastAsia="宋体" w:cs="宋体"/>
                <w:color w:val="auto"/>
                <w:sz w:val="21"/>
                <w:szCs w:val="21"/>
                <w:highlight w:val="none"/>
                <w:lang w:val="en-US" w:eastAsia="zh-CN"/>
              </w:rPr>
              <w:t>具备</w:t>
            </w:r>
            <w:r>
              <w:rPr>
                <w:rFonts w:hint="eastAsia" w:ascii="宋体" w:hAnsi="宋体" w:eastAsia="宋体" w:cs="宋体"/>
                <w:color w:val="auto"/>
                <w:sz w:val="21"/>
                <w:szCs w:val="21"/>
                <w:highlight w:val="none"/>
              </w:rPr>
              <w:t>GNSS干扰信号自动化发现和识别</w:t>
            </w:r>
            <w:r>
              <w:rPr>
                <w:rFonts w:hint="eastAsia" w:ascii="宋体" w:hAnsi="宋体" w:eastAsia="宋体" w:cs="宋体"/>
                <w:color w:val="auto"/>
                <w:sz w:val="21"/>
                <w:szCs w:val="21"/>
                <w:highlight w:val="none"/>
                <w:lang w:eastAsia="zh-CN"/>
              </w:rPr>
              <w:t>。</w:t>
            </w:r>
          </w:p>
          <w:p w14:paraId="08B1BCAD">
            <w:pPr>
              <w:pStyle w:val="55"/>
              <w:pageBreakBefore w:val="0"/>
              <w:numPr>
                <w:ilvl w:val="-1"/>
                <w:numId w:val="0"/>
              </w:numPr>
              <w:kinsoku/>
              <w:wordWrap/>
              <w:overflowPunct/>
              <w:topLinePunct w:val="0"/>
              <w:autoSpaceDE/>
              <w:autoSpaceDN/>
              <w:bidi w:val="0"/>
              <w:spacing w:line="360" w:lineRule="exact"/>
              <w:ind w:left="0" w:leftChars="0" w:firstLine="420"/>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9.</w:t>
            </w:r>
            <w:r>
              <w:rPr>
                <w:rFonts w:hint="eastAsia" w:ascii="宋体" w:hAnsi="宋体" w:eastAsia="宋体" w:cs="宋体"/>
                <w:color w:val="auto"/>
                <w:sz w:val="21"/>
                <w:szCs w:val="21"/>
                <w:highlight w:val="none"/>
                <w:lang w:val="en-US" w:eastAsia="zh-CN"/>
              </w:rPr>
              <w:t>系统</w:t>
            </w:r>
            <w:r>
              <w:rPr>
                <w:rFonts w:hint="eastAsia" w:ascii="宋体" w:hAnsi="宋体" w:eastAsia="宋体" w:cs="宋体"/>
                <w:color w:val="auto"/>
                <w:sz w:val="21"/>
                <w:szCs w:val="21"/>
                <w:highlight w:val="none"/>
              </w:rPr>
              <w:t>应具备在GNSS信号受到压制和欺骗情况下，正常飞行和安全作业的能力</w:t>
            </w:r>
            <w:r>
              <w:rPr>
                <w:rFonts w:hint="eastAsia" w:ascii="宋体" w:hAnsi="宋体" w:eastAsia="宋体" w:cs="宋体"/>
                <w:color w:val="auto"/>
                <w:sz w:val="21"/>
                <w:szCs w:val="21"/>
                <w:highlight w:val="none"/>
                <w:lang w:eastAsia="zh-CN"/>
              </w:rPr>
              <w:t>。</w:t>
            </w:r>
          </w:p>
          <w:p w14:paraId="3EA0C5A5">
            <w:pPr>
              <w:pStyle w:val="55"/>
              <w:keepNext w:val="0"/>
              <w:keepLines w:val="0"/>
              <w:pageBreakBefore w:val="0"/>
              <w:widowControl/>
              <w:numPr>
                <w:ilvl w:val="-1"/>
                <w:numId w:val="0"/>
              </w:numPr>
              <w:kinsoku/>
              <w:wordWrap/>
              <w:overflowPunct/>
              <w:topLinePunct w:val="0"/>
              <w:autoSpaceDE/>
              <w:autoSpaceDN/>
              <w:bidi w:val="0"/>
              <w:adjustRightInd/>
              <w:snapToGrid/>
              <w:spacing w:line="360" w:lineRule="exact"/>
              <w:ind w:left="0" w:leftChars="0" w:firstLine="420" w:firstLineChars="0"/>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10.</w:t>
            </w:r>
            <w:r>
              <w:rPr>
                <w:rFonts w:hint="eastAsia" w:ascii="宋体" w:hAnsi="宋体" w:eastAsia="宋体" w:cs="宋体"/>
                <w:color w:val="auto"/>
                <w:sz w:val="21"/>
                <w:szCs w:val="21"/>
                <w:highlight w:val="none"/>
              </w:rPr>
              <w:t>机载式GNSS干扰查找设备使用的搭载平台</w:t>
            </w:r>
            <w:r>
              <w:rPr>
                <w:rFonts w:hint="eastAsia" w:ascii="宋体" w:hAnsi="宋体" w:eastAsia="宋体" w:cs="宋体"/>
                <w:color w:val="auto"/>
                <w:sz w:val="21"/>
                <w:szCs w:val="21"/>
                <w:highlight w:val="none"/>
                <w:lang w:val="en-US" w:eastAsia="zh-CN"/>
              </w:rPr>
              <w:t>应</w:t>
            </w:r>
            <w:r>
              <w:rPr>
                <w:rFonts w:hint="eastAsia" w:ascii="宋体" w:hAnsi="宋体" w:eastAsia="宋体" w:cs="宋体"/>
                <w:color w:val="auto"/>
                <w:sz w:val="21"/>
                <w:szCs w:val="21"/>
                <w:highlight w:val="none"/>
              </w:rPr>
              <w:t>为具有地面遥控能力的无人机</w:t>
            </w:r>
            <w:r>
              <w:rPr>
                <w:rFonts w:hint="eastAsia" w:ascii="宋体" w:hAnsi="宋体" w:eastAsia="宋体" w:cs="宋体"/>
                <w:color w:val="auto"/>
                <w:sz w:val="21"/>
                <w:szCs w:val="21"/>
                <w:highlight w:val="none"/>
                <w:lang w:eastAsia="zh-CN"/>
              </w:rPr>
              <w:t>。</w:t>
            </w:r>
          </w:p>
          <w:p w14:paraId="7056CB18">
            <w:pPr>
              <w:pStyle w:val="55"/>
              <w:keepNext w:val="0"/>
              <w:keepLines w:val="0"/>
              <w:pageBreakBefore w:val="0"/>
              <w:widowControl/>
              <w:numPr>
                <w:ilvl w:val="-1"/>
                <w:numId w:val="0"/>
              </w:numPr>
              <w:kinsoku/>
              <w:wordWrap/>
              <w:overflowPunct/>
              <w:topLinePunct w:val="0"/>
              <w:autoSpaceDE/>
              <w:autoSpaceDN/>
              <w:bidi w:val="0"/>
              <w:adjustRightInd/>
              <w:snapToGrid/>
              <w:spacing w:line="360" w:lineRule="exact"/>
              <w:ind w:left="0" w:leftChars="0" w:firstLine="420" w:firstLineChars="0"/>
              <w:textAlignment w:val="auto"/>
              <w:rPr>
                <w:rFonts w:hint="eastAsia" w:ascii="宋体" w:hAnsi="宋体" w:eastAsia="宋体" w:cs="宋体"/>
                <w:color w:val="auto"/>
                <w:sz w:val="21"/>
                <w:szCs w:val="21"/>
                <w:highlight w:val="none"/>
              </w:rPr>
            </w:pPr>
            <w:r>
              <w:rPr>
                <w:rFonts w:hint="eastAsia" w:ascii="宋体" w:hAnsi="宋体" w:cs="宋体"/>
                <w:b w:val="0"/>
                <w:bCs w:val="0"/>
                <w:color w:val="auto"/>
                <w:sz w:val="21"/>
                <w:szCs w:val="21"/>
                <w:highlight w:val="none"/>
                <w:lang w:val="en-US" w:eastAsia="zh-CN"/>
              </w:rPr>
              <w:t>11.</w:t>
            </w:r>
            <w:r>
              <w:rPr>
                <w:rFonts w:hint="eastAsia" w:ascii="宋体" w:hAnsi="宋体" w:eastAsia="宋体" w:cs="宋体"/>
                <w:color w:val="auto"/>
                <w:sz w:val="21"/>
                <w:szCs w:val="21"/>
                <w:highlight w:val="none"/>
              </w:rPr>
              <w:t>采用无人机作为搭载平台时，在有效遥控距离内，机载式GNSS干扰查找设备应能实时回传监测数据至地面终端</w:t>
            </w:r>
            <w:r>
              <w:rPr>
                <w:rFonts w:hint="eastAsia" w:ascii="宋体" w:hAnsi="宋体" w:eastAsia="宋体" w:cs="宋体"/>
                <w:color w:val="auto"/>
                <w:sz w:val="21"/>
                <w:szCs w:val="21"/>
                <w:highlight w:val="none"/>
                <w:lang w:eastAsia="zh-CN"/>
              </w:rPr>
              <w:t>。</w:t>
            </w:r>
          </w:p>
          <w:p w14:paraId="2FDA6AC2">
            <w:pPr>
              <w:pStyle w:val="55"/>
              <w:keepNext w:val="0"/>
              <w:keepLines w:val="0"/>
              <w:pageBreakBefore w:val="0"/>
              <w:widowControl/>
              <w:numPr>
                <w:ilvl w:val="-1"/>
                <w:numId w:val="0"/>
              </w:numPr>
              <w:kinsoku/>
              <w:wordWrap/>
              <w:overflowPunct/>
              <w:topLinePunct w:val="0"/>
              <w:autoSpaceDE/>
              <w:autoSpaceDN/>
              <w:bidi w:val="0"/>
              <w:adjustRightInd/>
              <w:snapToGrid/>
              <w:spacing w:line="360" w:lineRule="exact"/>
              <w:ind w:left="0" w:leftChars="0" w:firstLine="420" w:firstLineChars="0"/>
              <w:textAlignment w:val="auto"/>
              <w:rPr>
                <w:rFonts w:hint="eastAsia" w:ascii="宋体" w:hAnsi="宋体" w:eastAsia="宋体" w:cs="宋体"/>
                <w:color w:val="auto"/>
                <w:sz w:val="21"/>
                <w:szCs w:val="21"/>
                <w:highlight w:val="none"/>
              </w:rPr>
            </w:pPr>
            <w:r>
              <w:rPr>
                <w:rFonts w:hint="eastAsia" w:ascii="宋体" w:hAnsi="宋体" w:cs="宋体"/>
                <w:b w:val="0"/>
                <w:bCs w:val="0"/>
                <w:color w:val="auto"/>
                <w:sz w:val="21"/>
                <w:szCs w:val="21"/>
                <w:highlight w:val="none"/>
                <w:lang w:val="en-US" w:eastAsia="zh-CN"/>
              </w:rPr>
              <w:t>12.</w:t>
            </w:r>
            <w:r>
              <w:rPr>
                <w:rFonts w:hint="eastAsia" w:ascii="宋体" w:hAnsi="宋体" w:eastAsia="宋体" w:cs="宋体"/>
                <w:color w:val="auto"/>
                <w:sz w:val="21"/>
                <w:szCs w:val="21"/>
                <w:highlight w:val="none"/>
              </w:rPr>
              <w:t>GNSS干扰查找设备的总重量应当</w:t>
            </w:r>
            <w:r>
              <w:rPr>
                <w:rFonts w:hint="eastAsia" w:ascii="宋体" w:hAnsi="宋体" w:eastAsia="宋体" w:cs="宋体"/>
                <w:color w:val="auto"/>
                <w:sz w:val="21"/>
                <w:szCs w:val="21"/>
                <w:highlight w:val="none"/>
                <w:lang w:val="en-US" w:eastAsia="zh-CN"/>
              </w:rPr>
              <w:t>符合</w:t>
            </w:r>
            <w:r>
              <w:rPr>
                <w:rFonts w:hint="eastAsia" w:ascii="宋体" w:hAnsi="宋体" w:eastAsia="宋体" w:cs="宋体"/>
                <w:color w:val="auto"/>
                <w:sz w:val="21"/>
                <w:szCs w:val="21"/>
                <w:highlight w:val="none"/>
              </w:rPr>
              <w:t>所选搭载平台的载荷要求。</w:t>
            </w:r>
          </w:p>
          <w:p w14:paraId="0A3AA1E6">
            <w:pPr>
              <w:pStyle w:val="55"/>
              <w:pageBreakBefore w:val="0"/>
              <w:widowControl/>
              <w:numPr>
                <w:ilvl w:val="-1"/>
                <w:numId w:val="0"/>
              </w:numPr>
              <w:kinsoku/>
              <w:wordWrap/>
              <w:overflowPunct/>
              <w:topLinePunct w:val="0"/>
              <w:autoSpaceDE/>
              <w:autoSpaceDN/>
              <w:bidi w:val="0"/>
              <w:spacing w:line="360" w:lineRule="exact"/>
              <w:ind w:left="0" w:leftChars="0" w:firstLine="420" w:firstLineChars="0"/>
              <w:textAlignment w:val="auto"/>
              <w:rPr>
                <w:rFonts w:hint="eastAsia" w:ascii="宋体" w:hAnsi="宋体" w:eastAsia="宋体" w:cs="宋体"/>
                <w:color w:val="auto"/>
                <w:sz w:val="21"/>
                <w:szCs w:val="21"/>
                <w:highlight w:val="none"/>
              </w:rPr>
            </w:pPr>
            <w:r>
              <w:rPr>
                <w:rFonts w:hint="eastAsia" w:ascii="宋体" w:hAnsi="宋体" w:cs="宋体"/>
                <w:b w:val="0"/>
                <w:bCs w:val="0"/>
                <w:color w:val="auto"/>
                <w:sz w:val="21"/>
                <w:szCs w:val="21"/>
                <w:highlight w:val="none"/>
                <w:lang w:val="en-US" w:eastAsia="zh-CN"/>
              </w:rPr>
              <w:t>13.</w:t>
            </w:r>
            <w:r>
              <w:rPr>
                <w:rFonts w:hint="eastAsia" w:ascii="宋体" w:hAnsi="宋体" w:eastAsia="宋体" w:cs="宋体"/>
                <w:color w:val="auto"/>
                <w:sz w:val="21"/>
                <w:szCs w:val="21"/>
                <w:highlight w:val="none"/>
              </w:rPr>
              <w:t>GNSS干扰查找设备可正常工作的高度应满足搭载平台飞行高度需求。</w:t>
            </w:r>
          </w:p>
          <w:p w14:paraId="7DAEDE10">
            <w:pPr>
              <w:pStyle w:val="55"/>
              <w:pageBreakBefore w:val="0"/>
              <w:widowControl/>
              <w:numPr>
                <w:ilvl w:val="0"/>
                <w:numId w:val="0"/>
              </w:numPr>
              <w:kinsoku/>
              <w:wordWrap/>
              <w:overflowPunct/>
              <w:topLinePunct w:val="0"/>
              <w:autoSpaceDE/>
              <w:autoSpaceDN/>
              <w:bidi w:val="0"/>
              <w:spacing w:line="360" w:lineRule="exact"/>
              <w:ind w:left="0" w:leftChars="0" w:firstLine="420" w:firstLineChars="200"/>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 w:val="21"/>
                <w:szCs w:val="21"/>
                <w:highlight w:val="none"/>
                <w:lang w:val="en-US" w:eastAsia="zh-CN"/>
              </w:rPr>
              <w:t>14.</w:t>
            </w:r>
            <w:r>
              <w:rPr>
                <w:rFonts w:hint="eastAsia" w:ascii="宋体" w:hAnsi="宋体" w:eastAsia="宋体" w:cs="宋体"/>
                <w:color w:val="auto"/>
                <w:sz w:val="21"/>
                <w:szCs w:val="21"/>
                <w:highlight w:val="none"/>
              </w:rPr>
              <w:t>当遇</w:t>
            </w:r>
            <w:bookmarkStart w:id="116" w:name="_GoBack"/>
            <w:r>
              <w:rPr>
                <w:rFonts w:hint="eastAsia" w:ascii="宋体" w:hAnsi="宋体" w:eastAsia="宋体" w:cs="宋体"/>
                <w:color w:val="auto"/>
                <w:sz w:val="21"/>
                <w:szCs w:val="21"/>
                <w:highlight w:val="none"/>
              </w:rPr>
              <w:t>强GNSS干扰信号时，应能自动提示GNSS飞行风险，避免坠机事故</w:t>
            </w:r>
            <w:r>
              <w:rPr>
                <w:rFonts w:hint="eastAsia" w:ascii="宋体" w:hAnsi="宋体" w:eastAsia="宋体" w:cs="宋体"/>
                <w:color w:val="auto"/>
                <w:kern w:val="2"/>
                <w:sz w:val="21"/>
                <w:szCs w:val="21"/>
                <w:highlight w:val="none"/>
                <w:lang w:val="en-US" w:eastAsia="zh-CN" w:bidi="ar-SA"/>
              </w:rPr>
              <w:t>。</w:t>
            </w:r>
          </w:p>
          <w:p w14:paraId="7C0FCD4C">
            <w:pPr>
              <w:pStyle w:val="5"/>
              <w:pageBreakBefore w:val="0"/>
              <w:tabs>
                <w:tab w:val="left" w:pos="0"/>
              </w:tabs>
              <w:kinsoku/>
              <w:wordWrap/>
              <w:overflowPunct/>
              <w:topLinePunct w:val="0"/>
              <w:autoSpaceDE/>
              <w:autoSpaceDN/>
              <w:bidi w:val="0"/>
              <w:spacing w:before="0" w:after="0" w:line="360" w:lineRule="exact"/>
              <w:ind w:left="0" w:leftChars="0" w:firstLine="420" w:firstLineChars="200"/>
              <w:textAlignment w:val="auto"/>
              <w:rPr>
                <w:rFonts w:hint="eastAsia" w:ascii="楷体" w:hAnsi="楷体" w:eastAsia="楷体" w:cs="楷体"/>
                <w:b w:val="0"/>
                <w:bCs w:val="0"/>
                <w:color w:val="auto"/>
                <w:kern w:val="2"/>
                <w:sz w:val="21"/>
                <w:szCs w:val="21"/>
                <w:highlight w:val="none"/>
                <w:lang w:val="en-US" w:eastAsia="zh-CN" w:bidi="ar-SA"/>
              </w:rPr>
            </w:pPr>
            <w:r>
              <w:rPr>
                <w:rFonts w:hint="eastAsia" w:ascii="楷体" w:hAnsi="楷体" w:eastAsia="楷体" w:cs="楷体"/>
                <w:b w:val="0"/>
                <w:bCs w:val="0"/>
                <w:color w:val="auto"/>
                <w:kern w:val="2"/>
                <w:sz w:val="21"/>
                <w:szCs w:val="21"/>
                <w:highlight w:val="none"/>
                <w:lang w:val="en-US" w:eastAsia="zh-CN" w:bidi="ar-SA"/>
              </w:rPr>
              <w:t>（二）主要技术指标要求</w:t>
            </w:r>
          </w:p>
          <w:p w14:paraId="63203E23">
            <w:pPr>
              <w:pageBreakBefore w:val="0"/>
              <w:numPr>
                <w:ilvl w:val="0"/>
                <w:numId w:val="0"/>
              </w:numPr>
              <w:kinsoku/>
              <w:wordWrap/>
              <w:overflowPunct/>
              <w:topLinePunct w:val="0"/>
              <w:autoSpaceDE/>
              <w:autoSpaceDN/>
              <w:bidi w:val="0"/>
              <w:spacing w:line="360" w:lineRule="exact"/>
              <w:ind w:left="0" w:leftChars="0" w:firstLine="420" w:firstLineChars="200"/>
              <w:textAlignment w:val="auto"/>
              <w:rPr>
                <w:rFonts w:hint="eastAsia" w:ascii="宋体" w:hAnsi="宋体" w:eastAsia="宋体" w:cs="宋体"/>
                <w:snapToGrid w:val="0"/>
                <w:color w:val="auto"/>
                <w:sz w:val="21"/>
                <w:szCs w:val="21"/>
                <w:highlight w:val="none"/>
              </w:rPr>
            </w:pPr>
            <w:r>
              <w:rPr>
                <w:rFonts w:hint="eastAsia" w:ascii="宋体" w:hAnsi="宋体" w:cs="宋体"/>
                <w:color w:val="auto"/>
                <w:kern w:val="2"/>
                <w:sz w:val="21"/>
                <w:szCs w:val="21"/>
                <w:highlight w:val="none"/>
                <w:lang w:val="en-US" w:eastAsia="zh-CN" w:bidi="ar-SA"/>
              </w:rPr>
              <w:t>1.</w:t>
            </w:r>
            <w:r>
              <w:rPr>
                <w:rFonts w:hint="eastAsia" w:ascii="宋体" w:hAnsi="宋体" w:eastAsia="宋体" w:cs="宋体"/>
                <w:color w:val="auto"/>
                <w:kern w:val="2"/>
                <w:sz w:val="21"/>
                <w:szCs w:val="21"/>
                <w:highlight w:val="none"/>
                <w:lang w:val="en-US" w:eastAsia="zh-CN" w:bidi="ar-SA"/>
              </w:rPr>
              <w:t>小型升空GNSS干扰源侦测定位</w:t>
            </w:r>
            <w:r>
              <w:rPr>
                <w:rFonts w:hint="eastAsia" w:ascii="宋体" w:hAnsi="宋体" w:eastAsia="宋体" w:cs="宋体"/>
                <w:snapToGrid w:val="0"/>
                <w:color w:val="auto"/>
                <w:sz w:val="21"/>
                <w:szCs w:val="21"/>
                <w:highlight w:val="none"/>
              </w:rPr>
              <w:t>主设备</w:t>
            </w:r>
          </w:p>
          <w:p w14:paraId="7E400BB7">
            <w:pPr>
              <w:pageBreakBefore w:val="0"/>
              <w:numPr>
                <w:ilvl w:val="0"/>
                <w:numId w:val="0"/>
              </w:numPr>
              <w:kinsoku/>
              <w:wordWrap/>
              <w:overflowPunct/>
              <w:topLinePunct w:val="0"/>
              <w:autoSpaceDE/>
              <w:autoSpaceDN/>
              <w:bidi w:val="0"/>
              <w:spacing w:line="36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频谱扫描支持的频率包括（不限于）：1550</w:t>
            </w:r>
            <w:r>
              <w:rPr>
                <w:rFonts w:hint="eastAsia" w:ascii="宋体" w:hAnsi="宋体" w:eastAsia="宋体" w:cs="宋体"/>
                <w:i w:val="0"/>
                <w:iCs w:val="0"/>
                <w:color w:val="auto"/>
                <w:kern w:val="0"/>
                <w:sz w:val="21"/>
                <w:szCs w:val="21"/>
                <w:highlight w:val="none"/>
                <w:u w:val="none"/>
                <w:lang w:val="en-US" w:eastAsia="zh-CN" w:bidi="ar"/>
              </w:rPr>
              <w:t>MHz</w:t>
            </w:r>
            <w:r>
              <w:rPr>
                <w:rFonts w:hint="eastAsia" w:ascii="宋体" w:hAnsi="宋体" w:eastAsia="宋体" w:cs="宋体"/>
                <w:color w:val="auto"/>
                <w:sz w:val="21"/>
                <w:szCs w:val="21"/>
                <w:highlight w:val="none"/>
              </w:rPr>
              <w:t>～1605 MHz。频率稳定度：≤1×10</w:t>
            </w:r>
            <w:r>
              <w:rPr>
                <w:rFonts w:hint="eastAsia" w:ascii="宋体" w:hAnsi="宋体" w:eastAsia="宋体" w:cs="宋体"/>
                <w:color w:val="auto"/>
                <w:sz w:val="21"/>
                <w:szCs w:val="21"/>
                <w:highlight w:val="none"/>
                <w:vertAlign w:val="superscript"/>
              </w:rPr>
              <w:t>-6</w:t>
            </w:r>
            <w:r>
              <w:rPr>
                <w:rFonts w:hint="eastAsia" w:ascii="宋体" w:hAnsi="宋体" w:eastAsia="宋体" w:cs="宋体"/>
                <w:color w:val="auto"/>
                <w:sz w:val="21"/>
                <w:szCs w:val="21"/>
                <w:highlight w:val="none"/>
              </w:rPr>
              <w:t>。噪声系数：≤1dB。全频段频谱扫描时间：≤1秒/帧</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解调解码支持的导航系统业务种类：GPS、北斗、GLONASS和</w:t>
            </w:r>
            <w:r>
              <w:rPr>
                <w:rFonts w:hint="eastAsia" w:ascii="宋体" w:hAnsi="宋体" w:eastAsia="宋体" w:cs="宋体"/>
                <w:color w:val="auto"/>
                <w:sz w:val="21"/>
                <w:szCs w:val="21"/>
                <w:highlight w:val="none"/>
                <w:lang w:eastAsia="zh-CN"/>
              </w:rPr>
              <w:t>GALILEO</w:t>
            </w:r>
            <w:r>
              <w:rPr>
                <w:rFonts w:hint="eastAsia" w:ascii="宋体" w:hAnsi="宋体" w:eastAsia="宋体" w:cs="宋体"/>
                <w:color w:val="auto"/>
                <w:sz w:val="21"/>
                <w:szCs w:val="21"/>
                <w:highlight w:val="none"/>
              </w:rPr>
              <w:t>等。具备GNSS干扰测向功能。能够分析识别出真、假卫星信号，能够对压制式和欺骗式GNSS干扰进行测向。能够侦测并识别出窄带噪声干扰、宽带噪声干扰。具备多点交会定位功能，可以实现单台设备多点联合定位。捕捉干扰信号能力（系统灵敏</w:t>
            </w:r>
            <w:bookmarkEnd w:id="116"/>
            <w:r>
              <w:rPr>
                <w:rFonts w:hint="eastAsia" w:ascii="宋体" w:hAnsi="宋体" w:eastAsia="宋体" w:cs="宋体"/>
                <w:color w:val="auto"/>
                <w:sz w:val="21"/>
                <w:szCs w:val="21"/>
                <w:highlight w:val="none"/>
              </w:rPr>
              <w:t>度）：≥-115dBm。主设备安装支架和无人机支撑腿契合度好，支持快拆快装。部署在无人机上进行监测时，确保升空500米，风力5级情况下能正常工作。对于离地高1.5米，有效全向发射功率10毫瓦（EIRP）的宽带GNSS干扰信号源，小型升空GNSS干扰源侦测定位设备空中水平探测距离（无遮挡）不小于1500米。内置锂电池，电池续航时间≥8小时。具有Wi-Fi、蓝牙或数传等无线接口，便于地面操作终端和机载主设备进行无线通讯。从挂载到无人机上安全性出发，</w:t>
            </w:r>
            <w:r>
              <w:rPr>
                <w:rFonts w:hint="eastAsia" w:ascii="宋体" w:hAnsi="宋体" w:eastAsia="宋体" w:cs="宋体"/>
                <w:color w:val="auto"/>
                <w:sz w:val="21"/>
                <w:szCs w:val="21"/>
                <w:highlight w:val="none"/>
                <w:lang w:val="en-US" w:eastAsia="zh-CN"/>
              </w:rPr>
              <w:t>建议</w:t>
            </w:r>
            <w:r>
              <w:rPr>
                <w:rFonts w:hint="eastAsia" w:ascii="宋体" w:hAnsi="宋体" w:eastAsia="宋体" w:cs="宋体"/>
                <w:color w:val="auto"/>
                <w:sz w:val="21"/>
                <w:szCs w:val="21"/>
                <w:highlight w:val="none"/>
              </w:rPr>
              <w:t>小型升空GNSS干扰源侦测定位设备（监测主设备、电池及天线，不含无人机）总重量不大于450克。</w:t>
            </w:r>
          </w:p>
          <w:p w14:paraId="1679D14A">
            <w:pPr>
              <w:pageBreakBefore w:val="0"/>
              <w:numPr>
                <w:ilvl w:val="0"/>
                <w:numId w:val="0"/>
              </w:numPr>
              <w:kinsoku/>
              <w:wordWrap/>
              <w:overflowPunct/>
              <w:topLinePunct w:val="0"/>
              <w:autoSpaceDE/>
              <w:autoSpaceDN/>
              <w:bidi w:val="0"/>
              <w:spacing w:line="360" w:lineRule="exact"/>
              <w:ind w:left="0" w:leftChars="0" w:firstLine="420" w:firstLineChars="200"/>
              <w:textAlignment w:val="auto"/>
              <w:rPr>
                <w:rFonts w:hint="eastAsia" w:ascii="宋体" w:hAnsi="宋体" w:eastAsia="宋体" w:cs="宋体"/>
                <w:snapToGrid w:val="0"/>
                <w:color w:val="auto"/>
                <w:sz w:val="21"/>
                <w:szCs w:val="21"/>
                <w:highlight w:val="none"/>
              </w:rPr>
            </w:pPr>
            <w:r>
              <w:rPr>
                <w:rFonts w:hint="eastAsia" w:ascii="宋体" w:hAnsi="宋体" w:cs="宋体"/>
                <w:snapToGrid w:val="0"/>
                <w:color w:val="auto"/>
                <w:sz w:val="21"/>
                <w:szCs w:val="21"/>
                <w:highlight w:val="none"/>
                <w:lang w:val="en-US" w:eastAsia="zh-CN"/>
              </w:rPr>
              <w:t>2.</w:t>
            </w:r>
            <w:r>
              <w:rPr>
                <w:rFonts w:hint="eastAsia" w:ascii="宋体" w:hAnsi="宋体" w:eastAsia="宋体" w:cs="宋体"/>
                <w:snapToGrid w:val="0"/>
                <w:color w:val="auto"/>
                <w:sz w:val="21"/>
                <w:szCs w:val="21"/>
                <w:highlight w:val="none"/>
              </w:rPr>
              <w:t>侦测测向天线</w:t>
            </w:r>
          </w:p>
          <w:p w14:paraId="482B340B">
            <w:pPr>
              <w:pageBreakBefore w:val="0"/>
              <w:numPr>
                <w:ilvl w:val="0"/>
                <w:numId w:val="0"/>
              </w:numPr>
              <w:kinsoku/>
              <w:wordWrap/>
              <w:overflowPunct/>
              <w:topLinePunct w:val="0"/>
              <w:autoSpaceDE/>
              <w:autoSpaceDN/>
              <w:bidi w:val="0"/>
              <w:spacing w:line="36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频率范围：1550MHz～1605MHz。增益： ≥6dBi。驻波比： ≤1.5dB</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极化方式：圆极化或垂直极化。</w:t>
            </w:r>
          </w:p>
          <w:p w14:paraId="535CAFBA">
            <w:pPr>
              <w:pageBreakBefore w:val="0"/>
              <w:numPr>
                <w:ilvl w:val="0"/>
                <w:numId w:val="0"/>
              </w:numPr>
              <w:kinsoku/>
              <w:wordWrap/>
              <w:overflowPunct/>
              <w:topLinePunct w:val="0"/>
              <w:autoSpaceDE/>
              <w:autoSpaceDN/>
              <w:bidi w:val="0"/>
              <w:spacing w:line="360" w:lineRule="exact"/>
              <w:ind w:left="0" w:leftChars="0" w:firstLine="420" w:firstLineChars="200"/>
              <w:textAlignment w:val="auto"/>
              <w:rPr>
                <w:rFonts w:hint="eastAsia" w:ascii="宋体" w:hAnsi="宋体" w:eastAsia="宋体" w:cs="宋体"/>
                <w:snapToGrid w:val="0"/>
                <w:color w:val="auto"/>
                <w:sz w:val="21"/>
                <w:szCs w:val="21"/>
                <w:highlight w:val="none"/>
              </w:rPr>
            </w:pPr>
            <w:r>
              <w:rPr>
                <w:rFonts w:hint="eastAsia" w:ascii="宋体" w:hAnsi="宋体" w:cs="宋体"/>
                <w:snapToGrid w:val="0"/>
                <w:color w:val="auto"/>
                <w:sz w:val="21"/>
                <w:szCs w:val="21"/>
                <w:highlight w:val="none"/>
                <w:lang w:val="en-US" w:eastAsia="zh-CN"/>
              </w:rPr>
              <w:t>3.</w:t>
            </w:r>
            <w:r>
              <w:rPr>
                <w:rFonts w:hint="eastAsia" w:ascii="宋体" w:hAnsi="宋体" w:eastAsia="宋体" w:cs="宋体"/>
                <w:snapToGrid w:val="0"/>
                <w:color w:val="auto"/>
                <w:sz w:val="21"/>
                <w:szCs w:val="21"/>
                <w:highlight w:val="none"/>
              </w:rPr>
              <w:t>小型无人机</w:t>
            </w:r>
          </w:p>
          <w:p w14:paraId="36697C01">
            <w:pPr>
              <w:pageBreakBefore w:val="0"/>
              <w:numPr>
                <w:ilvl w:val="0"/>
                <w:numId w:val="0"/>
              </w:numPr>
              <w:kinsoku/>
              <w:wordWrap/>
              <w:overflowPunct/>
              <w:topLinePunct w:val="0"/>
              <w:autoSpaceDE/>
              <w:autoSpaceDN/>
              <w:bidi w:val="0"/>
              <w:spacing w:line="360" w:lineRule="exact"/>
              <w:ind w:left="0" w:leftChars="0" w:firstLine="420" w:firstLineChars="200"/>
              <w:textAlignment w:val="auto"/>
              <w:rPr>
                <w:rFonts w:hint="default" w:ascii="宋体" w:hAnsi="宋体" w:eastAsia="宋体" w:cs="宋体"/>
                <w:strike w:val="0"/>
                <w:dstrike w:val="0"/>
                <w:color w:val="auto"/>
                <w:sz w:val="21"/>
                <w:szCs w:val="21"/>
                <w:highlight w:val="none"/>
                <w:lang w:val="en-US"/>
              </w:rPr>
            </w:pPr>
            <w:r>
              <w:rPr>
                <w:rFonts w:hint="eastAsia" w:ascii="宋体" w:hAnsi="宋体" w:eastAsia="宋体" w:cs="宋体"/>
                <w:color w:val="auto"/>
                <w:sz w:val="21"/>
                <w:szCs w:val="21"/>
                <w:highlight w:val="none"/>
              </w:rPr>
              <w:t>品牌：</w:t>
            </w:r>
            <w:r>
              <w:rPr>
                <w:rFonts w:hint="eastAsia" w:ascii="宋体" w:hAnsi="宋体" w:eastAsia="宋体" w:cs="宋体"/>
                <w:color w:val="auto"/>
                <w:sz w:val="21"/>
                <w:szCs w:val="21"/>
                <w:highlight w:val="none"/>
                <w:lang w:val="en-US" w:eastAsia="zh-CN"/>
              </w:rPr>
              <w:t>国产</w:t>
            </w:r>
            <w:r>
              <w:rPr>
                <w:rFonts w:hint="eastAsia" w:ascii="宋体" w:hAnsi="宋体" w:eastAsia="宋体" w:cs="宋体"/>
                <w:color w:val="auto"/>
                <w:sz w:val="21"/>
                <w:szCs w:val="21"/>
                <w:highlight w:val="none"/>
              </w:rPr>
              <w:t>品牌无人机（具有合格证，严禁使用“三无”拼装产品）。类型：四旋翼无人机。机身结构：固定式结构（非折叠式结构）</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轴距：≤360mm。最大挂载重量：450克。起飞总重量（含监测设备）：≤1900克。飞行高度：≥500m（非禁飞区或限飞区）。飞行速度：≥ 45km/h</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单电池飞行时间：≥22min（挂载情况下）。电池种类：智能飞行电池</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电池容量： ≥5</w:t>
            </w:r>
            <w:r>
              <w:rPr>
                <w:rFonts w:hint="eastAsia" w:ascii="宋体" w:hAnsi="宋体" w:eastAsia="宋体" w:cs="宋体"/>
                <w:color w:val="auto"/>
                <w:sz w:val="21"/>
                <w:szCs w:val="21"/>
                <w:highlight w:val="none"/>
                <w:lang w:val="en-US" w:eastAsia="zh-CN"/>
              </w:rPr>
              <w:t>000</w:t>
            </w:r>
            <w:r>
              <w:rPr>
                <w:rFonts w:hint="eastAsia" w:ascii="宋体" w:hAnsi="宋体" w:eastAsia="宋体" w:cs="宋体"/>
                <w:color w:val="auto"/>
                <w:sz w:val="21"/>
                <w:szCs w:val="21"/>
                <w:highlight w:val="none"/>
              </w:rPr>
              <w:t>mAh。电池数量：3块。</w:t>
            </w:r>
            <w:r>
              <w:rPr>
                <w:rFonts w:hint="eastAsia" w:ascii="宋体" w:hAnsi="宋体" w:eastAsia="宋体" w:cs="宋体"/>
                <w:strike w:val="0"/>
                <w:dstrike w:val="0"/>
                <w:color w:val="auto"/>
                <w:sz w:val="21"/>
                <w:szCs w:val="21"/>
                <w:highlight w:val="none"/>
                <w:lang w:val="en-US" w:eastAsia="zh-CN"/>
              </w:rPr>
              <w:t>无人机在搭载干扰查找设备的情况下，应保证至少在地面风速3米/秒时可以安全起降。无人机应具备限制飞行范围、飞行高度能力。无人机应具备遥控信道手动和自动选择能力，以防止因遥控信道受到干扰而造成飞行安全隐患</w:t>
            </w:r>
            <w:r>
              <w:rPr>
                <w:rFonts w:hint="eastAsia" w:ascii="宋体" w:hAnsi="宋体" w:cs="宋体"/>
                <w:strike w:val="0"/>
                <w:dstrike w:val="0"/>
                <w:color w:val="auto"/>
                <w:sz w:val="21"/>
                <w:szCs w:val="21"/>
                <w:highlight w:val="none"/>
                <w:lang w:val="en-US" w:eastAsia="zh-CN"/>
              </w:rPr>
              <w:t>；同时</w:t>
            </w:r>
            <w:r>
              <w:rPr>
                <w:rFonts w:hint="eastAsia" w:ascii="宋体" w:hAnsi="宋体" w:eastAsia="宋体" w:cs="宋体"/>
                <w:strike w:val="0"/>
                <w:dstrike w:val="0"/>
                <w:color w:val="auto"/>
                <w:sz w:val="21"/>
                <w:szCs w:val="21"/>
                <w:highlight w:val="none"/>
                <w:lang w:val="en-US" w:eastAsia="zh-CN"/>
              </w:rPr>
              <w:t>需提供一次性购置涵盖质保期内所有无人机设备的保险服务</w:t>
            </w:r>
            <w:r>
              <w:rPr>
                <w:rFonts w:hint="eastAsia" w:ascii="宋体" w:hAnsi="宋体" w:cs="宋体"/>
                <w:strike w:val="0"/>
                <w:dstrike w:val="0"/>
                <w:color w:val="auto"/>
                <w:sz w:val="21"/>
                <w:szCs w:val="21"/>
                <w:highlight w:val="none"/>
                <w:lang w:val="en-US" w:eastAsia="zh-CN"/>
              </w:rPr>
              <w:t>。</w:t>
            </w:r>
          </w:p>
          <w:p w14:paraId="11684F54">
            <w:pPr>
              <w:pageBreakBefore w:val="0"/>
              <w:numPr>
                <w:ilvl w:val="0"/>
                <w:numId w:val="0"/>
              </w:numPr>
              <w:kinsoku/>
              <w:wordWrap/>
              <w:overflowPunct/>
              <w:topLinePunct w:val="0"/>
              <w:autoSpaceDE/>
              <w:autoSpaceDN/>
              <w:bidi w:val="0"/>
              <w:spacing w:line="360" w:lineRule="exact"/>
              <w:ind w:left="0" w:leftChars="0" w:firstLine="420" w:firstLineChars="200"/>
              <w:textAlignment w:val="auto"/>
              <w:rPr>
                <w:rFonts w:hint="eastAsia" w:ascii="宋体" w:hAnsi="宋体" w:eastAsia="宋体" w:cs="宋体"/>
                <w:snapToGrid w:val="0"/>
                <w:color w:val="auto"/>
                <w:sz w:val="21"/>
                <w:szCs w:val="21"/>
                <w:highlight w:val="none"/>
              </w:rPr>
            </w:pPr>
            <w:r>
              <w:rPr>
                <w:rFonts w:hint="eastAsia" w:ascii="宋体" w:hAnsi="宋体" w:cs="宋体"/>
                <w:snapToGrid w:val="0"/>
                <w:color w:val="auto"/>
                <w:sz w:val="21"/>
                <w:szCs w:val="21"/>
                <w:highlight w:val="none"/>
                <w:lang w:val="en-US" w:eastAsia="zh-CN"/>
              </w:rPr>
              <w:t>4.</w:t>
            </w:r>
            <w:r>
              <w:rPr>
                <w:rFonts w:hint="eastAsia" w:ascii="宋体" w:hAnsi="宋体" w:eastAsia="宋体" w:cs="宋体"/>
                <w:snapToGrid w:val="0"/>
                <w:color w:val="auto"/>
                <w:sz w:val="21"/>
                <w:szCs w:val="21"/>
                <w:highlight w:val="none"/>
              </w:rPr>
              <w:t>操作终端</w:t>
            </w:r>
          </w:p>
          <w:p w14:paraId="5364245F">
            <w:pPr>
              <w:pageBreakBefore w:val="0"/>
              <w:numPr>
                <w:ilvl w:val="0"/>
                <w:numId w:val="0"/>
              </w:numPr>
              <w:kinsoku/>
              <w:wordWrap/>
              <w:overflowPunct/>
              <w:topLinePunct w:val="0"/>
              <w:autoSpaceDE/>
              <w:autoSpaceDN/>
              <w:bidi w:val="0"/>
              <w:spacing w:line="36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CPU配置：≥8核12线程。内存：≥16GB。硬盘：固态硬盘，容量≥256GB。屏幕分辨率：≥1920 x 1280。具有</w:t>
            </w:r>
            <w:r>
              <w:rPr>
                <w:rFonts w:hint="eastAsia" w:ascii="宋体" w:hAnsi="宋体" w:eastAsia="宋体" w:cs="宋体"/>
                <w:color w:val="auto"/>
                <w:sz w:val="21"/>
                <w:szCs w:val="21"/>
                <w:highlight w:val="none"/>
                <w:lang w:eastAsia="zh-CN"/>
              </w:rPr>
              <w:t>Wi-Fi</w:t>
            </w:r>
            <w:r>
              <w:rPr>
                <w:rFonts w:hint="eastAsia" w:ascii="宋体" w:hAnsi="宋体" w:eastAsia="宋体" w:cs="宋体"/>
                <w:color w:val="auto"/>
                <w:sz w:val="21"/>
                <w:szCs w:val="21"/>
                <w:highlight w:val="none"/>
              </w:rPr>
              <w:t>、蓝牙或数传等无线接口，便于和主设备进行无线通讯。满足国产化信创要求的产品。</w:t>
            </w:r>
          </w:p>
          <w:p w14:paraId="4B043782">
            <w:pPr>
              <w:pageBreakBefore w:val="0"/>
              <w:numPr>
                <w:ilvl w:val="0"/>
                <w:numId w:val="0"/>
              </w:numPr>
              <w:kinsoku/>
              <w:wordWrap/>
              <w:overflowPunct/>
              <w:topLinePunct w:val="0"/>
              <w:autoSpaceDE/>
              <w:autoSpaceDN/>
              <w:bidi w:val="0"/>
              <w:spacing w:line="360" w:lineRule="exact"/>
              <w:ind w:left="0" w:leftChars="0" w:firstLine="420" w:firstLineChars="200"/>
              <w:textAlignment w:val="auto"/>
              <w:rPr>
                <w:rFonts w:hint="eastAsia" w:ascii="黑体" w:hAnsi="黑体" w:eastAsia="黑体" w:cs="黑体"/>
                <w:color w:val="auto"/>
                <w:sz w:val="21"/>
                <w:szCs w:val="21"/>
                <w:highlight w:val="none"/>
                <w:lang w:val="en-US" w:eastAsia="zh-CN"/>
              </w:rPr>
            </w:pPr>
            <w:r>
              <w:rPr>
                <w:rFonts w:hint="eastAsia" w:ascii="黑体" w:hAnsi="黑体" w:eastAsia="黑体" w:cs="黑体"/>
                <w:color w:val="auto"/>
                <w:sz w:val="21"/>
                <w:szCs w:val="21"/>
                <w:highlight w:val="none"/>
                <w:lang w:val="en-US" w:eastAsia="zh-CN"/>
              </w:rPr>
              <w:t>五、项目建设依据</w:t>
            </w:r>
          </w:p>
          <w:p w14:paraId="1CB209B2">
            <w:pPr>
              <w:pageBreakBefore w:val="0"/>
              <w:numPr>
                <w:ilvl w:val="0"/>
                <w:numId w:val="0"/>
              </w:numPr>
              <w:kinsoku/>
              <w:wordWrap/>
              <w:overflowPunct/>
              <w:topLinePunct w:val="0"/>
              <w:autoSpaceDE/>
              <w:autoSpaceDN/>
              <w:bidi w:val="0"/>
              <w:spacing w:line="360" w:lineRule="exact"/>
              <w:ind w:left="0" w:leftChars="0"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《频谱监测手册》（2002版）</w:t>
            </w:r>
          </w:p>
          <w:p w14:paraId="1C89C085">
            <w:pPr>
              <w:pageBreakBefore w:val="0"/>
              <w:numPr>
                <w:ilvl w:val="0"/>
                <w:numId w:val="0"/>
              </w:numPr>
              <w:kinsoku/>
              <w:wordWrap/>
              <w:overflowPunct/>
              <w:topLinePunct w:val="0"/>
              <w:autoSpaceDE/>
              <w:autoSpaceDN/>
              <w:bidi w:val="0"/>
              <w:spacing w:line="360" w:lineRule="exact"/>
              <w:ind w:left="0" w:leftChars="0"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《省级无线电监测设施建设规范和技术要求（试行）》（国无办﹝2019﹞3号）</w:t>
            </w:r>
          </w:p>
          <w:p w14:paraId="63466AC1">
            <w:pPr>
              <w:pageBreakBefore w:val="0"/>
              <w:numPr>
                <w:ilvl w:val="0"/>
                <w:numId w:val="0"/>
              </w:numPr>
              <w:kinsoku/>
              <w:wordWrap/>
              <w:overflowPunct/>
              <w:topLinePunct w:val="0"/>
              <w:autoSpaceDE/>
              <w:autoSpaceDN/>
              <w:bidi w:val="0"/>
              <w:spacing w:line="360" w:lineRule="exact"/>
              <w:ind w:left="0" w:leftChars="0"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GB/T34089-2017《VHF/UHF无线电监测测向系统开场测试参数和测试方法》</w:t>
            </w:r>
          </w:p>
          <w:p w14:paraId="3127773D">
            <w:pPr>
              <w:pageBreakBefore w:val="0"/>
              <w:numPr>
                <w:ilvl w:val="0"/>
                <w:numId w:val="0"/>
              </w:numPr>
              <w:kinsoku/>
              <w:wordWrap/>
              <w:overflowPunct/>
              <w:topLinePunct w:val="0"/>
              <w:autoSpaceDE/>
              <w:autoSpaceDN/>
              <w:bidi w:val="0"/>
              <w:spacing w:line="360" w:lineRule="exact"/>
              <w:ind w:left="0" w:leftChars="0"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GB/T32401-2015《VHF/UHF频段无线电监测接收机技术要求及测试方法》</w:t>
            </w:r>
          </w:p>
          <w:p w14:paraId="70C77897">
            <w:pPr>
              <w:pageBreakBefore w:val="0"/>
              <w:numPr>
                <w:ilvl w:val="0"/>
                <w:numId w:val="0"/>
              </w:numPr>
              <w:kinsoku/>
              <w:wordWrap/>
              <w:overflowPunct/>
              <w:topLinePunct w:val="0"/>
              <w:autoSpaceDE/>
              <w:autoSpaceDN/>
              <w:bidi w:val="0"/>
              <w:spacing w:line="360" w:lineRule="exact"/>
              <w:ind w:left="0" w:leftChars="0"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《超短波频段监测数据统计汇总数据库结构技术标准》；</w:t>
            </w:r>
          </w:p>
          <w:p w14:paraId="30511281">
            <w:pPr>
              <w:pageBreakBefore w:val="0"/>
              <w:numPr>
                <w:ilvl w:val="0"/>
                <w:numId w:val="0"/>
              </w:numPr>
              <w:kinsoku/>
              <w:wordWrap/>
              <w:overflowPunct/>
              <w:topLinePunct w:val="0"/>
              <w:autoSpaceDE/>
              <w:autoSpaceDN/>
              <w:bidi w:val="0"/>
              <w:spacing w:line="360" w:lineRule="exact"/>
              <w:ind w:left="0" w:leftChars="0"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《无线电频率监测统计报告暂行规定》</w:t>
            </w:r>
          </w:p>
          <w:p w14:paraId="7984F002">
            <w:pPr>
              <w:pageBreakBefore w:val="0"/>
              <w:numPr>
                <w:ilvl w:val="0"/>
                <w:numId w:val="0"/>
              </w:numPr>
              <w:kinsoku/>
              <w:wordWrap/>
              <w:overflowPunct/>
              <w:topLinePunct w:val="0"/>
              <w:autoSpaceDE/>
              <w:autoSpaceDN/>
              <w:bidi w:val="0"/>
              <w:spacing w:line="360" w:lineRule="exact"/>
              <w:ind w:left="0" w:leftChars="0"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《超短波频段占用度测试技术规范（试行）》</w:t>
            </w:r>
          </w:p>
          <w:p w14:paraId="09F9B2FB">
            <w:pPr>
              <w:pageBreakBefore w:val="0"/>
              <w:numPr>
                <w:ilvl w:val="0"/>
                <w:numId w:val="0"/>
              </w:numPr>
              <w:kinsoku/>
              <w:wordWrap/>
              <w:overflowPunct/>
              <w:topLinePunct w:val="0"/>
              <w:autoSpaceDE/>
              <w:autoSpaceDN/>
              <w:bidi w:val="0"/>
              <w:spacing w:line="360" w:lineRule="exact"/>
              <w:ind w:left="0" w:leftChars="0"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《无线电实施监测协议》</w:t>
            </w:r>
          </w:p>
          <w:p w14:paraId="2BB25CFE">
            <w:pPr>
              <w:pageBreakBefore w:val="0"/>
              <w:numPr>
                <w:ilvl w:val="0"/>
                <w:numId w:val="0"/>
              </w:numPr>
              <w:kinsoku/>
              <w:wordWrap/>
              <w:overflowPunct/>
              <w:topLinePunct w:val="0"/>
              <w:autoSpaceDE/>
              <w:autoSpaceDN/>
              <w:bidi w:val="0"/>
              <w:spacing w:line="360" w:lineRule="exact"/>
              <w:ind w:left="0" w:leftChars="0"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《超短波监测管理服务接口规范》</w:t>
            </w:r>
          </w:p>
          <w:p w14:paraId="3DC1F2F3">
            <w:pPr>
              <w:pageBreakBefore w:val="0"/>
              <w:numPr>
                <w:ilvl w:val="0"/>
                <w:numId w:val="0"/>
              </w:numPr>
              <w:kinsoku/>
              <w:wordWrap/>
              <w:overflowPunct/>
              <w:topLinePunct w:val="0"/>
              <w:autoSpaceDE/>
              <w:autoSpaceDN/>
              <w:bidi w:val="0"/>
              <w:spacing w:line="360" w:lineRule="exact"/>
              <w:ind w:left="0" w:leftChars="0" w:firstLine="420" w:firstLineChars="200"/>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highlight w:val="none"/>
                <w:lang w:val="en-US" w:eastAsia="zh-CN"/>
              </w:rPr>
              <w:t>其他最新相关行业标准及规范。</w:t>
            </w:r>
          </w:p>
        </w:tc>
      </w:tr>
      <w:tr w14:paraId="4111966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9639" w:type="dxa"/>
            <w:gridSpan w:val="6"/>
            <w:tcBorders>
              <w:top w:val="single" w:color="auto" w:sz="4" w:space="0"/>
              <w:left w:val="single" w:color="auto" w:sz="4" w:space="0"/>
              <w:bottom w:val="single" w:color="auto" w:sz="4" w:space="0"/>
              <w:right w:val="single" w:color="auto" w:sz="4" w:space="0"/>
            </w:tcBorders>
            <w:noWrap w:val="0"/>
            <w:vAlign w:val="center"/>
          </w:tcPr>
          <w:p w14:paraId="7A0EF202">
            <w:pPr>
              <w:pageBreakBefore w:val="0"/>
              <w:kinsoku/>
              <w:wordWrap/>
              <w:overflowPunct/>
              <w:topLinePunct w:val="0"/>
              <w:autoSpaceDE/>
              <w:autoSpaceDN/>
              <w:bidi w:val="0"/>
              <w:spacing w:line="400" w:lineRule="exact"/>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▲一、</w:t>
            </w:r>
            <w:r>
              <w:rPr>
                <w:rFonts w:hint="eastAsia" w:ascii="宋体" w:hAnsi="宋体" w:eastAsia="宋体" w:cs="宋体"/>
                <w:b/>
                <w:color w:val="auto"/>
                <w:sz w:val="21"/>
                <w:szCs w:val="21"/>
              </w:rPr>
              <w:t>商务条款</w:t>
            </w:r>
          </w:p>
        </w:tc>
      </w:tr>
      <w:tr w14:paraId="17A84EB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099" w:type="dxa"/>
            <w:gridSpan w:val="5"/>
            <w:tcBorders>
              <w:top w:val="single" w:color="auto" w:sz="4" w:space="0"/>
              <w:left w:val="single" w:color="auto" w:sz="4" w:space="0"/>
              <w:bottom w:val="single" w:color="auto" w:sz="4" w:space="0"/>
              <w:right w:val="single" w:color="auto" w:sz="4" w:space="0"/>
            </w:tcBorders>
            <w:noWrap w:val="0"/>
            <w:vAlign w:val="center"/>
          </w:tcPr>
          <w:p w14:paraId="63D64D41">
            <w:pPr>
              <w:pageBreakBefore w:val="0"/>
              <w:kinsoku/>
              <w:wordWrap/>
              <w:overflowPunct/>
              <w:topLinePunct w:val="0"/>
              <w:autoSpaceDE/>
              <w:autoSpaceDN/>
              <w:bidi w:val="0"/>
              <w:spacing w:line="400" w:lineRule="exact"/>
              <w:ind w:left="0" w:left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合同签订时间</w:t>
            </w:r>
          </w:p>
        </w:tc>
        <w:tc>
          <w:tcPr>
            <w:tcW w:w="7540" w:type="dxa"/>
            <w:tcBorders>
              <w:top w:val="single" w:color="auto" w:sz="4" w:space="0"/>
              <w:left w:val="single" w:color="auto" w:sz="4" w:space="0"/>
              <w:bottom w:val="single" w:color="auto" w:sz="4" w:space="0"/>
              <w:right w:val="single" w:color="auto" w:sz="4" w:space="0"/>
            </w:tcBorders>
            <w:noWrap w:val="0"/>
            <w:vAlign w:val="center"/>
          </w:tcPr>
          <w:p w14:paraId="3BCE36BB">
            <w:pPr>
              <w:pageBreakBefore w:val="0"/>
              <w:kinsoku/>
              <w:wordWrap/>
              <w:overflowPunct/>
              <w:topLinePunct w:val="0"/>
              <w:autoSpaceDE/>
              <w:autoSpaceDN/>
              <w:bidi w:val="0"/>
              <w:spacing w:line="400" w:lineRule="exact"/>
              <w:ind w:left="0" w:leftChars="0"/>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自成交通知书发出之日起</w:t>
            </w:r>
            <w:r>
              <w:rPr>
                <w:rFonts w:hint="eastAsia" w:ascii="宋体" w:hAnsi="宋体" w:eastAsia="宋体" w:cs="宋体"/>
                <w:color w:val="auto"/>
                <w:sz w:val="21"/>
                <w:szCs w:val="21"/>
                <w:u w:val="single"/>
              </w:rPr>
              <w:t>25</w:t>
            </w:r>
            <w:r>
              <w:rPr>
                <w:rFonts w:hint="eastAsia" w:ascii="宋体" w:hAnsi="宋体" w:eastAsia="宋体" w:cs="宋体"/>
                <w:color w:val="auto"/>
                <w:sz w:val="21"/>
                <w:szCs w:val="21"/>
              </w:rPr>
              <w:t>日内。</w:t>
            </w:r>
          </w:p>
        </w:tc>
      </w:tr>
      <w:tr w14:paraId="4908621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099" w:type="dxa"/>
            <w:gridSpan w:val="5"/>
            <w:tcBorders>
              <w:top w:val="single" w:color="auto" w:sz="4" w:space="0"/>
              <w:left w:val="single" w:color="auto" w:sz="4" w:space="0"/>
              <w:bottom w:val="single" w:color="auto" w:sz="4" w:space="0"/>
              <w:right w:val="single" w:color="auto" w:sz="4" w:space="0"/>
            </w:tcBorders>
            <w:noWrap w:val="0"/>
            <w:vAlign w:val="center"/>
          </w:tcPr>
          <w:p w14:paraId="56AC05C8">
            <w:pPr>
              <w:pageBreakBefore w:val="0"/>
              <w:kinsoku/>
              <w:wordWrap/>
              <w:overflowPunct/>
              <w:topLinePunct w:val="0"/>
              <w:autoSpaceDE/>
              <w:autoSpaceDN/>
              <w:bidi w:val="0"/>
              <w:spacing w:line="400" w:lineRule="exact"/>
              <w:ind w:left="0" w:left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交付期限及地点</w:t>
            </w:r>
          </w:p>
        </w:tc>
        <w:tc>
          <w:tcPr>
            <w:tcW w:w="7540" w:type="dxa"/>
            <w:tcBorders>
              <w:top w:val="single" w:color="auto" w:sz="4" w:space="0"/>
              <w:left w:val="single" w:color="auto" w:sz="4" w:space="0"/>
              <w:bottom w:val="single" w:color="auto" w:sz="4" w:space="0"/>
              <w:right w:val="single" w:color="auto" w:sz="4" w:space="0"/>
            </w:tcBorders>
            <w:noWrap w:val="0"/>
            <w:vAlign w:val="center"/>
          </w:tcPr>
          <w:p w14:paraId="500361F4">
            <w:pPr>
              <w:pageBreakBefore w:val="0"/>
              <w:kinsoku/>
              <w:wordWrap/>
              <w:overflowPunct/>
              <w:topLinePunct w:val="0"/>
              <w:autoSpaceDE/>
              <w:autoSpaceDN/>
              <w:bidi w:val="0"/>
              <w:spacing w:line="400" w:lineRule="exact"/>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1.交付期限：签订合同之日起</w:t>
            </w:r>
            <w:r>
              <w:rPr>
                <w:rFonts w:hint="default" w:ascii="宋体" w:hAnsi="宋体" w:eastAsia="宋体" w:cs="宋体"/>
                <w:color w:val="auto"/>
                <w:sz w:val="21"/>
                <w:szCs w:val="21"/>
                <w:lang w:val="en-US" w:eastAsia="zh-CN"/>
              </w:rPr>
              <w:t>120</w:t>
            </w:r>
            <w:r>
              <w:rPr>
                <w:rFonts w:hint="eastAsia" w:ascii="宋体" w:hAnsi="宋体" w:eastAsia="宋体" w:cs="宋体"/>
                <w:color w:val="auto"/>
                <w:sz w:val="21"/>
                <w:szCs w:val="21"/>
              </w:rPr>
              <w:t>个日历日内全部安装调试完毕</w:t>
            </w:r>
            <w:r>
              <w:rPr>
                <w:rFonts w:hint="eastAsia" w:ascii="宋体" w:hAnsi="宋体" w:cs="宋体"/>
                <w:color w:val="auto"/>
                <w:szCs w:val="21"/>
                <w:lang w:val="en-US" w:eastAsia="zh-CN"/>
              </w:rPr>
              <w:t>并通过合同验收</w:t>
            </w:r>
            <w:r>
              <w:rPr>
                <w:rFonts w:hint="eastAsia" w:ascii="宋体" w:hAnsi="宋体" w:eastAsia="宋体" w:cs="宋体"/>
                <w:color w:val="auto"/>
                <w:sz w:val="21"/>
                <w:szCs w:val="21"/>
                <w:lang w:eastAsia="zh-CN"/>
              </w:rPr>
              <w:t>。</w:t>
            </w:r>
          </w:p>
          <w:p w14:paraId="04F526B6">
            <w:pPr>
              <w:pageBreakBefore w:val="0"/>
              <w:kinsoku/>
              <w:wordWrap/>
              <w:overflowPunct/>
              <w:topLinePunct w:val="0"/>
              <w:autoSpaceDE/>
              <w:autoSpaceDN/>
              <w:bidi w:val="0"/>
              <w:spacing w:line="400" w:lineRule="exact"/>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2.交付地点：采购人指定地点。</w:t>
            </w:r>
          </w:p>
        </w:tc>
      </w:tr>
      <w:tr w14:paraId="1A5D3C1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099" w:type="dxa"/>
            <w:gridSpan w:val="5"/>
            <w:tcBorders>
              <w:top w:val="single" w:color="auto" w:sz="4" w:space="0"/>
              <w:left w:val="single" w:color="auto" w:sz="4" w:space="0"/>
              <w:bottom w:val="single" w:color="auto" w:sz="4" w:space="0"/>
              <w:right w:val="single" w:color="auto" w:sz="4" w:space="0"/>
            </w:tcBorders>
            <w:noWrap w:val="0"/>
            <w:vAlign w:val="center"/>
          </w:tcPr>
          <w:p w14:paraId="69F259B7">
            <w:pPr>
              <w:pageBreakBefore w:val="0"/>
              <w:kinsoku/>
              <w:wordWrap/>
              <w:overflowPunct/>
              <w:topLinePunct w:val="0"/>
              <w:autoSpaceDE/>
              <w:autoSpaceDN/>
              <w:bidi w:val="0"/>
              <w:spacing w:line="400" w:lineRule="exact"/>
              <w:ind w:left="0" w:left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报价要求</w:t>
            </w:r>
          </w:p>
        </w:tc>
        <w:tc>
          <w:tcPr>
            <w:tcW w:w="7540" w:type="dxa"/>
            <w:tcBorders>
              <w:top w:val="single" w:color="auto" w:sz="4" w:space="0"/>
              <w:left w:val="single" w:color="auto" w:sz="4" w:space="0"/>
              <w:bottom w:val="single" w:color="auto" w:sz="4" w:space="0"/>
              <w:right w:val="single" w:color="auto" w:sz="4" w:space="0"/>
            </w:tcBorders>
            <w:noWrap w:val="0"/>
            <w:vAlign w:val="center"/>
          </w:tcPr>
          <w:p w14:paraId="437B2F90">
            <w:pPr>
              <w:pageBreakBefore w:val="0"/>
              <w:kinsoku/>
              <w:wordWrap/>
              <w:overflowPunct/>
              <w:topLinePunct w:val="0"/>
              <w:autoSpaceDE/>
              <w:autoSpaceDN/>
              <w:bidi w:val="0"/>
              <w:spacing w:line="400" w:lineRule="exact"/>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竞标报价须为人民币报价，包含产品价、运输费（含装卸费）、保险费、安装调试费、税费、培训费、产品检测费、产品质保期内维护费等费用。对于本文件中明确列明必须报价的货物或服务，供应商应分别报价。对于本文件中未列明，而供应商认为必需的费用也需列入总报价。在合同实施时，采购人将不予支付成交供应商没有列入的项目费用，并认为此项目的费用已包括在响应总报价中。</w:t>
            </w:r>
          </w:p>
        </w:tc>
      </w:tr>
      <w:tr w14:paraId="617AF56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099" w:type="dxa"/>
            <w:gridSpan w:val="5"/>
            <w:tcBorders>
              <w:top w:val="single" w:color="auto" w:sz="4" w:space="0"/>
              <w:left w:val="single" w:color="auto" w:sz="4" w:space="0"/>
              <w:bottom w:val="single" w:color="auto" w:sz="4" w:space="0"/>
              <w:right w:val="single" w:color="auto" w:sz="4" w:space="0"/>
            </w:tcBorders>
            <w:noWrap w:val="0"/>
            <w:vAlign w:val="center"/>
          </w:tcPr>
          <w:p w14:paraId="1E9DF843">
            <w:pPr>
              <w:pageBreakBefore w:val="0"/>
              <w:kinsoku/>
              <w:wordWrap/>
              <w:overflowPunct/>
              <w:topLinePunct w:val="0"/>
              <w:autoSpaceDE/>
              <w:autoSpaceDN/>
              <w:bidi w:val="0"/>
              <w:spacing w:line="400" w:lineRule="exact"/>
              <w:ind w:left="0" w:left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付款方式</w:t>
            </w:r>
          </w:p>
        </w:tc>
        <w:tc>
          <w:tcPr>
            <w:tcW w:w="7540" w:type="dxa"/>
            <w:tcBorders>
              <w:top w:val="single" w:color="auto" w:sz="4" w:space="0"/>
              <w:left w:val="single" w:color="auto" w:sz="4" w:space="0"/>
              <w:bottom w:val="single" w:color="auto" w:sz="4" w:space="0"/>
              <w:right w:val="single" w:color="auto" w:sz="4" w:space="0"/>
            </w:tcBorders>
            <w:noWrap w:val="0"/>
            <w:vAlign w:val="center"/>
          </w:tcPr>
          <w:p w14:paraId="402890D2">
            <w:pPr>
              <w:pageBreakBefore w:val="0"/>
              <w:kinsoku/>
              <w:wordWrap/>
              <w:overflowPunct/>
              <w:topLinePunct w:val="0"/>
              <w:autoSpaceDE/>
              <w:autoSpaceDN/>
              <w:bidi w:val="0"/>
              <w:spacing w:line="400" w:lineRule="exact"/>
              <w:ind w:left="0" w:leftChars="0"/>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rPr>
              <w:t>签订合同</w:t>
            </w:r>
            <w:r>
              <w:rPr>
                <w:rFonts w:hint="eastAsia" w:ascii="宋体" w:hAnsi="宋体" w:eastAsia="宋体" w:cs="宋体"/>
                <w:color w:val="auto"/>
                <w:sz w:val="21"/>
                <w:szCs w:val="21"/>
                <w:lang w:val="en-US" w:eastAsia="zh-CN"/>
              </w:rPr>
              <w:t>生效且采购方</w:t>
            </w:r>
            <w:r>
              <w:rPr>
                <w:rFonts w:hint="eastAsia" w:ascii="宋体" w:hAnsi="宋体" w:eastAsia="宋体" w:cs="宋体"/>
                <w:color w:val="auto"/>
                <w:sz w:val="21"/>
                <w:szCs w:val="21"/>
              </w:rPr>
              <w:t>在收到成交供应商开具合同金额50%的发票后，采购方在</w:t>
            </w:r>
            <w:r>
              <w:rPr>
                <w:rFonts w:hint="eastAsia" w:ascii="宋体" w:hAnsi="宋体" w:eastAsia="宋体" w:cs="宋体"/>
                <w:color w:val="auto"/>
                <w:sz w:val="21"/>
                <w:szCs w:val="21"/>
                <w:lang w:val="en-US" w:eastAsia="zh-CN"/>
              </w:rPr>
              <w:t>15</w:t>
            </w:r>
            <w:r>
              <w:rPr>
                <w:rFonts w:hint="eastAsia" w:ascii="宋体" w:hAnsi="宋体" w:eastAsia="宋体" w:cs="宋体"/>
                <w:color w:val="auto"/>
                <w:sz w:val="21"/>
                <w:szCs w:val="21"/>
              </w:rPr>
              <w:t>个工作日内</w:t>
            </w:r>
            <w:r>
              <w:rPr>
                <w:rFonts w:hint="eastAsia" w:ascii="宋体" w:hAnsi="宋体" w:eastAsia="宋体" w:cs="宋体"/>
                <w:color w:val="auto"/>
                <w:sz w:val="21"/>
                <w:szCs w:val="21"/>
                <w:lang w:val="en-US" w:eastAsia="zh-CN"/>
              </w:rPr>
              <w:t>支付相应金额的</w:t>
            </w:r>
            <w:r>
              <w:rPr>
                <w:rFonts w:hint="eastAsia" w:ascii="宋体" w:hAnsi="宋体" w:eastAsia="宋体" w:cs="宋体"/>
                <w:color w:val="auto"/>
                <w:sz w:val="21"/>
                <w:szCs w:val="21"/>
              </w:rPr>
              <w:t>货款给成交供应商</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设备出厂</w:t>
            </w:r>
            <w:r>
              <w:rPr>
                <w:rFonts w:hint="eastAsia" w:ascii="宋体" w:hAnsi="宋体" w:eastAsia="宋体" w:cs="宋体"/>
                <w:color w:val="auto"/>
                <w:sz w:val="21"/>
                <w:szCs w:val="21"/>
              </w:rPr>
              <w:t>验收合格</w:t>
            </w:r>
            <w:r>
              <w:rPr>
                <w:rFonts w:hint="eastAsia" w:ascii="宋体" w:hAnsi="宋体" w:eastAsia="宋体" w:cs="宋体"/>
                <w:color w:val="auto"/>
                <w:sz w:val="21"/>
                <w:szCs w:val="21"/>
                <w:lang w:val="en-US" w:eastAsia="zh-CN"/>
              </w:rPr>
              <w:t>且采购方</w:t>
            </w:r>
            <w:r>
              <w:rPr>
                <w:rFonts w:hint="eastAsia" w:ascii="宋体" w:hAnsi="宋体" w:eastAsia="宋体" w:cs="宋体"/>
                <w:color w:val="auto"/>
                <w:sz w:val="21"/>
                <w:szCs w:val="21"/>
              </w:rPr>
              <w:t>在收到成交供应商开具合同金额</w:t>
            </w: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rPr>
              <w:t>0%的发票后，采购方在</w:t>
            </w:r>
            <w:r>
              <w:rPr>
                <w:rFonts w:hint="eastAsia" w:ascii="宋体" w:hAnsi="宋体" w:eastAsia="宋体" w:cs="宋体"/>
                <w:color w:val="auto"/>
                <w:sz w:val="21"/>
                <w:szCs w:val="21"/>
                <w:lang w:val="en-US" w:eastAsia="zh-CN"/>
              </w:rPr>
              <w:t>15</w:t>
            </w:r>
            <w:r>
              <w:rPr>
                <w:rFonts w:hint="eastAsia" w:ascii="宋体" w:hAnsi="宋体" w:eastAsia="宋体" w:cs="宋体"/>
                <w:color w:val="auto"/>
                <w:sz w:val="21"/>
                <w:szCs w:val="21"/>
              </w:rPr>
              <w:t>个工作日内</w:t>
            </w:r>
            <w:r>
              <w:rPr>
                <w:rFonts w:hint="eastAsia" w:ascii="宋体" w:hAnsi="宋体" w:eastAsia="宋体" w:cs="宋体"/>
                <w:color w:val="auto"/>
                <w:sz w:val="21"/>
                <w:szCs w:val="21"/>
                <w:lang w:val="en-US" w:eastAsia="zh-CN"/>
              </w:rPr>
              <w:t>支付相应金额的</w:t>
            </w:r>
            <w:r>
              <w:rPr>
                <w:rFonts w:hint="eastAsia" w:ascii="宋体" w:hAnsi="宋体" w:eastAsia="宋体" w:cs="宋体"/>
                <w:color w:val="auto"/>
                <w:sz w:val="21"/>
                <w:szCs w:val="21"/>
              </w:rPr>
              <w:t>货款给成交供应商</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设备经合同</w:t>
            </w:r>
            <w:r>
              <w:rPr>
                <w:rFonts w:hint="eastAsia" w:ascii="宋体" w:hAnsi="宋体" w:eastAsia="宋体" w:cs="宋体"/>
                <w:color w:val="auto"/>
                <w:sz w:val="21"/>
                <w:szCs w:val="21"/>
              </w:rPr>
              <w:t>验收合格</w:t>
            </w:r>
            <w:r>
              <w:rPr>
                <w:rFonts w:hint="eastAsia" w:ascii="宋体" w:hAnsi="宋体" w:eastAsia="宋体" w:cs="宋体"/>
                <w:color w:val="auto"/>
                <w:sz w:val="21"/>
                <w:szCs w:val="21"/>
                <w:lang w:val="en-US" w:eastAsia="zh-CN"/>
              </w:rPr>
              <w:t>且采购方</w:t>
            </w:r>
            <w:r>
              <w:rPr>
                <w:rFonts w:hint="eastAsia" w:ascii="宋体" w:hAnsi="宋体" w:eastAsia="宋体" w:cs="宋体"/>
                <w:color w:val="auto"/>
                <w:sz w:val="21"/>
                <w:szCs w:val="21"/>
              </w:rPr>
              <w:t>在收到成交供应商开具合同金额</w:t>
            </w: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rPr>
              <w:t>0%的发票后，采购方在</w:t>
            </w:r>
            <w:r>
              <w:rPr>
                <w:rFonts w:hint="eastAsia" w:ascii="宋体" w:hAnsi="宋体" w:eastAsia="宋体" w:cs="宋体"/>
                <w:color w:val="auto"/>
                <w:sz w:val="21"/>
                <w:szCs w:val="21"/>
                <w:lang w:val="en-US" w:eastAsia="zh-CN"/>
              </w:rPr>
              <w:t>15</w:t>
            </w:r>
            <w:r>
              <w:rPr>
                <w:rFonts w:hint="eastAsia" w:ascii="宋体" w:hAnsi="宋体" w:eastAsia="宋体" w:cs="宋体"/>
                <w:color w:val="auto"/>
                <w:sz w:val="21"/>
                <w:szCs w:val="21"/>
              </w:rPr>
              <w:t>个工作日内</w:t>
            </w:r>
            <w:r>
              <w:rPr>
                <w:rFonts w:hint="eastAsia" w:ascii="宋体" w:hAnsi="宋体" w:eastAsia="宋体" w:cs="宋体"/>
                <w:color w:val="auto"/>
                <w:sz w:val="21"/>
                <w:szCs w:val="21"/>
                <w:lang w:val="en-US" w:eastAsia="zh-CN"/>
              </w:rPr>
              <w:t>支付相应金额的尾</w:t>
            </w:r>
            <w:r>
              <w:rPr>
                <w:rFonts w:hint="eastAsia" w:ascii="宋体" w:hAnsi="宋体" w:eastAsia="宋体" w:cs="宋体"/>
                <w:color w:val="auto"/>
                <w:sz w:val="21"/>
                <w:szCs w:val="21"/>
              </w:rPr>
              <w:t>款给成交供应商</w:t>
            </w:r>
            <w:r>
              <w:rPr>
                <w:rFonts w:hint="eastAsia" w:ascii="宋体" w:hAnsi="宋体" w:eastAsia="宋体" w:cs="宋体"/>
                <w:color w:val="auto"/>
                <w:sz w:val="21"/>
                <w:szCs w:val="21"/>
                <w:lang w:eastAsia="zh-CN"/>
              </w:rPr>
              <w:t>。</w:t>
            </w:r>
          </w:p>
        </w:tc>
      </w:tr>
      <w:tr w14:paraId="5E197A2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099" w:type="dxa"/>
            <w:gridSpan w:val="5"/>
            <w:tcBorders>
              <w:top w:val="single" w:color="auto" w:sz="4" w:space="0"/>
              <w:left w:val="single" w:color="auto" w:sz="4" w:space="0"/>
              <w:bottom w:val="single" w:color="auto" w:sz="4" w:space="0"/>
              <w:right w:val="single" w:color="auto" w:sz="4" w:space="0"/>
            </w:tcBorders>
            <w:noWrap w:val="0"/>
            <w:vAlign w:val="center"/>
          </w:tcPr>
          <w:p w14:paraId="59D3E2CA">
            <w:pPr>
              <w:pageBreakBefore w:val="0"/>
              <w:kinsoku/>
              <w:wordWrap/>
              <w:overflowPunct/>
              <w:topLinePunct w:val="0"/>
              <w:autoSpaceDE/>
              <w:autoSpaceDN/>
              <w:bidi w:val="0"/>
              <w:spacing w:line="400" w:lineRule="exact"/>
              <w:ind w:left="0" w:left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质保期</w:t>
            </w:r>
          </w:p>
        </w:tc>
        <w:tc>
          <w:tcPr>
            <w:tcW w:w="7540" w:type="dxa"/>
            <w:tcBorders>
              <w:top w:val="single" w:color="auto" w:sz="4" w:space="0"/>
              <w:left w:val="single" w:color="auto" w:sz="4" w:space="0"/>
              <w:bottom w:val="single" w:color="auto" w:sz="4" w:space="0"/>
              <w:right w:val="single" w:color="auto" w:sz="4" w:space="0"/>
            </w:tcBorders>
            <w:noWrap w:val="0"/>
            <w:vAlign w:val="center"/>
          </w:tcPr>
          <w:p w14:paraId="20DE80A5">
            <w:pPr>
              <w:pageBreakBefore w:val="0"/>
              <w:kinsoku/>
              <w:wordWrap/>
              <w:overflowPunct/>
              <w:topLinePunct w:val="0"/>
              <w:autoSpaceDE/>
              <w:autoSpaceDN/>
              <w:bidi w:val="0"/>
              <w:spacing w:line="400" w:lineRule="exact"/>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整套设备</w:t>
            </w:r>
            <w:r>
              <w:rPr>
                <w:rFonts w:hint="eastAsia" w:ascii="宋体" w:hAnsi="宋体" w:eastAsia="宋体" w:cs="宋体"/>
                <w:color w:val="auto"/>
                <w:sz w:val="21"/>
                <w:szCs w:val="21"/>
                <w:lang w:val="en-US" w:eastAsia="zh-CN"/>
              </w:rPr>
              <w:t>质保</w:t>
            </w:r>
            <w:r>
              <w:rPr>
                <w:rFonts w:hint="eastAsia" w:ascii="宋体" w:hAnsi="宋体" w:eastAsia="宋体" w:cs="宋体"/>
                <w:color w:val="auto"/>
                <w:sz w:val="21"/>
                <w:szCs w:val="21"/>
              </w:rPr>
              <w:t>期至少</w:t>
            </w: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rPr>
              <w:t>年，自验收合格正式交付使用之日起计算。按国家有关产品“三包”规定执行“三包”，质保期内免费维修、更换配件。质保期满后，以优惠价格提供维修和备件更换，且免除一切手续费。</w:t>
            </w:r>
          </w:p>
        </w:tc>
      </w:tr>
      <w:tr w14:paraId="78FAADD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099" w:type="dxa"/>
            <w:gridSpan w:val="5"/>
            <w:tcBorders>
              <w:top w:val="single" w:color="auto" w:sz="4" w:space="0"/>
              <w:left w:val="single" w:color="auto" w:sz="4" w:space="0"/>
              <w:bottom w:val="single" w:color="auto" w:sz="4" w:space="0"/>
              <w:right w:val="single" w:color="auto" w:sz="4" w:space="0"/>
            </w:tcBorders>
            <w:noWrap w:val="0"/>
            <w:vAlign w:val="center"/>
          </w:tcPr>
          <w:p w14:paraId="73BF726F">
            <w:pPr>
              <w:pageBreakBefore w:val="0"/>
              <w:kinsoku/>
              <w:wordWrap/>
              <w:overflowPunct/>
              <w:topLinePunct w:val="0"/>
              <w:autoSpaceDE/>
              <w:autoSpaceDN/>
              <w:bidi w:val="0"/>
              <w:spacing w:line="400" w:lineRule="exact"/>
              <w:ind w:left="0" w:left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售后技术服务要求</w:t>
            </w:r>
          </w:p>
        </w:tc>
        <w:tc>
          <w:tcPr>
            <w:tcW w:w="7540" w:type="dxa"/>
            <w:tcBorders>
              <w:top w:val="single" w:color="auto" w:sz="4" w:space="0"/>
              <w:left w:val="single" w:color="auto" w:sz="4" w:space="0"/>
              <w:bottom w:val="single" w:color="auto" w:sz="4" w:space="0"/>
              <w:right w:val="single" w:color="auto" w:sz="4" w:space="0"/>
            </w:tcBorders>
            <w:noWrap w:val="0"/>
            <w:vAlign w:val="center"/>
          </w:tcPr>
          <w:p w14:paraId="170C3BE8">
            <w:pPr>
              <w:pageBreakBefore w:val="0"/>
              <w:kinsoku/>
              <w:wordWrap/>
              <w:overflowPunct/>
              <w:topLinePunct w:val="0"/>
              <w:autoSpaceDE/>
              <w:autoSpaceDN/>
              <w:bidi w:val="0"/>
              <w:spacing w:line="400" w:lineRule="exact"/>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免费送货上门，免费安装调试，为采购人免费培训技术操作人员。所需工具、器材由成交供应商自理；提供全套说明书并包括简易的中文操作说明和注意事项。</w:t>
            </w:r>
          </w:p>
        </w:tc>
      </w:tr>
      <w:tr w14:paraId="4783A38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099" w:type="dxa"/>
            <w:gridSpan w:val="5"/>
            <w:tcBorders>
              <w:top w:val="single" w:color="auto" w:sz="4" w:space="0"/>
              <w:left w:val="single" w:color="auto" w:sz="4" w:space="0"/>
              <w:bottom w:val="single" w:color="auto" w:sz="4" w:space="0"/>
              <w:right w:val="single" w:color="auto" w:sz="4" w:space="0"/>
            </w:tcBorders>
            <w:noWrap w:val="0"/>
            <w:vAlign w:val="center"/>
          </w:tcPr>
          <w:p w14:paraId="53E2304E">
            <w:pPr>
              <w:pageBreakBefore w:val="0"/>
              <w:kinsoku/>
              <w:wordWrap/>
              <w:overflowPunct/>
              <w:topLinePunct w:val="0"/>
              <w:autoSpaceDE/>
              <w:autoSpaceDN/>
              <w:bidi w:val="0"/>
              <w:spacing w:line="400" w:lineRule="exact"/>
              <w:ind w:left="0" w:left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售后服务保障或维修响应时间要求</w:t>
            </w:r>
          </w:p>
        </w:tc>
        <w:tc>
          <w:tcPr>
            <w:tcW w:w="7540" w:type="dxa"/>
            <w:tcBorders>
              <w:top w:val="single" w:color="auto" w:sz="4" w:space="0"/>
              <w:left w:val="single" w:color="auto" w:sz="4" w:space="0"/>
              <w:bottom w:val="single" w:color="auto" w:sz="4" w:space="0"/>
              <w:right w:val="single" w:color="auto" w:sz="4" w:space="0"/>
            </w:tcBorders>
            <w:noWrap w:val="0"/>
            <w:vAlign w:val="center"/>
          </w:tcPr>
          <w:p w14:paraId="2C146AD2">
            <w:pPr>
              <w:pageBreakBefore w:val="0"/>
              <w:kinsoku/>
              <w:wordWrap/>
              <w:overflowPunct/>
              <w:topLinePunct w:val="0"/>
              <w:autoSpaceDE/>
              <w:autoSpaceDN/>
              <w:bidi w:val="0"/>
              <w:spacing w:line="400" w:lineRule="exact"/>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设备出现故障必须在24小时内做出答复，48小时内安排人员解决问题并排除故障，重大问题或其它无法迅速解决的问题应在一周内解决。</w:t>
            </w:r>
          </w:p>
        </w:tc>
      </w:tr>
      <w:tr w14:paraId="53EA9CB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099" w:type="dxa"/>
            <w:gridSpan w:val="5"/>
            <w:tcBorders>
              <w:top w:val="single" w:color="auto" w:sz="4" w:space="0"/>
              <w:left w:val="single" w:color="auto" w:sz="4" w:space="0"/>
              <w:bottom w:val="single" w:color="auto" w:sz="4" w:space="0"/>
              <w:right w:val="single" w:color="auto" w:sz="4" w:space="0"/>
            </w:tcBorders>
            <w:noWrap w:val="0"/>
            <w:vAlign w:val="center"/>
          </w:tcPr>
          <w:p w14:paraId="6A450C06">
            <w:pPr>
              <w:pageBreakBefore w:val="0"/>
              <w:kinsoku/>
              <w:wordWrap/>
              <w:overflowPunct/>
              <w:topLinePunct w:val="0"/>
              <w:autoSpaceDE/>
              <w:autoSpaceDN/>
              <w:bidi w:val="0"/>
              <w:spacing w:line="400" w:lineRule="exact"/>
              <w:ind w:left="0" w:left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验收要求</w:t>
            </w:r>
          </w:p>
        </w:tc>
        <w:tc>
          <w:tcPr>
            <w:tcW w:w="7540" w:type="dxa"/>
            <w:tcBorders>
              <w:top w:val="single" w:color="auto" w:sz="4" w:space="0"/>
              <w:left w:val="single" w:color="auto" w:sz="4" w:space="0"/>
              <w:bottom w:val="single" w:color="auto" w:sz="4" w:space="0"/>
              <w:right w:val="single" w:color="auto" w:sz="4" w:space="0"/>
            </w:tcBorders>
            <w:noWrap w:val="0"/>
            <w:vAlign w:val="center"/>
          </w:tcPr>
          <w:p w14:paraId="7FD641B2">
            <w:pPr>
              <w:pageBreakBefore w:val="0"/>
              <w:kinsoku/>
              <w:wordWrap/>
              <w:overflowPunct/>
              <w:topLinePunct w:val="0"/>
              <w:autoSpaceDE/>
              <w:autoSpaceDN/>
              <w:bidi w:val="0"/>
              <w:spacing w:line="400" w:lineRule="exact"/>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项目验收分为</w:t>
            </w:r>
            <w:r>
              <w:rPr>
                <w:rFonts w:hint="eastAsia" w:ascii="宋体" w:hAnsi="宋体" w:eastAsia="宋体" w:cs="宋体"/>
                <w:color w:val="auto"/>
                <w:sz w:val="21"/>
                <w:szCs w:val="21"/>
                <w:lang w:val="en-US" w:eastAsia="zh-CN"/>
              </w:rPr>
              <w:t>出厂</w:t>
            </w:r>
            <w:r>
              <w:rPr>
                <w:rFonts w:hint="eastAsia" w:ascii="宋体" w:hAnsi="宋体" w:eastAsia="宋体" w:cs="宋体"/>
                <w:color w:val="auto"/>
                <w:sz w:val="21"/>
                <w:szCs w:val="21"/>
              </w:rPr>
              <w:t>验收和</w:t>
            </w:r>
            <w:r>
              <w:rPr>
                <w:rFonts w:hint="eastAsia" w:ascii="宋体" w:hAnsi="宋体" w:eastAsia="宋体" w:cs="宋体"/>
                <w:color w:val="auto"/>
                <w:sz w:val="21"/>
                <w:szCs w:val="21"/>
                <w:lang w:val="en-US" w:eastAsia="zh-CN"/>
              </w:rPr>
              <w:t>合同</w:t>
            </w:r>
            <w:r>
              <w:rPr>
                <w:rFonts w:hint="eastAsia" w:ascii="宋体" w:hAnsi="宋体" w:eastAsia="宋体" w:cs="宋体"/>
                <w:color w:val="auto"/>
                <w:sz w:val="21"/>
                <w:szCs w:val="21"/>
              </w:rPr>
              <w:t>验收环节。供应商应在每个验收环节实施前将具体的验收计划交采购人审查。某一验收环节中达不到招标或合同约定要求，采购人不予签字认可，中标方须对不符合部分采取措施进行改进，直至符合要求。</w:t>
            </w:r>
          </w:p>
          <w:p w14:paraId="305CDD2C">
            <w:pPr>
              <w:pageBreakBefore w:val="0"/>
              <w:kinsoku/>
              <w:wordWrap/>
              <w:overflowPunct/>
              <w:topLinePunct w:val="0"/>
              <w:autoSpaceDE/>
              <w:autoSpaceDN/>
              <w:bidi w:val="0"/>
              <w:spacing w:line="400" w:lineRule="exact"/>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w:t>
            </w:r>
            <w:r>
              <w:rPr>
                <w:rFonts w:hint="eastAsia" w:ascii="宋体" w:hAnsi="宋体" w:eastAsia="宋体" w:cs="宋体"/>
                <w:color w:val="auto"/>
                <w:sz w:val="21"/>
                <w:szCs w:val="21"/>
                <w:lang w:val="en-US" w:eastAsia="zh-CN"/>
              </w:rPr>
              <w:t>出厂</w:t>
            </w:r>
            <w:r>
              <w:rPr>
                <w:rFonts w:hint="eastAsia" w:ascii="宋体" w:hAnsi="宋体" w:eastAsia="宋体" w:cs="宋体"/>
                <w:color w:val="auto"/>
                <w:sz w:val="21"/>
                <w:szCs w:val="21"/>
              </w:rPr>
              <w:t>验收</w:t>
            </w:r>
          </w:p>
          <w:p w14:paraId="1FD0EEF9">
            <w:pPr>
              <w:pageBreakBefore w:val="0"/>
              <w:kinsoku/>
              <w:wordWrap/>
              <w:overflowPunct/>
              <w:topLinePunct w:val="0"/>
              <w:autoSpaceDE/>
              <w:autoSpaceDN/>
              <w:bidi w:val="0"/>
              <w:spacing w:line="400" w:lineRule="exact"/>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出厂</w:t>
            </w:r>
            <w:r>
              <w:rPr>
                <w:rFonts w:hint="eastAsia" w:ascii="宋体" w:hAnsi="宋体" w:eastAsia="宋体" w:cs="宋体"/>
                <w:color w:val="auto"/>
                <w:sz w:val="21"/>
                <w:szCs w:val="21"/>
              </w:rPr>
              <w:t>验收主要是合同双方依据项目合同对全部设备型号、规格、数量</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指标、功能</w:t>
            </w:r>
            <w:r>
              <w:rPr>
                <w:rFonts w:hint="eastAsia" w:ascii="宋体" w:hAnsi="宋体" w:eastAsia="宋体" w:cs="宋体"/>
                <w:color w:val="auto"/>
                <w:sz w:val="21"/>
                <w:szCs w:val="21"/>
              </w:rPr>
              <w:t>的确认。</w:t>
            </w:r>
          </w:p>
          <w:p w14:paraId="49E42155">
            <w:pPr>
              <w:pageBreakBefore w:val="0"/>
              <w:kinsoku/>
              <w:wordWrap/>
              <w:overflowPunct/>
              <w:topLinePunct w:val="0"/>
              <w:autoSpaceDE/>
              <w:autoSpaceDN/>
              <w:bidi w:val="0"/>
              <w:spacing w:line="400" w:lineRule="exact"/>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rPr>
              <w:t>本项目设备运输到用户指定地点后，供应商应对照合同要求，对货物清单做出全面检查和对</w:t>
            </w:r>
            <w:r>
              <w:rPr>
                <w:rFonts w:hint="eastAsia" w:ascii="宋体" w:hAnsi="宋体" w:eastAsia="宋体" w:cs="宋体"/>
                <w:color w:val="auto"/>
                <w:sz w:val="21"/>
                <w:szCs w:val="21"/>
                <w:highlight w:val="none"/>
              </w:rPr>
              <w:t>验收文件进行整理，以确保与本合同约定的数量、型号等一致。</w:t>
            </w:r>
          </w:p>
          <w:p w14:paraId="5061D886">
            <w:pPr>
              <w:pageBreakBefore w:val="0"/>
              <w:kinsoku/>
              <w:wordWrap/>
              <w:overflowPunct/>
              <w:topLinePunct w:val="0"/>
              <w:autoSpaceDE/>
              <w:autoSpaceDN/>
              <w:bidi w:val="0"/>
              <w:spacing w:line="400" w:lineRule="exact"/>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验收过程商定的相关事宜以备忘录记载并作为</w:t>
            </w:r>
            <w:r>
              <w:rPr>
                <w:rFonts w:hint="eastAsia" w:ascii="宋体" w:hAnsi="宋体" w:eastAsia="宋体" w:cs="宋体"/>
                <w:color w:val="auto"/>
                <w:sz w:val="21"/>
                <w:szCs w:val="21"/>
                <w:highlight w:val="none"/>
                <w:lang w:val="en-US" w:eastAsia="zh-CN"/>
              </w:rPr>
              <w:t>合同</w:t>
            </w:r>
            <w:r>
              <w:rPr>
                <w:rFonts w:hint="eastAsia" w:ascii="宋体" w:hAnsi="宋体" w:eastAsia="宋体" w:cs="宋体"/>
                <w:color w:val="auto"/>
                <w:sz w:val="21"/>
                <w:szCs w:val="21"/>
                <w:highlight w:val="none"/>
              </w:rPr>
              <w:t>验收依据的组成部分。</w:t>
            </w:r>
          </w:p>
          <w:p w14:paraId="5DC67363">
            <w:pPr>
              <w:spacing w:line="400" w:lineRule="exact"/>
              <w:rPr>
                <w:rFonts w:hint="eastAsia" w:ascii="宋体" w:hAnsi="宋体" w:eastAsia="宋体" w:cs="宋体"/>
                <w:color w:val="auto"/>
                <w:szCs w:val="21"/>
                <w:highlight w:val="none"/>
                <w:lang w:val="en-US" w:eastAsia="zh-CN"/>
              </w:rPr>
            </w:pPr>
            <w:r>
              <w:rPr>
                <w:rFonts w:hint="eastAsia" w:ascii="宋体" w:hAnsi="宋体" w:cs="宋体"/>
                <w:color w:val="auto"/>
                <w:sz w:val="21"/>
                <w:szCs w:val="21"/>
                <w:highlight w:val="none"/>
                <w:lang w:val="en-US" w:eastAsia="zh-CN"/>
              </w:rPr>
              <w:t>出厂验收时要求以下设备参数满足相应指标要求，并提供第三方检测机构出具的测试报告，设备参数如下：</w:t>
            </w:r>
            <w:r>
              <w:rPr>
                <w:rFonts w:hint="eastAsia" w:ascii="宋体" w:hAnsi="宋体" w:cs="宋体"/>
                <w:color w:val="auto"/>
                <w:szCs w:val="21"/>
                <w:highlight w:val="none"/>
              </w:rPr>
              <w:t>实时预警系统</w:t>
            </w:r>
            <w:r>
              <w:rPr>
                <w:rFonts w:hint="eastAsia" w:ascii="宋体" w:hAnsi="宋体" w:cs="宋体"/>
                <w:color w:val="auto"/>
                <w:szCs w:val="21"/>
                <w:highlight w:val="none"/>
                <w:lang w:eastAsia="zh-CN"/>
              </w:rPr>
              <w:t>，</w:t>
            </w:r>
            <w:r>
              <w:rPr>
                <w:rFonts w:hint="eastAsia" w:ascii="宋体" w:hAnsi="宋体" w:cs="宋体"/>
                <w:color w:val="auto"/>
                <w:sz w:val="21"/>
                <w:szCs w:val="21"/>
                <w:highlight w:val="none"/>
              </w:rPr>
              <w:t>接收灵敏度：≤-95dBm</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接收频率：1090MHz，可扩展对978MHz（UAT‌）、118～137MHz（VDL）的监测</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预警天线驻波比</w:t>
            </w:r>
            <w:r>
              <w:rPr>
                <w:rFonts w:hint="eastAsia" w:ascii="宋体" w:hAnsi="宋体" w:cs="宋体"/>
                <w:color w:val="auto"/>
                <w:sz w:val="21"/>
                <w:szCs w:val="21"/>
                <w:highlight w:val="none"/>
              </w:rPr>
              <w:t>≤1.5</w:t>
            </w:r>
            <w:r>
              <w:rPr>
                <w:rFonts w:hint="eastAsia" w:ascii="宋体" w:hAnsi="宋体" w:cs="宋体"/>
                <w:color w:val="auto"/>
                <w:sz w:val="21"/>
                <w:szCs w:val="21"/>
                <w:highlight w:val="none"/>
                <w:lang w:val="en-US" w:eastAsia="zh-CN"/>
              </w:rPr>
              <w:t>dB</w:t>
            </w:r>
            <w:r>
              <w:rPr>
                <w:rFonts w:hint="eastAsia" w:ascii="宋体" w:hAnsi="宋体" w:cs="宋体"/>
                <w:color w:val="auto"/>
                <w:sz w:val="21"/>
                <w:szCs w:val="21"/>
                <w:highlight w:val="none"/>
                <w:lang w:eastAsia="zh-CN"/>
              </w:rPr>
              <w:t>。</w:t>
            </w:r>
            <w:r>
              <w:rPr>
                <w:rFonts w:hint="eastAsia" w:ascii="宋体" w:hAnsi="宋体" w:cs="宋体"/>
                <w:snapToGrid/>
                <w:color w:val="auto"/>
                <w:szCs w:val="21"/>
                <w:highlight w:val="none"/>
              </w:rPr>
              <w:t>小型升空GNSS干扰源侦测定位主设备</w:t>
            </w:r>
            <w:r>
              <w:rPr>
                <w:rFonts w:hint="eastAsia" w:ascii="宋体" w:hAnsi="宋体" w:cs="宋体"/>
                <w:snapToGrid/>
                <w:color w:val="auto"/>
                <w:szCs w:val="21"/>
                <w:highlight w:val="none"/>
                <w:lang w:eastAsia="zh-CN"/>
              </w:rPr>
              <w:t>，</w:t>
            </w:r>
            <w:r>
              <w:rPr>
                <w:rFonts w:hint="eastAsia" w:ascii="宋体" w:hAnsi="宋体" w:cs="宋体"/>
                <w:color w:val="auto"/>
                <w:szCs w:val="21"/>
                <w:highlight w:val="none"/>
              </w:rPr>
              <w:t>频谱扫描支持的频率包括（不限于）：1550</w:t>
            </w:r>
            <w:r>
              <w:rPr>
                <w:rFonts w:hint="eastAsia" w:ascii="宋体" w:hAnsi="宋体" w:cs="宋体"/>
                <w:color w:val="auto"/>
                <w:kern w:val="2"/>
                <w:szCs w:val="21"/>
                <w:highlight w:val="none"/>
                <w:lang w:bidi="ar"/>
              </w:rPr>
              <w:t>MHz</w:t>
            </w:r>
            <w:r>
              <w:rPr>
                <w:rFonts w:hint="eastAsia" w:ascii="宋体" w:hAnsi="宋体" w:cs="宋体"/>
                <w:color w:val="auto"/>
                <w:szCs w:val="21"/>
                <w:highlight w:val="none"/>
              </w:rPr>
              <w:t>～1605 MHz</w:t>
            </w:r>
            <w:r>
              <w:rPr>
                <w:rFonts w:hint="eastAsia" w:ascii="宋体" w:hAnsi="宋体" w:cs="宋体"/>
                <w:color w:val="auto"/>
                <w:szCs w:val="21"/>
                <w:highlight w:val="none"/>
                <w:lang w:eastAsia="zh-CN"/>
              </w:rPr>
              <w:t>、</w:t>
            </w:r>
            <w:r>
              <w:rPr>
                <w:rFonts w:hint="eastAsia" w:ascii="宋体" w:hAnsi="宋体" w:cs="宋体"/>
                <w:color w:val="auto"/>
                <w:szCs w:val="21"/>
                <w:highlight w:val="none"/>
              </w:rPr>
              <w:t>系统灵敏度：≥-115dBm</w:t>
            </w:r>
            <w:r>
              <w:rPr>
                <w:rFonts w:hint="eastAsia" w:ascii="宋体" w:hAnsi="宋体" w:cs="宋体"/>
                <w:color w:val="auto"/>
                <w:szCs w:val="21"/>
                <w:highlight w:val="none"/>
                <w:lang w:eastAsia="zh-CN"/>
              </w:rPr>
              <w:t>、</w:t>
            </w:r>
            <w:r>
              <w:rPr>
                <w:rFonts w:hint="eastAsia" w:ascii="宋体" w:hAnsi="宋体" w:cs="宋体"/>
                <w:color w:val="auto"/>
                <w:szCs w:val="21"/>
                <w:highlight w:val="none"/>
              </w:rPr>
              <w:t>噪声系数：≤1dB</w:t>
            </w:r>
            <w:r>
              <w:rPr>
                <w:rFonts w:hint="eastAsia" w:ascii="宋体" w:hAnsi="宋体" w:cs="宋体"/>
                <w:color w:val="auto"/>
                <w:szCs w:val="21"/>
                <w:highlight w:val="none"/>
                <w:lang w:eastAsia="zh-CN"/>
              </w:rPr>
              <w:t>、</w:t>
            </w:r>
            <w:r>
              <w:rPr>
                <w:rFonts w:hint="eastAsia" w:ascii="宋体" w:hAnsi="宋体" w:cs="宋体"/>
                <w:color w:val="auto"/>
                <w:szCs w:val="21"/>
                <w:highlight w:val="none"/>
              </w:rPr>
              <w:t>频率稳定度：≤1×10</w:t>
            </w:r>
            <w:r>
              <w:rPr>
                <w:rFonts w:hint="eastAsia" w:ascii="宋体" w:hAnsi="宋体" w:cs="宋体"/>
                <w:color w:val="auto"/>
                <w:szCs w:val="21"/>
                <w:highlight w:val="none"/>
                <w:vertAlign w:val="baseline"/>
              </w:rPr>
              <w:t>-6</w:t>
            </w:r>
            <w:r>
              <w:rPr>
                <w:rFonts w:hint="eastAsia" w:ascii="宋体" w:hAnsi="宋体" w:cs="宋体"/>
                <w:color w:val="auto"/>
                <w:szCs w:val="21"/>
                <w:highlight w:val="none"/>
                <w:vertAlign w:val="baseline"/>
                <w:lang w:val="en-US" w:eastAsia="zh-CN"/>
              </w:rPr>
              <w:t xml:space="preserve"> ，天线</w:t>
            </w:r>
            <w:r>
              <w:rPr>
                <w:rFonts w:hint="eastAsia" w:ascii="宋体" w:hAnsi="宋体" w:cs="宋体"/>
                <w:color w:val="auto"/>
                <w:szCs w:val="21"/>
                <w:highlight w:val="none"/>
              </w:rPr>
              <w:t>驻波比： ≤1.5dB</w:t>
            </w:r>
            <w:r>
              <w:rPr>
                <w:rFonts w:hint="eastAsia" w:ascii="宋体" w:hAnsi="宋体" w:cs="宋体"/>
                <w:color w:val="auto"/>
                <w:szCs w:val="21"/>
                <w:highlight w:val="none"/>
                <w:lang w:eastAsia="zh-CN"/>
              </w:rPr>
              <w:t>。</w:t>
            </w:r>
          </w:p>
          <w:p w14:paraId="764D0BD0">
            <w:pPr>
              <w:pageBreakBefore w:val="0"/>
              <w:kinsoku/>
              <w:wordWrap/>
              <w:overflowPunct/>
              <w:topLinePunct w:val="0"/>
              <w:autoSpaceDE/>
              <w:autoSpaceDN/>
              <w:bidi w:val="0"/>
              <w:spacing w:line="400" w:lineRule="exact"/>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val="en-US" w:eastAsia="zh-CN"/>
              </w:rPr>
              <w:t>合同</w:t>
            </w:r>
            <w:r>
              <w:rPr>
                <w:rFonts w:hint="eastAsia" w:ascii="宋体" w:hAnsi="宋体" w:eastAsia="宋体" w:cs="宋体"/>
                <w:color w:val="auto"/>
                <w:sz w:val="21"/>
                <w:szCs w:val="21"/>
                <w:highlight w:val="none"/>
              </w:rPr>
              <w:t>验收</w:t>
            </w:r>
          </w:p>
          <w:p w14:paraId="768B2B25">
            <w:pPr>
              <w:pageBreakBefore w:val="0"/>
              <w:kinsoku/>
              <w:wordWrap/>
              <w:overflowPunct/>
              <w:topLinePunct w:val="0"/>
              <w:autoSpaceDE/>
              <w:autoSpaceDN/>
              <w:bidi w:val="0"/>
              <w:spacing w:line="400" w:lineRule="exact"/>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货物</w:t>
            </w:r>
            <w:r>
              <w:rPr>
                <w:rFonts w:hint="eastAsia" w:ascii="宋体" w:hAnsi="宋体" w:eastAsia="宋体" w:cs="宋体"/>
                <w:color w:val="auto"/>
                <w:sz w:val="21"/>
                <w:szCs w:val="21"/>
                <w:lang w:val="en-US" w:eastAsia="zh-CN"/>
              </w:rPr>
              <w:t>进行安装调试完毕并</w:t>
            </w:r>
            <w:r>
              <w:rPr>
                <w:rFonts w:hint="eastAsia" w:ascii="宋体" w:hAnsi="宋体" w:eastAsia="宋体" w:cs="宋体"/>
                <w:color w:val="auto"/>
                <w:sz w:val="21"/>
                <w:szCs w:val="21"/>
              </w:rPr>
              <w:t>交付用户使用后，进行不少于</w:t>
            </w:r>
            <w:r>
              <w:rPr>
                <w:rFonts w:hint="eastAsia" w:ascii="宋体" w:hAnsi="宋体" w:eastAsia="宋体" w:cs="宋体"/>
                <w:color w:val="auto"/>
                <w:sz w:val="21"/>
                <w:szCs w:val="21"/>
                <w:lang w:val="en-US" w:eastAsia="zh-CN"/>
              </w:rPr>
              <w:t>15个日历日</w:t>
            </w:r>
            <w:r>
              <w:rPr>
                <w:rFonts w:hint="eastAsia" w:ascii="宋体" w:hAnsi="宋体" w:eastAsia="宋体" w:cs="宋体"/>
                <w:color w:val="auto"/>
                <w:sz w:val="21"/>
                <w:szCs w:val="21"/>
              </w:rPr>
              <w:t>的试运行，系统运行稳定可靠后再进行</w:t>
            </w:r>
            <w:r>
              <w:rPr>
                <w:rFonts w:hint="eastAsia" w:ascii="宋体" w:hAnsi="宋体" w:eastAsia="宋体" w:cs="宋体"/>
                <w:color w:val="auto"/>
                <w:sz w:val="21"/>
                <w:szCs w:val="21"/>
                <w:lang w:val="en-US" w:eastAsia="zh-CN"/>
              </w:rPr>
              <w:t>合同</w:t>
            </w:r>
            <w:r>
              <w:rPr>
                <w:rFonts w:hint="eastAsia" w:ascii="宋体" w:hAnsi="宋体" w:eastAsia="宋体" w:cs="宋体"/>
                <w:color w:val="auto"/>
                <w:sz w:val="21"/>
                <w:szCs w:val="21"/>
              </w:rPr>
              <w:t>验收。双方协商组织</w:t>
            </w:r>
            <w:r>
              <w:rPr>
                <w:rFonts w:hint="eastAsia" w:ascii="宋体" w:hAnsi="宋体" w:eastAsia="宋体" w:cs="宋体"/>
                <w:color w:val="auto"/>
                <w:sz w:val="21"/>
                <w:szCs w:val="21"/>
                <w:lang w:val="en-US" w:eastAsia="zh-CN"/>
              </w:rPr>
              <w:t>验收组</w:t>
            </w:r>
            <w:r>
              <w:rPr>
                <w:rFonts w:hint="eastAsia" w:ascii="宋体" w:hAnsi="宋体" w:eastAsia="宋体" w:cs="宋体"/>
                <w:color w:val="auto"/>
                <w:sz w:val="21"/>
                <w:szCs w:val="21"/>
              </w:rPr>
              <w:t>，对项目的全部内容包括系统功能、操作使用等进行全面详细验收。</w:t>
            </w:r>
            <w:r>
              <w:rPr>
                <w:rFonts w:hint="eastAsia" w:ascii="宋体" w:hAnsi="宋体" w:eastAsia="宋体" w:cs="宋体"/>
                <w:color w:val="auto"/>
                <w:sz w:val="21"/>
                <w:szCs w:val="21"/>
                <w:lang w:val="en-US" w:eastAsia="zh-CN"/>
              </w:rPr>
              <w:t>合同</w:t>
            </w:r>
            <w:r>
              <w:rPr>
                <w:rFonts w:hint="eastAsia" w:ascii="宋体" w:hAnsi="宋体" w:eastAsia="宋体" w:cs="宋体"/>
                <w:color w:val="auto"/>
                <w:sz w:val="21"/>
                <w:szCs w:val="21"/>
              </w:rPr>
              <w:t>验收时，供应商需提供招</w:t>
            </w:r>
            <w:r>
              <w:rPr>
                <w:rFonts w:hint="eastAsia" w:ascii="宋体" w:hAnsi="宋体" w:eastAsia="宋体" w:cs="宋体"/>
                <w:color w:val="auto"/>
                <w:sz w:val="21"/>
                <w:szCs w:val="21"/>
                <w:lang w:eastAsia="zh-CN"/>
              </w:rPr>
              <w:t>响应文件</w:t>
            </w:r>
            <w:r>
              <w:rPr>
                <w:rFonts w:hint="eastAsia" w:ascii="宋体" w:hAnsi="宋体" w:eastAsia="宋体" w:cs="宋体"/>
                <w:color w:val="auto"/>
                <w:sz w:val="21"/>
                <w:szCs w:val="21"/>
              </w:rPr>
              <w:t>、合同、</w:t>
            </w:r>
            <w:r>
              <w:rPr>
                <w:rFonts w:hint="eastAsia" w:ascii="宋体" w:hAnsi="宋体" w:eastAsia="宋体" w:cs="宋体"/>
                <w:color w:val="auto"/>
                <w:sz w:val="21"/>
                <w:szCs w:val="21"/>
                <w:lang w:val="en-US" w:eastAsia="zh-CN"/>
              </w:rPr>
              <w:t>出厂</w:t>
            </w:r>
            <w:r>
              <w:rPr>
                <w:rFonts w:hint="eastAsia" w:ascii="宋体" w:hAnsi="宋体" w:eastAsia="宋体" w:cs="宋体"/>
                <w:color w:val="auto"/>
                <w:sz w:val="21"/>
                <w:szCs w:val="21"/>
              </w:rPr>
              <w:t>验收、培训手册等资料作为最终验收资料。</w:t>
            </w:r>
          </w:p>
        </w:tc>
      </w:tr>
      <w:tr w14:paraId="72CFC46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099" w:type="dxa"/>
            <w:gridSpan w:val="5"/>
            <w:tcBorders>
              <w:top w:val="single" w:color="auto" w:sz="4" w:space="0"/>
              <w:left w:val="single" w:color="auto" w:sz="4" w:space="0"/>
              <w:bottom w:val="single" w:color="auto" w:sz="4" w:space="0"/>
              <w:right w:val="single" w:color="auto" w:sz="4" w:space="0"/>
            </w:tcBorders>
            <w:noWrap w:val="0"/>
            <w:vAlign w:val="center"/>
          </w:tcPr>
          <w:p w14:paraId="07BBF12F">
            <w:pPr>
              <w:pageBreakBefore w:val="0"/>
              <w:kinsoku/>
              <w:wordWrap/>
              <w:overflowPunct/>
              <w:topLinePunct w:val="0"/>
              <w:autoSpaceDE/>
              <w:autoSpaceDN/>
              <w:bidi w:val="0"/>
              <w:spacing w:line="400" w:lineRule="exact"/>
              <w:ind w:left="0" w:leftChars="0"/>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其他要求</w:t>
            </w:r>
          </w:p>
        </w:tc>
        <w:tc>
          <w:tcPr>
            <w:tcW w:w="7540" w:type="dxa"/>
            <w:tcBorders>
              <w:top w:val="single" w:color="auto" w:sz="4" w:space="0"/>
              <w:left w:val="single" w:color="auto" w:sz="4" w:space="0"/>
              <w:bottom w:val="single" w:color="auto" w:sz="4" w:space="0"/>
              <w:right w:val="single" w:color="auto" w:sz="4" w:space="0"/>
            </w:tcBorders>
            <w:noWrap w:val="0"/>
            <w:vAlign w:val="center"/>
          </w:tcPr>
          <w:p w14:paraId="2C3DD8C9">
            <w:pPr>
              <w:pageBreakBefore w:val="0"/>
              <w:kinsoku/>
              <w:wordWrap/>
              <w:overflowPunct/>
              <w:topLinePunct w:val="0"/>
              <w:autoSpaceDE/>
              <w:autoSpaceDN/>
              <w:bidi w:val="0"/>
              <w:spacing w:line="400" w:lineRule="exact"/>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1.本项目为总包干价，所有设备、系统（包括硬件、软件等）的安装调试，至项目验收合格交付使用前所发生的所有费用均由成交供应商负责。</w:t>
            </w:r>
          </w:p>
          <w:p w14:paraId="129FA5BB">
            <w:pPr>
              <w:pageBreakBefore w:val="0"/>
              <w:kinsoku/>
              <w:wordWrap/>
              <w:overflowPunct/>
              <w:topLinePunct w:val="0"/>
              <w:autoSpaceDE/>
              <w:autoSpaceDN/>
              <w:bidi w:val="0"/>
              <w:spacing w:line="400" w:lineRule="exact"/>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2.供应商投标时必须提供详细的设计和安装方案（设备型号、主要技术指标和功能的详细描述，系统结构框图、效果图等）。</w:t>
            </w:r>
          </w:p>
          <w:p w14:paraId="77547E4E">
            <w:pPr>
              <w:pageBreakBefore w:val="0"/>
              <w:kinsoku/>
              <w:wordWrap/>
              <w:overflowPunct/>
              <w:topLinePunct w:val="0"/>
              <w:autoSpaceDE/>
              <w:autoSpaceDN/>
              <w:bidi w:val="0"/>
              <w:spacing w:line="400" w:lineRule="exact"/>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3.供应商投标时必须提供具体供货时间以及生产、调试、安装、验收时间安排表。</w:t>
            </w:r>
          </w:p>
          <w:p w14:paraId="2C3C9F70">
            <w:pPr>
              <w:pageBreakBefore w:val="0"/>
              <w:kinsoku/>
              <w:wordWrap/>
              <w:overflowPunct/>
              <w:topLinePunct w:val="0"/>
              <w:autoSpaceDE/>
              <w:autoSpaceDN/>
              <w:bidi w:val="0"/>
              <w:spacing w:line="400" w:lineRule="exact"/>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4.成交供应商必须负责项目所有设备的安装、校准和调试。</w:t>
            </w:r>
          </w:p>
          <w:p w14:paraId="0DA5C913">
            <w:pPr>
              <w:pageBreakBefore w:val="0"/>
              <w:kinsoku/>
              <w:wordWrap/>
              <w:overflowPunct/>
              <w:topLinePunct w:val="0"/>
              <w:autoSpaceDE/>
              <w:autoSpaceDN/>
              <w:bidi w:val="0"/>
              <w:spacing w:line="400" w:lineRule="exact"/>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5.供应商投标时必须明确自项目验收合格正式交付使用后免费保修期的期限，保修期内，凡因成交供应商的设备质量原因而造成的故障，成交供应商应及时予以排除，并承担由此所发生的全部费用。</w:t>
            </w:r>
          </w:p>
          <w:p w14:paraId="717645EC">
            <w:pPr>
              <w:pageBreakBefore w:val="0"/>
              <w:kinsoku/>
              <w:wordWrap/>
              <w:overflowPunct/>
              <w:topLinePunct w:val="0"/>
              <w:autoSpaceDE/>
              <w:autoSpaceDN/>
              <w:bidi w:val="0"/>
              <w:spacing w:line="400" w:lineRule="exact"/>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6.保修期过后，成交供应商应对其提供的设备、系统（包括硬件、软件等）提供技术支持。</w:t>
            </w:r>
          </w:p>
          <w:p w14:paraId="5ADF8C5D">
            <w:pPr>
              <w:pageBreakBefore w:val="0"/>
              <w:kinsoku/>
              <w:wordWrap/>
              <w:overflowPunct/>
              <w:topLinePunct w:val="0"/>
              <w:autoSpaceDE/>
              <w:autoSpaceDN/>
              <w:bidi w:val="0"/>
              <w:spacing w:line="400" w:lineRule="exact"/>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7.成交供应商负责制定培训计划（包括培训方式、培训内容、培训时间、培训资料等），免费为采购人培训技术人员。</w:t>
            </w:r>
          </w:p>
          <w:p w14:paraId="22A50E2D">
            <w:pPr>
              <w:pageBreakBefore w:val="0"/>
              <w:kinsoku/>
              <w:wordWrap/>
              <w:overflowPunct/>
              <w:topLinePunct w:val="0"/>
              <w:autoSpaceDE/>
              <w:autoSpaceDN/>
              <w:bidi w:val="0"/>
              <w:spacing w:line="400" w:lineRule="exact"/>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8.成交供应商必须向采购人提供所有设备、系统（包括硬件、软件等）完整的技术资料，包括技术说明书、操作说明书等。</w:t>
            </w:r>
          </w:p>
          <w:p w14:paraId="3611EB1F">
            <w:pPr>
              <w:pageBreakBefore w:val="0"/>
              <w:kinsoku/>
              <w:wordWrap/>
              <w:overflowPunct/>
              <w:topLinePunct w:val="0"/>
              <w:autoSpaceDE/>
              <w:autoSpaceDN/>
              <w:bidi w:val="0"/>
              <w:spacing w:line="400" w:lineRule="exact"/>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9.成交供应商必须保证采购人在使用设备、服务时不受第三方提出侵犯其专利权、商标权和设计权的指控。一旦出现任何第三方提出侵权指控，成交供应商必须与第三方交涉，并承担可能发生的一切责任和费用。</w:t>
            </w:r>
          </w:p>
        </w:tc>
      </w:tr>
      <w:tr w14:paraId="4C54145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9639" w:type="dxa"/>
            <w:gridSpan w:val="6"/>
            <w:tcBorders>
              <w:top w:val="single" w:color="auto" w:sz="4" w:space="0"/>
              <w:left w:val="single" w:color="auto" w:sz="4" w:space="0"/>
              <w:bottom w:val="single" w:color="auto" w:sz="4" w:space="0"/>
              <w:right w:val="single" w:color="auto" w:sz="4" w:space="0"/>
            </w:tcBorders>
            <w:noWrap w:val="0"/>
            <w:vAlign w:val="top"/>
          </w:tcPr>
          <w:p w14:paraId="324368B4">
            <w:pPr>
              <w:pageBreakBefore w:val="0"/>
              <w:kinsoku/>
              <w:wordWrap/>
              <w:overflowPunct/>
              <w:topLinePunct w:val="0"/>
              <w:autoSpaceDE/>
              <w:autoSpaceDN/>
              <w:bidi w:val="0"/>
              <w:spacing w:line="400" w:lineRule="exact"/>
              <w:ind w:left="0" w:leftChars="0"/>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w:t>
            </w:r>
            <w:r>
              <w:rPr>
                <w:rFonts w:hint="eastAsia" w:ascii="宋体" w:hAnsi="宋体" w:eastAsia="宋体" w:cs="宋体"/>
                <w:b/>
                <w:color w:val="auto"/>
                <w:sz w:val="21"/>
                <w:szCs w:val="21"/>
                <w:lang w:val="en-US" w:eastAsia="zh-CN"/>
              </w:rPr>
              <w:t>二</w:t>
            </w:r>
            <w:r>
              <w:rPr>
                <w:rFonts w:hint="eastAsia" w:ascii="宋体" w:hAnsi="宋体" w:eastAsia="宋体" w:cs="宋体"/>
                <w:b/>
                <w:color w:val="auto"/>
                <w:sz w:val="21"/>
                <w:szCs w:val="21"/>
              </w:rPr>
              <w:t>、核心产品</w:t>
            </w:r>
          </w:p>
        </w:tc>
      </w:tr>
      <w:tr w14:paraId="5422AD6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9639" w:type="dxa"/>
            <w:gridSpan w:val="6"/>
            <w:tcBorders>
              <w:top w:val="single" w:color="auto" w:sz="4" w:space="0"/>
              <w:left w:val="single" w:color="auto" w:sz="4" w:space="0"/>
              <w:bottom w:val="single" w:color="auto" w:sz="4" w:space="0"/>
              <w:right w:val="single" w:color="auto" w:sz="4" w:space="0"/>
            </w:tcBorders>
            <w:noWrap w:val="0"/>
            <w:vAlign w:val="top"/>
          </w:tcPr>
          <w:p w14:paraId="1229D74D">
            <w:pPr>
              <w:pageBreakBefore w:val="0"/>
              <w:kinsoku/>
              <w:wordWrap/>
              <w:overflowPunct/>
              <w:topLinePunct w:val="0"/>
              <w:autoSpaceDE/>
              <w:autoSpaceDN/>
              <w:bidi w:val="0"/>
              <w:spacing w:line="400" w:lineRule="exact"/>
              <w:ind w:left="0" w:leftChars="0"/>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本标的核心产品为</w:t>
            </w:r>
            <w:r>
              <w:rPr>
                <w:rFonts w:hint="eastAsia" w:ascii="宋体" w:hAnsi="宋体" w:eastAsia="宋体" w:cs="宋体"/>
                <w:b/>
                <w:color w:val="auto"/>
                <w:sz w:val="21"/>
                <w:szCs w:val="21"/>
                <w:u w:val="single"/>
              </w:rPr>
              <w:t>航空GNSS干扰实时预警系统</w:t>
            </w:r>
            <w:r>
              <w:rPr>
                <w:rFonts w:hint="eastAsia" w:ascii="宋体" w:hAnsi="宋体" w:eastAsia="宋体" w:cs="宋体"/>
                <w:b/>
                <w:color w:val="auto"/>
                <w:sz w:val="21"/>
                <w:szCs w:val="21"/>
              </w:rPr>
              <w:t>。</w:t>
            </w:r>
          </w:p>
        </w:tc>
      </w:tr>
      <w:tr w14:paraId="58FC6AC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9639" w:type="dxa"/>
            <w:gridSpan w:val="6"/>
            <w:tcBorders>
              <w:top w:val="single" w:color="auto" w:sz="4" w:space="0"/>
              <w:left w:val="single" w:color="auto" w:sz="4" w:space="0"/>
              <w:bottom w:val="single" w:color="auto" w:sz="4" w:space="0"/>
              <w:right w:val="single" w:color="auto" w:sz="4" w:space="0"/>
            </w:tcBorders>
            <w:noWrap w:val="0"/>
            <w:vAlign w:val="center"/>
          </w:tcPr>
          <w:p w14:paraId="2219E15D">
            <w:pPr>
              <w:pageBreakBefore w:val="0"/>
              <w:kinsoku/>
              <w:wordWrap/>
              <w:overflowPunct/>
              <w:topLinePunct w:val="0"/>
              <w:autoSpaceDE/>
              <w:autoSpaceDN/>
              <w:bidi w:val="0"/>
              <w:spacing w:line="400" w:lineRule="exact"/>
              <w:ind w:left="0" w:leftChars="0"/>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lang w:val="en-US" w:eastAsia="zh-CN"/>
              </w:rPr>
              <w:t>三</w:t>
            </w:r>
            <w:r>
              <w:rPr>
                <w:rFonts w:hint="eastAsia" w:ascii="宋体" w:hAnsi="宋体" w:eastAsia="宋体" w:cs="宋体"/>
                <w:b/>
                <w:color w:val="auto"/>
                <w:sz w:val="21"/>
                <w:szCs w:val="21"/>
              </w:rPr>
              <w:t>、进口产品说明</w:t>
            </w:r>
          </w:p>
        </w:tc>
      </w:tr>
      <w:tr w14:paraId="5D0AF61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099" w:type="dxa"/>
            <w:gridSpan w:val="5"/>
            <w:tcBorders>
              <w:top w:val="single" w:color="auto" w:sz="4" w:space="0"/>
              <w:left w:val="single" w:color="auto" w:sz="4" w:space="0"/>
              <w:bottom w:val="single" w:color="auto" w:sz="4" w:space="0"/>
              <w:right w:val="single" w:color="auto" w:sz="4" w:space="0"/>
            </w:tcBorders>
            <w:noWrap w:val="0"/>
            <w:vAlign w:val="center"/>
          </w:tcPr>
          <w:p w14:paraId="7FFA248D">
            <w:pPr>
              <w:pageBreakBefore w:val="0"/>
              <w:kinsoku/>
              <w:wordWrap/>
              <w:overflowPunct/>
              <w:topLinePunct w:val="0"/>
              <w:autoSpaceDE/>
              <w:autoSpaceDN/>
              <w:bidi w:val="0"/>
              <w:spacing w:line="400" w:lineRule="exact"/>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进口产品说明</w:t>
            </w:r>
          </w:p>
        </w:tc>
        <w:tc>
          <w:tcPr>
            <w:tcW w:w="7540" w:type="dxa"/>
            <w:tcBorders>
              <w:top w:val="single" w:color="auto" w:sz="4" w:space="0"/>
              <w:left w:val="single" w:color="auto" w:sz="4" w:space="0"/>
              <w:bottom w:val="single" w:color="auto" w:sz="4" w:space="0"/>
              <w:right w:val="single" w:color="auto" w:sz="4" w:space="0"/>
            </w:tcBorders>
            <w:noWrap w:val="0"/>
            <w:vAlign w:val="center"/>
          </w:tcPr>
          <w:p w14:paraId="23B74F47">
            <w:pPr>
              <w:pageBreakBefore w:val="0"/>
              <w:kinsoku/>
              <w:wordWrap/>
              <w:overflowPunct/>
              <w:topLinePunct w:val="0"/>
              <w:autoSpaceDE/>
              <w:autoSpaceDN/>
              <w:bidi w:val="0"/>
              <w:spacing w:line="400" w:lineRule="exact"/>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□本表的第</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rPr>
              <w:t>项货物已按规定办妥进口产品采购审核手续，竞标产品可选用进口产品；但如选用进口产品时必须为全套原装进口产品（即通过中国海关报关验放进入中国境内且产自关境外的产品），同时供应商必须负责办理进口产品所有相关手续并承担所有费用。优先采购向我国企业转让技术、与我国企业签订消化吸收再创新方案的供应商的进口产品。其他货物不接受进口产品参与竞标，</w:t>
            </w:r>
            <w:r>
              <w:rPr>
                <w:rFonts w:hint="eastAsia" w:ascii="宋体" w:hAnsi="宋体" w:eastAsia="宋体" w:cs="宋体"/>
                <w:b/>
                <w:color w:val="auto"/>
                <w:sz w:val="21"/>
                <w:szCs w:val="21"/>
              </w:rPr>
              <w:t>否则其响应文件作无效处理。</w:t>
            </w:r>
          </w:p>
          <w:p w14:paraId="574F73D7">
            <w:pPr>
              <w:pageBreakBefore w:val="0"/>
              <w:kinsoku/>
              <w:wordWrap/>
              <w:overflowPunct/>
              <w:topLinePunct w:val="0"/>
              <w:autoSpaceDE/>
              <w:autoSpaceDN/>
              <w:bidi w:val="0"/>
              <w:spacing w:line="400" w:lineRule="exact"/>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☑本分标货物不接受进口产品（即通过中国海关报关验放进入中国境内且产自关境外的产品）参与竞标，</w:t>
            </w:r>
            <w:r>
              <w:rPr>
                <w:rFonts w:hint="eastAsia" w:ascii="宋体" w:hAnsi="宋体" w:eastAsia="宋体" w:cs="宋体"/>
                <w:b/>
                <w:color w:val="auto"/>
                <w:sz w:val="21"/>
                <w:szCs w:val="21"/>
              </w:rPr>
              <w:t>如有进口产品参与竞标的，其响应文件作无效处理</w:t>
            </w:r>
            <w:r>
              <w:rPr>
                <w:rFonts w:hint="eastAsia" w:ascii="宋体" w:hAnsi="宋体" w:eastAsia="宋体" w:cs="宋体"/>
                <w:color w:val="auto"/>
                <w:sz w:val="21"/>
                <w:szCs w:val="21"/>
              </w:rPr>
              <w:t>。□本分标货物不接受进口产品（即通过中国海关报关验放进入中国境内且产自关境外的产品）参与竞标，</w:t>
            </w:r>
            <w:r>
              <w:rPr>
                <w:rFonts w:hint="eastAsia" w:ascii="宋体" w:hAnsi="宋体" w:eastAsia="宋体" w:cs="宋体"/>
                <w:b/>
                <w:color w:val="auto"/>
                <w:sz w:val="21"/>
                <w:szCs w:val="21"/>
              </w:rPr>
              <w:t>如有进口产品参与竞标的作无效标处理</w:t>
            </w:r>
            <w:r>
              <w:rPr>
                <w:rFonts w:hint="eastAsia" w:ascii="宋体" w:hAnsi="宋体" w:eastAsia="宋体" w:cs="宋体"/>
                <w:color w:val="auto"/>
                <w:sz w:val="21"/>
                <w:szCs w:val="21"/>
              </w:rPr>
              <w:t>。</w:t>
            </w:r>
          </w:p>
        </w:tc>
      </w:tr>
    </w:tbl>
    <w:p w14:paraId="701DB8DB">
      <w:pPr>
        <w:spacing w:line="428" w:lineRule="exact"/>
        <w:ind w:left="119"/>
        <w:rPr>
          <w:rFonts w:ascii="Arial Unicode MS" w:hAnsi="Arial Unicode MS" w:eastAsia="Arial Unicode MS" w:cs="Arial Unicode MS"/>
          <w:color w:val="auto"/>
          <w:sz w:val="32"/>
          <w:szCs w:val="32"/>
          <w:highlight w:val="none"/>
        </w:rPr>
      </w:pPr>
      <w:r>
        <w:rPr>
          <w:rFonts w:hint="eastAsia" w:ascii="黑体" w:hAnsi="黑体" w:eastAsia="黑体" w:cs="黑体"/>
          <w:color w:val="auto"/>
          <w:sz w:val="32"/>
          <w:szCs w:val="32"/>
          <w:highlight w:val="none"/>
        </w:rPr>
        <w:br w:type="page"/>
      </w:r>
      <w:r>
        <w:rPr>
          <w:rFonts w:hint="eastAsia" w:ascii="黑体" w:hAnsi="黑体" w:eastAsia="黑体" w:cs="黑体"/>
          <w:color w:val="auto"/>
          <w:sz w:val="32"/>
          <w:szCs w:val="32"/>
          <w:highlight w:val="none"/>
        </w:rPr>
        <w:t>附件1：</w:t>
      </w:r>
    </w:p>
    <w:p w14:paraId="5A2BC5C2">
      <w:pPr>
        <w:spacing w:before="7"/>
        <w:rPr>
          <w:rFonts w:hint="eastAsia" w:ascii="Arial Unicode MS" w:hAnsi="Arial Unicode MS" w:eastAsia="Arial Unicode MS" w:cs="Arial Unicode MS"/>
          <w:color w:val="auto"/>
          <w:sz w:val="17"/>
          <w:szCs w:val="17"/>
          <w:highlight w:val="none"/>
        </w:rPr>
      </w:pPr>
    </w:p>
    <w:p w14:paraId="49B840E8">
      <w:pPr>
        <w:jc w:val="center"/>
        <w:rPr>
          <w:rFonts w:hint="eastAsia" w:ascii="宋体" w:hAnsi="宋体" w:cs="宋体"/>
          <w:b/>
          <w:bCs/>
          <w:color w:val="auto"/>
          <w:sz w:val="32"/>
          <w:szCs w:val="32"/>
          <w:highlight w:val="none"/>
        </w:rPr>
      </w:pPr>
      <w:r>
        <w:rPr>
          <w:rFonts w:hint="eastAsia" w:ascii="宋体" w:hAnsi="宋体" w:cs="宋体"/>
          <w:b/>
          <w:bCs/>
          <w:color w:val="auto"/>
          <w:sz w:val="32"/>
          <w:szCs w:val="32"/>
          <w:highlight w:val="none"/>
        </w:rPr>
        <w:t>节能产品政府采购品目清单</w:t>
      </w:r>
    </w:p>
    <w:p w14:paraId="7B5BD364">
      <w:pPr>
        <w:rPr>
          <w:rFonts w:hint="eastAsia" w:ascii="Arial Unicode MS" w:hAnsi="Arial Unicode MS" w:eastAsia="Arial Unicode MS" w:cs="Arial Unicode MS"/>
          <w:color w:val="auto"/>
          <w:sz w:val="20"/>
          <w:szCs w:val="20"/>
          <w:highlight w:val="none"/>
        </w:rPr>
      </w:pPr>
      <w:r>
        <w:rPr>
          <w:rFonts w:hint="eastAsia"/>
          <w:color w:val="auto"/>
          <w:highlight w:val="none"/>
        </w:rPr>
        <mc:AlternateContent>
          <mc:Choice Requires="wps">
            <w:drawing>
              <wp:anchor distT="0" distB="0" distL="114300" distR="114300" simplePos="0" relativeHeight="251659264" behindDoc="0" locked="0" layoutInCell="1" allowOverlap="1">
                <wp:simplePos x="0" y="0"/>
                <wp:positionH relativeFrom="page">
                  <wp:posOffset>447040</wp:posOffset>
                </wp:positionH>
                <wp:positionV relativeFrom="paragraph">
                  <wp:posOffset>100965</wp:posOffset>
                </wp:positionV>
                <wp:extent cx="6403975" cy="7479030"/>
                <wp:effectExtent l="0" t="0" r="0" b="0"/>
                <wp:wrapNone/>
                <wp:docPr id="1" name="文本框 2"/>
                <wp:cNvGraphicFramePr/>
                <a:graphic xmlns:a="http://schemas.openxmlformats.org/drawingml/2006/main">
                  <a:graphicData uri="http://schemas.microsoft.com/office/word/2010/wordprocessingShape">
                    <wps:wsp>
                      <wps:cNvSpPr txBox="1"/>
                      <wps:spPr>
                        <a:xfrm>
                          <a:off x="0" y="0"/>
                          <a:ext cx="6403975" cy="7479030"/>
                        </a:xfrm>
                        <a:prstGeom prst="rect">
                          <a:avLst/>
                        </a:prstGeom>
                        <a:noFill/>
                        <a:ln>
                          <a:noFill/>
                        </a:ln>
                      </wps:spPr>
                      <wps:txbx>
                        <w:txbxContent>
                          <w:tbl>
                            <w:tblPr>
                              <w:tblStyle w:val="24"/>
                              <w:tblpPr w:leftFromText="180" w:rightFromText="180" w:horzAnchor="margin" w:tblpY="-11599"/>
                              <w:tblOverlap w:val="never"/>
                              <w:tblW w:w="9125" w:type="dxa"/>
                              <w:tblInd w:w="627" w:type="dxa"/>
                              <w:tblLayout w:type="fixed"/>
                              <w:tblCellMar>
                                <w:top w:w="0" w:type="dxa"/>
                                <w:left w:w="0" w:type="dxa"/>
                                <w:bottom w:w="0" w:type="dxa"/>
                                <w:right w:w="0" w:type="dxa"/>
                              </w:tblCellMar>
                            </w:tblPr>
                            <w:tblGrid>
                              <w:gridCol w:w="574"/>
                              <w:gridCol w:w="1166"/>
                              <w:gridCol w:w="1800"/>
                              <w:gridCol w:w="1823"/>
                              <w:gridCol w:w="3762"/>
                            </w:tblGrid>
                            <w:tr w14:paraId="0183271F">
                              <w:tblPrEx>
                                <w:tblCellMar>
                                  <w:top w:w="0" w:type="dxa"/>
                                  <w:left w:w="0" w:type="dxa"/>
                                  <w:bottom w:w="0" w:type="dxa"/>
                                  <w:right w:w="0" w:type="dxa"/>
                                </w:tblCellMar>
                              </w:tblPrEx>
                              <w:trPr>
                                <w:trHeight w:val="782" w:hRule="exact"/>
                              </w:trPr>
                              <w:tc>
                                <w:tcPr>
                                  <w:tcW w:w="574" w:type="dxa"/>
                                  <w:tcBorders>
                                    <w:top w:val="single" w:color="000000" w:sz="4" w:space="0"/>
                                    <w:left w:val="single" w:color="000000" w:sz="4" w:space="0"/>
                                    <w:bottom w:val="single" w:color="000000" w:sz="4" w:space="0"/>
                                    <w:right w:val="single" w:color="000000" w:sz="4" w:space="0"/>
                                  </w:tcBorders>
                                  <w:noWrap w:val="0"/>
                                  <w:vAlign w:val="top"/>
                                </w:tcPr>
                                <w:p w14:paraId="0F0B55D9">
                                  <w:pPr>
                                    <w:pStyle w:val="56"/>
                                    <w:spacing w:before="57" w:line="254" w:lineRule="auto"/>
                                    <w:ind w:left="59" w:right="60"/>
                                    <w:rPr>
                                      <w:rFonts w:ascii="宋体" w:hAnsi="宋体" w:cs="宋体"/>
                                    </w:rPr>
                                  </w:pPr>
                                  <w:r>
                                    <w:rPr>
                                      <w:rFonts w:hint="eastAsia" w:ascii="宋体" w:hAnsi="宋体" w:cs="宋体"/>
                                      <w:b/>
                                      <w:bCs/>
                                      <w:w w:val="99"/>
                                    </w:rPr>
                                    <w:t>品目序号</w:t>
                                  </w:r>
                                </w:p>
                              </w:tc>
                              <w:tc>
                                <w:tcPr>
                                  <w:tcW w:w="4789" w:type="dxa"/>
                                  <w:gridSpan w:val="3"/>
                                  <w:tcBorders>
                                    <w:top w:val="single" w:color="000000" w:sz="4" w:space="0"/>
                                    <w:left w:val="single" w:color="000000" w:sz="4" w:space="0"/>
                                    <w:bottom w:val="single" w:color="000000" w:sz="4" w:space="0"/>
                                    <w:right w:val="single" w:color="000000" w:sz="4" w:space="0"/>
                                  </w:tcBorders>
                                  <w:noWrap w:val="0"/>
                                  <w:vAlign w:val="top"/>
                                </w:tcPr>
                                <w:p w14:paraId="25CDF4B1">
                                  <w:pPr>
                                    <w:pStyle w:val="56"/>
                                    <w:spacing w:before="4"/>
                                    <w:rPr>
                                      <w:rFonts w:ascii="宋体" w:hAnsi="宋体" w:cs="宋体"/>
                                      <w:sz w:val="16"/>
                                      <w:szCs w:val="16"/>
                                    </w:rPr>
                                  </w:pPr>
                                </w:p>
                                <w:p w14:paraId="05BA54E0">
                                  <w:pPr>
                                    <w:pStyle w:val="56"/>
                                    <w:jc w:val="center"/>
                                    <w:rPr>
                                      <w:rFonts w:ascii="宋体" w:hAnsi="宋体" w:cs="宋体"/>
                                    </w:rPr>
                                  </w:pPr>
                                  <w:r>
                                    <w:rPr>
                                      <w:rFonts w:hint="eastAsia" w:ascii="宋体" w:hAnsi="宋体" w:cs="宋体"/>
                                      <w:b/>
                                      <w:bCs/>
                                      <w:w w:val="99"/>
                                    </w:rPr>
                                    <w:t>名称</w:t>
                                  </w:r>
                                </w:p>
                              </w:tc>
                              <w:tc>
                                <w:tcPr>
                                  <w:tcW w:w="3762" w:type="dxa"/>
                                  <w:tcBorders>
                                    <w:top w:val="single" w:color="000000" w:sz="4" w:space="0"/>
                                    <w:left w:val="single" w:color="000000" w:sz="4" w:space="0"/>
                                    <w:bottom w:val="single" w:color="000000" w:sz="4" w:space="0"/>
                                    <w:right w:val="single" w:color="000000" w:sz="4" w:space="0"/>
                                  </w:tcBorders>
                                  <w:noWrap w:val="0"/>
                                  <w:vAlign w:val="top"/>
                                </w:tcPr>
                                <w:p w14:paraId="61F1B733">
                                  <w:pPr>
                                    <w:pStyle w:val="56"/>
                                    <w:spacing w:before="4"/>
                                    <w:rPr>
                                      <w:rFonts w:ascii="宋体" w:hAnsi="宋体" w:cs="宋体"/>
                                      <w:sz w:val="16"/>
                                      <w:szCs w:val="16"/>
                                    </w:rPr>
                                  </w:pPr>
                                </w:p>
                                <w:p w14:paraId="305C24C9">
                                  <w:pPr>
                                    <w:pStyle w:val="56"/>
                                    <w:ind w:left="926"/>
                                    <w:rPr>
                                      <w:rFonts w:ascii="宋体" w:hAnsi="宋体" w:cs="宋体"/>
                                    </w:rPr>
                                  </w:pPr>
                                  <w:r>
                                    <w:rPr>
                                      <w:rFonts w:hint="eastAsia" w:ascii="宋体" w:hAnsi="宋体" w:cs="宋体"/>
                                      <w:b/>
                                      <w:bCs/>
                                      <w:w w:val="99"/>
                                    </w:rPr>
                                    <w:t>依据的标准</w:t>
                                  </w:r>
                                </w:p>
                              </w:tc>
                            </w:tr>
                            <w:tr w14:paraId="1C66E3F8">
                              <w:tblPrEx>
                                <w:tblCellMar>
                                  <w:top w:w="0" w:type="dxa"/>
                                  <w:left w:w="0" w:type="dxa"/>
                                  <w:bottom w:w="0" w:type="dxa"/>
                                  <w:right w:w="0" w:type="dxa"/>
                                </w:tblCellMar>
                              </w:tblPrEx>
                              <w:trPr>
                                <w:trHeight w:val="821" w:hRule="exact"/>
                              </w:trPr>
                              <w:tc>
                                <w:tcPr>
                                  <w:tcW w:w="574" w:type="dxa"/>
                                  <w:vMerge w:val="restart"/>
                                  <w:tcBorders>
                                    <w:top w:val="single" w:color="000000" w:sz="4" w:space="0"/>
                                    <w:left w:val="single" w:color="000000" w:sz="4" w:space="0"/>
                                    <w:bottom w:val="single" w:color="000000" w:sz="4" w:space="0"/>
                                    <w:right w:val="single" w:color="000000" w:sz="4" w:space="0"/>
                                  </w:tcBorders>
                                  <w:noWrap w:val="0"/>
                                  <w:vAlign w:val="top"/>
                                </w:tcPr>
                                <w:p w14:paraId="229818BB">
                                  <w:pPr>
                                    <w:pStyle w:val="56"/>
                                    <w:rPr>
                                      <w:rFonts w:ascii="宋体" w:hAnsi="宋体" w:cs="宋体"/>
                                      <w:sz w:val="20"/>
                                      <w:szCs w:val="20"/>
                                    </w:rPr>
                                  </w:pPr>
                                </w:p>
                                <w:p w14:paraId="42E7BF33">
                                  <w:pPr>
                                    <w:pStyle w:val="56"/>
                                    <w:rPr>
                                      <w:rFonts w:hint="eastAsia" w:ascii="宋体" w:hAnsi="宋体" w:cs="宋体"/>
                                      <w:sz w:val="20"/>
                                      <w:szCs w:val="20"/>
                                    </w:rPr>
                                  </w:pPr>
                                </w:p>
                                <w:p w14:paraId="14BB51E8">
                                  <w:pPr>
                                    <w:pStyle w:val="56"/>
                                    <w:rPr>
                                      <w:rFonts w:hint="eastAsia" w:ascii="宋体" w:hAnsi="宋体" w:cs="宋体"/>
                                      <w:sz w:val="20"/>
                                      <w:szCs w:val="20"/>
                                    </w:rPr>
                                  </w:pPr>
                                </w:p>
                                <w:p w14:paraId="16CCF778">
                                  <w:pPr>
                                    <w:pStyle w:val="56"/>
                                    <w:spacing w:before="11"/>
                                    <w:rPr>
                                      <w:rFonts w:hint="eastAsia" w:ascii="宋体" w:hAnsi="宋体" w:cs="宋体"/>
                                      <w:sz w:val="15"/>
                                      <w:szCs w:val="15"/>
                                    </w:rPr>
                                  </w:pPr>
                                </w:p>
                                <w:p w14:paraId="54CF13CB">
                                  <w:pPr>
                                    <w:pStyle w:val="56"/>
                                    <w:ind w:right="1"/>
                                    <w:jc w:val="center"/>
                                    <w:rPr>
                                      <w:rFonts w:ascii="宋体" w:hAnsi="宋体" w:cs="宋体"/>
                                      <w:sz w:val="20"/>
                                      <w:szCs w:val="20"/>
                                    </w:rPr>
                                  </w:pPr>
                                  <w:r>
                                    <w:rPr>
                                      <w:rFonts w:hint="eastAsia" w:ascii="宋体"/>
                                      <w:w w:val="99"/>
                                      <w:sz w:val="20"/>
                                    </w:rPr>
                                    <w:t>1</w:t>
                                  </w:r>
                                </w:p>
                              </w:tc>
                              <w:tc>
                                <w:tcPr>
                                  <w:tcW w:w="1166" w:type="dxa"/>
                                  <w:vMerge w:val="restart"/>
                                  <w:tcBorders>
                                    <w:top w:val="single" w:color="000000" w:sz="4" w:space="0"/>
                                    <w:left w:val="single" w:color="000000" w:sz="4" w:space="0"/>
                                    <w:bottom w:val="single" w:color="000000" w:sz="4" w:space="0"/>
                                    <w:right w:val="single" w:color="000000" w:sz="4" w:space="0"/>
                                  </w:tcBorders>
                                  <w:noWrap w:val="0"/>
                                  <w:vAlign w:val="top"/>
                                </w:tcPr>
                                <w:p w14:paraId="43D9AA13">
                                  <w:pPr>
                                    <w:pStyle w:val="56"/>
                                    <w:rPr>
                                      <w:rFonts w:ascii="宋体" w:hAnsi="宋体" w:cs="宋体"/>
                                      <w:sz w:val="20"/>
                                      <w:szCs w:val="20"/>
                                    </w:rPr>
                                  </w:pPr>
                                </w:p>
                                <w:p w14:paraId="46974DBF">
                                  <w:pPr>
                                    <w:pStyle w:val="56"/>
                                    <w:rPr>
                                      <w:rFonts w:hint="eastAsia" w:ascii="宋体" w:hAnsi="宋体" w:cs="宋体"/>
                                      <w:sz w:val="20"/>
                                      <w:szCs w:val="20"/>
                                    </w:rPr>
                                  </w:pPr>
                                </w:p>
                                <w:p w14:paraId="4110C545">
                                  <w:pPr>
                                    <w:pStyle w:val="56"/>
                                    <w:spacing w:before="12"/>
                                    <w:rPr>
                                      <w:rFonts w:hint="eastAsia" w:ascii="宋体" w:hAnsi="宋体" w:cs="宋体"/>
                                      <w:sz w:val="23"/>
                                      <w:szCs w:val="23"/>
                                    </w:rPr>
                                  </w:pPr>
                                </w:p>
                                <w:p w14:paraId="1587267D">
                                  <w:pPr>
                                    <w:pStyle w:val="56"/>
                                    <w:ind w:left="7"/>
                                    <w:rPr>
                                      <w:rFonts w:hint="eastAsia"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01</w:t>
                                  </w:r>
                                  <w:r>
                                    <w:rPr>
                                      <w:rFonts w:hint="eastAsia" w:ascii="宋体" w:hAnsi="宋体" w:cs="宋体"/>
                                      <w:spacing w:val="1"/>
                                      <w:w w:val="99"/>
                                      <w:sz w:val="20"/>
                                      <w:szCs w:val="20"/>
                                    </w:rPr>
                                    <w:t>0</w:t>
                                  </w:r>
                                  <w:r>
                                    <w:rPr>
                                      <w:rFonts w:hint="eastAsia" w:ascii="宋体" w:hAnsi="宋体" w:cs="宋体"/>
                                      <w:w w:val="99"/>
                                      <w:sz w:val="20"/>
                                      <w:szCs w:val="20"/>
                                    </w:rPr>
                                    <w:t>1计算</w:t>
                                  </w:r>
                                </w:p>
                                <w:p w14:paraId="616903D8">
                                  <w:pPr>
                                    <w:pStyle w:val="56"/>
                                    <w:spacing w:before="50"/>
                                    <w:ind w:left="7"/>
                                    <w:rPr>
                                      <w:rFonts w:ascii="宋体" w:hAnsi="宋体" w:cs="宋体"/>
                                      <w:sz w:val="20"/>
                                      <w:szCs w:val="20"/>
                                    </w:rPr>
                                  </w:pPr>
                                  <w:r>
                                    <w:rPr>
                                      <w:rFonts w:hint="eastAsia" w:ascii="宋体" w:hAnsi="宋体" w:cs="宋体"/>
                                      <w:w w:val="99"/>
                                      <w:sz w:val="20"/>
                                      <w:szCs w:val="20"/>
                                    </w:rPr>
                                    <w:t>机设备</w:t>
                                  </w:r>
                                </w:p>
                              </w:tc>
                              <w:tc>
                                <w:tcPr>
                                  <w:tcW w:w="1800" w:type="dxa"/>
                                  <w:tcBorders>
                                    <w:top w:val="single" w:color="000000" w:sz="4" w:space="0"/>
                                    <w:left w:val="single" w:color="000000" w:sz="4" w:space="0"/>
                                    <w:bottom w:val="single" w:color="000000" w:sz="4" w:space="0"/>
                                    <w:right w:val="single" w:color="000000" w:sz="4" w:space="0"/>
                                  </w:tcBorders>
                                  <w:noWrap w:val="0"/>
                                  <w:vAlign w:val="top"/>
                                </w:tcPr>
                                <w:p w14:paraId="781165CE">
                                  <w:pPr>
                                    <w:pStyle w:val="56"/>
                                    <w:spacing w:before="93" w:line="280" w:lineRule="auto"/>
                                    <w:ind w:left="7" w:right="5"/>
                                    <w:rPr>
                                      <w:rFonts w:ascii="宋体" w:hAnsi="宋体" w:cs="宋体"/>
                                      <w:sz w:val="20"/>
                                      <w:szCs w:val="20"/>
                                    </w:rPr>
                                  </w:pPr>
                                  <w:r>
                                    <w:rPr>
                                      <w:rFonts w:hint="eastAsia" w:ascii="宋体" w:hAnsi="宋体" w:cs="宋体"/>
                                      <w:w w:val="99"/>
                                      <w:sz w:val="20"/>
                                      <w:szCs w:val="20"/>
                                    </w:rPr>
                                    <w:t>★</w:t>
                                  </w:r>
                                  <w:r>
                                    <w:rPr>
                                      <w:rFonts w:hint="eastAsia" w:ascii="宋体" w:hAnsi="宋体" w:cs="宋体"/>
                                      <w:spacing w:val="1"/>
                                      <w:w w:val="99"/>
                                      <w:sz w:val="20"/>
                                      <w:szCs w:val="20"/>
                                    </w:rPr>
                                    <w:t>A020</w:t>
                                  </w:r>
                                  <w:r>
                                    <w:rPr>
                                      <w:rFonts w:hint="eastAsia" w:ascii="宋体" w:hAnsi="宋体" w:cs="宋体"/>
                                      <w:w w:val="99"/>
                                      <w:sz w:val="20"/>
                                      <w:szCs w:val="20"/>
                                    </w:rPr>
                                    <w:t>10</w:t>
                                  </w:r>
                                  <w:r>
                                    <w:rPr>
                                      <w:rFonts w:hint="eastAsia" w:ascii="宋体" w:hAnsi="宋体" w:cs="宋体"/>
                                      <w:spacing w:val="1"/>
                                      <w:w w:val="99"/>
                                      <w:sz w:val="20"/>
                                      <w:szCs w:val="20"/>
                                    </w:rPr>
                                    <w:t>1</w:t>
                                  </w:r>
                                  <w:r>
                                    <w:rPr>
                                      <w:rFonts w:hint="eastAsia" w:ascii="宋体" w:hAnsi="宋体" w:cs="宋体"/>
                                      <w:w w:val="99"/>
                                      <w:sz w:val="20"/>
                                      <w:szCs w:val="20"/>
                                    </w:rPr>
                                    <w:t>04台式计算机</w:t>
                                  </w:r>
                                </w:p>
                              </w:tc>
                              <w:tc>
                                <w:tcPr>
                                  <w:tcW w:w="1823" w:type="dxa"/>
                                  <w:tcBorders>
                                    <w:top w:val="single" w:color="000000" w:sz="4" w:space="0"/>
                                    <w:left w:val="single" w:color="000000" w:sz="4" w:space="0"/>
                                    <w:bottom w:val="single" w:color="000000" w:sz="4" w:space="0"/>
                                    <w:right w:val="single" w:color="000000" w:sz="4" w:space="0"/>
                                  </w:tcBorders>
                                  <w:noWrap w:val="0"/>
                                  <w:vAlign w:val="top"/>
                                </w:tcPr>
                                <w:p w14:paraId="19D4D4AE">
                                  <w:pPr>
                                    <w:rPr>
                                      <w:rFonts w:ascii="Calibri" w:hAnsi="Calibri"/>
                                      <w:sz w:val="22"/>
                                      <w:szCs w:val="22"/>
                                    </w:rPr>
                                  </w:pPr>
                                </w:p>
                              </w:tc>
                              <w:tc>
                                <w:tcPr>
                                  <w:tcW w:w="3762" w:type="dxa"/>
                                  <w:tcBorders>
                                    <w:top w:val="single" w:color="000000" w:sz="4" w:space="0"/>
                                    <w:left w:val="single" w:color="000000" w:sz="4" w:space="0"/>
                                    <w:bottom w:val="single" w:color="000000" w:sz="4" w:space="0"/>
                                    <w:right w:val="single" w:color="000000" w:sz="4" w:space="0"/>
                                  </w:tcBorders>
                                  <w:noWrap w:val="0"/>
                                  <w:vAlign w:val="top"/>
                                </w:tcPr>
                                <w:p w14:paraId="509593D7">
                                  <w:pPr>
                                    <w:pStyle w:val="56"/>
                                    <w:spacing w:before="93" w:line="280" w:lineRule="auto"/>
                                    <w:ind w:left="7" w:right="4"/>
                                    <w:rPr>
                                      <w:rFonts w:ascii="宋体" w:hAnsi="宋体" w:cs="宋体"/>
                                      <w:sz w:val="20"/>
                                      <w:szCs w:val="20"/>
                                      <w:lang w:eastAsia="zh-CN"/>
                                    </w:rPr>
                                  </w:pPr>
                                  <w:r>
                                    <w:rPr>
                                      <w:rFonts w:hint="eastAsia" w:ascii="宋体" w:hAnsi="宋体" w:cs="宋体"/>
                                      <w:spacing w:val="12"/>
                                      <w:w w:val="99"/>
                                      <w:sz w:val="20"/>
                                      <w:szCs w:val="20"/>
                                      <w:lang w:eastAsia="zh-CN"/>
                                    </w:rPr>
                                    <w:t>《微型计算机能效限定</w:t>
                                  </w:r>
                                  <w:r>
                                    <w:rPr>
                                      <w:rFonts w:hint="eastAsia" w:ascii="宋体" w:hAnsi="宋体" w:cs="宋体"/>
                                      <w:spacing w:val="9"/>
                                      <w:w w:val="99"/>
                                      <w:sz w:val="20"/>
                                      <w:szCs w:val="20"/>
                                      <w:lang w:eastAsia="zh-CN"/>
                                    </w:rPr>
                                    <w:t>值</w:t>
                                  </w:r>
                                  <w:r>
                                    <w:rPr>
                                      <w:rFonts w:hint="eastAsia" w:ascii="宋体" w:hAnsi="宋体" w:cs="宋体"/>
                                      <w:spacing w:val="12"/>
                                      <w:w w:val="99"/>
                                      <w:sz w:val="20"/>
                                      <w:szCs w:val="20"/>
                                      <w:lang w:eastAsia="zh-CN"/>
                                    </w:rPr>
                                    <w:t>及能</w:t>
                                  </w:r>
                                  <w:r>
                                    <w:rPr>
                                      <w:rFonts w:hint="eastAsia" w:ascii="宋体" w:hAnsi="宋体" w:cs="宋体"/>
                                      <w:w w:val="99"/>
                                      <w:sz w:val="20"/>
                                      <w:szCs w:val="20"/>
                                      <w:lang w:eastAsia="zh-CN"/>
                                    </w:rPr>
                                    <w:t>效等级》（</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28380</w:t>
                                  </w:r>
                                  <w:r>
                                    <w:rPr>
                                      <w:rFonts w:hint="eastAsia" w:ascii="宋体" w:hAnsi="宋体" w:cs="宋体"/>
                                      <w:w w:val="99"/>
                                      <w:sz w:val="20"/>
                                      <w:szCs w:val="20"/>
                                      <w:lang w:eastAsia="zh-CN"/>
                                    </w:rPr>
                                    <w:t>）</w:t>
                                  </w:r>
                                </w:p>
                              </w:tc>
                            </w:tr>
                            <w:tr w14:paraId="6BF56F36">
                              <w:tblPrEx>
                                <w:tblCellMar>
                                  <w:top w:w="0" w:type="dxa"/>
                                  <w:left w:w="0" w:type="dxa"/>
                                  <w:bottom w:w="0" w:type="dxa"/>
                                  <w:right w:w="0" w:type="dxa"/>
                                </w:tblCellMar>
                              </w:tblPrEx>
                              <w:trPr>
                                <w:trHeight w:val="727" w:hRule="exac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733FF5C4">
                                  <w:pPr>
                                    <w:widowControl/>
                                    <w:jc w:val="left"/>
                                    <w:rPr>
                                      <w:rFonts w:ascii="宋体" w:hAnsi="宋体" w:eastAsia="Times New Roman" w:cs="宋体"/>
                                      <w:kern w:val="0"/>
                                      <w:sz w:val="20"/>
                                      <w:szCs w:val="20"/>
                                    </w:rPr>
                                  </w:pPr>
                                </w:p>
                              </w:tc>
                              <w:tc>
                                <w:tcPr>
                                  <w:tcW w:w="1166" w:type="dxa"/>
                                  <w:vMerge w:val="continue"/>
                                  <w:tcBorders>
                                    <w:top w:val="single" w:color="000000" w:sz="4" w:space="0"/>
                                    <w:left w:val="single" w:color="000000" w:sz="4" w:space="0"/>
                                    <w:bottom w:val="single" w:color="000000" w:sz="4" w:space="0"/>
                                    <w:right w:val="single" w:color="000000" w:sz="4" w:space="0"/>
                                  </w:tcBorders>
                                  <w:noWrap w:val="0"/>
                                  <w:vAlign w:val="center"/>
                                </w:tcPr>
                                <w:p w14:paraId="4D5C3D0B">
                                  <w:pPr>
                                    <w:widowControl/>
                                    <w:jc w:val="left"/>
                                    <w:rPr>
                                      <w:rFonts w:ascii="宋体" w:hAnsi="宋体" w:eastAsia="Times New Roman" w:cs="宋体"/>
                                      <w:kern w:val="0"/>
                                      <w:sz w:val="20"/>
                                      <w:szCs w:val="20"/>
                                    </w:rPr>
                                  </w:pPr>
                                </w:p>
                              </w:tc>
                              <w:tc>
                                <w:tcPr>
                                  <w:tcW w:w="1800" w:type="dxa"/>
                                  <w:tcBorders>
                                    <w:top w:val="single" w:color="000000" w:sz="4" w:space="0"/>
                                    <w:left w:val="single" w:color="000000" w:sz="4" w:space="0"/>
                                    <w:bottom w:val="single" w:color="000000" w:sz="4" w:space="0"/>
                                    <w:right w:val="single" w:color="000000" w:sz="4" w:space="0"/>
                                  </w:tcBorders>
                                  <w:noWrap w:val="0"/>
                                  <w:vAlign w:val="top"/>
                                </w:tcPr>
                                <w:p w14:paraId="5A8DEB3B">
                                  <w:pPr>
                                    <w:pStyle w:val="56"/>
                                    <w:spacing w:before="44" w:line="280" w:lineRule="auto"/>
                                    <w:ind w:left="7" w:right="5"/>
                                    <w:rPr>
                                      <w:rFonts w:ascii="宋体" w:hAnsi="宋体" w:cs="宋体"/>
                                      <w:sz w:val="20"/>
                                      <w:szCs w:val="20"/>
                                    </w:rPr>
                                  </w:pPr>
                                  <w:r>
                                    <w:rPr>
                                      <w:rFonts w:hint="eastAsia" w:ascii="宋体" w:hAnsi="宋体" w:cs="宋体"/>
                                      <w:w w:val="99"/>
                                      <w:sz w:val="20"/>
                                      <w:szCs w:val="20"/>
                                    </w:rPr>
                                    <w:t>★</w:t>
                                  </w:r>
                                  <w:r>
                                    <w:rPr>
                                      <w:rFonts w:hint="eastAsia" w:ascii="宋体" w:hAnsi="宋体" w:cs="宋体"/>
                                      <w:spacing w:val="1"/>
                                      <w:w w:val="99"/>
                                      <w:sz w:val="20"/>
                                      <w:szCs w:val="20"/>
                                    </w:rPr>
                                    <w:t>A020</w:t>
                                  </w:r>
                                  <w:r>
                                    <w:rPr>
                                      <w:rFonts w:hint="eastAsia" w:ascii="宋体" w:hAnsi="宋体" w:cs="宋体"/>
                                      <w:w w:val="99"/>
                                      <w:sz w:val="20"/>
                                      <w:szCs w:val="20"/>
                                    </w:rPr>
                                    <w:t>10</w:t>
                                  </w:r>
                                  <w:r>
                                    <w:rPr>
                                      <w:rFonts w:hint="eastAsia" w:ascii="宋体" w:hAnsi="宋体" w:cs="宋体"/>
                                      <w:spacing w:val="1"/>
                                      <w:w w:val="99"/>
                                      <w:sz w:val="20"/>
                                      <w:szCs w:val="20"/>
                                    </w:rPr>
                                    <w:t>1</w:t>
                                  </w:r>
                                  <w:r>
                                    <w:rPr>
                                      <w:rFonts w:hint="eastAsia" w:ascii="宋体" w:hAnsi="宋体" w:cs="宋体"/>
                                      <w:w w:val="99"/>
                                      <w:sz w:val="20"/>
                                      <w:szCs w:val="20"/>
                                    </w:rPr>
                                    <w:t>05便携式计算机</w:t>
                                  </w:r>
                                </w:p>
                              </w:tc>
                              <w:tc>
                                <w:tcPr>
                                  <w:tcW w:w="1823" w:type="dxa"/>
                                  <w:tcBorders>
                                    <w:top w:val="single" w:color="000000" w:sz="4" w:space="0"/>
                                    <w:left w:val="single" w:color="000000" w:sz="4" w:space="0"/>
                                    <w:bottom w:val="single" w:color="000000" w:sz="4" w:space="0"/>
                                    <w:right w:val="single" w:color="000000" w:sz="4" w:space="0"/>
                                  </w:tcBorders>
                                  <w:noWrap w:val="0"/>
                                  <w:vAlign w:val="top"/>
                                </w:tcPr>
                                <w:p w14:paraId="506B0F38">
                                  <w:pPr>
                                    <w:rPr>
                                      <w:rFonts w:ascii="Calibri" w:hAnsi="Calibri"/>
                                      <w:sz w:val="22"/>
                                      <w:szCs w:val="22"/>
                                    </w:rPr>
                                  </w:pPr>
                                </w:p>
                              </w:tc>
                              <w:tc>
                                <w:tcPr>
                                  <w:tcW w:w="3762" w:type="dxa"/>
                                  <w:tcBorders>
                                    <w:top w:val="single" w:color="000000" w:sz="4" w:space="0"/>
                                    <w:left w:val="single" w:color="000000" w:sz="4" w:space="0"/>
                                    <w:bottom w:val="single" w:color="000000" w:sz="4" w:space="0"/>
                                    <w:right w:val="single" w:color="000000" w:sz="4" w:space="0"/>
                                  </w:tcBorders>
                                  <w:noWrap w:val="0"/>
                                  <w:vAlign w:val="top"/>
                                </w:tcPr>
                                <w:p w14:paraId="2FFE4FCA">
                                  <w:pPr>
                                    <w:pStyle w:val="56"/>
                                    <w:spacing w:before="44" w:line="280" w:lineRule="auto"/>
                                    <w:ind w:left="7" w:right="4"/>
                                    <w:rPr>
                                      <w:rFonts w:ascii="宋体" w:hAnsi="宋体" w:cs="宋体"/>
                                      <w:sz w:val="20"/>
                                      <w:szCs w:val="20"/>
                                      <w:lang w:eastAsia="zh-CN"/>
                                    </w:rPr>
                                  </w:pPr>
                                  <w:r>
                                    <w:rPr>
                                      <w:rFonts w:hint="eastAsia" w:ascii="宋体" w:hAnsi="宋体" w:cs="宋体"/>
                                      <w:spacing w:val="12"/>
                                      <w:w w:val="99"/>
                                      <w:sz w:val="20"/>
                                      <w:szCs w:val="20"/>
                                      <w:lang w:eastAsia="zh-CN"/>
                                    </w:rPr>
                                    <w:t>《微型计算机能效限定</w:t>
                                  </w:r>
                                  <w:r>
                                    <w:rPr>
                                      <w:rFonts w:hint="eastAsia" w:ascii="宋体" w:hAnsi="宋体" w:cs="宋体"/>
                                      <w:spacing w:val="9"/>
                                      <w:w w:val="99"/>
                                      <w:sz w:val="20"/>
                                      <w:szCs w:val="20"/>
                                      <w:lang w:eastAsia="zh-CN"/>
                                    </w:rPr>
                                    <w:t>值</w:t>
                                  </w:r>
                                  <w:r>
                                    <w:rPr>
                                      <w:rFonts w:hint="eastAsia" w:ascii="宋体" w:hAnsi="宋体" w:cs="宋体"/>
                                      <w:spacing w:val="12"/>
                                      <w:w w:val="99"/>
                                      <w:sz w:val="20"/>
                                      <w:szCs w:val="20"/>
                                      <w:lang w:eastAsia="zh-CN"/>
                                    </w:rPr>
                                    <w:t>及能</w:t>
                                  </w:r>
                                  <w:r>
                                    <w:rPr>
                                      <w:rFonts w:hint="eastAsia" w:ascii="宋体" w:hAnsi="宋体" w:cs="宋体"/>
                                      <w:w w:val="99"/>
                                      <w:sz w:val="20"/>
                                      <w:szCs w:val="20"/>
                                      <w:lang w:eastAsia="zh-CN"/>
                                    </w:rPr>
                                    <w:t>效等级》（</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28380</w:t>
                                  </w:r>
                                  <w:r>
                                    <w:rPr>
                                      <w:rFonts w:hint="eastAsia" w:ascii="宋体" w:hAnsi="宋体" w:cs="宋体"/>
                                      <w:w w:val="99"/>
                                      <w:sz w:val="20"/>
                                      <w:szCs w:val="20"/>
                                      <w:lang w:eastAsia="zh-CN"/>
                                    </w:rPr>
                                    <w:t>）</w:t>
                                  </w:r>
                                </w:p>
                              </w:tc>
                            </w:tr>
                            <w:tr w14:paraId="00B6540F">
                              <w:tblPrEx>
                                <w:tblCellMar>
                                  <w:top w:w="0" w:type="dxa"/>
                                  <w:left w:w="0" w:type="dxa"/>
                                  <w:bottom w:w="0" w:type="dxa"/>
                                  <w:right w:w="0" w:type="dxa"/>
                                </w:tblCellMar>
                              </w:tblPrEx>
                              <w:trPr>
                                <w:trHeight w:val="763" w:hRule="exac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7DA4D54B">
                                  <w:pPr>
                                    <w:widowControl/>
                                    <w:jc w:val="left"/>
                                    <w:rPr>
                                      <w:rFonts w:ascii="宋体" w:hAnsi="宋体" w:eastAsia="Times New Roman" w:cs="宋体"/>
                                      <w:kern w:val="0"/>
                                      <w:sz w:val="20"/>
                                      <w:szCs w:val="20"/>
                                    </w:rPr>
                                  </w:pPr>
                                </w:p>
                              </w:tc>
                              <w:tc>
                                <w:tcPr>
                                  <w:tcW w:w="1166" w:type="dxa"/>
                                  <w:vMerge w:val="continue"/>
                                  <w:tcBorders>
                                    <w:top w:val="single" w:color="000000" w:sz="4" w:space="0"/>
                                    <w:left w:val="single" w:color="000000" w:sz="4" w:space="0"/>
                                    <w:bottom w:val="single" w:color="000000" w:sz="4" w:space="0"/>
                                    <w:right w:val="single" w:color="000000" w:sz="4" w:space="0"/>
                                  </w:tcBorders>
                                  <w:noWrap w:val="0"/>
                                  <w:vAlign w:val="center"/>
                                </w:tcPr>
                                <w:p w14:paraId="40685E7E">
                                  <w:pPr>
                                    <w:widowControl/>
                                    <w:jc w:val="left"/>
                                    <w:rPr>
                                      <w:rFonts w:ascii="宋体" w:hAnsi="宋体" w:eastAsia="Times New Roman" w:cs="宋体"/>
                                      <w:kern w:val="0"/>
                                      <w:sz w:val="20"/>
                                      <w:szCs w:val="20"/>
                                    </w:rPr>
                                  </w:pPr>
                                </w:p>
                              </w:tc>
                              <w:tc>
                                <w:tcPr>
                                  <w:tcW w:w="1800" w:type="dxa"/>
                                  <w:tcBorders>
                                    <w:top w:val="single" w:color="000000" w:sz="4" w:space="0"/>
                                    <w:left w:val="single" w:color="000000" w:sz="4" w:space="0"/>
                                    <w:bottom w:val="single" w:color="000000" w:sz="4" w:space="0"/>
                                    <w:right w:val="single" w:color="000000" w:sz="4" w:space="0"/>
                                  </w:tcBorders>
                                  <w:noWrap w:val="0"/>
                                  <w:vAlign w:val="top"/>
                                </w:tcPr>
                                <w:p w14:paraId="4EE60AF0">
                                  <w:pPr>
                                    <w:pStyle w:val="56"/>
                                    <w:spacing w:before="64" w:line="280" w:lineRule="auto"/>
                                    <w:ind w:left="7" w:right="5"/>
                                    <w:rPr>
                                      <w:rFonts w:ascii="宋体" w:hAnsi="宋体" w:cs="宋体"/>
                                      <w:sz w:val="20"/>
                                      <w:szCs w:val="20"/>
                                      <w:lang w:eastAsia="zh-CN"/>
                                    </w:rPr>
                                  </w:pPr>
                                  <w:r>
                                    <w:rPr>
                                      <w:rFonts w:hint="eastAsia" w:ascii="宋体" w:hAnsi="宋体" w:cs="宋体"/>
                                      <w:w w:val="99"/>
                                      <w:sz w:val="20"/>
                                      <w:szCs w:val="20"/>
                                      <w:lang w:eastAsia="zh-CN"/>
                                    </w:rPr>
                                    <w:t>★</w:t>
                                  </w:r>
                                  <w:r>
                                    <w:rPr>
                                      <w:rFonts w:hint="eastAsia" w:ascii="宋体" w:hAnsi="宋体" w:cs="宋体"/>
                                      <w:spacing w:val="1"/>
                                      <w:w w:val="99"/>
                                      <w:sz w:val="20"/>
                                      <w:szCs w:val="20"/>
                                      <w:lang w:eastAsia="zh-CN"/>
                                    </w:rPr>
                                    <w:t>A020</w:t>
                                  </w:r>
                                  <w:r>
                                    <w:rPr>
                                      <w:rFonts w:hint="eastAsia" w:ascii="宋体" w:hAnsi="宋体" w:cs="宋体"/>
                                      <w:w w:val="99"/>
                                      <w:sz w:val="20"/>
                                      <w:szCs w:val="20"/>
                                      <w:lang w:eastAsia="zh-CN"/>
                                    </w:rPr>
                                    <w:t>10</w:t>
                                  </w:r>
                                  <w:r>
                                    <w:rPr>
                                      <w:rFonts w:hint="eastAsia" w:ascii="宋体" w:hAnsi="宋体" w:cs="宋体"/>
                                      <w:spacing w:val="1"/>
                                      <w:w w:val="99"/>
                                      <w:sz w:val="20"/>
                                      <w:szCs w:val="20"/>
                                      <w:lang w:eastAsia="zh-CN"/>
                                    </w:rPr>
                                    <w:t>1</w:t>
                                  </w:r>
                                  <w:r>
                                    <w:rPr>
                                      <w:rFonts w:hint="eastAsia" w:ascii="宋体" w:hAnsi="宋体" w:cs="宋体"/>
                                      <w:w w:val="99"/>
                                      <w:sz w:val="20"/>
                                      <w:szCs w:val="20"/>
                                      <w:lang w:eastAsia="zh-CN"/>
                                    </w:rPr>
                                    <w:t>07平板式微型计</w:t>
                                  </w:r>
                                  <w:r>
                                    <w:rPr>
                                      <w:rFonts w:hint="eastAsia" w:ascii="宋体" w:hAnsi="宋体" w:cs="宋体"/>
                                      <w:spacing w:val="2"/>
                                      <w:w w:val="99"/>
                                      <w:sz w:val="20"/>
                                      <w:szCs w:val="20"/>
                                      <w:lang w:eastAsia="zh-CN"/>
                                    </w:rPr>
                                    <w:t>算</w:t>
                                  </w:r>
                                  <w:r>
                                    <w:rPr>
                                      <w:rFonts w:hint="eastAsia" w:ascii="宋体" w:hAnsi="宋体" w:cs="宋体"/>
                                      <w:w w:val="99"/>
                                      <w:sz w:val="20"/>
                                      <w:szCs w:val="20"/>
                                      <w:lang w:eastAsia="zh-CN"/>
                                    </w:rPr>
                                    <w:t>机</w:t>
                                  </w:r>
                                </w:p>
                              </w:tc>
                              <w:tc>
                                <w:tcPr>
                                  <w:tcW w:w="1823" w:type="dxa"/>
                                  <w:tcBorders>
                                    <w:top w:val="single" w:color="000000" w:sz="4" w:space="0"/>
                                    <w:left w:val="single" w:color="000000" w:sz="4" w:space="0"/>
                                    <w:bottom w:val="single" w:color="000000" w:sz="4" w:space="0"/>
                                    <w:right w:val="single" w:color="000000" w:sz="4" w:space="0"/>
                                  </w:tcBorders>
                                  <w:noWrap w:val="0"/>
                                  <w:vAlign w:val="top"/>
                                </w:tcPr>
                                <w:p w14:paraId="7D07A84D">
                                  <w:pPr>
                                    <w:rPr>
                                      <w:rFonts w:ascii="Calibri" w:hAnsi="Calibri"/>
                                      <w:sz w:val="22"/>
                                      <w:szCs w:val="22"/>
                                    </w:rPr>
                                  </w:pPr>
                                </w:p>
                              </w:tc>
                              <w:tc>
                                <w:tcPr>
                                  <w:tcW w:w="3762" w:type="dxa"/>
                                  <w:tcBorders>
                                    <w:top w:val="single" w:color="000000" w:sz="4" w:space="0"/>
                                    <w:left w:val="single" w:color="000000" w:sz="4" w:space="0"/>
                                    <w:bottom w:val="single" w:color="000000" w:sz="4" w:space="0"/>
                                    <w:right w:val="single" w:color="000000" w:sz="4" w:space="0"/>
                                  </w:tcBorders>
                                  <w:noWrap w:val="0"/>
                                  <w:vAlign w:val="top"/>
                                </w:tcPr>
                                <w:p w14:paraId="6A4E11AB">
                                  <w:pPr>
                                    <w:pStyle w:val="56"/>
                                    <w:spacing w:before="64" w:line="280" w:lineRule="auto"/>
                                    <w:ind w:left="7" w:right="4"/>
                                    <w:rPr>
                                      <w:rFonts w:ascii="宋体" w:hAnsi="宋体" w:cs="宋体"/>
                                      <w:sz w:val="20"/>
                                      <w:szCs w:val="20"/>
                                      <w:lang w:eastAsia="zh-CN"/>
                                    </w:rPr>
                                  </w:pPr>
                                  <w:r>
                                    <w:rPr>
                                      <w:rFonts w:hint="eastAsia" w:ascii="宋体" w:hAnsi="宋体" w:cs="宋体"/>
                                      <w:spacing w:val="12"/>
                                      <w:w w:val="99"/>
                                      <w:sz w:val="20"/>
                                      <w:szCs w:val="20"/>
                                      <w:lang w:eastAsia="zh-CN"/>
                                    </w:rPr>
                                    <w:t>《微型计算机能效限定</w:t>
                                  </w:r>
                                  <w:r>
                                    <w:rPr>
                                      <w:rFonts w:hint="eastAsia" w:ascii="宋体" w:hAnsi="宋体" w:cs="宋体"/>
                                      <w:spacing w:val="9"/>
                                      <w:w w:val="99"/>
                                      <w:sz w:val="20"/>
                                      <w:szCs w:val="20"/>
                                      <w:lang w:eastAsia="zh-CN"/>
                                    </w:rPr>
                                    <w:t>值</w:t>
                                  </w:r>
                                  <w:r>
                                    <w:rPr>
                                      <w:rFonts w:hint="eastAsia" w:ascii="宋体" w:hAnsi="宋体" w:cs="宋体"/>
                                      <w:spacing w:val="12"/>
                                      <w:w w:val="99"/>
                                      <w:sz w:val="20"/>
                                      <w:szCs w:val="20"/>
                                      <w:lang w:eastAsia="zh-CN"/>
                                    </w:rPr>
                                    <w:t>及能</w:t>
                                  </w:r>
                                  <w:r>
                                    <w:rPr>
                                      <w:rFonts w:hint="eastAsia" w:ascii="宋体" w:hAnsi="宋体" w:cs="宋体"/>
                                      <w:w w:val="99"/>
                                      <w:sz w:val="20"/>
                                      <w:szCs w:val="20"/>
                                      <w:lang w:eastAsia="zh-CN"/>
                                    </w:rPr>
                                    <w:t>效等级》（</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28380</w:t>
                                  </w:r>
                                  <w:r>
                                    <w:rPr>
                                      <w:rFonts w:hint="eastAsia" w:ascii="宋体" w:hAnsi="宋体" w:cs="宋体"/>
                                      <w:w w:val="99"/>
                                      <w:sz w:val="20"/>
                                      <w:szCs w:val="20"/>
                                      <w:lang w:eastAsia="zh-CN"/>
                                    </w:rPr>
                                    <w:t>）</w:t>
                                  </w:r>
                                </w:p>
                              </w:tc>
                            </w:tr>
                            <w:tr w14:paraId="5FFFBBA3">
                              <w:tblPrEx>
                                <w:tblCellMar>
                                  <w:top w:w="0" w:type="dxa"/>
                                  <w:left w:w="0" w:type="dxa"/>
                                  <w:bottom w:w="0" w:type="dxa"/>
                                  <w:right w:w="0" w:type="dxa"/>
                                </w:tblCellMar>
                              </w:tblPrEx>
                              <w:trPr>
                                <w:trHeight w:val="742" w:hRule="exact"/>
                              </w:trPr>
                              <w:tc>
                                <w:tcPr>
                                  <w:tcW w:w="574" w:type="dxa"/>
                                  <w:vMerge w:val="restart"/>
                                  <w:tcBorders>
                                    <w:top w:val="single" w:color="000000" w:sz="4" w:space="0"/>
                                    <w:left w:val="single" w:color="000000" w:sz="4" w:space="0"/>
                                    <w:bottom w:val="single" w:color="000000" w:sz="4" w:space="0"/>
                                    <w:right w:val="single" w:color="000000" w:sz="4" w:space="0"/>
                                  </w:tcBorders>
                                  <w:noWrap w:val="0"/>
                                  <w:vAlign w:val="top"/>
                                </w:tcPr>
                                <w:p w14:paraId="37F98ED9">
                                  <w:pPr>
                                    <w:pStyle w:val="56"/>
                                    <w:rPr>
                                      <w:rFonts w:ascii="宋体" w:hAnsi="宋体" w:cs="宋体"/>
                                      <w:sz w:val="20"/>
                                      <w:szCs w:val="20"/>
                                      <w:lang w:eastAsia="zh-CN"/>
                                    </w:rPr>
                                  </w:pPr>
                                </w:p>
                                <w:p w14:paraId="52E78A82">
                                  <w:pPr>
                                    <w:pStyle w:val="56"/>
                                    <w:rPr>
                                      <w:rFonts w:hint="eastAsia" w:ascii="宋体" w:hAnsi="宋体" w:cs="宋体"/>
                                      <w:sz w:val="20"/>
                                      <w:szCs w:val="20"/>
                                      <w:lang w:eastAsia="zh-CN"/>
                                    </w:rPr>
                                  </w:pPr>
                                </w:p>
                                <w:p w14:paraId="2A703391">
                                  <w:pPr>
                                    <w:pStyle w:val="56"/>
                                    <w:rPr>
                                      <w:rFonts w:hint="eastAsia" w:ascii="宋体" w:hAnsi="宋体" w:cs="宋体"/>
                                      <w:sz w:val="20"/>
                                      <w:szCs w:val="20"/>
                                      <w:lang w:eastAsia="zh-CN"/>
                                    </w:rPr>
                                  </w:pPr>
                                </w:p>
                                <w:p w14:paraId="793370A0">
                                  <w:pPr>
                                    <w:pStyle w:val="56"/>
                                    <w:rPr>
                                      <w:rFonts w:hint="eastAsia" w:ascii="宋体" w:hAnsi="宋体" w:cs="宋体"/>
                                      <w:sz w:val="20"/>
                                      <w:szCs w:val="20"/>
                                      <w:lang w:eastAsia="zh-CN"/>
                                    </w:rPr>
                                  </w:pPr>
                                </w:p>
                                <w:p w14:paraId="7BC0DFB5">
                                  <w:pPr>
                                    <w:pStyle w:val="56"/>
                                    <w:rPr>
                                      <w:rFonts w:hint="eastAsia" w:ascii="宋体" w:hAnsi="宋体" w:cs="宋体"/>
                                      <w:sz w:val="20"/>
                                      <w:szCs w:val="20"/>
                                      <w:lang w:eastAsia="zh-CN"/>
                                    </w:rPr>
                                  </w:pPr>
                                </w:p>
                                <w:p w14:paraId="59C7CF72">
                                  <w:pPr>
                                    <w:pStyle w:val="56"/>
                                    <w:rPr>
                                      <w:rFonts w:hint="eastAsia" w:ascii="宋体" w:hAnsi="宋体" w:cs="宋体"/>
                                      <w:sz w:val="20"/>
                                      <w:szCs w:val="20"/>
                                      <w:lang w:eastAsia="zh-CN"/>
                                    </w:rPr>
                                  </w:pPr>
                                </w:p>
                                <w:p w14:paraId="2691A627">
                                  <w:pPr>
                                    <w:pStyle w:val="56"/>
                                    <w:rPr>
                                      <w:rFonts w:hint="eastAsia" w:ascii="宋体" w:hAnsi="宋体" w:cs="宋体"/>
                                      <w:sz w:val="20"/>
                                      <w:szCs w:val="20"/>
                                      <w:lang w:eastAsia="zh-CN"/>
                                    </w:rPr>
                                  </w:pPr>
                                </w:p>
                                <w:p w14:paraId="7DD39B80">
                                  <w:pPr>
                                    <w:pStyle w:val="56"/>
                                    <w:spacing w:before="2"/>
                                    <w:rPr>
                                      <w:rFonts w:hint="eastAsia" w:ascii="宋体" w:hAnsi="宋体" w:cs="宋体"/>
                                      <w:sz w:val="14"/>
                                      <w:szCs w:val="14"/>
                                      <w:lang w:eastAsia="zh-CN"/>
                                    </w:rPr>
                                  </w:pPr>
                                </w:p>
                                <w:p w14:paraId="2982A468">
                                  <w:pPr>
                                    <w:pStyle w:val="56"/>
                                    <w:ind w:right="1"/>
                                    <w:jc w:val="center"/>
                                    <w:rPr>
                                      <w:rFonts w:ascii="宋体" w:hAnsi="宋体" w:cs="宋体"/>
                                      <w:sz w:val="20"/>
                                      <w:szCs w:val="20"/>
                                    </w:rPr>
                                  </w:pPr>
                                  <w:r>
                                    <w:rPr>
                                      <w:rFonts w:hint="eastAsia" w:ascii="宋体"/>
                                      <w:w w:val="99"/>
                                      <w:sz w:val="20"/>
                                    </w:rPr>
                                    <w:t>2</w:t>
                                  </w:r>
                                </w:p>
                              </w:tc>
                              <w:tc>
                                <w:tcPr>
                                  <w:tcW w:w="1166" w:type="dxa"/>
                                  <w:vMerge w:val="restart"/>
                                  <w:tcBorders>
                                    <w:top w:val="single" w:color="000000" w:sz="4" w:space="0"/>
                                    <w:left w:val="single" w:color="000000" w:sz="4" w:space="0"/>
                                    <w:bottom w:val="single" w:color="000000" w:sz="4" w:space="0"/>
                                    <w:right w:val="single" w:color="000000" w:sz="4" w:space="0"/>
                                  </w:tcBorders>
                                  <w:noWrap w:val="0"/>
                                  <w:vAlign w:val="top"/>
                                </w:tcPr>
                                <w:p w14:paraId="104F5154">
                                  <w:pPr>
                                    <w:pStyle w:val="56"/>
                                    <w:rPr>
                                      <w:rFonts w:ascii="宋体" w:hAnsi="宋体" w:cs="宋体"/>
                                      <w:sz w:val="20"/>
                                      <w:szCs w:val="20"/>
                                    </w:rPr>
                                  </w:pPr>
                                </w:p>
                                <w:p w14:paraId="707C466D">
                                  <w:pPr>
                                    <w:pStyle w:val="56"/>
                                    <w:rPr>
                                      <w:rFonts w:hint="eastAsia" w:ascii="宋体" w:hAnsi="宋体" w:cs="宋体"/>
                                      <w:sz w:val="20"/>
                                      <w:szCs w:val="20"/>
                                    </w:rPr>
                                  </w:pPr>
                                </w:p>
                                <w:p w14:paraId="462CC5B4">
                                  <w:pPr>
                                    <w:pStyle w:val="56"/>
                                    <w:rPr>
                                      <w:rFonts w:hint="eastAsia" w:ascii="宋体" w:hAnsi="宋体" w:cs="宋体"/>
                                      <w:sz w:val="20"/>
                                      <w:szCs w:val="20"/>
                                    </w:rPr>
                                  </w:pPr>
                                </w:p>
                                <w:p w14:paraId="4FC4A399">
                                  <w:pPr>
                                    <w:pStyle w:val="56"/>
                                    <w:rPr>
                                      <w:rFonts w:hint="eastAsia" w:ascii="宋体" w:hAnsi="宋体" w:cs="宋体"/>
                                      <w:sz w:val="20"/>
                                      <w:szCs w:val="20"/>
                                    </w:rPr>
                                  </w:pPr>
                                </w:p>
                                <w:p w14:paraId="0DF6679C">
                                  <w:pPr>
                                    <w:pStyle w:val="56"/>
                                    <w:rPr>
                                      <w:rFonts w:hint="eastAsia" w:ascii="宋体" w:hAnsi="宋体" w:cs="宋体"/>
                                      <w:sz w:val="20"/>
                                      <w:szCs w:val="20"/>
                                    </w:rPr>
                                  </w:pPr>
                                </w:p>
                                <w:p w14:paraId="7F6A077D">
                                  <w:pPr>
                                    <w:pStyle w:val="56"/>
                                    <w:rPr>
                                      <w:rFonts w:hint="eastAsia" w:ascii="宋体" w:hAnsi="宋体" w:cs="宋体"/>
                                      <w:sz w:val="20"/>
                                      <w:szCs w:val="20"/>
                                    </w:rPr>
                                  </w:pPr>
                                </w:p>
                                <w:p w14:paraId="7D6932F0">
                                  <w:pPr>
                                    <w:pStyle w:val="56"/>
                                    <w:spacing w:before="3"/>
                                    <w:rPr>
                                      <w:rFonts w:hint="eastAsia" w:ascii="宋体" w:hAnsi="宋体" w:cs="宋体"/>
                                    </w:rPr>
                                  </w:pPr>
                                </w:p>
                                <w:p w14:paraId="6C266CBB">
                                  <w:pPr>
                                    <w:pStyle w:val="56"/>
                                    <w:ind w:left="7"/>
                                    <w:rPr>
                                      <w:rFonts w:hint="eastAsia"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01</w:t>
                                  </w:r>
                                  <w:r>
                                    <w:rPr>
                                      <w:rFonts w:hint="eastAsia" w:ascii="宋体" w:hAnsi="宋体" w:cs="宋体"/>
                                      <w:spacing w:val="1"/>
                                      <w:w w:val="99"/>
                                      <w:sz w:val="20"/>
                                      <w:szCs w:val="20"/>
                                    </w:rPr>
                                    <w:t>0</w:t>
                                  </w:r>
                                  <w:r>
                                    <w:rPr>
                                      <w:rFonts w:hint="eastAsia" w:ascii="宋体" w:hAnsi="宋体" w:cs="宋体"/>
                                      <w:w w:val="99"/>
                                      <w:sz w:val="20"/>
                                      <w:szCs w:val="20"/>
                                    </w:rPr>
                                    <w:t>6输入</w:t>
                                  </w:r>
                                </w:p>
                                <w:p w14:paraId="1FF6A263">
                                  <w:pPr>
                                    <w:pStyle w:val="56"/>
                                    <w:spacing w:before="50"/>
                                    <w:ind w:left="7"/>
                                    <w:rPr>
                                      <w:rFonts w:ascii="宋体" w:hAnsi="宋体" w:cs="宋体"/>
                                      <w:sz w:val="20"/>
                                      <w:szCs w:val="20"/>
                                    </w:rPr>
                                  </w:pPr>
                                  <w:r>
                                    <w:rPr>
                                      <w:rFonts w:hint="eastAsia" w:ascii="宋体" w:hAnsi="宋体" w:cs="宋体"/>
                                      <w:w w:val="99"/>
                                      <w:sz w:val="20"/>
                                      <w:szCs w:val="20"/>
                                    </w:rPr>
                                    <w:t>输出设备</w:t>
                                  </w:r>
                                </w:p>
                              </w:tc>
                              <w:tc>
                                <w:tcPr>
                                  <w:tcW w:w="1800" w:type="dxa"/>
                                  <w:vMerge w:val="restart"/>
                                  <w:tcBorders>
                                    <w:top w:val="single" w:color="000000" w:sz="4" w:space="0"/>
                                    <w:left w:val="single" w:color="000000" w:sz="4" w:space="0"/>
                                    <w:bottom w:val="single" w:color="000000" w:sz="4" w:space="0"/>
                                    <w:right w:val="single" w:color="000000" w:sz="4" w:space="0"/>
                                  </w:tcBorders>
                                  <w:noWrap w:val="0"/>
                                  <w:vAlign w:val="top"/>
                                </w:tcPr>
                                <w:p w14:paraId="0E623EE2">
                                  <w:pPr>
                                    <w:pStyle w:val="56"/>
                                    <w:rPr>
                                      <w:rFonts w:ascii="宋体" w:hAnsi="宋体" w:cs="宋体"/>
                                      <w:sz w:val="20"/>
                                      <w:szCs w:val="20"/>
                                    </w:rPr>
                                  </w:pPr>
                                </w:p>
                                <w:p w14:paraId="13F7B5C1">
                                  <w:pPr>
                                    <w:pStyle w:val="56"/>
                                    <w:rPr>
                                      <w:rFonts w:hint="eastAsia" w:ascii="宋体" w:hAnsi="宋体" w:cs="宋体"/>
                                      <w:sz w:val="20"/>
                                      <w:szCs w:val="20"/>
                                    </w:rPr>
                                  </w:pPr>
                                </w:p>
                                <w:p w14:paraId="71ED3358">
                                  <w:pPr>
                                    <w:pStyle w:val="56"/>
                                    <w:rPr>
                                      <w:rFonts w:hint="eastAsia" w:ascii="宋体" w:hAnsi="宋体" w:cs="宋体"/>
                                      <w:sz w:val="20"/>
                                      <w:szCs w:val="20"/>
                                    </w:rPr>
                                  </w:pPr>
                                </w:p>
                                <w:p w14:paraId="225E6FA7">
                                  <w:pPr>
                                    <w:pStyle w:val="56"/>
                                    <w:spacing w:before="164"/>
                                    <w:ind w:left="7"/>
                                    <w:rPr>
                                      <w:rFonts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01</w:t>
                                  </w:r>
                                  <w:r>
                                    <w:rPr>
                                      <w:rFonts w:hint="eastAsia" w:ascii="宋体" w:hAnsi="宋体" w:cs="宋体"/>
                                      <w:spacing w:val="1"/>
                                      <w:w w:val="99"/>
                                      <w:sz w:val="20"/>
                                      <w:szCs w:val="20"/>
                                    </w:rPr>
                                    <w:t>0</w:t>
                                  </w:r>
                                  <w:r>
                                    <w:rPr>
                                      <w:rFonts w:hint="eastAsia" w:ascii="宋体" w:hAnsi="宋体" w:cs="宋体"/>
                                      <w:w w:val="99"/>
                                      <w:sz w:val="20"/>
                                      <w:szCs w:val="20"/>
                                    </w:rPr>
                                    <w:t>601打印设备</w:t>
                                  </w:r>
                                </w:p>
                              </w:tc>
                              <w:tc>
                                <w:tcPr>
                                  <w:tcW w:w="1823" w:type="dxa"/>
                                  <w:tcBorders>
                                    <w:top w:val="single" w:color="000000" w:sz="4" w:space="0"/>
                                    <w:left w:val="single" w:color="000000" w:sz="4" w:space="0"/>
                                    <w:bottom w:val="single" w:color="000000" w:sz="4" w:space="0"/>
                                    <w:right w:val="single" w:color="000000" w:sz="4" w:space="0"/>
                                  </w:tcBorders>
                                  <w:noWrap w:val="0"/>
                                  <w:vAlign w:val="top"/>
                                </w:tcPr>
                                <w:p w14:paraId="5AF5247A">
                                  <w:pPr>
                                    <w:pStyle w:val="56"/>
                                    <w:spacing w:before="52"/>
                                    <w:ind w:left="7"/>
                                    <w:rPr>
                                      <w:rFonts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01</w:t>
                                  </w:r>
                                  <w:r>
                                    <w:rPr>
                                      <w:rFonts w:hint="eastAsia" w:ascii="宋体" w:hAnsi="宋体" w:cs="宋体"/>
                                      <w:spacing w:val="1"/>
                                      <w:w w:val="99"/>
                                      <w:sz w:val="20"/>
                                      <w:szCs w:val="20"/>
                                    </w:rPr>
                                    <w:t>0</w:t>
                                  </w:r>
                                  <w:r>
                                    <w:rPr>
                                      <w:rFonts w:hint="eastAsia" w:ascii="宋体" w:hAnsi="宋体" w:cs="宋体"/>
                                      <w:w w:val="99"/>
                                      <w:sz w:val="20"/>
                                      <w:szCs w:val="20"/>
                                    </w:rPr>
                                    <w:t>60</w:t>
                                  </w:r>
                                  <w:r>
                                    <w:rPr>
                                      <w:rFonts w:hint="eastAsia" w:ascii="宋体" w:hAnsi="宋体" w:cs="宋体"/>
                                      <w:spacing w:val="1"/>
                                      <w:w w:val="99"/>
                                      <w:sz w:val="20"/>
                                      <w:szCs w:val="20"/>
                                    </w:rPr>
                                    <w:t>10</w:t>
                                  </w:r>
                                  <w:r>
                                    <w:rPr>
                                      <w:rFonts w:hint="eastAsia" w:ascii="宋体" w:hAnsi="宋体" w:cs="宋体"/>
                                      <w:w w:val="99"/>
                                      <w:sz w:val="20"/>
                                      <w:szCs w:val="20"/>
                                    </w:rPr>
                                    <w:t>1喷墨打</w:t>
                                  </w:r>
                                </w:p>
                                <w:p w14:paraId="39718DF6">
                                  <w:pPr>
                                    <w:pStyle w:val="56"/>
                                    <w:spacing w:before="50"/>
                                    <w:ind w:left="7"/>
                                    <w:rPr>
                                      <w:rFonts w:ascii="宋体" w:hAnsi="宋体" w:cs="宋体"/>
                                      <w:sz w:val="20"/>
                                      <w:szCs w:val="20"/>
                                    </w:rPr>
                                  </w:pPr>
                                  <w:r>
                                    <w:rPr>
                                      <w:rFonts w:hint="eastAsia" w:ascii="宋体" w:hAnsi="宋体" w:cs="宋体"/>
                                      <w:w w:val="99"/>
                                      <w:sz w:val="20"/>
                                      <w:szCs w:val="20"/>
                                    </w:rPr>
                                    <w:t>印机</w:t>
                                  </w:r>
                                </w:p>
                              </w:tc>
                              <w:tc>
                                <w:tcPr>
                                  <w:tcW w:w="3762" w:type="dxa"/>
                                  <w:tcBorders>
                                    <w:top w:val="single" w:color="000000" w:sz="4" w:space="0"/>
                                    <w:left w:val="single" w:color="000000" w:sz="4" w:space="0"/>
                                    <w:bottom w:val="single" w:color="000000" w:sz="4" w:space="0"/>
                                    <w:right w:val="single" w:color="000000" w:sz="4" w:space="0"/>
                                  </w:tcBorders>
                                  <w:noWrap w:val="0"/>
                                  <w:vAlign w:val="top"/>
                                </w:tcPr>
                                <w:p w14:paraId="48C24023">
                                  <w:pPr>
                                    <w:pStyle w:val="56"/>
                                    <w:spacing w:before="52" w:line="280" w:lineRule="auto"/>
                                    <w:ind w:left="7" w:right="7"/>
                                    <w:rPr>
                                      <w:rFonts w:ascii="宋体" w:hAnsi="宋体" w:cs="宋体"/>
                                      <w:sz w:val="20"/>
                                      <w:szCs w:val="20"/>
                                      <w:lang w:eastAsia="zh-CN"/>
                                    </w:rPr>
                                  </w:pPr>
                                  <w:r>
                                    <w:rPr>
                                      <w:rFonts w:hint="eastAsia" w:ascii="宋体" w:hAnsi="宋体" w:cs="宋体"/>
                                      <w:w w:val="99"/>
                                      <w:sz w:val="20"/>
                                      <w:szCs w:val="20"/>
                                      <w:lang w:eastAsia="zh-CN"/>
                                    </w:rPr>
                                    <w:t>《复印</w:t>
                                  </w:r>
                                  <w:r>
                                    <w:rPr>
                                      <w:rFonts w:hint="eastAsia" w:ascii="宋体" w:hAnsi="宋体" w:cs="宋体"/>
                                      <w:spacing w:val="2"/>
                                      <w:w w:val="99"/>
                                      <w:sz w:val="20"/>
                                      <w:szCs w:val="20"/>
                                      <w:lang w:eastAsia="zh-CN"/>
                                    </w:rPr>
                                    <w:t>机</w:t>
                                  </w:r>
                                  <w:r>
                                    <w:rPr>
                                      <w:rFonts w:hint="eastAsia" w:ascii="宋体" w:hAnsi="宋体" w:cs="宋体"/>
                                      <w:spacing w:val="-58"/>
                                      <w:w w:val="99"/>
                                      <w:sz w:val="20"/>
                                      <w:szCs w:val="20"/>
                                      <w:lang w:eastAsia="zh-CN"/>
                                    </w:rPr>
                                    <w:t>、</w:t>
                                  </w:r>
                                  <w:r>
                                    <w:rPr>
                                      <w:rFonts w:hint="eastAsia" w:ascii="宋体" w:hAnsi="宋体" w:cs="宋体"/>
                                      <w:spacing w:val="2"/>
                                      <w:w w:val="99"/>
                                      <w:sz w:val="20"/>
                                      <w:szCs w:val="20"/>
                                      <w:lang w:eastAsia="zh-CN"/>
                                    </w:rPr>
                                    <w:t>打</w:t>
                                  </w:r>
                                  <w:r>
                                    <w:rPr>
                                      <w:rFonts w:hint="eastAsia" w:ascii="宋体" w:hAnsi="宋体" w:cs="宋体"/>
                                      <w:w w:val="99"/>
                                      <w:sz w:val="20"/>
                                      <w:szCs w:val="20"/>
                                      <w:lang w:eastAsia="zh-CN"/>
                                    </w:rPr>
                                    <w:t>印机</w:t>
                                  </w:r>
                                  <w:r>
                                    <w:rPr>
                                      <w:rFonts w:hint="eastAsia" w:ascii="宋体" w:hAnsi="宋体" w:cs="宋体"/>
                                      <w:spacing w:val="2"/>
                                      <w:w w:val="99"/>
                                      <w:sz w:val="20"/>
                                      <w:szCs w:val="20"/>
                                      <w:lang w:eastAsia="zh-CN"/>
                                    </w:rPr>
                                    <w:t>和</w:t>
                                  </w:r>
                                  <w:r>
                                    <w:rPr>
                                      <w:rFonts w:hint="eastAsia" w:ascii="宋体" w:hAnsi="宋体" w:cs="宋体"/>
                                      <w:w w:val="99"/>
                                      <w:sz w:val="20"/>
                                      <w:szCs w:val="20"/>
                                      <w:lang w:eastAsia="zh-CN"/>
                                    </w:rPr>
                                    <w:t>传真</w:t>
                                  </w:r>
                                  <w:r>
                                    <w:rPr>
                                      <w:rFonts w:hint="eastAsia" w:ascii="宋体" w:hAnsi="宋体" w:cs="宋体"/>
                                      <w:spacing w:val="2"/>
                                      <w:w w:val="99"/>
                                      <w:sz w:val="20"/>
                                      <w:szCs w:val="20"/>
                                      <w:lang w:eastAsia="zh-CN"/>
                                    </w:rPr>
                                    <w:t>机</w:t>
                                  </w:r>
                                  <w:r>
                                    <w:rPr>
                                      <w:rFonts w:hint="eastAsia" w:ascii="宋体" w:hAnsi="宋体" w:cs="宋体"/>
                                      <w:w w:val="99"/>
                                      <w:sz w:val="20"/>
                                      <w:szCs w:val="20"/>
                                      <w:lang w:eastAsia="zh-CN"/>
                                    </w:rPr>
                                    <w:t>能效限定值及</w:t>
                                  </w:r>
                                  <w:r>
                                    <w:rPr>
                                      <w:rFonts w:hint="eastAsia" w:ascii="宋体" w:hAnsi="宋体" w:cs="宋体"/>
                                      <w:spacing w:val="2"/>
                                      <w:w w:val="99"/>
                                      <w:sz w:val="20"/>
                                      <w:szCs w:val="20"/>
                                      <w:lang w:eastAsia="zh-CN"/>
                                    </w:rPr>
                                    <w:t>能</w:t>
                                  </w:r>
                                  <w:r>
                                    <w:rPr>
                                      <w:rFonts w:hint="eastAsia" w:ascii="宋体" w:hAnsi="宋体" w:cs="宋体"/>
                                      <w:w w:val="99"/>
                                      <w:sz w:val="20"/>
                                      <w:szCs w:val="20"/>
                                      <w:lang w:eastAsia="zh-CN"/>
                                    </w:rPr>
                                    <w:t>效等</w:t>
                                  </w:r>
                                  <w:r>
                                    <w:rPr>
                                      <w:rFonts w:hint="eastAsia" w:ascii="宋体" w:hAnsi="宋体" w:cs="宋体"/>
                                      <w:spacing w:val="2"/>
                                      <w:w w:val="99"/>
                                      <w:sz w:val="20"/>
                                      <w:szCs w:val="20"/>
                                      <w:lang w:eastAsia="zh-CN"/>
                                    </w:rPr>
                                    <w:t>级</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21</w:t>
                                  </w:r>
                                  <w:r>
                                    <w:rPr>
                                      <w:rFonts w:hint="eastAsia" w:ascii="宋体" w:hAnsi="宋体" w:cs="宋体"/>
                                      <w:w w:val="99"/>
                                      <w:sz w:val="20"/>
                                      <w:szCs w:val="20"/>
                                      <w:lang w:eastAsia="zh-CN"/>
                                    </w:rPr>
                                    <w:t>52</w:t>
                                  </w:r>
                                  <w:r>
                                    <w:rPr>
                                      <w:rFonts w:hint="eastAsia" w:ascii="宋体" w:hAnsi="宋体" w:cs="宋体"/>
                                      <w:spacing w:val="1"/>
                                      <w:w w:val="99"/>
                                      <w:sz w:val="20"/>
                                      <w:szCs w:val="20"/>
                                      <w:lang w:eastAsia="zh-CN"/>
                                    </w:rPr>
                                    <w:t>1</w:t>
                                  </w:r>
                                  <w:r>
                                    <w:rPr>
                                      <w:rFonts w:hint="eastAsia" w:ascii="宋体" w:hAnsi="宋体" w:cs="宋体"/>
                                      <w:w w:val="99"/>
                                      <w:sz w:val="20"/>
                                      <w:szCs w:val="20"/>
                                      <w:lang w:eastAsia="zh-CN"/>
                                    </w:rPr>
                                    <w:t>）</w:t>
                                  </w:r>
                                </w:p>
                              </w:tc>
                            </w:tr>
                            <w:tr w14:paraId="6DBA3B22">
                              <w:tblPrEx>
                                <w:tblCellMar>
                                  <w:top w:w="0" w:type="dxa"/>
                                  <w:left w:w="0" w:type="dxa"/>
                                  <w:bottom w:w="0" w:type="dxa"/>
                                  <w:right w:w="0" w:type="dxa"/>
                                </w:tblCellMar>
                              </w:tblPrEx>
                              <w:trPr>
                                <w:trHeight w:val="742" w:hRule="exac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31250903">
                                  <w:pPr>
                                    <w:widowControl/>
                                    <w:jc w:val="left"/>
                                    <w:rPr>
                                      <w:rFonts w:ascii="宋体" w:hAnsi="宋体" w:eastAsia="Times New Roman" w:cs="宋体"/>
                                      <w:kern w:val="0"/>
                                      <w:sz w:val="20"/>
                                      <w:szCs w:val="20"/>
                                    </w:rPr>
                                  </w:pPr>
                                </w:p>
                              </w:tc>
                              <w:tc>
                                <w:tcPr>
                                  <w:tcW w:w="1166" w:type="dxa"/>
                                  <w:vMerge w:val="continue"/>
                                  <w:tcBorders>
                                    <w:top w:val="single" w:color="000000" w:sz="4" w:space="0"/>
                                    <w:left w:val="single" w:color="000000" w:sz="4" w:space="0"/>
                                    <w:bottom w:val="single" w:color="000000" w:sz="4" w:space="0"/>
                                    <w:right w:val="single" w:color="000000" w:sz="4" w:space="0"/>
                                  </w:tcBorders>
                                  <w:noWrap w:val="0"/>
                                  <w:vAlign w:val="center"/>
                                </w:tcPr>
                                <w:p w14:paraId="5CFA7402">
                                  <w:pPr>
                                    <w:widowControl/>
                                    <w:jc w:val="left"/>
                                    <w:rPr>
                                      <w:rFonts w:ascii="宋体" w:hAnsi="宋体" w:eastAsia="Times New Roman" w:cs="宋体"/>
                                      <w:kern w:val="0"/>
                                      <w:sz w:val="20"/>
                                      <w:szCs w:val="20"/>
                                    </w:rPr>
                                  </w:pPr>
                                </w:p>
                              </w:tc>
                              <w:tc>
                                <w:tcPr>
                                  <w:tcW w:w="1800" w:type="dxa"/>
                                  <w:vMerge w:val="continue"/>
                                  <w:tcBorders>
                                    <w:top w:val="single" w:color="000000" w:sz="4" w:space="0"/>
                                    <w:left w:val="single" w:color="000000" w:sz="4" w:space="0"/>
                                    <w:bottom w:val="single" w:color="000000" w:sz="4" w:space="0"/>
                                    <w:right w:val="single" w:color="000000" w:sz="4" w:space="0"/>
                                  </w:tcBorders>
                                  <w:noWrap w:val="0"/>
                                  <w:vAlign w:val="center"/>
                                </w:tcPr>
                                <w:p w14:paraId="3FFFE1CC">
                                  <w:pPr>
                                    <w:widowControl/>
                                    <w:jc w:val="left"/>
                                    <w:rPr>
                                      <w:rFonts w:ascii="宋体" w:hAnsi="宋体" w:eastAsia="Times New Roman" w:cs="宋体"/>
                                      <w:kern w:val="0"/>
                                      <w:sz w:val="20"/>
                                      <w:szCs w:val="20"/>
                                    </w:rPr>
                                  </w:pPr>
                                </w:p>
                              </w:tc>
                              <w:tc>
                                <w:tcPr>
                                  <w:tcW w:w="1823" w:type="dxa"/>
                                  <w:tcBorders>
                                    <w:top w:val="single" w:color="000000" w:sz="4" w:space="0"/>
                                    <w:left w:val="single" w:color="000000" w:sz="4" w:space="0"/>
                                    <w:bottom w:val="single" w:color="000000" w:sz="4" w:space="0"/>
                                    <w:right w:val="single" w:color="000000" w:sz="4" w:space="0"/>
                                  </w:tcBorders>
                                  <w:noWrap w:val="0"/>
                                  <w:vAlign w:val="top"/>
                                </w:tcPr>
                                <w:p w14:paraId="0ED288F0">
                                  <w:pPr>
                                    <w:pStyle w:val="56"/>
                                    <w:spacing w:before="52"/>
                                    <w:ind w:left="7"/>
                                    <w:rPr>
                                      <w:rFonts w:ascii="宋体" w:hAnsi="宋体" w:cs="宋体"/>
                                      <w:sz w:val="20"/>
                                      <w:szCs w:val="20"/>
                                    </w:rPr>
                                  </w:pPr>
                                  <w:r>
                                    <w:rPr>
                                      <w:rFonts w:hint="eastAsia" w:ascii="宋体" w:hAnsi="宋体" w:cs="宋体"/>
                                      <w:w w:val="99"/>
                                      <w:sz w:val="20"/>
                                      <w:szCs w:val="20"/>
                                    </w:rPr>
                                    <w:t>★</w:t>
                                  </w:r>
                                  <w:r>
                                    <w:rPr>
                                      <w:rFonts w:hint="eastAsia" w:ascii="宋体" w:hAnsi="宋体" w:cs="宋体"/>
                                      <w:spacing w:val="1"/>
                                      <w:w w:val="99"/>
                                      <w:sz w:val="20"/>
                                      <w:szCs w:val="20"/>
                                    </w:rPr>
                                    <w:t>A02</w:t>
                                  </w:r>
                                  <w:r>
                                    <w:rPr>
                                      <w:rFonts w:hint="eastAsia" w:ascii="宋体" w:hAnsi="宋体" w:cs="宋体"/>
                                      <w:w w:val="99"/>
                                      <w:sz w:val="20"/>
                                      <w:szCs w:val="20"/>
                                    </w:rPr>
                                    <w:t>01</w:t>
                                  </w:r>
                                  <w:r>
                                    <w:rPr>
                                      <w:rFonts w:hint="eastAsia" w:ascii="宋体" w:hAnsi="宋体" w:cs="宋体"/>
                                      <w:spacing w:val="1"/>
                                      <w:w w:val="99"/>
                                      <w:sz w:val="20"/>
                                      <w:szCs w:val="20"/>
                                    </w:rPr>
                                    <w:t>0</w:t>
                                  </w:r>
                                  <w:r>
                                    <w:rPr>
                                      <w:rFonts w:hint="eastAsia" w:ascii="宋体" w:hAnsi="宋体" w:cs="宋体"/>
                                      <w:w w:val="99"/>
                                      <w:sz w:val="20"/>
                                      <w:szCs w:val="20"/>
                                    </w:rPr>
                                    <w:t>60</w:t>
                                  </w:r>
                                  <w:r>
                                    <w:rPr>
                                      <w:rFonts w:hint="eastAsia" w:ascii="宋体" w:hAnsi="宋体" w:cs="宋体"/>
                                      <w:spacing w:val="1"/>
                                      <w:w w:val="99"/>
                                      <w:sz w:val="20"/>
                                      <w:szCs w:val="20"/>
                                    </w:rPr>
                                    <w:t>1</w:t>
                                  </w:r>
                                  <w:r>
                                    <w:rPr>
                                      <w:rFonts w:hint="eastAsia" w:ascii="宋体" w:hAnsi="宋体" w:cs="宋体"/>
                                      <w:w w:val="99"/>
                                      <w:sz w:val="20"/>
                                      <w:szCs w:val="20"/>
                                    </w:rPr>
                                    <w:t>02激光</w:t>
                                  </w:r>
                                </w:p>
                                <w:p w14:paraId="6476ECCF">
                                  <w:pPr>
                                    <w:pStyle w:val="56"/>
                                    <w:spacing w:before="50"/>
                                    <w:ind w:left="7"/>
                                    <w:rPr>
                                      <w:rFonts w:ascii="宋体" w:hAnsi="宋体" w:cs="宋体"/>
                                      <w:sz w:val="20"/>
                                      <w:szCs w:val="20"/>
                                    </w:rPr>
                                  </w:pPr>
                                  <w:r>
                                    <w:rPr>
                                      <w:rFonts w:hint="eastAsia" w:ascii="宋体" w:hAnsi="宋体" w:cs="宋体"/>
                                      <w:w w:val="99"/>
                                      <w:sz w:val="20"/>
                                      <w:szCs w:val="20"/>
                                    </w:rPr>
                                    <w:t>打印机</w:t>
                                  </w:r>
                                </w:p>
                              </w:tc>
                              <w:tc>
                                <w:tcPr>
                                  <w:tcW w:w="3762" w:type="dxa"/>
                                  <w:tcBorders>
                                    <w:top w:val="single" w:color="000000" w:sz="4" w:space="0"/>
                                    <w:left w:val="single" w:color="000000" w:sz="4" w:space="0"/>
                                    <w:bottom w:val="single" w:color="000000" w:sz="4" w:space="0"/>
                                    <w:right w:val="single" w:color="000000" w:sz="4" w:space="0"/>
                                  </w:tcBorders>
                                  <w:noWrap w:val="0"/>
                                  <w:vAlign w:val="top"/>
                                </w:tcPr>
                                <w:p w14:paraId="16BCC4DA">
                                  <w:pPr>
                                    <w:pStyle w:val="56"/>
                                    <w:spacing w:before="52" w:line="280" w:lineRule="auto"/>
                                    <w:ind w:left="7" w:right="7"/>
                                    <w:rPr>
                                      <w:rFonts w:ascii="宋体" w:hAnsi="宋体" w:cs="宋体"/>
                                      <w:sz w:val="20"/>
                                      <w:szCs w:val="20"/>
                                      <w:lang w:eastAsia="zh-CN"/>
                                    </w:rPr>
                                  </w:pPr>
                                  <w:r>
                                    <w:rPr>
                                      <w:rFonts w:hint="eastAsia" w:ascii="宋体" w:hAnsi="宋体" w:cs="宋体"/>
                                      <w:w w:val="99"/>
                                      <w:sz w:val="20"/>
                                      <w:szCs w:val="20"/>
                                      <w:lang w:eastAsia="zh-CN"/>
                                    </w:rPr>
                                    <w:t>《复印</w:t>
                                  </w:r>
                                  <w:r>
                                    <w:rPr>
                                      <w:rFonts w:hint="eastAsia" w:ascii="宋体" w:hAnsi="宋体" w:cs="宋体"/>
                                      <w:spacing w:val="2"/>
                                      <w:w w:val="99"/>
                                      <w:sz w:val="20"/>
                                      <w:szCs w:val="20"/>
                                      <w:lang w:eastAsia="zh-CN"/>
                                    </w:rPr>
                                    <w:t>机</w:t>
                                  </w:r>
                                  <w:r>
                                    <w:rPr>
                                      <w:rFonts w:hint="eastAsia" w:ascii="宋体" w:hAnsi="宋体" w:cs="宋体"/>
                                      <w:spacing w:val="-58"/>
                                      <w:w w:val="99"/>
                                      <w:sz w:val="20"/>
                                      <w:szCs w:val="20"/>
                                      <w:lang w:eastAsia="zh-CN"/>
                                    </w:rPr>
                                    <w:t>、</w:t>
                                  </w:r>
                                  <w:r>
                                    <w:rPr>
                                      <w:rFonts w:hint="eastAsia" w:ascii="宋体" w:hAnsi="宋体" w:cs="宋体"/>
                                      <w:spacing w:val="2"/>
                                      <w:w w:val="99"/>
                                      <w:sz w:val="20"/>
                                      <w:szCs w:val="20"/>
                                      <w:lang w:eastAsia="zh-CN"/>
                                    </w:rPr>
                                    <w:t>打</w:t>
                                  </w:r>
                                  <w:r>
                                    <w:rPr>
                                      <w:rFonts w:hint="eastAsia" w:ascii="宋体" w:hAnsi="宋体" w:cs="宋体"/>
                                      <w:w w:val="99"/>
                                      <w:sz w:val="20"/>
                                      <w:szCs w:val="20"/>
                                      <w:lang w:eastAsia="zh-CN"/>
                                    </w:rPr>
                                    <w:t>印机</w:t>
                                  </w:r>
                                  <w:r>
                                    <w:rPr>
                                      <w:rFonts w:hint="eastAsia" w:ascii="宋体" w:hAnsi="宋体" w:cs="宋体"/>
                                      <w:spacing w:val="2"/>
                                      <w:w w:val="99"/>
                                      <w:sz w:val="20"/>
                                      <w:szCs w:val="20"/>
                                      <w:lang w:eastAsia="zh-CN"/>
                                    </w:rPr>
                                    <w:t>和</w:t>
                                  </w:r>
                                  <w:r>
                                    <w:rPr>
                                      <w:rFonts w:hint="eastAsia" w:ascii="宋体" w:hAnsi="宋体" w:cs="宋体"/>
                                      <w:w w:val="99"/>
                                      <w:sz w:val="20"/>
                                      <w:szCs w:val="20"/>
                                      <w:lang w:eastAsia="zh-CN"/>
                                    </w:rPr>
                                    <w:t>传真</w:t>
                                  </w:r>
                                  <w:r>
                                    <w:rPr>
                                      <w:rFonts w:hint="eastAsia" w:ascii="宋体" w:hAnsi="宋体" w:cs="宋体"/>
                                      <w:spacing w:val="2"/>
                                      <w:w w:val="99"/>
                                      <w:sz w:val="20"/>
                                      <w:szCs w:val="20"/>
                                      <w:lang w:eastAsia="zh-CN"/>
                                    </w:rPr>
                                    <w:t>机</w:t>
                                  </w:r>
                                  <w:r>
                                    <w:rPr>
                                      <w:rFonts w:hint="eastAsia" w:ascii="宋体" w:hAnsi="宋体" w:cs="宋体"/>
                                      <w:w w:val="99"/>
                                      <w:sz w:val="20"/>
                                      <w:szCs w:val="20"/>
                                      <w:lang w:eastAsia="zh-CN"/>
                                    </w:rPr>
                                    <w:t>能效限定值及</w:t>
                                  </w:r>
                                  <w:r>
                                    <w:rPr>
                                      <w:rFonts w:hint="eastAsia" w:ascii="宋体" w:hAnsi="宋体" w:cs="宋体"/>
                                      <w:spacing w:val="2"/>
                                      <w:w w:val="99"/>
                                      <w:sz w:val="20"/>
                                      <w:szCs w:val="20"/>
                                      <w:lang w:eastAsia="zh-CN"/>
                                    </w:rPr>
                                    <w:t>能</w:t>
                                  </w:r>
                                  <w:r>
                                    <w:rPr>
                                      <w:rFonts w:hint="eastAsia" w:ascii="宋体" w:hAnsi="宋体" w:cs="宋体"/>
                                      <w:w w:val="99"/>
                                      <w:sz w:val="20"/>
                                      <w:szCs w:val="20"/>
                                      <w:lang w:eastAsia="zh-CN"/>
                                    </w:rPr>
                                    <w:t>效等</w:t>
                                  </w:r>
                                  <w:r>
                                    <w:rPr>
                                      <w:rFonts w:hint="eastAsia" w:ascii="宋体" w:hAnsi="宋体" w:cs="宋体"/>
                                      <w:spacing w:val="2"/>
                                      <w:w w:val="99"/>
                                      <w:sz w:val="20"/>
                                      <w:szCs w:val="20"/>
                                      <w:lang w:eastAsia="zh-CN"/>
                                    </w:rPr>
                                    <w:t>级</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21</w:t>
                                  </w:r>
                                  <w:r>
                                    <w:rPr>
                                      <w:rFonts w:hint="eastAsia" w:ascii="宋体" w:hAnsi="宋体" w:cs="宋体"/>
                                      <w:w w:val="99"/>
                                      <w:sz w:val="20"/>
                                      <w:szCs w:val="20"/>
                                      <w:lang w:eastAsia="zh-CN"/>
                                    </w:rPr>
                                    <w:t>52</w:t>
                                  </w:r>
                                  <w:r>
                                    <w:rPr>
                                      <w:rFonts w:hint="eastAsia" w:ascii="宋体" w:hAnsi="宋体" w:cs="宋体"/>
                                      <w:spacing w:val="1"/>
                                      <w:w w:val="99"/>
                                      <w:sz w:val="20"/>
                                      <w:szCs w:val="20"/>
                                      <w:lang w:eastAsia="zh-CN"/>
                                    </w:rPr>
                                    <w:t>1</w:t>
                                  </w:r>
                                  <w:r>
                                    <w:rPr>
                                      <w:rFonts w:hint="eastAsia" w:ascii="宋体" w:hAnsi="宋体" w:cs="宋体"/>
                                      <w:w w:val="99"/>
                                      <w:sz w:val="20"/>
                                      <w:szCs w:val="20"/>
                                      <w:lang w:eastAsia="zh-CN"/>
                                    </w:rPr>
                                    <w:t>）</w:t>
                                  </w:r>
                                </w:p>
                              </w:tc>
                            </w:tr>
                            <w:tr w14:paraId="78F5D730">
                              <w:tblPrEx>
                                <w:tblCellMar>
                                  <w:top w:w="0" w:type="dxa"/>
                                  <w:left w:w="0" w:type="dxa"/>
                                  <w:bottom w:w="0" w:type="dxa"/>
                                  <w:right w:w="0" w:type="dxa"/>
                                </w:tblCellMar>
                              </w:tblPrEx>
                              <w:trPr>
                                <w:trHeight w:val="742" w:hRule="exac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7EDC960D">
                                  <w:pPr>
                                    <w:widowControl/>
                                    <w:jc w:val="left"/>
                                    <w:rPr>
                                      <w:rFonts w:ascii="宋体" w:hAnsi="宋体" w:eastAsia="Times New Roman" w:cs="宋体"/>
                                      <w:kern w:val="0"/>
                                      <w:sz w:val="20"/>
                                      <w:szCs w:val="20"/>
                                    </w:rPr>
                                  </w:pPr>
                                </w:p>
                              </w:tc>
                              <w:tc>
                                <w:tcPr>
                                  <w:tcW w:w="1166" w:type="dxa"/>
                                  <w:vMerge w:val="continue"/>
                                  <w:tcBorders>
                                    <w:top w:val="single" w:color="000000" w:sz="4" w:space="0"/>
                                    <w:left w:val="single" w:color="000000" w:sz="4" w:space="0"/>
                                    <w:bottom w:val="single" w:color="000000" w:sz="4" w:space="0"/>
                                    <w:right w:val="single" w:color="000000" w:sz="4" w:space="0"/>
                                  </w:tcBorders>
                                  <w:noWrap w:val="0"/>
                                  <w:vAlign w:val="center"/>
                                </w:tcPr>
                                <w:p w14:paraId="4C9E567E">
                                  <w:pPr>
                                    <w:widowControl/>
                                    <w:jc w:val="left"/>
                                    <w:rPr>
                                      <w:rFonts w:ascii="宋体" w:hAnsi="宋体" w:eastAsia="Times New Roman" w:cs="宋体"/>
                                      <w:kern w:val="0"/>
                                      <w:sz w:val="20"/>
                                      <w:szCs w:val="20"/>
                                    </w:rPr>
                                  </w:pPr>
                                </w:p>
                              </w:tc>
                              <w:tc>
                                <w:tcPr>
                                  <w:tcW w:w="1800" w:type="dxa"/>
                                  <w:vMerge w:val="continue"/>
                                  <w:tcBorders>
                                    <w:top w:val="single" w:color="000000" w:sz="4" w:space="0"/>
                                    <w:left w:val="single" w:color="000000" w:sz="4" w:space="0"/>
                                    <w:bottom w:val="single" w:color="000000" w:sz="4" w:space="0"/>
                                    <w:right w:val="single" w:color="000000" w:sz="4" w:space="0"/>
                                  </w:tcBorders>
                                  <w:noWrap w:val="0"/>
                                  <w:vAlign w:val="center"/>
                                </w:tcPr>
                                <w:p w14:paraId="79C64F8D">
                                  <w:pPr>
                                    <w:widowControl/>
                                    <w:jc w:val="left"/>
                                    <w:rPr>
                                      <w:rFonts w:ascii="宋体" w:hAnsi="宋体" w:eastAsia="Times New Roman" w:cs="宋体"/>
                                      <w:kern w:val="0"/>
                                      <w:sz w:val="20"/>
                                      <w:szCs w:val="20"/>
                                    </w:rPr>
                                  </w:pPr>
                                </w:p>
                              </w:tc>
                              <w:tc>
                                <w:tcPr>
                                  <w:tcW w:w="1823" w:type="dxa"/>
                                  <w:tcBorders>
                                    <w:top w:val="single" w:color="000000" w:sz="4" w:space="0"/>
                                    <w:left w:val="single" w:color="000000" w:sz="4" w:space="0"/>
                                    <w:bottom w:val="single" w:color="000000" w:sz="4" w:space="0"/>
                                    <w:right w:val="single" w:color="000000" w:sz="4" w:space="0"/>
                                  </w:tcBorders>
                                  <w:noWrap w:val="0"/>
                                  <w:vAlign w:val="top"/>
                                </w:tcPr>
                                <w:p w14:paraId="3D438A54">
                                  <w:pPr>
                                    <w:pStyle w:val="56"/>
                                    <w:spacing w:before="52"/>
                                    <w:ind w:left="7"/>
                                    <w:rPr>
                                      <w:rFonts w:ascii="宋体" w:hAnsi="宋体" w:cs="宋体"/>
                                      <w:sz w:val="20"/>
                                      <w:szCs w:val="20"/>
                                    </w:rPr>
                                  </w:pPr>
                                  <w:r>
                                    <w:rPr>
                                      <w:rFonts w:hint="eastAsia" w:ascii="宋体" w:hAnsi="宋体" w:cs="宋体"/>
                                      <w:w w:val="99"/>
                                      <w:sz w:val="20"/>
                                      <w:szCs w:val="20"/>
                                    </w:rPr>
                                    <w:t>★</w:t>
                                  </w:r>
                                  <w:r>
                                    <w:rPr>
                                      <w:rFonts w:hint="eastAsia" w:ascii="宋体" w:hAnsi="宋体" w:cs="宋体"/>
                                      <w:spacing w:val="1"/>
                                      <w:w w:val="99"/>
                                      <w:sz w:val="20"/>
                                      <w:szCs w:val="20"/>
                                    </w:rPr>
                                    <w:t>A02</w:t>
                                  </w:r>
                                  <w:r>
                                    <w:rPr>
                                      <w:rFonts w:hint="eastAsia" w:ascii="宋体" w:hAnsi="宋体" w:cs="宋体"/>
                                      <w:w w:val="99"/>
                                      <w:sz w:val="20"/>
                                      <w:szCs w:val="20"/>
                                    </w:rPr>
                                    <w:t>01</w:t>
                                  </w:r>
                                  <w:r>
                                    <w:rPr>
                                      <w:rFonts w:hint="eastAsia" w:ascii="宋体" w:hAnsi="宋体" w:cs="宋体"/>
                                      <w:spacing w:val="1"/>
                                      <w:w w:val="99"/>
                                      <w:sz w:val="20"/>
                                      <w:szCs w:val="20"/>
                                    </w:rPr>
                                    <w:t>0</w:t>
                                  </w:r>
                                  <w:r>
                                    <w:rPr>
                                      <w:rFonts w:hint="eastAsia" w:ascii="宋体" w:hAnsi="宋体" w:cs="宋体"/>
                                      <w:w w:val="99"/>
                                      <w:sz w:val="20"/>
                                      <w:szCs w:val="20"/>
                                    </w:rPr>
                                    <w:t>60</w:t>
                                  </w:r>
                                  <w:r>
                                    <w:rPr>
                                      <w:rFonts w:hint="eastAsia" w:ascii="宋体" w:hAnsi="宋体" w:cs="宋体"/>
                                      <w:spacing w:val="1"/>
                                      <w:w w:val="99"/>
                                      <w:sz w:val="20"/>
                                      <w:szCs w:val="20"/>
                                    </w:rPr>
                                    <w:t>1</w:t>
                                  </w:r>
                                  <w:r>
                                    <w:rPr>
                                      <w:rFonts w:hint="eastAsia" w:ascii="宋体" w:hAnsi="宋体" w:cs="宋体"/>
                                      <w:w w:val="99"/>
                                      <w:sz w:val="20"/>
                                      <w:szCs w:val="20"/>
                                    </w:rPr>
                                    <w:t>04针式</w:t>
                                  </w:r>
                                </w:p>
                                <w:p w14:paraId="1245E581">
                                  <w:pPr>
                                    <w:pStyle w:val="56"/>
                                    <w:spacing w:before="50"/>
                                    <w:ind w:left="7"/>
                                    <w:rPr>
                                      <w:rFonts w:ascii="宋体" w:hAnsi="宋体" w:cs="宋体"/>
                                      <w:sz w:val="20"/>
                                      <w:szCs w:val="20"/>
                                    </w:rPr>
                                  </w:pPr>
                                  <w:r>
                                    <w:rPr>
                                      <w:rFonts w:hint="eastAsia" w:ascii="宋体" w:hAnsi="宋体" w:cs="宋体"/>
                                      <w:w w:val="99"/>
                                      <w:sz w:val="20"/>
                                      <w:szCs w:val="20"/>
                                    </w:rPr>
                                    <w:t>打印机</w:t>
                                  </w:r>
                                </w:p>
                              </w:tc>
                              <w:tc>
                                <w:tcPr>
                                  <w:tcW w:w="3762" w:type="dxa"/>
                                  <w:tcBorders>
                                    <w:top w:val="single" w:color="000000" w:sz="4" w:space="0"/>
                                    <w:left w:val="single" w:color="000000" w:sz="4" w:space="0"/>
                                    <w:bottom w:val="single" w:color="000000" w:sz="4" w:space="0"/>
                                    <w:right w:val="single" w:color="000000" w:sz="4" w:space="0"/>
                                  </w:tcBorders>
                                  <w:noWrap w:val="0"/>
                                  <w:vAlign w:val="top"/>
                                </w:tcPr>
                                <w:p w14:paraId="1BC9ED85">
                                  <w:pPr>
                                    <w:pStyle w:val="56"/>
                                    <w:spacing w:before="52" w:line="280" w:lineRule="auto"/>
                                    <w:ind w:left="7" w:right="7"/>
                                    <w:rPr>
                                      <w:rFonts w:ascii="宋体" w:hAnsi="宋体" w:cs="宋体"/>
                                      <w:sz w:val="20"/>
                                      <w:szCs w:val="20"/>
                                      <w:lang w:eastAsia="zh-CN"/>
                                    </w:rPr>
                                  </w:pPr>
                                  <w:r>
                                    <w:rPr>
                                      <w:rFonts w:hint="eastAsia" w:ascii="宋体" w:hAnsi="宋体" w:cs="宋体"/>
                                      <w:w w:val="99"/>
                                      <w:sz w:val="20"/>
                                      <w:szCs w:val="20"/>
                                      <w:lang w:eastAsia="zh-CN"/>
                                    </w:rPr>
                                    <w:t>《复印</w:t>
                                  </w:r>
                                  <w:r>
                                    <w:rPr>
                                      <w:rFonts w:hint="eastAsia" w:ascii="宋体" w:hAnsi="宋体" w:cs="宋体"/>
                                      <w:spacing w:val="2"/>
                                      <w:w w:val="99"/>
                                      <w:sz w:val="20"/>
                                      <w:szCs w:val="20"/>
                                      <w:lang w:eastAsia="zh-CN"/>
                                    </w:rPr>
                                    <w:t>机</w:t>
                                  </w:r>
                                  <w:r>
                                    <w:rPr>
                                      <w:rFonts w:hint="eastAsia" w:ascii="宋体" w:hAnsi="宋体" w:cs="宋体"/>
                                      <w:spacing w:val="-58"/>
                                      <w:w w:val="99"/>
                                      <w:sz w:val="20"/>
                                      <w:szCs w:val="20"/>
                                      <w:lang w:eastAsia="zh-CN"/>
                                    </w:rPr>
                                    <w:t>、</w:t>
                                  </w:r>
                                  <w:r>
                                    <w:rPr>
                                      <w:rFonts w:hint="eastAsia" w:ascii="宋体" w:hAnsi="宋体" w:cs="宋体"/>
                                      <w:spacing w:val="2"/>
                                      <w:w w:val="99"/>
                                      <w:sz w:val="20"/>
                                      <w:szCs w:val="20"/>
                                      <w:lang w:eastAsia="zh-CN"/>
                                    </w:rPr>
                                    <w:t>打</w:t>
                                  </w:r>
                                  <w:r>
                                    <w:rPr>
                                      <w:rFonts w:hint="eastAsia" w:ascii="宋体" w:hAnsi="宋体" w:cs="宋体"/>
                                      <w:w w:val="99"/>
                                      <w:sz w:val="20"/>
                                      <w:szCs w:val="20"/>
                                      <w:lang w:eastAsia="zh-CN"/>
                                    </w:rPr>
                                    <w:t>印机</w:t>
                                  </w:r>
                                  <w:r>
                                    <w:rPr>
                                      <w:rFonts w:hint="eastAsia" w:ascii="宋体" w:hAnsi="宋体" w:cs="宋体"/>
                                      <w:spacing w:val="2"/>
                                      <w:w w:val="99"/>
                                      <w:sz w:val="20"/>
                                      <w:szCs w:val="20"/>
                                      <w:lang w:eastAsia="zh-CN"/>
                                    </w:rPr>
                                    <w:t>和</w:t>
                                  </w:r>
                                  <w:r>
                                    <w:rPr>
                                      <w:rFonts w:hint="eastAsia" w:ascii="宋体" w:hAnsi="宋体" w:cs="宋体"/>
                                      <w:w w:val="99"/>
                                      <w:sz w:val="20"/>
                                      <w:szCs w:val="20"/>
                                      <w:lang w:eastAsia="zh-CN"/>
                                    </w:rPr>
                                    <w:t>传真</w:t>
                                  </w:r>
                                  <w:r>
                                    <w:rPr>
                                      <w:rFonts w:hint="eastAsia" w:ascii="宋体" w:hAnsi="宋体" w:cs="宋体"/>
                                      <w:spacing w:val="2"/>
                                      <w:w w:val="99"/>
                                      <w:sz w:val="20"/>
                                      <w:szCs w:val="20"/>
                                      <w:lang w:eastAsia="zh-CN"/>
                                    </w:rPr>
                                    <w:t>机</w:t>
                                  </w:r>
                                  <w:r>
                                    <w:rPr>
                                      <w:rFonts w:hint="eastAsia" w:ascii="宋体" w:hAnsi="宋体" w:cs="宋体"/>
                                      <w:w w:val="99"/>
                                      <w:sz w:val="20"/>
                                      <w:szCs w:val="20"/>
                                      <w:lang w:eastAsia="zh-CN"/>
                                    </w:rPr>
                                    <w:t>能效限定值及</w:t>
                                  </w:r>
                                  <w:r>
                                    <w:rPr>
                                      <w:rFonts w:hint="eastAsia" w:ascii="宋体" w:hAnsi="宋体" w:cs="宋体"/>
                                      <w:spacing w:val="2"/>
                                      <w:w w:val="99"/>
                                      <w:sz w:val="20"/>
                                      <w:szCs w:val="20"/>
                                      <w:lang w:eastAsia="zh-CN"/>
                                    </w:rPr>
                                    <w:t>能</w:t>
                                  </w:r>
                                  <w:r>
                                    <w:rPr>
                                      <w:rFonts w:hint="eastAsia" w:ascii="宋体" w:hAnsi="宋体" w:cs="宋体"/>
                                      <w:w w:val="99"/>
                                      <w:sz w:val="20"/>
                                      <w:szCs w:val="20"/>
                                      <w:lang w:eastAsia="zh-CN"/>
                                    </w:rPr>
                                    <w:t>效等</w:t>
                                  </w:r>
                                  <w:r>
                                    <w:rPr>
                                      <w:rFonts w:hint="eastAsia" w:ascii="宋体" w:hAnsi="宋体" w:cs="宋体"/>
                                      <w:spacing w:val="2"/>
                                      <w:w w:val="99"/>
                                      <w:sz w:val="20"/>
                                      <w:szCs w:val="20"/>
                                      <w:lang w:eastAsia="zh-CN"/>
                                    </w:rPr>
                                    <w:t>级</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21</w:t>
                                  </w:r>
                                  <w:r>
                                    <w:rPr>
                                      <w:rFonts w:hint="eastAsia" w:ascii="宋体" w:hAnsi="宋体" w:cs="宋体"/>
                                      <w:w w:val="99"/>
                                      <w:sz w:val="20"/>
                                      <w:szCs w:val="20"/>
                                      <w:lang w:eastAsia="zh-CN"/>
                                    </w:rPr>
                                    <w:t>52</w:t>
                                  </w:r>
                                  <w:r>
                                    <w:rPr>
                                      <w:rFonts w:hint="eastAsia" w:ascii="宋体" w:hAnsi="宋体" w:cs="宋体"/>
                                      <w:spacing w:val="1"/>
                                      <w:w w:val="99"/>
                                      <w:sz w:val="20"/>
                                      <w:szCs w:val="20"/>
                                      <w:lang w:eastAsia="zh-CN"/>
                                    </w:rPr>
                                    <w:t>1</w:t>
                                  </w:r>
                                  <w:r>
                                    <w:rPr>
                                      <w:rFonts w:hint="eastAsia" w:ascii="宋体" w:hAnsi="宋体" w:cs="宋体"/>
                                      <w:w w:val="99"/>
                                      <w:sz w:val="20"/>
                                      <w:szCs w:val="20"/>
                                      <w:lang w:eastAsia="zh-CN"/>
                                    </w:rPr>
                                    <w:t>）</w:t>
                                  </w:r>
                                </w:p>
                              </w:tc>
                            </w:tr>
                            <w:tr w14:paraId="4D2AC870">
                              <w:tblPrEx>
                                <w:tblCellMar>
                                  <w:top w:w="0" w:type="dxa"/>
                                  <w:left w:w="0" w:type="dxa"/>
                                  <w:bottom w:w="0" w:type="dxa"/>
                                  <w:right w:w="0" w:type="dxa"/>
                                </w:tblCellMar>
                              </w:tblPrEx>
                              <w:trPr>
                                <w:trHeight w:val="773" w:hRule="exac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4CF8A794">
                                  <w:pPr>
                                    <w:widowControl/>
                                    <w:jc w:val="left"/>
                                    <w:rPr>
                                      <w:rFonts w:ascii="宋体" w:hAnsi="宋体" w:eastAsia="Times New Roman" w:cs="宋体"/>
                                      <w:kern w:val="0"/>
                                      <w:sz w:val="20"/>
                                      <w:szCs w:val="20"/>
                                    </w:rPr>
                                  </w:pPr>
                                </w:p>
                              </w:tc>
                              <w:tc>
                                <w:tcPr>
                                  <w:tcW w:w="1166" w:type="dxa"/>
                                  <w:vMerge w:val="continue"/>
                                  <w:tcBorders>
                                    <w:top w:val="single" w:color="000000" w:sz="4" w:space="0"/>
                                    <w:left w:val="single" w:color="000000" w:sz="4" w:space="0"/>
                                    <w:bottom w:val="single" w:color="000000" w:sz="4" w:space="0"/>
                                    <w:right w:val="single" w:color="000000" w:sz="4" w:space="0"/>
                                  </w:tcBorders>
                                  <w:noWrap w:val="0"/>
                                  <w:vAlign w:val="center"/>
                                </w:tcPr>
                                <w:p w14:paraId="5C18B818">
                                  <w:pPr>
                                    <w:widowControl/>
                                    <w:jc w:val="left"/>
                                    <w:rPr>
                                      <w:rFonts w:ascii="宋体" w:hAnsi="宋体" w:eastAsia="Times New Roman" w:cs="宋体"/>
                                      <w:kern w:val="0"/>
                                      <w:sz w:val="20"/>
                                      <w:szCs w:val="20"/>
                                    </w:rPr>
                                  </w:pPr>
                                </w:p>
                              </w:tc>
                              <w:tc>
                                <w:tcPr>
                                  <w:tcW w:w="1800" w:type="dxa"/>
                                  <w:tcBorders>
                                    <w:top w:val="single" w:color="000000" w:sz="4" w:space="0"/>
                                    <w:left w:val="single" w:color="000000" w:sz="4" w:space="0"/>
                                    <w:bottom w:val="single" w:color="000000" w:sz="4" w:space="0"/>
                                    <w:right w:val="single" w:color="000000" w:sz="4" w:space="0"/>
                                  </w:tcBorders>
                                  <w:noWrap w:val="0"/>
                                  <w:vAlign w:val="top"/>
                                </w:tcPr>
                                <w:p w14:paraId="35DFE4C5">
                                  <w:pPr>
                                    <w:pStyle w:val="56"/>
                                    <w:spacing w:before="2"/>
                                    <w:rPr>
                                      <w:rFonts w:ascii="宋体" w:hAnsi="宋体" w:cs="宋体"/>
                                      <w:sz w:val="17"/>
                                      <w:szCs w:val="17"/>
                                      <w:lang w:eastAsia="zh-CN"/>
                                    </w:rPr>
                                  </w:pPr>
                                </w:p>
                                <w:p w14:paraId="60DE2DB0">
                                  <w:pPr>
                                    <w:pStyle w:val="56"/>
                                    <w:ind w:left="7"/>
                                    <w:rPr>
                                      <w:rFonts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01</w:t>
                                  </w:r>
                                  <w:r>
                                    <w:rPr>
                                      <w:rFonts w:hint="eastAsia" w:ascii="宋体" w:hAnsi="宋体" w:cs="宋体"/>
                                      <w:spacing w:val="1"/>
                                      <w:w w:val="99"/>
                                      <w:sz w:val="20"/>
                                      <w:szCs w:val="20"/>
                                    </w:rPr>
                                    <w:t>0</w:t>
                                  </w:r>
                                  <w:r>
                                    <w:rPr>
                                      <w:rFonts w:hint="eastAsia" w:ascii="宋体" w:hAnsi="宋体" w:cs="宋体"/>
                                      <w:w w:val="99"/>
                                      <w:sz w:val="20"/>
                                      <w:szCs w:val="20"/>
                                    </w:rPr>
                                    <w:t>604显示设备</w:t>
                                  </w:r>
                                </w:p>
                              </w:tc>
                              <w:tc>
                                <w:tcPr>
                                  <w:tcW w:w="1823" w:type="dxa"/>
                                  <w:tcBorders>
                                    <w:top w:val="single" w:color="000000" w:sz="4" w:space="0"/>
                                    <w:left w:val="single" w:color="000000" w:sz="4" w:space="0"/>
                                    <w:bottom w:val="single" w:color="000000" w:sz="4" w:space="0"/>
                                    <w:right w:val="single" w:color="000000" w:sz="4" w:space="0"/>
                                  </w:tcBorders>
                                  <w:noWrap w:val="0"/>
                                  <w:vAlign w:val="top"/>
                                </w:tcPr>
                                <w:p w14:paraId="3FC61710">
                                  <w:pPr>
                                    <w:pStyle w:val="56"/>
                                    <w:spacing w:before="68"/>
                                    <w:ind w:left="7"/>
                                    <w:rPr>
                                      <w:rFonts w:ascii="宋体" w:hAnsi="宋体" w:cs="宋体"/>
                                      <w:sz w:val="20"/>
                                      <w:szCs w:val="20"/>
                                    </w:rPr>
                                  </w:pPr>
                                  <w:r>
                                    <w:rPr>
                                      <w:rFonts w:hint="eastAsia" w:ascii="宋体" w:hAnsi="宋体" w:cs="宋体"/>
                                      <w:w w:val="99"/>
                                      <w:sz w:val="20"/>
                                      <w:szCs w:val="20"/>
                                    </w:rPr>
                                    <w:t>★</w:t>
                                  </w:r>
                                  <w:r>
                                    <w:rPr>
                                      <w:rFonts w:hint="eastAsia" w:ascii="宋体" w:hAnsi="宋体" w:cs="宋体"/>
                                      <w:spacing w:val="1"/>
                                      <w:w w:val="99"/>
                                      <w:sz w:val="20"/>
                                      <w:szCs w:val="20"/>
                                    </w:rPr>
                                    <w:t>A02</w:t>
                                  </w:r>
                                  <w:r>
                                    <w:rPr>
                                      <w:rFonts w:hint="eastAsia" w:ascii="宋体" w:hAnsi="宋体" w:cs="宋体"/>
                                      <w:w w:val="99"/>
                                      <w:sz w:val="20"/>
                                      <w:szCs w:val="20"/>
                                    </w:rPr>
                                    <w:t>01</w:t>
                                  </w:r>
                                  <w:r>
                                    <w:rPr>
                                      <w:rFonts w:hint="eastAsia" w:ascii="宋体" w:hAnsi="宋体" w:cs="宋体"/>
                                      <w:spacing w:val="1"/>
                                      <w:w w:val="99"/>
                                      <w:sz w:val="20"/>
                                      <w:szCs w:val="20"/>
                                    </w:rPr>
                                    <w:t>0</w:t>
                                  </w:r>
                                  <w:r>
                                    <w:rPr>
                                      <w:rFonts w:hint="eastAsia" w:ascii="宋体" w:hAnsi="宋体" w:cs="宋体"/>
                                      <w:w w:val="99"/>
                                      <w:sz w:val="20"/>
                                      <w:szCs w:val="20"/>
                                    </w:rPr>
                                    <w:t>60</w:t>
                                  </w:r>
                                  <w:r>
                                    <w:rPr>
                                      <w:rFonts w:hint="eastAsia" w:ascii="宋体" w:hAnsi="宋体" w:cs="宋体"/>
                                      <w:spacing w:val="1"/>
                                      <w:w w:val="99"/>
                                      <w:sz w:val="20"/>
                                      <w:szCs w:val="20"/>
                                    </w:rPr>
                                    <w:t>4</w:t>
                                  </w:r>
                                  <w:r>
                                    <w:rPr>
                                      <w:rFonts w:hint="eastAsia" w:ascii="宋体" w:hAnsi="宋体" w:cs="宋体"/>
                                      <w:w w:val="99"/>
                                      <w:sz w:val="20"/>
                                      <w:szCs w:val="20"/>
                                    </w:rPr>
                                    <w:t>01液晶</w:t>
                                  </w:r>
                                </w:p>
                                <w:p w14:paraId="42F82BB6">
                                  <w:pPr>
                                    <w:pStyle w:val="56"/>
                                    <w:spacing w:before="50"/>
                                    <w:ind w:left="7"/>
                                    <w:rPr>
                                      <w:rFonts w:ascii="宋体" w:hAnsi="宋体" w:cs="宋体"/>
                                      <w:sz w:val="20"/>
                                      <w:szCs w:val="20"/>
                                    </w:rPr>
                                  </w:pPr>
                                  <w:r>
                                    <w:rPr>
                                      <w:rFonts w:hint="eastAsia" w:ascii="宋体" w:hAnsi="宋体" w:cs="宋体"/>
                                      <w:w w:val="99"/>
                                      <w:sz w:val="20"/>
                                      <w:szCs w:val="20"/>
                                    </w:rPr>
                                    <w:t>显示器</w:t>
                                  </w:r>
                                </w:p>
                              </w:tc>
                              <w:tc>
                                <w:tcPr>
                                  <w:tcW w:w="3762" w:type="dxa"/>
                                  <w:tcBorders>
                                    <w:top w:val="single" w:color="000000" w:sz="4" w:space="0"/>
                                    <w:left w:val="single" w:color="000000" w:sz="4" w:space="0"/>
                                    <w:bottom w:val="single" w:color="000000" w:sz="4" w:space="0"/>
                                    <w:right w:val="single" w:color="000000" w:sz="4" w:space="0"/>
                                  </w:tcBorders>
                                  <w:noWrap w:val="0"/>
                                  <w:vAlign w:val="top"/>
                                </w:tcPr>
                                <w:p w14:paraId="18A4A114">
                                  <w:pPr>
                                    <w:pStyle w:val="56"/>
                                    <w:spacing w:before="68" w:line="280" w:lineRule="auto"/>
                                    <w:ind w:left="7" w:right="4"/>
                                    <w:rPr>
                                      <w:rFonts w:ascii="宋体" w:hAnsi="宋体" w:cs="宋体"/>
                                      <w:sz w:val="20"/>
                                      <w:szCs w:val="20"/>
                                      <w:lang w:eastAsia="zh-CN"/>
                                    </w:rPr>
                                  </w:pPr>
                                  <w:r>
                                    <w:rPr>
                                      <w:rFonts w:hint="eastAsia" w:ascii="宋体" w:hAnsi="宋体" w:cs="宋体"/>
                                      <w:spacing w:val="12"/>
                                      <w:w w:val="99"/>
                                      <w:sz w:val="20"/>
                                      <w:szCs w:val="20"/>
                                      <w:lang w:eastAsia="zh-CN"/>
                                    </w:rPr>
                                    <w:t>《计算机显示器能效限</w:t>
                                  </w:r>
                                  <w:r>
                                    <w:rPr>
                                      <w:rFonts w:hint="eastAsia" w:ascii="宋体" w:hAnsi="宋体" w:cs="宋体"/>
                                      <w:spacing w:val="9"/>
                                      <w:w w:val="99"/>
                                      <w:sz w:val="20"/>
                                      <w:szCs w:val="20"/>
                                      <w:lang w:eastAsia="zh-CN"/>
                                    </w:rPr>
                                    <w:t>定</w:t>
                                  </w:r>
                                  <w:r>
                                    <w:rPr>
                                      <w:rFonts w:hint="eastAsia" w:ascii="宋体" w:hAnsi="宋体" w:cs="宋体"/>
                                      <w:spacing w:val="12"/>
                                      <w:w w:val="99"/>
                                      <w:sz w:val="20"/>
                                      <w:szCs w:val="20"/>
                                      <w:lang w:eastAsia="zh-CN"/>
                                    </w:rPr>
                                    <w:t>值及</w:t>
                                  </w:r>
                                  <w:r>
                                    <w:rPr>
                                      <w:rFonts w:hint="eastAsia" w:ascii="宋体" w:hAnsi="宋体" w:cs="宋体"/>
                                      <w:w w:val="99"/>
                                      <w:sz w:val="20"/>
                                      <w:szCs w:val="20"/>
                                      <w:lang w:eastAsia="zh-CN"/>
                                    </w:rPr>
                                    <w:t>能效等级</w:t>
                                  </w:r>
                                  <w:r>
                                    <w:rPr>
                                      <w:rFonts w:hint="eastAsia" w:ascii="宋体" w:hAnsi="宋体" w:cs="宋体"/>
                                      <w:spacing w:val="2"/>
                                      <w:w w:val="99"/>
                                      <w:sz w:val="20"/>
                                      <w:szCs w:val="20"/>
                                      <w:lang w:eastAsia="zh-CN"/>
                                    </w:rPr>
                                    <w:t>》</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21</w:t>
                                  </w:r>
                                  <w:r>
                                    <w:rPr>
                                      <w:rFonts w:hint="eastAsia" w:ascii="宋体" w:hAnsi="宋体" w:cs="宋体"/>
                                      <w:w w:val="99"/>
                                      <w:sz w:val="20"/>
                                      <w:szCs w:val="20"/>
                                      <w:lang w:eastAsia="zh-CN"/>
                                    </w:rPr>
                                    <w:t>52</w:t>
                                  </w:r>
                                  <w:r>
                                    <w:rPr>
                                      <w:rFonts w:hint="eastAsia" w:ascii="宋体" w:hAnsi="宋体" w:cs="宋体"/>
                                      <w:spacing w:val="1"/>
                                      <w:w w:val="99"/>
                                      <w:sz w:val="20"/>
                                      <w:szCs w:val="20"/>
                                      <w:lang w:eastAsia="zh-CN"/>
                                    </w:rPr>
                                    <w:t>0</w:t>
                                  </w:r>
                                  <w:r>
                                    <w:rPr>
                                      <w:rFonts w:hint="eastAsia" w:ascii="宋体" w:hAnsi="宋体" w:cs="宋体"/>
                                      <w:w w:val="99"/>
                                      <w:sz w:val="20"/>
                                      <w:szCs w:val="20"/>
                                      <w:lang w:eastAsia="zh-CN"/>
                                    </w:rPr>
                                    <w:t>）</w:t>
                                  </w:r>
                                </w:p>
                              </w:tc>
                            </w:tr>
                            <w:tr w14:paraId="60900AE3">
                              <w:tblPrEx>
                                <w:tblCellMar>
                                  <w:top w:w="0" w:type="dxa"/>
                                  <w:left w:w="0" w:type="dxa"/>
                                  <w:bottom w:w="0" w:type="dxa"/>
                                  <w:right w:w="0" w:type="dxa"/>
                                </w:tblCellMar>
                              </w:tblPrEx>
                              <w:trPr>
                                <w:trHeight w:val="1161" w:hRule="exac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7952606A">
                                  <w:pPr>
                                    <w:widowControl/>
                                    <w:jc w:val="left"/>
                                    <w:rPr>
                                      <w:rFonts w:ascii="宋体" w:hAnsi="宋体" w:eastAsia="Times New Roman" w:cs="宋体"/>
                                      <w:kern w:val="0"/>
                                      <w:sz w:val="20"/>
                                      <w:szCs w:val="20"/>
                                    </w:rPr>
                                  </w:pPr>
                                </w:p>
                              </w:tc>
                              <w:tc>
                                <w:tcPr>
                                  <w:tcW w:w="1166" w:type="dxa"/>
                                  <w:vMerge w:val="continue"/>
                                  <w:tcBorders>
                                    <w:top w:val="single" w:color="000000" w:sz="4" w:space="0"/>
                                    <w:left w:val="single" w:color="000000" w:sz="4" w:space="0"/>
                                    <w:bottom w:val="single" w:color="000000" w:sz="4" w:space="0"/>
                                    <w:right w:val="single" w:color="000000" w:sz="4" w:space="0"/>
                                  </w:tcBorders>
                                  <w:noWrap w:val="0"/>
                                  <w:vAlign w:val="center"/>
                                </w:tcPr>
                                <w:p w14:paraId="2841994D">
                                  <w:pPr>
                                    <w:widowControl/>
                                    <w:jc w:val="left"/>
                                    <w:rPr>
                                      <w:rFonts w:ascii="宋体" w:hAnsi="宋体" w:eastAsia="Times New Roman" w:cs="宋体"/>
                                      <w:kern w:val="0"/>
                                      <w:sz w:val="20"/>
                                      <w:szCs w:val="20"/>
                                    </w:rPr>
                                  </w:pPr>
                                </w:p>
                              </w:tc>
                              <w:tc>
                                <w:tcPr>
                                  <w:tcW w:w="1800" w:type="dxa"/>
                                  <w:tcBorders>
                                    <w:top w:val="single" w:color="000000" w:sz="4" w:space="0"/>
                                    <w:left w:val="single" w:color="000000" w:sz="4" w:space="0"/>
                                    <w:bottom w:val="single" w:color="000000" w:sz="4" w:space="0"/>
                                    <w:right w:val="single" w:color="000000" w:sz="4" w:space="0"/>
                                  </w:tcBorders>
                                  <w:noWrap w:val="0"/>
                                  <w:vAlign w:val="top"/>
                                </w:tcPr>
                                <w:p w14:paraId="0EED7CAC">
                                  <w:pPr>
                                    <w:pStyle w:val="56"/>
                                    <w:spacing w:before="8"/>
                                    <w:rPr>
                                      <w:rFonts w:ascii="宋体" w:hAnsi="宋体" w:cs="宋体"/>
                                      <w:sz w:val="27"/>
                                      <w:szCs w:val="27"/>
                                      <w:lang w:eastAsia="zh-CN"/>
                                    </w:rPr>
                                  </w:pPr>
                                </w:p>
                                <w:p w14:paraId="33B6DC03">
                                  <w:pPr>
                                    <w:pStyle w:val="56"/>
                                    <w:spacing w:line="280" w:lineRule="auto"/>
                                    <w:ind w:left="7" w:right="5"/>
                                    <w:rPr>
                                      <w:rFonts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01</w:t>
                                  </w:r>
                                  <w:r>
                                    <w:rPr>
                                      <w:rFonts w:hint="eastAsia" w:ascii="宋体" w:hAnsi="宋体" w:cs="宋体"/>
                                      <w:spacing w:val="1"/>
                                      <w:w w:val="99"/>
                                      <w:sz w:val="20"/>
                                      <w:szCs w:val="20"/>
                                    </w:rPr>
                                    <w:t>0</w:t>
                                  </w:r>
                                  <w:r>
                                    <w:rPr>
                                      <w:rFonts w:hint="eastAsia" w:ascii="宋体" w:hAnsi="宋体" w:cs="宋体"/>
                                      <w:w w:val="99"/>
                                      <w:sz w:val="20"/>
                                      <w:szCs w:val="20"/>
                                    </w:rPr>
                                    <w:t>609图形图像输入设备</w:t>
                                  </w:r>
                                </w:p>
                              </w:tc>
                              <w:tc>
                                <w:tcPr>
                                  <w:tcW w:w="1823" w:type="dxa"/>
                                  <w:tcBorders>
                                    <w:top w:val="single" w:color="000000" w:sz="4" w:space="0"/>
                                    <w:left w:val="single" w:color="000000" w:sz="4" w:space="0"/>
                                    <w:bottom w:val="single" w:color="000000" w:sz="4" w:space="0"/>
                                    <w:right w:val="single" w:color="000000" w:sz="4" w:space="0"/>
                                  </w:tcBorders>
                                  <w:noWrap w:val="0"/>
                                  <w:vAlign w:val="top"/>
                                </w:tcPr>
                                <w:p w14:paraId="2C3ADCFD">
                                  <w:pPr>
                                    <w:pStyle w:val="56"/>
                                    <w:rPr>
                                      <w:rFonts w:ascii="宋体" w:hAnsi="宋体" w:cs="宋体"/>
                                      <w:sz w:val="20"/>
                                      <w:szCs w:val="20"/>
                                    </w:rPr>
                                  </w:pPr>
                                </w:p>
                                <w:p w14:paraId="13EAA99B">
                                  <w:pPr>
                                    <w:pStyle w:val="56"/>
                                    <w:spacing w:before="7"/>
                                    <w:rPr>
                                      <w:rFonts w:hint="eastAsia" w:ascii="宋体" w:hAnsi="宋体" w:cs="宋体"/>
                                      <w:sz w:val="19"/>
                                      <w:szCs w:val="19"/>
                                    </w:rPr>
                                  </w:pPr>
                                </w:p>
                                <w:p w14:paraId="717CA603">
                                  <w:pPr>
                                    <w:pStyle w:val="56"/>
                                    <w:ind w:left="7"/>
                                    <w:rPr>
                                      <w:rFonts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01</w:t>
                                  </w:r>
                                  <w:r>
                                    <w:rPr>
                                      <w:rFonts w:hint="eastAsia" w:ascii="宋体" w:hAnsi="宋体" w:cs="宋体"/>
                                      <w:spacing w:val="1"/>
                                      <w:w w:val="99"/>
                                      <w:sz w:val="20"/>
                                      <w:szCs w:val="20"/>
                                    </w:rPr>
                                    <w:t>0</w:t>
                                  </w:r>
                                  <w:r>
                                    <w:rPr>
                                      <w:rFonts w:hint="eastAsia" w:ascii="宋体" w:hAnsi="宋体" w:cs="宋体"/>
                                      <w:w w:val="99"/>
                                      <w:sz w:val="20"/>
                                      <w:szCs w:val="20"/>
                                    </w:rPr>
                                    <w:t>60</w:t>
                                  </w:r>
                                  <w:r>
                                    <w:rPr>
                                      <w:rFonts w:hint="eastAsia" w:ascii="宋体" w:hAnsi="宋体" w:cs="宋体"/>
                                      <w:spacing w:val="1"/>
                                      <w:w w:val="99"/>
                                      <w:sz w:val="20"/>
                                      <w:szCs w:val="20"/>
                                    </w:rPr>
                                    <w:t>9</w:t>
                                  </w:r>
                                  <w:r>
                                    <w:rPr>
                                      <w:rFonts w:hint="eastAsia" w:ascii="宋体" w:hAnsi="宋体" w:cs="宋体"/>
                                      <w:w w:val="99"/>
                                      <w:sz w:val="20"/>
                                      <w:szCs w:val="20"/>
                                    </w:rPr>
                                    <w:t>01扫描仪</w:t>
                                  </w:r>
                                </w:p>
                              </w:tc>
                              <w:tc>
                                <w:tcPr>
                                  <w:tcW w:w="3762" w:type="dxa"/>
                                  <w:tcBorders>
                                    <w:top w:val="single" w:color="000000" w:sz="4" w:space="0"/>
                                    <w:left w:val="single" w:color="000000" w:sz="4" w:space="0"/>
                                    <w:bottom w:val="single" w:color="000000" w:sz="4" w:space="0"/>
                                    <w:right w:val="single" w:color="000000" w:sz="4" w:space="0"/>
                                  </w:tcBorders>
                                  <w:noWrap w:val="0"/>
                                  <w:vAlign w:val="top"/>
                                </w:tcPr>
                                <w:p w14:paraId="596B1259">
                                  <w:pPr>
                                    <w:pStyle w:val="56"/>
                                    <w:spacing w:before="49" w:line="280" w:lineRule="auto"/>
                                    <w:ind w:left="7" w:right="7"/>
                                    <w:rPr>
                                      <w:rFonts w:ascii="宋体" w:hAnsi="宋体" w:cs="宋体"/>
                                      <w:sz w:val="20"/>
                                      <w:szCs w:val="20"/>
                                      <w:lang w:eastAsia="zh-CN"/>
                                    </w:rPr>
                                  </w:pPr>
                                  <w:r>
                                    <w:rPr>
                                      <w:rFonts w:hint="eastAsia" w:ascii="宋体" w:hAnsi="宋体" w:cs="宋体"/>
                                      <w:w w:val="99"/>
                                      <w:sz w:val="20"/>
                                      <w:szCs w:val="20"/>
                                      <w:lang w:eastAsia="zh-CN"/>
                                    </w:rPr>
                                    <w:t>参</w:t>
                                  </w:r>
                                  <w:r>
                                    <w:rPr>
                                      <w:rFonts w:hint="eastAsia" w:ascii="宋体" w:hAnsi="宋体" w:cs="宋体"/>
                                      <w:spacing w:val="-29"/>
                                      <w:w w:val="99"/>
                                      <w:sz w:val="20"/>
                                      <w:szCs w:val="20"/>
                                      <w:lang w:eastAsia="zh-CN"/>
                                    </w:rPr>
                                    <w:t>照</w:t>
                                  </w:r>
                                  <w:r>
                                    <w:rPr>
                                      <w:rFonts w:hint="eastAsia" w:ascii="宋体" w:hAnsi="宋体" w:cs="宋体"/>
                                      <w:w w:val="99"/>
                                      <w:sz w:val="20"/>
                                      <w:szCs w:val="20"/>
                                      <w:lang w:eastAsia="zh-CN"/>
                                    </w:rPr>
                                    <w:t>《</w:t>
                                  </w:r>
                                  <w:r>
                                    <w:rPr>
                                      <w:rFonts w:hint="eastAsia" w:ascii="宋体" w:hAnsi="宋体" w:cs="宋体"/>
                                      <w:spacing w:val="2"/>
                                      <w:w w:val="99"/>
                                      <w:sz w:val="20"/>
                                      <w:szCs w:val="20"/>
                                      <w:lang w:eastAsia="zh-CN"/>
                                    </w:rPr>
                                    <w:t>复</w:t>
                                  </w:r>
                                  <w:r>
                                    <w:rPr>
                                      <w:rFonts w:hint="eastAsia" w:ascii="宋体" w:hAnsi="宋体" w:cs="宋体"/>
                                      <w:w w:val="99"/>
                                      <w:sz w:val="20"/>
                                      <w:szCs w:val="20"/>
                                      <w:lang w:eastAsia="zh-CN"/>
                                    </w:rPr>
                                    <w:t>印</w:t>
                                  </w:r>
                                  <w:r>
                                    <w:rPr>
                                      <w:rFonts w:hint="eastAsia" w:ascii="宋体" w:hAnsi="宋体" w:cs="宋体"/>
                                      <w:spacing w:val="2"/>
                                      <w:w w:val="99"/>
                                      <w:sz w:val="20"/>
                                      <w:szCs w:val="20"/>
                                      <w:lang w:eastAsia="zh-CN"/>
                                    </w:rPr>
                                    <w:t>机</w:t>
                                  </w:r>
                                  <w:r>
                                    <w:rPr>
                                      <w:rFonts w:hint="eastAsia" w:ascii="宋体" w:hAnsi="宋体" w:cs="宋体"/>
                                      <w:spacing w:val="-29"/>
                                      <w:w w:val="99"/>
                                      <w:sz w:val="20"/>
                                      <w:szCs w:val="20"/>
                                      <w:lang w:eastAsia="zh-CN"/>
                                    </w:rPr>
                                    <w:t>、</w:t>
                                  </w:r>
                                  <w:r>
                                    <w:rPr>
                                      <w:rFonts w:hint="eastAsia" w:ascii="宋体" w:hAnsi="宋体" w:cs="宋体"/>
                                      <w:w w:val="99"/>
                                      <w:sz w:val="20"/>
                                      <w:szCs w:val="20"/>
                                      <w:lang w:eastAsia="zh-CN"/>
                                    </w:rPr>
                                    <w:t>打</w:t>
                                  </w:r>
                                  <w:r>
                                    <w:rPr>
                                      <w:rFonts w:hint="eastAsia" w:ascii="宋体" w:hAnsi="宋体" w:cs="宋体"/>
                                      <w:spacing w:val="2"/>
                                      <w:w w:val="99"/>
                                      <w:sz w:val="20"/>
                                      <w:szCs w:val="20"/>
                                      <w:lang w:eastAsia="zh-CN"/>
                                    </w:rPr>
                                    <w:t>印</w:t>
                                  </w:r>
                                  <w:r>
                                    <w:rPr>
                                      <w:rFonts w:hint="eastAsia" w:ascii="宋体" w:hAnsi="宋体" w:cs="宋体"/>
                                      <w:w w:val="99"/>
                                      <w:sz w:val="20"/>
                                      <w:szCs w:val="20"/>
                                      <w:lang w:eastAsia="zh-CN"/>
                                    </w:rPr>
                                    <w:t>机和</w:t>
                                  </w:r>
                                  <w:r>
                                    <w:rPr>
                                      <w:rFonts w:hint="eastAsia" w:ascii="宋体" w:hAnsi="宋体" w:cs="宋体"/>
                                      <w:spacing w:val="2"/>
                                      <w:w w:val="99"/>
                                      <w:sz w:val="20"/>
                                      <w:szCs w:val="20"/>
                                      <w:lang w:eastAsia="zh-CN"/>
                                    </w:rPr>
                                    <w:t>传</w:t>
                                  </w:r>
                                  <w:r>
                                    <w:rPr>
                                      <w:rFonts w:hint="eastAsia" w:ascii="宋体" w:hAnsi="宋体" w:cs="宋体"/>
                                      <w:w w:val="99"/>
                                      <w:sz w:val="20"/>
                                      <w:szCs w:val="20"/>
                                      <w:lang w:eastAsia="zh-CN"/>
                                    </w:rPr>
                                    <w:t>真机能效限定</w:t>
                                  </w:r>
                                  <w:r>
                                    <w:rPr>
                                      <w:rFonts w:hint="eastAsia" w:ascii="宋体" w:hAnsi="宋体" w:cs="宋体"/>
                                      <w:spacing w:val="2"/>
                                      <w:w w:val="99"/>
                                      <w:sz w:val="20"/>
                                      <w:szCs w:val="20"/>
                                      <w:lang w:eastAsia="zh-CN"/>
                                    </w:rPr>
                                    <w:t>值</w:t>
                                  </w:r>
                                  <w:r>
                                    <w:rPr>
                                      <w:rFonts w:hint="eastAsia" w:ascii="宋体" w:hAnsi="宋体" w:cs="宋体"/>
                                      <w:w w:val="99"/>
                                      <w:sz w:val="20"/>
                                      <w:szCs w:val="20"/>
                                      <w:lang w:eastAsia="zh-CN"/>
                                    </w:rPr>
                                    <w:t>及能</w:t>
                                  </w:r>
                                  <w:r>
                                    <w:rPr>
                                      <w:rFonts w:hint="eastAsia" w:ascii="宋体" w:hAnsi="宋体" w:cs="宋体"/>
                                      <w:spacing w:val="2"/>
                                      <w:w w:val="99"/>
                                      <w:sz w:val="20"/>
                                      <w:szCs w:val="20"/>
                                      <w:lang w:eastAsia="zh-CN"/>
                                    </w:rPr>
                                    <w:t>效</w:t>
                                  </w:r>
                                  <w:r>
                                    <w:rPr>
                                      <w:rFonts w:hint="eastAsia" w:ascii="宋体" w:hAnsi="宋体" w:cs="宋体"/>
                                      <w:w w:val="99"/>
                                      <w:sz w:val="20"/>
                                      <w:szCs w:val="20"/>
                                      <w:lang w:eastAsia="zh-CN"/>
                                    </w:rPr>
                                    <w:t>等级</w:t>
                                  </w:r>
                                  <w:r>
                                    <w:rPr>
                                      <w:rFonts w:hint="eastAsia" w:ascii="宋体" w:hAnsi="宋体" w:cs="宋体"/>
                                      <w:spacing w:val="-106"/>
                                      <w:w w:val="99"/>
                                      <w:sz w:val="20"/>
                                      <w:szCs w:val="20"/>
                                      <w:lang w:eastAsia="zh-CN"/>
                                    </w:rPr>
                                    <w:t>》</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2152</w:t>
                                  </w:r>
                                  <w:r>
                                    <w:rPr>
                                      <w:rFonts w:hint="eastAsia" w:ascii="宋体" w:hAnsi="宋体" w:cs="宋体"/>
                                      <w:w w:val="99"/>
                                      <w:sz w:val="20"/>
                                      <w:szCs w:val="20"/>
                                      <w:lang w:eastAsia="zh-CN"/>
                                    </w:rPr>
                                    <w:t>1）</w:t>
                                  </w:r>
                                  <w:r>
                                    <w:rPr>
                                      <w:rFonts w:hint="eastAsia" w:ascii="宋体" w:hAnsi="宋体" w:cs="宋体"/>
                                      <w:spacing w:val="2"/>
                                      <w:w w:val="99"/>
                                      <w:sz w:val="20"/>
                                      <w:szCs w:val="20"/>
                                      <w:lang w:eastAsia="zh-CN"/>
                                    </w:rPr>
                                    <w:t>中</w:t>
                                  </w:r>
                                  <w:r>
                                    <w:rPr>
                                      <w:rFonts w:hint="eastAsia" w:ascii="宋体" w:hAnsi="宋体" w:cs="宋体"/>
                                      <w:spacing w:val="4"/>
                                      <w:w w:val="99"/>
                                      <w:sz w:val="20"/>
                                      <w:szCs w:val="20"/>
                                      <w:lang w:eastAsia="zh-CN"/>
                                    </w:rPr>
                                    <w:t>打印速</w:t>
                                  </w:r>
                                  <w:r>
                                    <w:rPr>
                                      <w:rFonts w:hint="eastAsia" w:ascii="宋体" w:hAnsi="宋体" w:cs="宋体"/>
                                      <w:spacing w:val="2"/>
                                      <w:w w:val="99"/>
                                      <w:sz w:val="20"/>
                                      <w:szCs w:val="20"/>
                                      <w:lang w:eastAsia="zh-CN"/>
                                    </w:rPr>
                                    <w:t>度</w:t>
                                  </w:r>
                                  <w:r>
                                    <w:rPr>
                                      <w:rFonts w:hint="eastAsia" w:ascii="宋体" w:hAnsi="宋体" w:cs="宋体"/>
                                      <w:w w:val="99"/>
                                      <w:sz w:val="20"/>
                                      <w:szCs w:val="20"/>
                                      <w:lang w:eastAsia="zh-CN"/>
                                    </w:rPr>
                                    <w:t>为</w:t>
                                  </w:r>
                                  <w:r>
                                    <w:rPr>
                                      <w:rFonts w:hint="eastAsia" w:ascii="宋体" w:hAnsi="宋体" w:cs="宋体"/>
                                      <w:spacing w:val="1"/>
                                      <w:w w:val="99"/>
                                      <w:sz w:val="20"/>
                                      <w:szCs w:val="20"/>
                                      <w:lang w:eastAsia="zh-CN"/>
                                    </w:rPr>
                                    <w:t>1</w:t>
                                  </w:r>
                                  <w:r>
                                    <w:rPr>
                                      <w:rFonts w:hint="eastAsia" w:ascii="宋体" w:hAnsi="宋体" w:cs="宋体"/>
                                      <w:w w:val="99"/>
                                      <w:sz w:val="20"/>
                                      <w:szCs w:val="20"/>
                                      <w:lang w:eastAsia="zh-CN"/>
                                    </w:rPr>
                                    <w:t>5</w:t>
                                  </w:r>
                                  <w:r>
                                    <w:rPr>
                                      <w:rFonts w:hint="eastAsia" w:ascii="宋体" w:hAnsi="宋体" w:cs="宋体"/>
                                      <w:spacing w:val="2"/>
                                      <w:w w:val="99"/>
                                      <w:sz w:val="20"/>
                                      <w:szCs w:val="20"/>
                                      <w:lang w:eastAsia="zh-CN"/>
                                    </w:rPr>
                                    <w:t>页</w:t>
                                  </w:r>
                                  <w:r>
                                    <w:rPr>
                                      <w:rFonts w:hint="eastAsia" w:ascii="宋体" w:hAnsi="宋体" w:cs="宋体"/>
                                      <w:spacing w:val="5"/>
                                      <w:w w:val="99"/>
                                      <w:sz w:val="20"/>
                                      <w:szCs w:val="20"/>
                                      <w:lang w:eastAsia="zh-CN"/>
                                    </w:rPr>
                                    <w:t>/</w:t>
                                  </w:r>
                                  <w:r>
                                    <w:rPr>
                                      <w:rFonts w:hint="eastAsia" w:ascii="宋体" w:hAnsi="宋体" w:cs="宋体"/>
                                      <w:spacing w:val="4"/>
                                      <w:w w:val="99"/>
                                      <w:sz w:val="20"/>
                                      <w:szCs w:val="20"/>
                                      <w:lang w:eastAsia="zh-CN"/>
                                    </w:rPr>
                                    <w:t>分的</w:t>
                                  </w:r>
                                  <w:r>
                                    <w:rPr>
                                      <w:rFonts w:hint="eastAsia" w:ascii="宋体" w:hAnsi="宋体" w:cs="宋体"/>
                                      <w:spacing w:val="2"/>
                                      <w:w w:val="99"/>
                                      <w:sz w:val="20"/>
                                      <w:szCs w:val="20"/>
                                      <w:lang w:eastAsia="zh-CN"/>
                                    </w:rPr>
                                    <w:t>针</w:t>
                                  </w:r>
                                  <w:r>
                                    <w:rPr>
                                      <w:rFonts w:hint="eastAsia" w:ascii="宋体" w:hAnsi="宋体" w:cs="宋体"/>
                                      <w:spacing w:val="4"/>
                                      <w:w w:val="99"/>
                                      <w:sz w:val="20"/>
                                      <w:szCs w:val="20"/>
                                      <w:lang w:eastAsia="zh-CN"/>
                                    </w:rPr>
                                    <w:t>式</w:t>
                                  </w:r>
                                  <w:r>
                                    <w:rPr>
                                      <w:rFonts w:hint="eastAsia" w:ascii="宋体" w:hAnsi="宋体" w:cs="宋体"/>
                                      <w:w w:val="99"/>
                                      <w:sz w:val="20"/>
                                      <w:szCs w:val="20"/>
                                      <w:lang w:eastAsia="zh-CN"/>
                                    </w:rPr>
                                    <w:t>打印机相</w:t>
                                  </w:r>
                                  <w:r>
                                    <w:rPr>
                                      <w:rFonts w:hint="eastAsia" w:ascii="宋体" w:hAnsi="宋体" w:cs="宋体"/>
                                      <w:spacing w:val="2"/>
                                      <w:w w:val="99"/>
                                      <w:sz w:val="20"/>
                                      <w:szCs w:val="20"/>
                                      <w:lang w:eastAsia="zh-CN"/>
                                    </w:rPr>
                                    <w:t>关</w:t>
                                  </w:r>
                                  <w:r>
                                    <w:rPr>
                                      <w:rFonts w:hint="eastAsia" w:ascii="宋体" w:hAnsi="宋体" w:cs="宋体"/>
                                      <w:w w:val="99"/>
                                      <w:sz w:val="20"/>
                                      <w:szCs w:val="20"/>
                                      <w:lang w:eastAsia="zh-CN"/>
                                    </w:rPr>
                                    <w:t>要求</w:t>
                                  </w:r>
                                </w:p>
                              </w:tc>
                            </w:tr>
                            <w:tr w14:paraId="66B4DC91">
                              <w:tblPrEx>
                                <w:tblCellMar>
                                  <w:top w:w="0" w:type="dxa"/>
                                  <w:left w:w="0" w:type="dxa"/>
                                  <w:bottom w:w="0" w:type="dxa"/>
                                  <w:right w:w="0" w:type="dxa"/>
                                </w:tblCellMar>
                              </w:tblPrEx>
                              <w:trPr>
                                <w:trHeight w:val="684" w:hRule="exact"/>
                              </w:trPr>
                              <w:tc>
                                <w:tcPr>
                                  <w:tcW w:w="574" w:type="dxa"/>
                                  <w:tcBorders>
                                    <w:top w:val="single" w:color="000000" w:sz="4" w:space="0"/>
                                    <w:left w:val="single" w:color="000000" w:sz="4" w:space="0"/>
                                    <w:bottom w:val="single" w:color="000000" w:sz="4" w:space="0"/>
                                    <w:right w:val="single" w:color="000000" w:sz="4" w:space="0"/>
                                  </w:tcBorders>
                                  <w:noWrap w:val="0"/>
                                  <w:vAlign w:val="top"/>
                                </w:tcPr>
                                <w:p w14:paraId="1CBF3C14">
                                  <w:pPr>
                                    <w:pStyle w:val="56"/>
                                    <w:spacing w:before="179"/>
                                    <w:ind w:right="1"/>
                                    <w:jc w:val="center"/>
                                    <w:rPr>
                                      <w:rFonts w:ascii="宋体" w:hAnsi="宋体" w:cs="宋体"/>
                                      <w:sz w:val="20"/>
                                      <w:szCs w:val="20"/>
                                    </w:rPr>
                                  </w:pPr>
                                  <w:r>
                                    <w:rPr>
                                      <w:rFonts w:hint="eastAsia" w:ascii="宋体"/>
                                      <w:w w:val="99"/>
                                      <w:sz w:val="20"/>
                                    </w:rPr>
                                    <w:t>3</w:t>
                                  </w:r>
                                </w:p>
                              </w:tc>
                              <w:tc>
                                <w:tcPr>
                                  <w:tcW w:w="1166" w:type="dxa"/>
                                  <w:tcBorders>
                                    <w:top w:val="single" w:color="000000" w:sz="4" w:space="0"/>
                                    <w:left w:val="single" w:color="000000" w:sz="4" w:space="0"/>
                                    <w:bottom w:val="single" w:color="000000" w:sz="4" w:space="0"/>
                                    <w:right w:val="single" w:color="000000" w:sz="4" w:space="0"/>
                                  </w:tcBorders>
                                  <w:noWrap w:val="0"/>
                                  <w:vAlign w:val="top"/>
                                </w:tcPr>
                                <w:p w14:paraId="173E5E49">
                                  <w:pPr>
                                    <w:pStyle w:val="56"/>
                                    <w:spacing w:before="23"/>
                                    <w:ind w:left="7"/>
                                    <w:rPr>
                                      <w:rFonts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02</w:t>
                                  </w:r>
                                  <w:r>
                                    <w:rPr>
                                      <w:rFonts w:hint="eastAsia" w:ascii="宋体" w:hAnsi="宋体" w:cs="宋体"/>
                                      <w:spacing w:val="1"/>
                                      <w:w w:val="99"/>
                                      <w:sz w:val="20"/>
                                      <w:szCs w:val="20"/>
                                    </w:rPr>
                                    <w:t>0</w:t>
                                  </w:r>
                                  <w:r>
                                    <w:rPr>
                                      <w:rFonts w:hint="eastAsia" w:ascii="宋体" w:hAnsi="宋体" w:cs="宋体"/>
                                      <w:w w:val="99"/>
                                      <w:sz w:val="20"/>
                                      <w:szCs w:val="20"/>
                                    </w:rPr>
                                    <w:t>2投影</w:t>
                                  </w:r>
                                </w:p>
                                <w:p w14:paraId="6D047083">
                                  <w:pPr>
                                    <w:pStyle w:val="56"/>
                                    <w:spacing w:before="50"/>
                                    <w:ind w:left="7"/>
                                    <w:rPr>
                                      <w:rFonts w:ascii="宋体" w:hAnsi="宋体" w:cs="宋体"/>
                                      <w:sz w:val="20"/>
                                      <w:szCs w:val="20"/>
                                    </w:rPr>
                                  </w:pPr>
                                  <w:r>
                                    <w:rPr>
                                      <w:rFonts w:hint="eastAsia" w:ascii="宋体" w:hAnsi="宋体" w:cs="宋体"/>
                                      <w:w w:val="99"/>
                                      <w:sz w:val="20"/>
                                      <w:szCs w:val="20"/>
                                    </w:rPr>
                                    <w:t>仪</w:t>
                                  </w:r>
                                </w:p>
                              </w:tc>
                              <w:tc>
                                <w:tcPr>
                                  <w:tcW w:w="1800" w:type="dxa"/>
                                  <w:tcBorders>
                                    <w:top w:val="single" w:color="000000" w:sz="4" w:space="0"/>
                                    <w:left w:val="single" w:color="000000" w:sz="4" w:space="0"/>
                                    <w:bottom w:val="single" w:color="000000" w:sz="4" w:space="0"/>
                                    <w:right w:val="single" w:color="000000" w:sz="4" w:space="0"/>
                                  </w:tcBorders>
                                  <w:noWrap w:val="0"/>
                                  <w:vAlign w:val="top"/>
                                </w:tcPr>
                                <w:p w14:paraId="76DA2C66">
                                  <w:pPr>
                                    <w:rPr>
                                      <w:rFonts w:ascii="Calibri" w:hAnsi="Calibri"/>
                                      <w:sz w:val="22"/>
                                      <w:szCs w:val="22"/>
                                    </w:rPr>
                                  </w:pPr>
                                </w:p>
                              </w:tc>
                              <w:tc>
                                <w:tcPr>
                                  <w:tcW w:w="1823" w:type="dxa"/>
                                  <w:tcBorders>
                                    <w:top w:val="single" w:color="000000" w:sz="4" w:space="0"/>
                                    <w:left w:val="single" w:color="000000" w:sz="4" w:space="0"/>
                                    <w:bottom w:val="single" w:color="000000" w:sz="4" w:space="0"/>
                                    <w:right w:val="single" w:color="000000" w:sz="4" w:space="0"/>
                                  </w:tcBorders>
                                  <w:noWrap w:val="0"/>
                                  <w:vAlign w:val="top"/>
                                </w:tcPr>
                                <w:p w14:paraId="53426D58">
                                  <w:pPr>
                                    <w:rPr>
                                      <w:rFonts w:ascii="Calibri" w:hAnsi="Calibri"/>
                                      <w:sz w:val="22"/>
                                      <w:szCs w:val="22"/>
                                    </w:rPr>
                                  </w:pPr>
                                </w:p>
                              </w:tc>
                              <w:tc>
                                <w:tcPr>
                                  <w:tcW w:w="3762" w:type="dxa"/>
                                  <w:tcBorders>
                                    <w:top w:val="single" w:color="000000" w:sz="4" w:space="0"/>
                                    <w:left w:val="single" w:color="000000" w:sz="4" w:space="0"/>
                                    <w:bottom w:val="single" w:color="000000" w:sz="4" w:space="0"/>
                                    <w:right w:val="single" w:color="000000" w:sz="4" w:space="0"/>
                                  </w:tcBorders>
                                  <w:noWrap w:val="0"/>
                                  <w:vAlign w:val="top"/>
                                </w:tcPr>
                                <w:p w14:paraId="29ECA646">
                                  <w:pPr>
                                    <w:pStyle w:val="56"/>
                                    <w:spacing w:before="23"/>
                                    <w:ind w:left="7"/>
                                    <w:rPr>
                                      <w:rFonts w:ascii="宋体" w:hAnsi="宋体" w:cs="宋体"/>
                                      <w:sz w:val="20"/>
                                      <w:szCs w:val="20"/>
                                      <w:lang w:eastAsia="zh-CN"/>
                                    </w:rPr>
                                  </w:pPr>
                                  <w:r>
                                    <w:rPr>
                                      <w:rFonts w:hint="eastAsia" w:ascii="宋体" w:hAnsi="宋体" w:cs="宋体"/>
                                      <w:w w:val="99"/>
                                      <w:sz w:val="20"/>
                                      <w:szCs w:val="20"/>
                                      <w:lang w:eastAsia="zh-CN"/>
                                    </w:rPr>
                                    <w:t>《投影</w:t>
                                  </w:r>
                                  <w:r>
                                    <w:rPr>
                                      <w:rFonts w:hint="eastAsia" w:ascii="宋体" w:hAnsi="宋体" w:cs="宋体"/>
                                      <w:spacing w:val="2"/>
                                      <w:w w:val="99"/>
                                      <w:sz w:val="20"/>
                                      <w:szCs w:val="20"/>
                                      <w:lang w:eastAsia="zh-CN"/>
                                    </w:rPr>
                                    <w:t>机</w:t>
                                  </w:r>
                                  <w:r>
                                    <w:rPr>
                                      <w:rFonts w:hint="eastAsia" w:ascii="宋体" w:hAnsi="宋体" w:cs="宋体"/>
                                      <w:w w:val="99"/>
                                      <w:sz w:val="20"/>
                                      <w:szCs w:val="20"/>
                                      <w:lang w:eastAsia="zh-CN"/>
                                    </w:rPr>
                                    <w:t>能效</w:t>
                                  </w:r>
                                  <w:r>
                                    <w:rPr>
                                      <w:rFonts w:hint="eastAsia" w:ascii="宋体" w:hAnsi="宋体" w:cs="宋体"/>
                                      <w:spacing w:val="2"/>
                                      <w:w w:val="99"/>
                                      <w:sz w:val="20"/>
                                      <w:szCs w:val="20"/>
                                      <w:lang w:eastAsia="zh-CN"/>
                                    </w:rPr>
                                    <w:t>限</w:t>
                                  </w:r>
                                  <w:r>
                                    <w:rPr>
                                      <w:rFonts w:hint="eastAsia" w:ascii="宋体" w:hAnsi="宋体" w:cs="宋体"/>
                                      <w:w w:val="99"/>
                                      <w:sz w:val="20"/>
                                      <w:szCs w:val="20"/>
                                      <w:lang w:eastAsia="zh-CN"/>
                                    </w:rPr>
                                    <w:t>定值</w:t>
                                  </w:r>
                                  <w:r>
                                    <w:rPr>
                                      <w:rFonts w:hint="eastAsia" w:ascii="宋体" w:hAnsi="宋体" w:cs="宋体"/>
                                      <w:spacing w:val="2"/>
                                      <w:w w:val="99"/>
                                      <w:sz w:val="20"/>
                                      <w:szCs w:val="20"/>
                                      <w:lang w:eastAsia="zh-CN"/>
                                    </w:rPr>
                                    <w:t>及</w:t>
                                  </w:r>
                                  <w:r>
                                    <w:rPr>
                                      <w:rFonts w:hint="eastAsia" w:ascii="宋体" w:hAnsi="宋体" w:cs="宋体"/>
                                      <w:w w:val="99"/>
                                      <w:sz w:val="20"/>
                                      <w:szCs w:val="20"/>
                                      <w:lang w:eastAsia="zh-CN"/>
                                    </w:rPr>
                                    <w:t>能</w:t>
                                  </w:r>
                                  <w:r>
                                    <w:rPr>
                                      <w:rFonts w:hint="eastAsia" w:ascii="宋体" w:hAnsi="宋体" w:cs="宋体"/>
                                      <w:spacing w:val="2"/>
                                      <w:w w:val="99"/>
                                      <w:sz w:val="20"/>
                                      <w:szCs w:val="20"/>
                                      <w:lang w:eastAsia="zh-CN"/>
                                    </w:rPr>
                                    <w:t>效</w:t>
                                  </w:r>
                                  <w:r>
                                    <w:rPr>
                                      <w:rFonts w:hint="eastAsia" w:ascii="宋体" w:hAnsi="宋体" w:cs="宋体"/>
                                      <w:w w:val="99"/>
                                      <w:sz w:val="20"/>
                                      <w:szCs w:val="20"/>
                                      <w:lang w:eastAsia="zh-CN"/>
                                    </w:rPr>
                                    <w:t>等级》（</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3</w:t>
                                  </w:r>
                                  <w:r>
                                    <w:rPr>
                                      <w:rFonts w:hint="eastAsia" w:ascii="宋体" w:hAnsi="宋体" w:cs="宋体"/>
                                      <w:w w:val="99"/>
                                      <w:sz w:val="20"/>
                                      <w:szCs w:val="20"/>
                                      <w:lang w:eastAsia="zh-CN"/>
                                    </w:rPr>
                                    <w:t>20</w:t>
                                  </w:r>
                                  <w:r>
                                    <w:rPr>
                                      <w:rFonts w:hint="eastAsia" w:ascii="宋体" w:hAnsi="宋体" w:cs="宋体"/>
                                      <w:spacing w:val="1"/>
                                      <w:w w:val="99"/>
                                      <w:sz w:val="20"/>
                                      <w:szCs w:val="20"/>
                                      <w:lang w:eastAsia="zh-CN"/>
                                    </w:rPr>
                                    <w:t>28</w:t>
                                  </w:r>
                                  <w:r>
                                    <w:rPr>
                                      <w:rFonts w:hint="eastAsia" w:ascii="宋体" w:hAnsi="宋体" w:cs="宋体"/>
                                      <w:w w:val="99"/>
                                      <w:sz w:val="20"/>
                                      <w:szCs w:val="20"/>
                                      <w:lang w:eastAsia="zh-CN"/>
                                    </w:rPr>
                                    <w:t>）</w:t>
                                  </w:r>
                                </w:p>
                              </w:tc>
                            </w:tr>
                            <w:tr w14:paraId="40E7ACF2">
                              <w:tblPrEx>
                                <w:tblCellMar>
                                  <w:top w:w="0" w:type="dxa"/>
                                  <w:left w:w="0" w:type="dxa"/>
                                  <w:bottom w:w="0" w:type="dxa"/>
                                  <w:right w:w="0" w:type="dxa"/>
                                </w:tblCellMar>
                              </w:tblPrEx>
                              <w:trPr>
                                <w:trHeight w:val="770" w:hRule="exact"/>
                              </w:trPr>
                              <w:tc>
                                <w:tcPr>
                                  <w:tcW w:w="574" w:type="dxa"/>
                                  <w:tcBorders>
                                    <w:top w:val="single" w:color="000000" w:sz="4" w:space="0"/>
                                    <w:left w:val="single" w:color="000000" w:sz="4" w:space="0"/>
                                    <w:bottom w:val="single" w:color="000000" w:sz="4" w:space="0"/>
                                    <w:right w:val="single" w:color="000000" w:sz="4" w:space="0"/>
                                  </w:tcBorders>
                                  <w:noWrap w:val="0"/>
                                  <w:vAlign w:val="top"/>
                                </w:tcPr>
                                <w:p w14:paraId="09916DC7">
                                  <w:pPr>
                                    <w:pStyle w:val="56"/>
                                    <w:spacing w:before="13"/>
                                    <w:rPr>
                                      <w:rFonts w:ascii="宋体" w:hAnsi="宋体" w:cs="宋体"/>
                                      <w:sz w:val="16"/>
                                      <w:szCs w:val="16"/>
                                      <w:lang w:eastAsia="zh-CN"/>
                                    </w:rPr>
                                  </w:pPr>
                                </w:p>
                                <w:p w14:paraId="4F268163">
                                  <w:pPr>
                                    <w:pStyle w:val="56"/>
                                    <w:ind w:right="1"/>
                                    <w:jc w:val="center"/>
                                    <w:rPr>
                                      <w:rFonts w:ascii="宋体" w:hAnsi="宋体" w:cs="宋体"/>
                                      <w:sz w:val="20"/>
                                      <w:szCs w:val="20"/>
                                    </w:rPr>
                                  </w:pPr>
                                  <w:r>
                                    <w:rPr>
                                      <w:rFonts w:hint="eastAsia" w:ascii="宋体"/>
                                      <w:w w:val="99"/>
                                      <w:sz w:val="20"/>
                                    </w:rPr>
                                    <w:t>4</w:t>
                                  </w:r>
                                </w:p>
                              </w:tc>
                              <w:tc>
                                <w:tcPr>
                                  <w:tcW w:w="1166" w:type="dxa"/>
                                  <w:tcBorders>
                                    <w:top w:val="single" w:color="000000" w:sz="4" w:space="0"/>
                                    <w:left w:val="single" w:color="000000" w:sz="4" w:space="0"/>
                                    <w:bottom w:val="single" w:color="000000" w:sz="4" w:space="0"/>
                                    <w:right w:val="single" w:color="000000" w:sz="4" w:space="0"/>
                                  </w:tcBorders>
                                  <w:noWrap w:val="0"/>
                                  <w:vAlign w:val="top"/>
                                </w:tcPr>
                                <w:p w14:paraId="747C347A">
                                  <w:pPr>
                                    <w:pStyle w:val="56"/>
                                    <w:spacing w:before="66"/>
                                    <w:ind w:left="7"/>
                                    <w:rPr>
                                      <w:rFonts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02</w:t>
                                  </w:r>
                                  <w:r>
                                    <w:rPr>
                                      <w:rFonts w:hint="eastAsia" w:ascii="宋体" w:hAnsi="宋体" w:cs="宋体"/>
                                      <w:spacing w:val="1"/>
                                      <w:w w:val="99"/>
                                      <w:sz w:val="20"/>
                                      <w:szCs w:val="20"/>
                                    </w:rPr>
                                    <w:t>0</w:t>
                                  </w:r>
                                  <w:r>
                                    <w:rPr>
                                      <w:rFonts w:hint="eastAsia" w:ascii="宋体" w:hAnsi="宋体" w:cs="宋体"/>
                                      <w:w w:val="99"/>
                                      <w:sz w:val="20"/>
                                      <w:szCs w:val="20"/>
                                    </w:rPr>
                                    <w:t>4多功</w:t>
                                  </w:r>
                                </w:p>
                                <w:p w14:paraId="41CD44A0">
                                  <w:pPr>
                                    <w:pStyle w:val="56"/>
                                    <w:spacing w:before="50"/>
                                    <w:ind w:left="7"/>
                                    <w:rPr>
                                      <w:rFonts w:ascii="宋体" w:hAnsi="宋体" w:cs="宋体"/>
                                      <w:sz w:val="20"/>
                                      <w:szCs w:val="20"/>
                                    </w:rPr>
                                  </w:pPr>
                                  <w:r>
                                    <w:rPr>
                                      <w:rFonts w:hint="eastAsia" w:ascii="宋体" w:hAnsi="宋体" w:cs="宋体"/>
                                      <w:w w:val="99"/>
                                      <w:sz w:val="20"/>
                                      <w:szCs w:val="20"/>
                                    </w:rPr>
                                    <w:t>能一体机</w:t>
                                  </w:r>
                                </w:p>
                              </w:tc>
                              <w:tc>
                                <w:tcPr>
                                  <w:tcW w:w="1800" w:type="dxa"/>
                                  <w:tcBorders>
                                    <w:top w:val="single" w:color="000000" w:sz="4" w:space="0"/>
                                    <w:left w:val="single" w:color="000000" w:sz="4" w:space="0"/>
                                    <w:bottom w:val="single" w:color="000000" w:sz="4" w:space="0"/>
                                    <w:right w:val="single" w:color="000000" w:sz="4" w:space="0"/>
                                  </w:tcBorders>
                                  <w:noWrap w:val="0"/>
                                  <w:vAlign w:val="top"/>
                                </w:tcPr>
                                <w:p w14:paraId="78B2E694">
                                  <w:pPr>
                                    <w:rPr>
                                      <w:rFonts w:ascii="Calibri" w:hAnsi="Calibri"/>
                                      <w:sz w:val="22"/>
                                      <w:szCs w:val="22"/>
                                    </w:rPr>
                                  </w:pPr>
                                </w:p>
                              </w:tc>
                              <w:tc>
                                <w:tcPr>
                                  <w:tcW w:w="1823" w:type="dxa"/>
                                  <w:tcBorders>
                                    <w:top w:val="single" w:color="000000" w:sz="4" w:space="0"/>
                                    <w:left w:val="single" w:color="000000" w:sz="4" w:space="0"/>
                                    <w:bottom w:val="single" w:color="000000" w:sz="4" w:space="0"/>
                                    <w:right w:val="single" w:color="000000" w:sz="4" w:space="0"/>
                                  </w:tcBorders>
                                  <w:noWrap w:val="0"/>
                                  <w:vAlign w:val="top"/>
                                </w:tcPr>
                                <w:p w14:paraId="375D1073">
                                  <w:pPr>
                                    <w:rPr>
                                      <w:rFonts w:ascii="Calibri" w:hAnsi="Calibri"/>
                                      <w:sz w:val="22"/>
                                      <w:szCs w:val="22"/>
                                    </w:rPr>
                                  </w:pPr>
                                </w:p>
                              </w:tc>
                              <w:tc>
                                <w:tcPr>
                                  <w:tcW w:w="3762" w:type="dxa"/>
                                  <w:tcBorders>
                                    <w:top w:val="single" w:color="000000" w:sz="4" w:space="0"/>
                                    <w:left w:val="single" w:color="000000" w:sz="4" w:space="0"/>
                                    <w:bottom w:val="single" w:color="000000" w:sz="4" w:space="0"/>
                                    <w:right w:val="single" w:color="000000" w:sz="4" w:space="0"/>
                                  </w:tcBorders>
                                  <w:noWrap w:val="0"/>
                                  <w:vAlign w:val="top"/>
                                </w:tcPr>
                                <w:p w14:paraId="4F2CB428">
                                  <w:pPr>
                                    <w:pStyle w:val="56"/>
                                    <w:spacing w:before="66" w:line="280" w:lineRule="auto"/>
                                    <w:ind w:left="7" w:right="7"/>
                                    <w:rPr>
                                      <w:rFonts w:ascii="宋体" w:hAnsi="宋体" w:cs="宋体"/>
                                      <w:sz w:val="20"/>
                                      <w:szCs w:val="20"/>
                                      <w:lang w:eastAsia="zh-CN"/>
                                    </w:rPr>
                                  </w:pPr>
                                  <w:r>
                                    <w:rPr>
                                      <w:rFonts w:hint="eastAsia" w:ascii="宋体" w:hAnsi="宋体" w:cs="宋体"/>
                                      <w:w w:val="99"/>
                                      <w:sz w:val="20"/>
                                      <w:szCs w:val="20"/>
                                      <w:lang w:eastAsia="zh-CN"/>
                                    </w:rPr>
                                    <w:t>《复印</w:t>
                                  </w:r>
                                  <w:r>
                                    <w:rPr>
                                      <w:rFonts w:hint="eastAsia" w:ascii="宋体" w:hAnsi="宋体" w:cs="宋体"/>
                                      <w:spacing w:val="2"/>
                                      <w:w w:val="99"/>
                                      <w:sz w:val="20"/>
                                      <w:szCs w:val="20"/>
                                      <w:lang w:eastAsia="zh-CN"/>
                                    </w:rPr>
                                    <w:t>机</w:t>
                                  </w:r>
                                  <w:r>
                                    <w:rPr>
                                      <w:rFonts w:hint="eastAsia" w:ascii="宋体" w:hAnsi="宋体" w:cs="宋体"/>
                                      <w:spacing w:val="-58"/>
                                      <w:w w:val="99"/>
                                      <w:sz w:val="20"/>
                                      <w:szCs w:val="20"/>
                                      <w:lang w:eastAsia="zh-CN"/>
                                    </w:rPr>
                                    <w:t>、</w:t>
                                  </w:r>
                                  <w:r>
                                    <w:rPr>
                                      <w:rFonts w:hint="eastAsia" w:ascii="宋体" w:hAnsi="宋体" w:cs="宋体"/>
                                      <w:spacing w:val="2"/>
                                      <w:w w:val="99"/>
                                      <w:sz w:val="20"/>
                                      <w:szCs w:val="20"/>
                                      <w:lang w:eastAsia="zh-CN"/>
                                    </w:rPr>
                                    <w:t>打</w:t>
                                  </w:r>
                                  <w:r>
                                    <w:rPr>
                                      <w:rFonts w:hint="eastAsia" w:ascii="宋体" w:hAnsi="宋体" w:cs="宋体"/>
                                      <w:w w:val="99"/>
                                      <w:sz w:val="20"/>
                                      <w:szCs w:val="20"/>
                                      <w:lang w:eastAsia="zh-CN"/>
                                    </w:rPr>
                                    <w:t>印机</w:t>
                                  </w:r>
                                  <w:r>
                                    <w:rPr>
                                      <w:rFonts w:hint="eastAsia" w:ascii="宋体" w:hAnsi="宋体" w:cs="宋体"/>
                                      <w:spacing w:val="2"/>
                                      <w:w w:val="99"/>
                                      <w:sz w:val="20"/>
                                      <w:szCs w:val="20"/>
                                      <w:lang w:eastAsia="zh-CN"/>
                                    </w:rPr>
                                    <w:t>和</w:t>
                                  </w:r>
                                  <w:r>
                                    <w:rPr>
                                      <w:rFonts w:hint="eastAsia" w:ascii="宋体" w:hAnsi="宋体" w:cs="宋体"/>
                                      <w:w w:val="99"/>
                                      <w:sz w:val="20"/>
                                      <w:szCs w:val="20"/>
                                      <w:lang w:eastAsia="zh-CN"/>
                                    </w:rPr>
                                    <w:t>传真</w:t>
                                  </w:r>
                                  <w:r>
                                    <w:rPr>
                                      <w:rFonts w:hint="eastAsia" w:ascii="宋体" w:hAnsi="宋体" w:cs="宋体"/>
                                      <w:spacing w:val="2"/>
                                      <w:w w:val="99"/>
                                      <w:sz w:val="20"/>
                                      <w:szCs w:val="20"/>
                                      <w:lang w:eastAsia="zh-CN"/>
                                    </w:rPr>
                                    <w:t>机</w:t>
                                  </w:r>
                                  <w:r>
                                    <w:rPr>
                                      <w:rFonts w:hint="eastAsia" w:ascii="宋体" w:hAnsi="宋体" w:cs="宋体"/>
                                      <w:w w:val="99"/>
                                      <w:sz w:val="20"/>
                                      <w:szCs w:val="20"/>
                                      <w:lang w:eastAsia="zh-CN"/>
                                    </w:rPr>
                                    <w:t>能效限定值及</w:t>
                                  </w:r>
                                  <w:r>
                                    <w:rPr>
                                      <w:rFonts w:hint="eastAsia" w:ascii="宋体" w:hAnsi="宋体" w:cs="宋体"/>
                                      <w:spacing w:val="2"/>
                                      <w:w w:val="99"/>
                                      <w:sz w:val="20"/>
                                      <w:szCs w:val="20"/>
                                      <w:lang w:eastAsia="zh-CN"/>
                                    </w:rPr>
                                    <w:t>能</w:t>
                                  </w:r>
                                  <w:r>
                                    <w:rPr>
                                      <w:rFonts w:hint="eastAsia" w:ascii="宋体" w:hAnsi="宋体" w:cs="宋体"/>
                                      <w:w w:val="99"/>
                                      <w:sz w:val="20"/>
                                      <w:szCs w:val="20"/>
                                      <w:lang w:eastAsia="zh-CN"/>
                                    </w:rPr>
                                    <w:t>效等</w:t>
                                  </w:r>
                                  <w:r>
                                    <w:rPr>
                                      <w:rFonts w:hint="eastAsia" w:ascii="宋体" w:hAnsi="宋体" w:cs="宋体"/>
                                      <w:spacing w:val="2"/>
                                      <w:w w:val="99"/>
                                      <w:sz w:val="20"/>
                                      <w:szCs w:val="20"/>
                                      <w:lang w:eastAsia="zh-CN"/>
                                    </w:rPr>
                                    <w:t>级</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21</w:t>
                                  </w:r>
                                  <w:r>
                                    <w:rPr>
                                      <w:rFonts w:hint="eastAsia" w:ascii="宋体" w:hAnsi="宋体" w:cs="宋体"/>
                                      <w:w w:val="99"/>
                                      <w:sz w:val="20"/>
                                      <w:szCs w:val="20"/>
                                      <w:lang w:eastAsia="zh-CN"/>
                                    </w:rPr>
                                    <w:t>52</w:t>
                                  </w:r>
                                  <w:r>
                                    <w:rPr>
                                      <w:rFonts w:hint="eastAsia" w:ascii="宋体" w:hAnsi="宋体" w:cs="宋体"/>
                                      <w:spacing w:val="1"/>
                                      <w:w w:val="99"/>
                                      <w:sz w:val="20"/>
                                      <w:szCs w:val="20"/>
                                      <w:lang w:eastAsia="zh-CN"/>
                                    </w:rPr>
                                    <w:t>1</w:t>
                                  </w:r>
                                  <w:r>
                                    <w:rPr>
                                      <w:rFonts w:hint="eastAsia" w:ascii="宋体" w:hAnsi="宋体" w:cs="宋体"/>
                                      <w:w w:val="99"/>
                                      <w:sz w:val="20"/>
                                      <w:szCs w:val="20"/>
                                      <w:lang w:eastAsia="zh-CN"/>
                                    </w:rPr>
                                    <w:t>）</w:t>
                                  </w:r>
                                </w:p>
                              </w:tc>
                            </w:tr>
                            <w:tr w14:paraId="12820578">
                              <w:tblPrEx>
                                <w:tblCellMar>
                                  <w:top w:w="0" w:type="dxa"/>
                                  <w:left w:w="0" w:type="dxa"/>
                                  <w:bottom w:w="0" w:type="dxa"/>
                                  <w:right w:w="0" w:type="dxa"/>
                                </w:tblCellMar>
                              </w:tblPrEx>
                              <w:trPr>
                                <w:trHeight w:val="646" w:hRule="exact"/>
                              </w:trPr>
                              <w:tc>
                                <w:tcPr>
                                  <w:tcW w:w="574" w:type="dxa"/>
                                  <w:tcBorders>
                                    <w:top w:val="single" w:color="000000" w:sz="4" w:space="0"/>
                                    <w:left w:val="single" w:color="000000" w:sz="4" w:space="0"/>
                                    <w:bottom w:val="single" w:color="000000" w:sz="4" w:space="0"/>
                                    <w:right w:val="single" w:color="000000" w:sz="4" w:space="0"/>
                                  </w:tcBorders>
                                  <w:noWrap w:val="0"/>
                                  <w:vAlign w:val="top"/>
                                </w:tcPr>
                                <w:p w14:paraId="6FC64333">
                                  <w:pPr>
                                    <w:pStyle w:val="56"/>
                                    <w:spacing w:before="160"/>
                                    <w:ind w:right="1"/>
                                    <w:jc w:val="center"/>
                                    <w:rPr>
                                      <w:rFonts w:ascii="宋体" w:hAnsi="宋体" w:cs="宋体"/>
                                      <w:sz w:val="20"/>
                                      <w:szCs w:val="20"/>
                                    </w:rPr>
                                  </w:pPr>
                                  <w:r>
                                    <w:rPr>
                                      <w:rFonts w:hint="eastAsia" w:ascii="宋体"/>
                                      <w:w w:val="99"/>
                                      <w:sz w:val="20"/>
                                    </w:rPr>
                                    <w:t>5</w:t>
                                  </w:r>
                                </w:p>
                              </w:tc>
                              <w:tc>
                                <w:tcPr>
                                  <w:tcW w:w="1166" w:type="dxa"/>
                                  <w:tcBorders>
                                    <w:top w:val="single" w:color="000000" w:sz="4" w:space="0"/>
                                    <w:left w:val="single" w:color="000000" w:sz="4" w:space="0"/>
                                    <w:bottom w:val="single" w:color="000000" w:sz="4" w:space="0"/>
                                    <w:right w:val="single" w:color="000000" w:sz="4" w:space="0"/>
                                  </w:tcBorders>
                                  <w:noWrap w:val="0"/>
                                  <w:vAlign w:val="top"/>
                                </w:tcPr>
                                <w:p w14:paraId="606C5E7C">
                                  <w:pPr>
                                    <w:pStyle w:val="56"/>
                                    <w:spacing w:before="160"/>
                                    <w:ind w:left="7"/>
                                    <w:rPr>
                                      <w:rFonts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05</w:t>
                                  </w:r>
                                  <w:r>
                                    <w:rPr>
                                      <w:rFonts w:hint="eastAsia" w:ascii="宋体" w:hAnsi="宋体" w:cs="宋体"/>
                                      <w:spacing w:val="1"/>
                                      <w:w w:val="99"/>
                                      <w:sz w:val="20"/>
                                      <w:szCs w:val="20"/>
                                    </w:rPr>
                                    <w:t>1</w:t>
                                  </w:r>
                                  <w:r>
                                    <w:rPr>
                                      <w:rFonts w:hint="eastAsia" w:ascii="宋体" w:hAnsi="宋体" w:cs="宋体"/>
                                      <w:w w:val="99"/>
                                      <w:sz w:val="20"/>
                                      <w:szCs w:val="20"/>
                                    </w:rPr>
                                    <w:t>9泵</w:t>
                                  </w:r>
                                </w:p>
                              </w:tc>
                              <w:tc>
                                <w:tcPr>
                                  <w:tcW w:w="1800" w:type="dxa"/>
                                  <w:tcBorders>
                                    <w:top w:val="single" w:color="000000" w:sz="4" w:space="0"/>
                                    <w:left w:val="single" w:color="000000" w:sz="4" w:space="0"/>
                                    <w:bottom w:val="single" w:color="000000" w:sz="4" w:space="0"/>
                                    <w:right w:val="single" w:color="000000" w:sz="4" w:space="0"/>
                                  </w:tcBorders>
                                  <w:noWrap w:val="0"/>
                                  <w:vAlign w:val="top"/>
                                </w:tcPr>
                                <w:p w14:paraId="270FC034">
                                  <w:pPr>
                                    <w:pStyle w:val="56"/>
                                    <w:spacing w:before="160"/>
                                    <w:ind w:left="7"/>
                                    <w:rPr>
                                      <w:rFonts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05</w:t>
                                  </w:r>
                                  <w:r>
                                    <w:rPr>
                                      <w:rFonts w:hint="eastAsia" w:ascii="宋体" w:hAnsi="宋体" w:cs="宋体"/>
                                      <w:spacing w:val="1"/>
                                      <w:w w:val="99"/>
                                      <w:sz w:val="20"/>
                                      <w:szCs w:val="20"/>
                                    </w:rPr>
                                    <w:t>1</w:t>
                                  </w:r>
                                  <w:r>
                                    <w:rPr>
                                      <w:rFonts w:hint="eastAsia" w:ascii="宋体" w:hAnsi="宋体" w:cs="宋体"/>
                                      <w:w w:val="99"/>
                                      <w:sz w:val="20"/>
                                      <w:szCs w:val="20"/>
                                    </w:rPr>
                                    <w:t>901离心泵</w:t>
                                  </w:r>
                                </w:p>
                              </w:tc>
                              <w:tc>
                                <w:tcPr>
                                  <w:tcW w:w="1823" w:type="dxa"/>
                                  <w:tcBorders>
                                    <w:top w:val="single" w:color="000000" w:sz="4" w:space="0"/>
                                    <w:left w:val="single" w:color="000000" w:sz="4" w:space="0"/>
                                    <w:bottom w:val="single" w:color="000000" w:sz="4" w:space="0"/>
                                    <w:right w:val="single" w:color="000000" w:sz="4" w:space="0"/>
                                  </w:tcBorders>
                                  <w:noWrap w:val="0"/>
                                  <w:vAlign w:val="top"/>
                                </w:tcPr>
                                <w:p w14:paraId="412A8E2A">
                                  <w:pPr>
                                    <w:rPr>
                                      <w:rFonts w:ascii="Calibri" w:hAnsi="Calibri"/>
                                      <w:sz w:val="22"/>
                                      <w:szCs w:val="22"/>
                                    </w:rPr>
                                  </w:pPr>
                                </w:p>
                              </w:tc>
                              <w:tc>
                                <w:tcPr>
                                  <w:tcW w:w="3762" w:type="dxa"/>
                                  <w:tcBorders>
                                    <w:top w:val="single" w:color="000000" w:sz="4" w:space="0"/>
                                    <w:left w:val="single" w:color="000000" w:sz="4" w:space="0"/>
                                    <w:bottom w:val="single" w:color="000000" w:sz="4" w:space="0"/>
                                    <w:right w:val="single" w:color="000000" w:sz="4" w:space="0"/>
                                  </w:tcBorders>
                                  <w:noWrap w:val="0"/>
                                  <w:vAlign w:val="top"/>
                                </w:tcPr>
                                <w:p w14:paraId="0395FAA1">
                                  <w:pPr>
                                    <w:pStyle w:val="56"/>
                                    <w:spacing w:before="4" w:line="280" w:lineRule="auto"/>
                                    <w:ind w:left="7" w:right="4"/>
                                    <w:rPr>
                                      <w:rFonts w:ascii="宋体" w:hAnsi="宋体" w:cs="宋体"/>
                                      <w:sz w:val="20"/>
                                      <w:szCs w:val="20"/>
                                      <w:lang w:eastAsia="zh-CN"/>
                                    </w:rPr>
                                  </w:pPr>
                                  <w:r>
                                    <w:rPr>
                                      <w:rFonts w:hint="eastAsia" w:ascii="宋体" w:hAnsi="宋体" w:cs="宋体"/>
                                      <w:spacing w:val="12"/>
                                      <w:w w:val="99"/>
                                      <w:sz w:val="20"/>
                                      <w:szCs w:val="20"/>
                                      <w:lang w:eastAsia="zh-CN"/>
                                    </w:rPr>
                                    <w:t>《清水离心泵能效限定</w:t>
                                  </w:r>
                                  <w:r>
                                    <w:rPr>
                                      <w:rFonts w:hint="eastAsia" w:ascii="宋体" w:hAnsi="宋体" w:cs="宋体"/>
                                      <w:spacing w:val="9"/>
                                      <w:w w:val="99"/>
                                      <w:sz w:val="20"/>
                                      <w:szCs w:val="20"/>
                                      <w:lang w:eastAsia="zh-CN"/>
                                    </w:rPr>
                                    <w:t>值</w:t>
                                  </w:r>
                                  <w:r>
                                    <w:rPr>
                                      <w:rFonts w:hint="eastAsia" w:ascii="宋体" w:hAnsi="宋体" w:cs="宋体"/>
                                      <w:spacing w:val="12"/>
                                      <w:w w:val="99"/>
                                      <w:sz w:val="20"/>
                                      <w:szCs w:val="20"/>
                                      <w:lang w:eastAsia="zh-CN"/>
                                    </w:rPr>
                                    <w:t>及节</w:t>
                                  </w:r>
                                  <w:r>
                                    <w:rPr>
                                      <w:rFonts w:hint="eastAsia" w:ascii="宋体" w:hAnsi="宋体" w:cs="宋体"/>
                                      <w:w w:val="99"/>
                                      <w:sz w:val="20"/>
                                      <w:szCs w:val="20"/>
                                      <w:lang w:eastAsia="zh-CN"/>
                                    </w:rPr>
                                    <w:t>能评价值</w:t>
                                  </w:r>
                                  <w:r>
                                    <w:rPr>
                                      <w:rFonts w:hint="eastAsia" w:ascii="宋体" w:hAnsi="宋体" w:cs="宋体"/>
                                      <w:spacing w:val="2"/>
                                      <w:w w:val="99"/>
                                      <w:sz w:val="20"/>
                                      <w:szCs w:val="20"/>
                                      <w:lang w:eastAsia="zh-CN"/>
                                    </w:rPr>
                                    <w:t>》</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19</w:t>
                                  </w:r>
                                  <w:r>
                                    <w:rPr>
                                      <w:rFonts w:hint="eastAsia" w:ascii="宋体" w:hAnsi="宋体" w:cs="宋体"/>
                                      <w:w w:val="99"/>
                                      <w:sz w:val="20"/>
                                      <w:szCs w:val="20"/>
                                      <w:lang w:eastAsia="zh-CN"/>
                                    </w:rPr>
                                    <w:t>76</w:t>
                                  </w:r>
                                  <w:r>
                                    <w:rPr>
                                      <w:rFonts w:hint="eastAsia" w:ascii="宋体" w:hAnsi="宋体" w:cs="宋体"/>
                                      <w:spacing w:val="1"/>
                                      <w:w w:val="99"/>
                                      <w:sz w:val="20"/>
                                      <w:szCs w:val="20"/>
                                      <w:lang w:eastAsia="zh-CN"/>
                                    </w:rPr>
                                    <w:t>2</w:t>
                                  </w:r>
                                  <w:r>
                                    <w:rPr>
                                      <w:rFonts w:hint="eastAsia" w:ascii="宋体" w:hAnsi="宋体" w:cs="宋体"/>
                                      <w:w w:val="99"/>
                                      <w:sz w:val="20"/>
                                      <w:szCs w:val="20"/>
                                      <w:lang w:eastAsia="zh-CN"/>
                                    </w:rPr>
                                    <w:t>）</w:t>
                                  </w:r>
                                </w:p>
                              </w:tc>
                            </w:tr>
                            <w:tr w14:paraId="3434BBF7">
                              <w:tblPrEx>
                                <w:tblCellMar>
                                  <w:top w:w="0" w:type="dxa"/>
                                  <w:left w:w="0" w:type="dxa"/>
                                  <w:bottom w:w="0" w:type="dxa"/>
                                  <w:right w:w="0" w:type="dxa"/>
                                </w:tblCellMar>
                              </w:tblPrEx>
                              <w:trPr>
                                <w:trHeight w:val="1322" w:hRule="exact"/>
                              </w:trPr>
                              <w:tc>
                                <w:tcPr>
                                  <w:tcW w:w="574" w:type="dxa"/>
                                  <w:vMerge w:val="restart"/>
                                  <w:tcBorders>
                                    <w:top w:val="single" w:color="000000" w:sz="4" w:space="0"/>
                                    <w:left w:val="single" w:color="000000" w:sz="4" w:space="0"/>
                                    <w:bottom w:val="single" w:color="000000" w:sz="4" w:space="0"/>
                                    <w:right w:val="single" w:color="000000" w:sz="4" w:space="0"/>
                                  </w:tcBorders>
                                  <w:noWrap w:val="0"/>
                                  <w:vAlign w:val="top"/>
                                </w:tcPr>
                                <w:p w14:paraId="146DDB96">
                                  <w:pPr>
                                    <w:pStyle w:val="56"/>
                                    <w:rPr>
                                      <w:rFonts w:ascii="宋体" w:hAnsi="宋体" w:cs="宋体"/>
                                      <w:sz w:val="20"/>
                                      <w:szCs w:val="20"/>
                                      <w:lang w:eastAsia="zh-CN"/>
                                    </w:rPr>
                                  </w:pPr>
                                </w:p>
                                <w:p w14:paraId="1AF55CCA">
                                  <w:pPr>
                                    <w:pStyle w:val="56"/>
                                    <w:rPr>
                                      <w:rFonts w:hint="eastAsia" w:ascii="宋体" w:hAnsi="宋体" w:cs="宋体"/>
                                      <w:sz w:val="20"/>
                                      <w:szCs w:val="20"/>
                                      <w:lang w:eastAsia="zh-CN"/>
                                    </w:rPr>
                                  </w:pPr>
                                </w:p>
                                <w:p w14:paraId="610F2705">
                                  <w:pPr>
                                    <w:pStyle w:val="56"/>
                                    <w:spacing w:before="7"/>
                                    <w:rPr>
                                      <w:rFonts w:hint="eastAsia" w:ascii="宋体" w:hAnsi="宋体" w:cs="宋体"/>
                                      <w:sz w:val="26"/>
                                      <w:szCs w:val="26"/>
                                      <w:lang w:eastAsia="zh-CN"/>
                                    </w:rPr>
                                  </w:pPr>
                                </w:p>
                                <w:p w14:paraId="3FA38FA9">
                                  <w:pPr>
                                    <w:pStyle w:val="56"/>
                                    <w:ind w:right="1"/>
                                    <w:jc w:val="center"/>
                                    <w:rPr>
                                      <w:rFonts w:ascii="宋体" w:hAnsi="宋体" w:cs="宋体"/>
                                      <w:sz w:val="20"/>
                                      <w:szCs w:val="20"/>
                                    </w:rPr>
                                  </w:pPr>
                                  <w:r>
                                    <w:rPr>
                                      <w:rFonts w:hint="eastAsia" w:ascii="宋体"/>
                                      <w:w w:val="99"/>
                                      <w:sz w:val="20"/>
                                    </w:rPr>
                                    <w:t>6</w:t>
                                  </w:r>
                                </w:p>
                              </w:tc>
                              <w:tc>
                                <w:tcPr>
                                  <w:tcW w:w="1166" w:type="dxa"/>
                                  <w:vMerge w:val="restart"/>
                                  <w:tcBorders>
                                    <w:top w:val="single" w:color="000000" w:sz="4" w:space="0"/>
                                    <w:left w:val="single" w:color="000000" w:sz="4" w:space="0"/>
                                    <w:bottom w:val="single" w:color="000000" w:sz="4" w:space="0"/>
                                    <w:right w:val="single" w:color="000000" w:sz="4" w:space="0"/>
                                  </w:tcBorders>
                                  <w:noWrap w:val="0"/>
                                  <w:vAlign w:val="top"/>
                                </w:tcPr>
                                <w:p w14:paraId="7518BC9C">
                                  <w:pPr>
                                    <w:pStyle w:val="56"/>
                                    <w:rPr>
                                      <w:rFonts w:ascii="宋体" w:hAnsi="宋体" w:cs="宋体"/>
                                      <w:sz w:val="20"/>
                                      <w:szCs w:val="20"/>
                                    </w:rPr>
                                  </w:pPr>
                                </w:p>
                                <w:p w14:paraId="384BCA95">
                                  <w:pPr>
                                    <w:pStyle w:val="56"/>
                                    <w:rPr>
                                      <w:rFonts w:hint="eastAsia" w:ascii="宋体" w:hAnsi="宋体" w:cs="宋体"/>
                                      <w:sz w:val="20"/>
                                      <w:szCs w:val="20"/>
                                    </w:rPr>
                                  </w:pPr>
                                </w:p>
                                <w:p w14:paraId="3D705A33">
                                  <w:pPr>
                                    <w:pStyle w:val="56"/>
                                    <w:spacing w:before="8"/>
                                    <w:rPr>
                                      <w:rFonts w:hint="eastAsia" w:ascii="宋体" w:hAnsi="宋体" w:cs="宋体"/>
                                      <w:sz w:val="14"/>
                                      <w:szCs w:val="14"/>
                                    </w:rPr>
                                  </w:pPr>
                                </w:p>
                                <w:p w14:paraId="175750C5">
                                  <w:pPr>
                                    <w:pStyle w:val="56"/>
                                    <w:ind w:left="7"/>
                                    <w:rPr>
                                      <w:rFonts w:hint="eastAsia"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05</w:t>
                                  </w:r>
                                  <w:r>
                                    <w:rPr>
                                      <w:rFonts w:hint="eastAsia" w:ascii="宋体" w:hAnsi="宋体" w:cs="宋体"/>
                                      <w:spacing w:val="1"/>
                                      <w:w w:val="99"/>
                                      <w:sz w:val="20"/>
                                      <w:szCs w:val="20"/>
                                    </w:rPr>
                                    <w:t>2</w:t>
                                  </w:r>
                                  <w:r>
                                    <w:rPr>
                                      <w:rFonts w:hint="eastAsia" w:ascii="宋体" w:hAnsi="宋体" w:cs="宋体"/>
                                      <w:w w:val="99"/>
                                      <w:sz w:val="20"/>
                                      <w:szCs w:val="20"/>
                                    </w:rPr>
                                    <w:t>3制冷</w:t>
                                  </w:r>
                                </w:p>
                                <w:p w14:paraId="51EF17CE">
                                  <w:pPr>
                                    <w:pStyle w:val="56"/>
                                    <w:spacing w:before="50"/>
                                    <w:ind w:left="7"/>
                                    <w:rPr>
                                      <w:rFonts w:ascii="宋体" w:hAnsi="宋体" w:cs="宋体"/>
                                      <w:sz w:val="20"/>
                                      <w:szCs w:val="20"/>
                                    </w:rPr>
                                  </w:pPr>
                                  <w:r>
                                    <w:rPr>
                                      <w:rFonts w:hint="eastAsia" w:ascii="宋体" w:hAnsi="宋体" w:cs="宋体"/>
                                      <w:w w:val="99"/>
                                      <w:sz w:val="20"/>
                                      <w:szCs w:val="20"/>
                                    </w:rPr>
                                    <w:t>空调设备</w:t>
                                  </w:r>
                                </w:p>
                              </w:tc>
                              <w:tc>
                                <w:tcPr>
                                  <w:tcW w:w="1800" w:type="dxa"/>
                                  <w:vMerge w:val="restart"/>
                                  <w:tcBorders>
                                    <w:top w:val="single" w:color="000000" w:sz="4" w:space="0"/>
                                    <w:left w:val="single" w:color="000000" w:sz="4" w:space="0"/>
                                    <w:bottom w:val="single" w:color="000000" w:sz="4" w:space="0"/>
                                    <w:right w:val="single" w:color="000000" w:sz="4" w:space="0"/>
                                  </w:tcBorders>
                                  <w:noWrap w:val="0"/>
                                  <w:vAlign w:val="top"/>
                                </w:tcPr>
                                <w:p w14:paraId="49E3B02D">
                                  <w:pPr>
                                    <w:pStyle w:val="56"/>
                                    <w:rPr>
                                      <w:rFonts w:ascii="宋体" w:hAnsi="宋体" w:cs="宋体"/>
                                      <w:sz w:val="20"/>
                                      <w:szCs w:val="20"/>
                                    </w:rPr>
                                  </w:pPr>
                                </w:p>
                                <w:p w14:paraId="26F2094C">
                                  <w:pPr>
                                    <w:pStyle w:val="56"/>
                                    <w:rPr>
                                      <w:rFonts w:hint="eastAsia" w:ascii="宋体" w:hAnsi="宋体" w:cs="宋体"/>
                                      <w:sz w:val="20"/>
                                      <w:szCs w:val="20"/>
                                    </w:rPr>
                                  </w:pPr>
                                </w:p>
                                <w:p w14:paraId="4B7982D2">
                                  <w:pPr>
                                    <w:pStyle w:val="56"/>
                                    <w:spacing w:before="8"/>
                                    <w:rPr>
                                      <w:rFonts w:hint="eastAsia" w:ascii="宋体" w:hAnsi="宋体" w:cs="宋体"/>
                                      <w:sz w:val="14"/>
                                      <w:szCs w:val="14"/>
                                    </w:rPr>
                                  </w:pPr>
                                </w:p>
                                <w:p w14:paraId="43141F3F">
                                  <w:pPr>
                                    <w:pStyle w:val="56"/>
                                    <w:spacing w:line="280" w:lineRule="auto"/>
                                    <w:ind w:left="7" w:right="5"/>
                                    <w:rPr>
                                      <w:rFonts w:ascii="宋体" w:hAnsi="宋体" w:cs="宋体"/>
                                      <w:sz w:val="20"/>
                                      <w:szCs w:val="20"/>
                                    </w:rPr>
                                  </w:pPr>
                                  <w:r>
                                    <w:rPr>
                                      <w:rFonts w:hint="eastAsia" w:ascii="宋体" w:hAnsi="宋体" w:cs="宋体"/>
                                      <w:w w:val="99"/>
                                      <w:sz w:val="20"/>
                                      <w:szCs w:val="20"/>
                                    </w:rPr>
                                    <w:t>★</w:t>
                                  </w:r>
                                  <w:r>
                                    <w:rPr>
                                      <w:rFonts w:hint="eastAsia" w:ascii="宋体" w:hAnsi="宋体" w:cs="宋体"/>
                                      <w:spacing w:val="1"/>
                                      <w:w w:val="99"/>
                                      <w:sz w:val="20"/>
                                      <w:szCs w:val="20"/>
                                    </w:rPr>
                                    <w:t>A020</w:t>
                                  </w:r>
                                  <w:r>
                                    <w:rPr>
                                      <w:rFonts w:hint="eastAsia" w:ascii="宋体" w:hAnsi="宋体" w:cs="宋体"/>
                                      <w:w w:val="99"/>
                                      <w:sz w:val="20"/>
                                      <w:szCs w:val="20"/>
                                    </w:rPr>
                                    <w:t>52</w:t>
                                  </w:r>
                                  <w:r>
                                    <w:rPr>
                                      <w:rFonts w:hint="eastAsia" w:ascii="宋体" w:hAnsi="宋体" w:cs="宋体"/>
                                      <w:spacing w:val="1"/>
                                      <w:w w:val="99"/>
                                      <w:sz w:val="20"/>
                                      <w:szCs w:val="20"/>
                                    </w:rPr>
                                    <w:t>3</w:t>
                                  </w:r>
                                  <w:r>
                                    <w:rPr>
                                      <w:rFonts w:hint="eastAsia" w:ascii="宋体" w:hAnsi="宋体" w:cs="宋体"/>
                                      <w:w w:val="99"/>
                                      <w:sz w:val="20"/>
                                      <w:szCs w:val="20"/>
                                    </w:rPr>
                                    <w:t>01制冷压缩机</w:t>
                                  </w:r>
                                </w:p>
                              </w:tc>
                              <w:tc>
                                <w:tcPr>
                                  <w:tcW w:w="1823" w:type="dxa"/>
                                  <w:tcBorders>
                                    <w:top w:val="single" w:color="000000" w:sz="4" w:space="0"/>
                                    <w:left w:val="single" w:color="000000" w:sz="4" w:space="0"/>
                                    <w:bottom w:val="single" w:color="000000" w:sz="4" w:space="0"/>
                                    <w:right w:val="single" w:color="000000" w:sz="4" w:space="0"/>
                                  </w:tcBorders>
                                  <w:noWrap w:val="0"/>
                                  <w:vAlign w:val="top"/>
                                </w:tcPr>
                                <w:p w14:paraId="52158325">
                                  <w:pPr>
                                    <w:pStyle w:val="56"/>
                                    <w:rPr>
                                      <w:rFonts w:ascii="宋体" w:hAnsi="宋体" w:cs="宋体"/>
                                      <w:sz w:val="20"/>
                                      <w:szCs w:val="20"/>
                                    </w:rPr>
                                  </w:pPr>
                                </w:p>
                                <w:p w14:paraId="16DE342F">
                                  <w:pPr>
                                    <w:pStyle w:val="56"/>
                                    <w:spacing w:before="1"/>
                                    <w:rPr>
                                      <w:rFonts w:hint="eastAsia" w:ascii="宋体" w:hAnsi="宋体" w:cs="宋体"/>
                                      <w:sz w:val="18"/>
                                      <w:szCs w:val="18"/>
                                    </w:rPr>
                                  </w:pPr>
                                </w:p>
                                <w:p w14:paraId="0B180CF9">
                                  <w:pPr>
                                    <w:pStyle w:val="56"/>
                                    <w:ind w:left="7"/>
                                    <w:rPr>
                                      <w:rFonts w:ascii="宋体" w:hAnsi="宋体" w:cs="宋体"/>
                                      <w:sz w:val="20"/>
                                      <w:szCs w:val="20"/>
                                    </w:rPr>
                                  </w:pPr>
                                  <w:r>
                                    <w:rPr>
                                      <w:rFonts w:hint="eastAsia" w:ascii="宋体" w:hAnsi="宋体" w:cs="宋体"/>
                                      <w:w w:val="99"/>
                                      <w:sz w:val="20"/>
                                      <w:szCs w:val="20"/>
                                    </w:rPr>
                                    <w:t>冷水机组</w:t>
                                  </w:r>
                                </w:p>
                              </w:tc>
                              <w:tc>
                                <w:tcPr>
                                  <w:tcW w:w="3762" w:type="dxa"/>
                                  <w:tcBorders>
                                    <w:top w:val="single" w:color="000000" w:sz="4" w:space="0"/>
                                    <w:left w:val="single" w:color="000000" w:sz="4" w:space="0"/>
                                    <w:bottom w:val="single" w:color="000000" w:sz="4" w:space="0"/>
                                    <w:right w:val="single" w:color="000000" w:sz="4" w:space="0"/>
                                  </w:tcBorders>
                                  <w:noWrap w:val="0"/>
                                  <w:vAlign w:val="top"/>
                                </w:tcPr>
                                <w:p w14:paraId="4AC9808A">
                                  <w:pPr>
                                    <w:pStyle w:val="56"/>
                                    <w:spacing w:before="30" w:line="280" w:lineRule="auto"/>
                                    <w:ind w:left="7" w:right="4"/>
                                    <w:jc w:val="both"/>
                                    <w:rPr>
                                      <w:rFonts w:ascii="宋体" w:hAnsi="宋体" w:cs="宋体"/>
                                      <w:sz w:val="20"/>
                                      <w:szCs w:val="20"/>
                                      <w:lang w:eastAsia="zh-CN"/>
                                    </w:rPr>
                                  </w:pPr>
                                  <w:r>
                                    <w:rPr>
                                      <w:rFonts w:hint="eastAsia" w:ascii="宋体" w:hAnsi="宋体" w:cs="宋体"/>
                                      <w:spacing w:val="12"/>
                                      <w:w w:val="99"/>
                                      <w:sz w:val="20"/>
                                      <w:szCs w:val="20"/>
                                      <w:lang w:eastAsia="zh-CN"/>
                                    </w:rPr>
                                    <w:t>《冷水机组能效限定值</w:t>
                                  </w:r>
                                  <w:r>
                                    <w:rPr>
                                      <w:rFonts w:hint="eastAsia" w:ascii="宋体" w:hAnsi="宋体" w:cs="宋体"/>
                                      <w:spacing w:val="9"/>
                                      <w:w w:val="99"/>
                                      <w:sz w:val="20"/>
                                      <w:szCs w:val="20"/>
                                      <w:lang w:eastAsia="zh-CN"/>
                                    </w:rPr>
                                    <w:t>及</w:t>
                                  </w:r>
                                  <w:r>
                                    <w:rPr>
                                      <w:rFonts w:hint="eastAsia" w:ascii="宋体" w:hAnsi="宋体" w:cs="宋体"/>
                                      <w:spacing w:val="12"/>
                                      <w:w w:val="99"/>
                                      <w:sz w:val="20"/>
                                      <w:szCs w:val="20"/>
                                      <w:lang w:eastAsia="zh-CN"/>
                                    </w:rPr>
                                    <w:t>能效</w:t>
                                  </w:r>
                                  <w:r>
                                    <w:rPr>
                                      <w:rFonts w:hint="eastAsia" w:ascii="宋体" w:hAnsi="宋体" w:cs="宋体"/>
                                      <w:w w:val="99"/>
                                      <w:sz w:val="20"/>
                                      <w:szCs w:val="20"/>
                                      <w:lang w:eastAsia="zh-CN"/>
                                    </w:rPr>
                                    <w:t>等级</w:t>
                                  </w:r>
                                  <w:r>
                                    <w:rPr>
                                      <w:rFonts w:hint="eastAsia" w:ascii="宋体" w:hAnsi="宋体" w:cs="宋体"/>
                                      <w:spacing w:val="-3"/>
                                      <w:w w:val="99"/>
                                      <w:sz w:val="20"/>
                                      <w:szCs w:val="20"/>
                                      <w:lang w:eastAsia="zh-CN"/>
                                    </w:rPr>
                                    <w:t>》</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195</w:t>
                                  </w:r>
                                  <w:r>
                                    <w:rPr>
                                      <w:rFonts w:hint="eastAsia" w:ascii="宋体" w:hAnsi="宋体" w:cs="宋体"/>
                                      <w:w w:val="99"/>
                                      <w:sz w:val="20"/>
                                      <w:szCs w:val="20"/>
                                      <w:lang w:eastAsia="zh-CN"/>
                                    </w:rPr>
                                    <w:t>77</w:t>
                                  </w:r>
                                  <w:r>
                                    <w:rPr>
                                      <w:rFonts w:hint="eastAsia" w:ascii="宋体" w:hAnsi="宋体" w:cs="宋体"/>
                                      <w:spacing w:val="-3"/>
                                      <w:w w:val="99"/>
                                      <w:sz w:val="20"/>
                                      <w:szCs w:val="20"/>
                                      <w:lang w:eastAsia="zh-CN"/>
                                    </w:rPr>
                                    <w:t>），</w:t>
                                  </w:r>
                                  <w:r>
                                    <w:rPr>
                                      <w:rFonts w:hint="eastAsia" w:ascii="宋体" w:hAnsi="宋体" w:cs="宋体"/>
                                      <w:w w:val="99"/>
                                      <w:sz w:val="20"/>
                                      <w:szCs w:val="20"/>
                                      <w:lang w:eastAsia="zh-CN"/>
                                    </w:rPr>
                                    <w:t>《低</w:t>
                                  </w:r>
                                  <w:r>
                                    <w:rPr>
                                      <w:rFonts w:hint="eastAsia" w:ascii="宋体" w:hAnsi="宋体" w:cs="宋体"/>
                                      <w:spacing w:val="2"/>
                                      <w:w w:val="99"/>
                                      <w:sz w:val="20"/>
                                      <w:szCs w:val="20"/>
                                      <w:lang w:eastAsia="zh-CN"/>
                                    </w:rPr>
                                    <w:t>环</w:t>
                                  </w:r>
                                  <w:r>
                                    <w:rPr>
                                      <w:rFonts w:hint="eastAsia" w:ascii="宋体" w:hAnsi="宋体" w:cs="宋体"/>
                                      <w:w w:val="99"/>
                                      <w:sz w:val="20"/>
                                      <w:szCs w:val="20"/>
                                      <w:lang w:eastAsia="zh-CN"/>
                                    </w:rPr>
                                    <w:t>境温度空气源</w:t>
                                  </w:r>
                                  <w:r>
                                    <w:rPr>
                                      <w:rFonts w:hint="eastAsia" w:ascii="宋体" w:hAnsi="宋体" w:cs="宋体"/>
                                      <w:spacing w:val="2"/>
                                      <w:w w:val="99"/>
                                      <w:sz w:val="20"/>
                                      <w:szCs w:val="20"/>
                                      <w:lang w:eastAsia="zh-CN"/>
                                    </w:rPr>
                                    <w:t>热</w:t>
                                  </w:r>
                                  <w:r>
                                    <w:rPr>
                                      <w:rFonts w:hint="eastAsia" w:ascii="宋体" w:hAnsi="宋体" w:cs="宋体"/>
                                      <w:spacing w:val="-29"/>
                                      <w:w w:val="99"/>
                                      <w:sz w:val="20"/>
                                      <w:szCs w:val="20"/>
                                      <w:lang w:eastAsia="zh-CN"/>
                                    </w:rPr>
                                    <w:t>泵</w:t>
                                  </w:r>
                                  <w:r>
                                    <w:rPr>
                                      <w:rFonts w:hint="eastAsia" w:ascii="宋体" w:hAnsi="宋体" w:cs="宋体"/>
                                      <w:spacing w:val="2"/>
                                      <w:w w:val="99"/>
                                      <w:sz w:val="20"/>
                                      <w:szCs w:val="20"/>
                                      <w:lang w:eastAsia="zh-CN"/>
                                    </w:rPr>
                                    <w:t>（</w:t>
                                  </w:r>
                                  <w:r>
                                    <w:rPr>
                                      <w:rFonts w:hint="eastAsia" w:ascii="宋体" w:hAnsi="宋体" w:cs="宋体"/>
                                      <w:w w:val="99"/>
                                      <w:sz w:val="20"/>
                                      <w:szCs w:val="20"/>
                                      <w:lang w:eastAsia="zh-CN"/>
                                    </w:rPr>
                                    <w:t>冷水</w:t>
                                  </w:r>
                                  <w:r>
                                    <w:rPr>
                                      <w:rFonts w:hint="eastAsia" w:ascii="宋体" w:hAnsi="宋体" w:cs="宋体"/>
                                      <w:spacing w:val="-27"/>
                                      <w:w w:val="99"/>
                                      <w:sz w:val="20"/>
                                      <w:szCs w:val="20"/>
                                      <w:lang w:eastAsia="zh-CN"/>
                                    </w:rPr>
                                    <w:t>）</w:t>
                                  </w:r>
                                  <w:r>
                                    <w:rPr>
                                      <w:rFonts w:hint="eastAsia" w:ascii="宋体" w:hAnsi="宋体" w:cs="宋体"/>
                                      <w:w w:val="99"/>
                                      <w:sz w:val="20"/>
                                      <w:szCs w:val="20"/>
                                      <w:lang w:eastAsia="zh-CN"/>
                                    </w:rPr>
                                    <w:t>机组</w:t>
                                  </w:r>
                                  <w:r>
                                    <w:rPr>
                                      <w:rFonts w:hint="eastAsia" w:ascii="宋体" w:hAnsi="宋体" w:cs="宋体"/>
                                      <w:spacing w:val="2"/>
                                      <w:w w:val="99"/>
                                      <w:sz w:val="20"/>
                                      <w:szCs w:val="20"/>
                                      <w:lang w:eastAsia="zh-CN"/>
                                    </w:rPr>
                                    <w:t>能</w:t>
                                  </w:r>
                                  <w:r>
                                    <w:rPr>
                                      <w:rFonts w:hint="eastAsia" w:ascii="宋体" w:hAnsi="宋体" w:cs="宋体"/>
                                      <w:w w:val="99"/>
                                      <w:sz w:val="20"/>
                                      <w:szCs w:val="20"/>
                                      <w:lang w:eastAsia="zh-CN"/>
                                    </w:rPr>
                                    <w:t>效限定值及能</w:t>
                                  </w:r>
                                  <w:r>
                                    <w:rPr>
                                      <w:rFonts w:hint="eastAsia" w:ascii="宋体" w:hAnsi="宋体" w:cs="宋体"/>
                                      <w:spacing w:val="2"/>
                                      <w:w w:val="99"/>
                                      <w:sz w:val="20"/>
                                      <w:szCs w:val="20"/>
                                      <w:lang w:eastAsia="zh-CN"/>
                                    </w:rPr>
                                    <w:t>效</w:t>
                                  </w:r>
                                  <w:r>
                                    <w:rPr>
                                      <w:rFonts w:hint="eastAsia" w:ascii="宋体" w:hAnsi="宋体" w:cs="宋体"/>
                                      <w:w w:val="99"/>
                                      <w:sz w:val="20"/>
                                      <w:szCs w:val="20"/>
                                      <w:lang w:eastAsia="zh-CN"/>
                                    </w:rPr>
                                    <w:t>等级</w:t>
                                  </w:r>
                                  <w:r>
                                    <w:rPr>
                                      <w:rFonts w:hint="eastAsia" w:ascii="宋体" w:hAnsi="宋体" w:cs="宋体"/>
                                      <w:spacing w:val="2"/>
                                      <w:w w:val="99"/>
                                      <w:sz w:val="20"/>
                                      <w:szCs w:val="20"/>
                                      <w:lang w:eastAsia="zh-CN"/>
                                    </w:rPr>
                                    <w:t>》</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37</w:t>
                                  </w:r>
                                  <w:r>
                                    <w:rPr>
                                      <w:rFonts w:hint="eastAsia" w:ascii="宋体" w:hAnsi="宋体" w:cs="宋体"/>
                                      <w:w w:val="99"/>
                                      <w:sz w:val="20"/>
                                      <w:szCs w:val="20"/>
                                      <w:lang w:eastAsia="zh-CN"/>
                                    </w:rPr>
                                    <w:t>48</w:t>
                                  </w:r>
                                  <w:r>
                                    <w:rPr>
                                      <w:rFonts w:hint="eastAsia" w:ascii="宋体" w:hAnsi="宋体" w:cs="宋体"/>
                                      <w:spacing w:val="-2"/>
                                      <w:w w:val="99"/>
                                      <w:sz w:val="20"/>
                                      <w:szCs w:val="20"/>
                                      <w:lang w:eastAsia="zh-CN"/>
                                    </w:rPr>
                                    <w:t>0</w:t>
                                  </w:r>
                                  <w:r>
                                    <w:rPr>
                                      <w:rFonts w:hint="eastAsia" w:ascii="宋体" w:hAnsi="宋体" w:cs="宋体"/>
                                      <w:w w:val="99"/>
                                      <w:sz w:val="20"/>
                                      <w:szCs w:val="20"/>
                                      <w:lang w:eastAsia="zh-CN"/>
                                    </w:rPr>
                                    <w:t>）</w:t>
                                  </w:r>
                                </w:p>
                              </w:tc>
                            </w:tr>
                            <w:tr w14:paraId="6BCB2C06">
                              <w:tblPrEx>
                                <w:tblCellMar>
                                  <w:top w:w="0" w:type="dxa"/>
                                  <w:left w:w="0" w:type="dxa"/>
                                  <w:bottom w:w="0" w:type="dxa"/>
                                  <w:right w:w="0" w:type="dxa"/>
                                </w:tblCellMar>
                              </w:tblPrEx>
                              <w:trPr>
                                <w:trHeight w:val="744" w:hRule="exac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1E4B5E31">
                                  <w:pPr>
                                    <w:widowControl/>
                                    <w:jc w:val="left"/>
                                    <w:rPr>
                                      <w:rFonts w:ascii="宋体" w:hAnsi="宋体" w:eastAsia="Times New Roman" w:cs="宋体"/>
                                      <w:kern w:val="0"/>
                                      <w:sz w:val="20"/>
                                      <w:szCs w:val="20"/>
                                    </w:rPr>
                                  </w:pPr>
                                </w:p>
                              </w:tc>
                              <w:tc>
                                <w:tcPr>
                                  <w:tcW w:w="1166" w:type="dxa"/>
                                  <w:vMerge w:val="continue"/>
                                  <w:tcBorders>
                                    <w:top w:val="single" w:color="000000" w:sz="4" w:space="0"/>
                                    <w:left w:val="single" w:color="000000" w:sz="4" w:space="0"/>
                                    <w:bottom w:val="single" w:color="000000" w:sz="4" w:space="0"/>
                                    <w:right w:val="single" w:color="000000" w:sz="4" w:space="0"/>
                                  </w:tcBorders>
                                  <w:noWrap w:val="0"/>
                                  <w:vAlign w:val="center"/>
                                </w:tcPr>
                                <w:p w14:paraId="6A69E27A">
                                  <w:pPr>
                                    <w:widowControl/>
                                    <w:jc w:val="left"/>
                                    <w:rPr>
                                      <w:rFonts w:ascii="宋体" w:hAnsi="宋体" w:eastAsia="Times New Roman" w:cs="宋体"/>
                                      <w:kern w:val="0"/>
                                      <w:sz w:val="20"/>
                                      <w:szCs w:val="20"/>
                                    </w:rPr>
                                  </w:pPr>
                                </w:p>
                              </w:tc>
                              <w:tc>
                                <w:tcPr>
                                  <w:tcW w:w="1800" w:type="dxa"/>
                                  <w:vMerge w:val="continue"/>
                                  <w:tcBorders>
                                    <w:top w:val="single" w:color="000000" w:sz="4" w:space="0"/>
                                    <w:left w:val="single" w:color="000000" w:sz="4" w:space="0"/>
                                    <w:bottom w:val="single" w:color="000000" w:sz="4" w:space="0"/>
                                    <w:right w:val="single" w:color="000000" w:sz="4" w:space="0"/>
                                  </w:tcBorders>
                                  <w:noWrap w:val="0"/>
                                  <w:vAlign w:val="center"/>
                                </w:tcPr>
                                <w:p w14:paraId="6E850FE8">
                                  <w:pPr>
                                    <w:widowControl/>
                                    <w:jc w:val="left"/>
                                    <w:rPr>
                                      <w:rFonts w:ascii="宋体" w:hAnsi="宋体" w:eastAsia="Times New Roman" w:cs="宋体"/>
                                      <w:kern w:val="0"/>
                                      <w:sz w:val="20"/>
                                      <w:szCs w:val="20"/>
                                    </w:rPr>
                                  </w:pPr>
                                </w:p>
                              </w:tc>
                              <w:tc>
                                <w:tcPr>
                                  <w:tcW w:w="1823" w:type="dxa"/>
                                  <w:tcBorders>
                                    <w:top w:val="single" w:color="000000" w:sz="4" w:space="0"/>
                                    <w:left w:val="single" w:color="000000" w:sz="4" w:space="0"/>
                                    <w:bottom w:val="single" w:color="000000" w:sz="4" w:space="0"/>
                                    <w:right w:val="single" w:color="000000" w:sz="4" w:space="0"/>
                                  </w:tcBorders>
                                  <w:noWrap w:val="0"/>
                                  <w:vAlign w:val="top"/>
                                </w:tcPr>
                                <w:p w14:paraId="731462C9">
                                  <w:pPr>
                                    <w:pStyle w:val="56"/>
                                    <w:spacing w:before="12"/>
                                    <w:rPr>
                                      <w:rFonts w:ascii="宋体" w:hAnsi="宋体" w:cs="宋体"/>
                                      <w:sz w:val="15"/>
                                      <w:szCs w:val="15"/>
                                      <w:lang w:eastAsia="zh-CN"/>
                                    </w:rPr>
                                  </w:pPr>
                                </w:p>
                                <w:p w14:paraId="74404AC3">
                                  <w:pPr>
                                    <w:pStyle w:val="56"/>
                                    <w:ind w:left="7"/>
                                    <w:rPr>
                                      <w:rFonts w:ascii="宋体" w:hAnsi="宋体" w:cs="宋体"/>
                                      <w:sz w:val="20"/>
                                      <w:szCs w:val="20"/>
                                    </w:rPr>
                                  </w:pPr>
                                  <w:r>
                                    <w:rPr>
                                      <w:rFonts w:hint="eastAsia" w:ascii="宋体" w:hAnsi="宋体" w:cs="宋体"/>
                                      <w:w w:val="99"/>
                                      <w:sz w:val="20"/>
                                      <w:szCs w:val="20"/>
                                    </w:rPr>
                                    <w:t>水源热</w:t>
                                  </w:r>
                                  <w:r>
                                    <w:rPr>
                                      <w:rFonts w:hint="eastAsia" w:ascii="宋体" w:hAnsi="宋体" w:cs="宋体"/>
                                      <w:spacing w:val="2"/>
                                      <w:w w:val="99"/>
                                      <w:sz w:val="20"/>
                                      <w:szCs w:val="20"/>
                                    </w:rPr>
                                    <w:t>泵</w:t>
                                  </w:r>
                                  <w:r>
                                    <w:rPr>
                                      <w:rFonts w:hint="eastAsia" w:ascii="宋体" w:hAnsi="宋体" w:cs="宋体"/>
                                      <w:w w:val="99"/>
                                      <w:sz w:val="20"/>
                                      <w:szCs w:val="20"/>
                                    </w:rPr>
                                    <w:t>机组</w:t>
                                  </w:r>
                                </w:p>
                              </w:tc>
                              <w:tc>
                                <w:tcPr>
                                  <w:tcW w:w="3762" w:type="dxa"/>
                                  <w:tcBorders>
                                    <w:top w:val="single" w:color="000000" w:sz="4" w:space="0"/>
                                    <w:left w:val="single" w:color="000000" w:sz="4" w:space="0"/>
                                    <w:bottom w:val="single" w:color="000000" w:sz="4" w:space="0"/>
                                    <w:right w:val="single" w:color="000000" w:sz="4" w:space="0"/>
                                  </w:tcBorders>
                                  <w:noWrap w:val="0"/>
                                  <w:vAlign w:val="top"/>
                                </w:tcPr>
                                <w:p w14:paraId="2B25942F">
                                  <w:pPr>
                                    <w:pStyle w:val="56"/>
                                    <w:spacing w:before="52" w:line="280" w:lineRule="auto"/>
                                    <w:ind w:left="7" w:right="7"/>
                                    <w:rPr>
                                      <w:rFonts w:ascii="宋体" w:hAnsi="宋体" w:cs="宋体"/>
                                      <w:sz w:val="20"/>
                                      <w:szCs w:val="20"/>
                                      <w:lang w:eastAsia="zh-CN"/>
                                    </w:rPr>
                                  </w:pPr>
                                  <w:r>
                                    <w:rPr>
                                      <w:rFonts w:hint="eastAsia" w:ascii="宋体" w:hAnsi="宋体" w:cs="宋体"/>
                                      <w:w w:val="99"/>
                                      <w:sz w:val="20"/>
                                      <w:szCs w:val="20"/>
                                      <w:lang w:eastAsia="zh-CN"/>
                                    </w:rPr>
                                    <w:t>《</w:t>
                                  </w:r>
                                  <w:r>
                                    <w:rPr>
                                      <w:rFonts w:hint="eastAsia" w:ascii="宋体" w:hAnsi="宋体" w:cs="宋体"/>
                                      <w:spacing w:val="-29"/>
                                      <w:w w:val="99"/>
                                      <w:sz w:val="20"/>
                                      <w:szCs w:val="20"/>
                                      <w:lang w:eastAsia="zh-CN"/>
                                    </w:rPr>
                                    <w:t>水</w:t>
                                  </w:r>
                                  <w:r>
                                    <w:rPr>
                                      <w:rFonts w:hint="eastAsia" w:ascii="宋体" w:hAnsi="宋体" w:cs="宋体"/>
                                      <w:w w:val="99"/>
                                      <w:sz w:val="20"/>
                                      <w:szCs w:val="20"/>
                                      <w:lang w:eastAsia="zh-CN"/>
                                    </w:rPr>
                                    <w:t>（</w:t>
                                  </w:r>
                                  <w:r>
                                    <w:rPr>
                                      <w:rFonts w:hint="eastAsia" w:ascii="宋体" w:hAnsi="宋体" w:cs="宋体"/>
                                      <w:spacing w:val="2"/>
                                      <w:w w:val="99"/>
                                      <w:sz w:val="20"/>
                                      <w:szCs w:val="20"/>
                                      <w:lang w:eastAsia="zh-CN"/>
                                    </w:rPr>
                                    <w:t>地</w:t>
                                  </w:r>
                                  <w:r>
                                    <w:rPr>
                                      <w:rFonts w:hint="eastAsia" w:ascii="宋体" w:hAnsi="宋体" w:cs="宋体"/>
                                      <w:spacing w:val="-29"/>
                                      <w:w w:val="99"/>
                                      <w:sz w:val="20"/>
                                      <w:szCs w:val="20"/>
                                      <w:lang w:eastAsia="zh-CN"/>
                                    </w:rPr>
                                    <w:t>）</w:t>
                                  </w:r>
                                  <w:r>
                                    <w:rPr>
                                      <w:rFonts w:hint="eastAsia" w:ascii="宋体" w:hAnsi="宋体" w:cs="宋体"/>
                                      <w:spacing w:val="2"/>
                                      <w:w w:val="99"/>
                                      <w:sz w:val="20"/>
                                      <w:szCs w:val="20"/>
                                      <w:lang w:eastAsia="zh-CN"/>
                                    </w:rPr>
                                    <w:t>源</w:t>
                                  </w:r>
                                  <w:r>
                                    <w:rPr>
                                      <w:rFonts w:hint="eastAsia" w:ascii="宋体" w:hAnsi="宋体" w:cs="宋体"/>
                                      <w:w w:val="99"/>
                                      <w:sz w:val="20"/>
                                      <w:szCs w:val="20"/>
                                      <w:lang w:eastAsia="zh-CN"/>
                                    </w:rPr>
                                    <w:t>热泵</w:t>
                                  </w:r>
                                  <w:r>
                                    <w:rPr>
                                      <w:rFonts w:hint="eastAsia" w:ascii="宋体" w:hAnsi="宋体" w:cs="宋体"/>
                                      <w:spacing w:val="2"/>
                                      <w:w w:val="99"/>
                                      <w:sz w:val="20"/>
                                      <w:szCs w:val="20"/>
                                      <w:lang w:eastAsia="zh-CN"/>
                                    </w:rPr>
                                    <w:t>机</w:t>
                                  </w:r>
                                  <w:r>
                                    <w:rPr>
                                      <w:rFonts w:hint="eastAsia" w:ascii="宋体" w:hAnsi="宋体" w:cs="宋体"/>
                                      <w:w w:val="99"/>
                                      <w:sz w:val="20"/>
                                      <w:szCs w:val="20"/>
                                      <w:lang w:eastAsia="zh-CN"/>
                                    </w:rPr>
                                    <w:t>组能</w:t>
                                  </w:r>
                                  <w:r>
                                    <w:rPr>
                                      <w:rFonts w:hint="eastAsia" w:ascii="宋体" w:hAnsi="宋体" w:cs="宋体"/>
                                      <w:spacing w:val="2"/>
                                      <w:w w:val="99"/>
                                      <w:sz w:val="20"/>
                                      <w:szCs w:val="20"/>
                                      <w:lang w:eastAsia="zh-CN"/>
                                    </w:rPr>
                                    <w:t>效</w:t>
                                  </w:r>
                                  <w:r>
                                    <w:rPr>
                                      <w:rFonts w:hint="eastAsia" w:ascii="宋体" w:hAnsi="宋体" w:cs="宋体"/>
                                      <w:w w:val="99"/>
                                      <w:sz w:val="20"/>
                                      <w:szCs w:val="20"/>
                                      <w:lang w:eastAsia="zh-CN"/>
                                    </w:rPr>
                                    <w:t>限定值及能效</w:t>
                                  </w:r>
                                  <w:r>
                                    <w:rPr>
                                      <w:rFonts w:hint="eastAsia" w:ascii="宋体" w:hAnsi="宋体" w:cs="宋体"/>
                                      <w:spacing w:val="2"/>
                                      <w:w w:val="99"/>
                                      <w:sz w:val="20"/>
                                      <w:szCs w:val="20"/>
                                      <w:lang w:eastAsia="zh-CN"/>
                                    </w:rPr>
                                    <w:t>等</w:t>
                                  </w:r>
                                  <w:r>
                                    <w:rPr>
                                      <w:rFonts w:hint="eastAsia" w:ascii="宋体" w:hAnsi="宋体" w:cs="宋体"/>
                                      <w:w w:val="99"/>
                                      <w:sz w:val="20"/>
                                      <w:szCs w:val="20"/>
                                      <w:lang w:eastAsia="zh-CN"/>
                                    </w:rPr>
                                    <w:t>级》（</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30721</w:t>
                                  </w:r>
                                  <w:r>
                                    <w:rPr>
                                      <w:rFonts w:hint="eastAsia" w:ascii="宋体" w:hAnsi="宋体" w:cs="宋体"/>
                                      <w:w w:val="99"/>
                                      <w:sz w:val="20"/>
                                      <w:szCs w:val="20"/>
                                      <w:lang w:eastAsia="zh-CN"/>
                                    </w:rPr>
                                    <w:t>）</w:t>
                                  </w:r>
                                </w:p>
                              </w:tc>
                            </w:tr>
                          </w:tbl>
                          <w:p w14:paraId="2F0A21B4">
                            <w:pPr>
                              <w:rPr>
                                <w:rFonts w:ascii="Calibri" w:hAnsi="Calibri"/>
                                <w:sz w:val="22"/>
                                <w:szCs w:val="22"/>
                              </w:rPr>
                            </w:pPr>
                          </w:p>
                        </w:txbxContent>
                      </wps:txbx>
                      <wps:bodyPr wrap="square" lIns="0" tIns="0" rIns="0" bIns="0" upright="1"/>
                    </wps:wsp>
                  </a:graphicData>
                </a:graphic>
              </wp:anchor>
            </w:drawing>
          </mc:Choice>
          <mc:Fallback>
            <w:pict>
              <v:shape id="文本框 2" o:spid="_x0000_s1026" o:spt="202" type="#_x0000_t202" style="position:absolute;left:0pt;margin-left:35.2pt;margin-top:7.95pt;height:588.9pt;width:504.25pt;mso-position-horizontal-relative:page;z-index:251659264;mso-width-relative:page;mso-height-relative:page;" filled="f" stroked="f" coordsize="21600,21600" o:gfxdata="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2334rtkAAAALAQAADwAAAAAAAAABACAAAAAiAAAAZHJzL2Rv&#10;d25yZXYueG1sUEsBAhQAFAAAAAgAh07iQHO4G8HHAQAAgQMAAA4AAAAAAAAAAQAgAAAAKAEAAGRy&#10;cy9lMm9Eb2MueG1sUEsFBgAAAAAGAAYAWQEAAGEFAAAAAA==&#10;">
                <v:fill on="f" focussize="0,0"/>
                <v:stroke on="f"/>
                <v:imagedata o:title=""/>
                <o:lock v:ext="edit" aspectratio="f"/>
                <v:textbox inset="0mm,0mm,0mm,0mm">
                  <w:txbxContent>
                    <w:tbl>
                      <w:tblPr>
                        <w:tblStyle w:val="24"/>
                        <w:tblpPr w:leftFromText="180" w:rightFromText="180" w:horzAnchor="margin" w:tblpY="-11599"/>
                        <w:tblOverlap w:val="never"/>
                        <w:tblW w:w="9125" w:type="dxa"/>
                        <w:tblInd w:w="627" w:type="dxa"/>
                        <w:tblLayout w:type="fixed"/>
                        <w:tblCellMar>
                          <w:top w:w="0" w:type="dxa"/>
                          <w:left w:w="0" w:type="dxa"/>
                          <w:bottom w:w="0" w:type="dxa"/>
                          <w:right w:w="0" w:type="dxa"/>
                        </w:tblCellMar>
                      </w:tblPr>
                      <w:tblGrid>
                        <w:gridCol w:w="574"/>
                        <w:gridCol w:w="1166"/>
                        <w:gridCol w:w="1800"/>
                        <w:gridCol w:w="1823"/>
                        <w:gridCol w:w="3762"/>
                      </w:tblGrid>
                      <w:tr w14:paraId="0183271F">
                        <w:tblPrEx>
                          <w:tblCellMar>
                            <w:top w:w="0" w:type="dxa"/>
                            <w:left w:w="0" w:type="dxa"/>
                            <w:bottom w:w="0" w:type="dxa"/>
                            <w:right w:w="0" w:type="dxa"/>
                          </w:tblCellMar>
                        </w:tblPrEx>
                        <w:trPr>
                          <w:trHeight w:val="782" w:hRule="exact"/>
                        </w:trPr>
                        <w:tc>
                          <w:tcPr>
                            <w:tcW w:w="574" w:type="dxa"/>
                            <w:tcBorders>
                              <w:top w:val="single" w:color="000000" w:sz="4" w:space="0"/>
                              <w:left w:val="single" w:color="000000" w:sz="4" w:space="0"/>
                              <w:bottom w:val="single" w:color="000000" w:sz="4" w:space="0"/>
                              <w:right w:val="single" w:color="000000" w:sz="4" w:space="0"/>
                            </w:tcBorders>
                            <w:noWrap w:val="0"/>
                            <w:vAlign w:val="top"/>
                          </w:tcPr>
                          <w:p w14:paraId="0F0B55D9">
                            <w:pPr>
                              <w:pStyle w:val="56"/>
                              <w:spacing w:before="57" w:line="254" w:lineRule="auto"/>
                              <w:ind w:left="59" w:right="60"/>
                              <w:rPr>
                                <w:rFonts w:ascii="宋体" w:hAnsi="宋体" w:cs="宋体"/>
                              </w:rPr>
                            </w:pPr>
                            <w:r>
                              <w:rPr>
                                <w:rFonts w:hint="eastAsia" w:ascii="宋体" w:hAnsi="宋体" w:cs="宋体"/>
                                <w:b/>
                                <w:bCs/>
                                <w:w w:val="99"/>
                              </w:rPr>
                              <w:t>品目序号</w:t>
                            </w:r>
                          </w:p>
                        </w:tc>
                        <w:tc>
                          <w:tcPr>
                            <w:tcW w:w="4789" w:type="dxa"/>
                            <w:gridSpan w:val="3"/>
                            <w:tcBorders>
                              <w:top w:val="single" w:color="000000" w:sz="4" w:space="0"/>
                              <w:left w:val="single" w:color="000000" w:sz="4" w:space="0"/>
                              <w:bottom w:val="single" w:color="000000" w:sz="4" w:space="0"/>
                              <w:right w:val="single" w:color="000000" w:sz="4" w:space="0"/>
                            </w:tcBorders>
                            <w:noWrap w:val="0"/>
                            <w:vAlign w:val="top"/>
                          </w:tcPr>
                          <w:p w14:paraId="25CDF4B1">
                            <w:pPr>
                              <w:pStyle w:val="56"/>
                              <w:spacing w:before="4"/>
                              <w:rPr>
                                <w:rFonts w:ascii="宋体" w:hAnsi="宋体" w:cs="宋体"/>
                                <w:sz w:val="16"/>
                                <w:szCs w:val="16"/>
                              </w:rPr>
                            </w:pPr>
                          </w:p>
                          <w:p w14:paraId="05BA54E0">
                            <w:pPr>
                              <w:pStyle w:val="56"/>
                              <w:jc w:val="center"/>
                              <w:rPr>
                                <w:rFonts w:ascii="宋体" w:hAnsi="宋体" w:cs="宋体"/>
                              </w:rPr>
                            </w:pPr>
                            <w:r>
                              <w:rPr>
                                <w:rFonts w:hint="eastAsia" w:ascii="宋体" w:hAnsi="宋体" w:cs="宋体"/>
                                <w:b/>
                                <w:bCs/>
                                <w:w w:val="99"/>
                              </w:rPr>
                              <w:t>名称</w:t>
                            </w:r>
                          </w:p>
                        </w:tc>
                        <w:tc>
                          <w:tcPr>
                            <w:tcW w:w="3762" w:type="dxa"/>
                            <w:tcBorders>
                              <w:top w:val="single" w:color="000000" w:sz="4" w:space="0"/>
                              <w:left w:val="single" w:color="000000" w:sz="4" w:space="0"/>
                              <w:bottom w:val="single" w:color="000000" w:sz="4" w:space="0"/>
                              <w:right w:val="single" w:color="000000" w:sz="4" w:space="0"/>
                            </w:tcBorders>
                            <w:noWrap w:val="0"/>
                            <w:vAlign w:val="top"/>
                          </w:tcPr>
                          <w:p w14:paraId="61F1B733">
                            <w:pPr>
                              <w:pStyle w:val="56"/>
                              <w:spacing w:before="4"/>
                              <w:rPr>
                                <w:rFonts w:ascii="宋体" w:hAnsi="宋体" w:cs="宋体"/>
                                <w:sz w:val="16"/>
                                <w:szCs w:val="16"/>
                              </w:rPr>
                            </w:pPr>
                          </w:p>
                          <w:p w14:paraId="305C24C9">
                            <w:pPr>
                              <w:pStyle w:val="56"/>
                              <w:ind w:left="926"/>
                              <w:rPr>
                                <w:rFonts w:ascii="宋体" w:hAnsi="宋体" w:cs="宋体"/>
                              </w:rPr>
                            </w:pPr>
                            <w:r>
                              <w:rPr>
                                <w:rFonts w:hint="eastAsia" w:ascii="宋体" w:hAnsi="宋体" w:cs="宋体"/>
                                <w:b/>
                                <w:bCs/>
                                <w:w w:val="99"/>
                              </w:rPr>
                              <w:t>依据的标准</w:t>
                            </w:r>
                          </w:p>
                        </w:tc>
                      </w:tr>
                      <w:tr w14:paraId="1C66E3F8">
                        <w:tblPrEx>
                          <w:tblCellMar>
                            <w:top w:w="0" w:type="dxa"/>
                            <w:left w:w="0" w:type="dxa"/>
                            <w:bottom w:w="0" w:type="dxa"/>
                            <w:right w:w="0" w:type="dxa"/>
                          </w:tblCellMar>
                        </w:tblPrEx>
                        <w:trPr>
                          <w:trHeight w:val="821" w:hRule="exact"/>
                        </w:trPr>
                        <w:tc>
                          <w:tcPr>
                            <w:tcW w:w="574" w:type="dxa"/>
                            <w:vMerge w:val="restart"/>
                            <w:tcBorders>
                              <w:top w:val="single" w:color="000000" w:sz="4" w:space="0"/>
                              <w:left w:val="single" w:color="000000" w:sz="4" w:space="0"/>
                              <w:bottom w:val="single" w:color="000000" w:sz="4" w:space="0"/>
                              <w:right w:val="single" w:color="000000" w:sz="4" w:space="0"/>
                            </w:tcBorders>
                            <w:noWrap w:val="0"/>
                            <w:vAlign w:val="top"/>
                          </w:tcPr>
                          <w:p w14:paraId="229818BB">
                            <w:pPr>
                              <w:pStyle w:val="56"/>
                              <w:rPr>
                                <w:rFonts w:ascii="宋体" w:hAnsi="宋体" w:cs="宋体"/>
                                <w:sz w:val="20"/>
                                <w:szCs w:val="20"/>
                              </w:rPr>
                            </w:pPr>
                          </w:p>
                          <w:p w14:paraId="42E7BF33">
                            <w:pPr>
                              <w:pStyle w:val="56"/>
                              <w:rPr>
                                <w:rFonts w:hint="eastAsia" w:ascii="宋体" w:hAnsi="宋体" w:cs="宋体"/>
                                <w:sz w:val="20"/>
                                <w:szCs w:val="20"/>
                              </w:rPr>
                            </w:pPr>
                          </w:p>
                          <w:p w14:paraId="14BB51E8">
                            <w:pPr>
                              <w:pStyle w:val="56"/>
                              <w:rPr>
                                <w:rFonts w:hint="eastAsia" w:ascii="宋体" w:hAnsi="宋体" w:cs="宋体"/>
                                <w:sz w:val="20"/>
                                <w:szCs w:val="20"/>
                              </w:rPr>
                            </w:pPr>
                          </w:p>
                          <w:p w14:paraId="16CCF778">
                            <w:pPr>
                              <w:pStyle w:val="56"/>
                              <w:spacing w:before="11"/>
                              <w:rPr>
                                <w:rFonts w:hint="eastAsia" w:ascii="宋体" w:hAnsi="宋体" w:cs="宋体"/>
                                <w:sz w:val="15"/>
                                <w:szCs w:val="15"/>
                              </w:rPr>
                            </w:pPr>
                          </w:p>
                          <w:p w14:paraId="54CF13CB">
                            <w:pPr>
                              <w:pStyle w:val="56"/>
                              <w:ind w:right="1"/>
                              <w:jc w:val="center"/>
                              <w:rPr>
                                <w:rFonts w:ascii="宋体" w:hAnsi="宋体" w:cs="宋体"/>
                                <w:sz w:val="20"/>
                                <w:szCs w:val="20"/>
                              </w:rPr>
                            </w:pPr>
                            <w:r>
                              <w:rPr>
                                <w:rFonts w:hint="eastAsia" w:ascii="宋体"/>
                                <w:w w:val="99"/>
                                <w:sz w:val="20"/>
                              </w:rPr>
                              <w:t>1</w:t>
                            </w:r>
                          </w:p>
                        </w:tc>
                        <w:tc>
                          <w:tcPr>
                            <w:tcW w:w="1166" w:type="dxa"/>
                            <w:vMerge w:val="restart"/>
                            <w:tcBorders>
                              <w:top w:val="single" w:color="000000" w:sz="4" w:space="0"/>
                              <w:left w:val="single" w:color="000000" w:sz="4" w:space="0"/>
                              <w:bottom w:val="single" w:color="000000" w:sz="4" w:space="0"/>
                              <w:right w:val="single" w:color="000000" w:sz="4" w:space="0"/>
                            </w:tcBorders>
                            <w:noWrap w:val="0"/>
                            <w:vAlign w:val="top"/>
                          </w:tcPr>
                          <w:p w14:paraId="43D9AA13">
                            <w:pPr>
                              <w:pStyle w:val="56"/>
                              <w:rPr>
                                <w:rFonts w:ascii="宋体" w:hAnsi="宋体" w:cs="宋体"/>
                                <w:sz w:val="20"/>
                                <w:szCs w:val="20"/>
                              </w:rPr>
                            </w:pPr>
                          </w:p>
                          <w:p w14:paraId="46974DBF">
                            <w:pPr>
                              <w:pStyle w:val="56"/>
                              <w:rPr>
                                <w:rFonts w:hint="eastAsia" w:ascii="宋体" w:hAnsi="宋体" w:cs="宋体"/>
                                <w:sz w:val="20"/>
                                <w:szCs w:val="20"/>
                              </w:rPr>
                            </w:pPr>
                          </w:p>
                          <w:p w14:paraId="4110C545">
                            <w:pPr>
                              <w:pStyle w:val="56"/>
                              <w:spacing w:before="12"/>
                              <w:rPr>
                                <w:rFonts w:hint="eastAsia" w:ascii="宋体" w:hAnsi="宋体" w:cs="宋体"/>
                                <w:sz w:val="23"/>
                                <w:szCs w:val="23"/>
                              </w:rPr>
                            </w:pPr>
                          </w:p>
                          <w:p w14:paraId="1587267D">
                            <w:pPr>
                              <w:pStyle w:val="56"/>
                              <w:ind w:left="7"/>
                              <w:rPr>
                                <w:rFonts w:hint="eastAsia"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01</w:t>
                            </w:r>
                            <w:r>
                              <w:rPr>
                                <w:rFonts w:hint="eastAsia" w:ascii="宋体" w:hAnsi="宋体" w:cs="宋体"/>
                                <w:spacing w:val="1"/>
                                <w:w w:val="99"/>
                                <w:sz w:val="20"/>
                                <w:szCs w:val="20"/>
                              </w:rPr>
                              <w:t>0</w:t>
                            </w:r>
                            <w:r>
                              <w:rPr>
                                <w:rFonts w:hint="eastAsia" w:ascii="宋体" w:hAnsi="宋体" w:cs="宋体"/>
                                <w:w w:val="99"/>
                                <w:sz w:val="20"/>
                                <w:szCs w:val="20"/>
                              </w:rPr>
                              <w:t>1计算</w:t>
                            </w:r>
                          </w:p>
                          <w:p w14:paraId="616903D8">
                            <w:pPr>
                              <w:pStyle w:val="56"/>
                              <w:spacing w:before="50"/>
                              <w:ind w:left="7"/>
                              <w:rPr>
                                <w:rFonts w:ascii="宋体" w:hAnsi="宋体" w:cs="宋体"/>
                                <w:sz w:val="20"/>
                                <w:szCs w:val="20"/>
                              </w:rPr>
                            </w:pPr>
                            <w:r>
                              <w:rPr>
                                <w:rFonts w:hint="eastAsia" w:ascii="宋体" w:hAnsi="宋体" w:cs="宋体"/>
                                <w:w w:val="99"/>
                                <w:sz w:val="20"/>
                                <w:szCs w:val="20"/>
                              </w:rPr>
                              <w:t>机设备</w:t>
                            </w:r>
                          </w:p>
                        </w:tc>
                        <w:tc>
                          <w:tcPr>
                            <w:tcW w:w="1800" w:type="dxa"/>
                            <w:tcBorders>
                              <w:top w:val="single" w:color="000000" w:sz="4" w:space="0"/>
                              <w:left w:val="single" w:color="000000" w:sz="4" w:space="0"/>
                              <w:bottom w:val="single" w:color="000000" w:sz="4" w:space="0"/>
                              <w:right w:val="single" w:color="000000" w:sz="4" w:space="0"/>
                            </w:tcBorders>
                            <w:noWrap w:val="0"/>
                            <w:vAlign w:val="top"/>
                          </w:tcPr>
                          <w:p w14:paraId="781165CE">
                            <w:pPr>
                              <w:pStyle w:val="56"/>
                              <w:spacing w:before="93" w:line="280" w:lineRule="auto"/>
                              <w:ind w:left="7" w:right="5"/>
                              <w:rPr>
                                <w:rFonts w:ascii="宋体" w:hAnsi="宋体" w:cs="宋体"/>
                                <w:sz w:val="20"/>
                                <w:szCs w:val="20"/>
                              </w:rPr>
                            </w:pPr>
                            <w:r>
                              <w:rPr>
                                <w:rFonts w:hint="eastAsia" w:ascii="宋体" w:hAnsi="宋体" w:cs="宋体"/>
                                <w:w w:val="99"/>
                                <w:sz w:val="20"/>
                                <w:szCs w:val="20"/>
                              </w:rPr>
                              <w:t>★</w:t>
                            </w:r>
                            <w:r>
                              <w:rPr>
                                <w:rFonts w:hint="eastAsia" w:ascii="宋体" w:hAnsi="宋体" w:cs="宋体"/>
                                <w:spacing w:val="1"/>
                                <w:w w:val="99"/>
                                <w:sz w:val="20"/>
                                <w:szCs w:val="20"/>
                              </w:rPr>
                              <w:t>A020</w:t>
                            </w:r>
                            <w:r>
                              <w:rPr>
                                <w:rFonts w:hint="eastAsia" w:ascii="宋体" w:hAnsi="宋体" w:cs="宋体"/>
                                <w:w w:val="99"/>
                                <w:sz w:val="20"/>
                                <w:szCs w:val="20"/>
                              </w:rPr>
                              <w:t>10</w:t>
                            </w:r>
                            <w:r>
                              <w:rPr>
                                <w:rFonts w:hint="eastAsia" w:ascii="宋体" w:hAnsi="宋体" w:cs="宋体"/>
                                <w:spacing w:val="1"/>
                                <w:w w:val="99"/>
                                <w:sz w:val="20"/>
                                <w:szCs w:val="20"/>
                              </w:rPr>
                              <w:t>1</w:t>
                            </w:r>
                            <w:r>
                              <w:rPr>
                                <w:rFonts w:hint="eastAsia" w:ascii="宋体" w:hAnsi="宋体" w:cs="宋体"/>
                                <w:w w:val="99"/>
                                <w:sz w:val="20"/>
                                <w:szCs w:val="20"/>
                              </w:rPr>
                              <w:t>04台式计算机</w:t>
                            </w:r>
                          </w:p>
                        </w:tc>
                        <w:tc>
                          <w:tcPr>
                            <w:tcW w:w="1823" w:type="dxa"/>
                            <w:tcBorders>
                              <w:top w:val="single" w:color="000000" w:sz="4" w:space="0"/>
                              <w:left w:val="single" w:color="000000" w:sz="4" w:space="0"/>
                              <w:bottom w:val="single" w:color="000000" w:sz="4" w:space="0"/>
                              <w:right w:val="single" w:color="000000" w:sz="4" w:space="0"/>
                            </w:tcBorders>
                            <w:noWrap w:val="0"/>
                            <w:vAlign w:val="top"/>
                          </w:tcPr>
                          <w:p w14:paraId="19D4D4AE">
                            <w:pPr>
                              <w:rPr>
                                <w:rFonts w:ascii="Calibri" w:hAnsi="Calibri"/>
                                <w:sz w:val="22"/>
                                <w:szCs w:val="22"/>
                              </w:rPr>
                            </w:pPr>
                          </w:p>
                        </w:tc>
                        <w:tc>
                          <w:tcPr>
                            <w:tcW w:w="3762" w:type="dxa"/>
                            <w:tcBorders>
                              <w:top w:val="single" w:color="000000" w:sz="4" w:space="0"/>
                              <w:left w:val="single" w:color="000000" w:sz="4" w:space="0"/>
                              <w:bottom w:val="single" w:color="000000" w:sz="4" w:space="0"/>
                              <w:right w:val="single" w:color="000000" w:sz="4" w:space="0"/>
                            </w:tcBorders>
                            <w:noWrap w:val="0"/>
                            <w:vAlign w:val="top"/>
                          </w:tcPr>
                          <w:p w14:paraId="509593D7">
                            <w:pPr>
                              <w:pStyle w:val="56"/>
                              <w:spacing w:before="93" w:line="280" w:lineRule="auto"/>
                              <w:ind w:left="7" w:right="4"/>
                              <w:rPr>
                                <w:rFonts w:ascii="宋体" w:hAnsi="宋体" w:cs="宋体"/>
                                <w:sz w:val="20"/>
                                <w:szCs w:val="20"/>
                                <w:lang w:eastAsia="zh-CN"/>
                              </w:rPr>
                            </w:pPr>
                            <w:r>
                              <w:rPr>
                                <w:rFonts w:hint="eastAsia" w:ascii="宋体" w:hAnsi="宋体" w:cs="宋体"/>
                                <w:spacing w:val="12"/>
                                <w:w w:val="99"/>
                                <w:sz w:val="20"/>
                                <w:szCs w:val="20"/>
                                <w:lang w:eastAsia="zh-CN"/>
                              </w:rPr>
                              <w:t>《微型计算机能效限定</w:t>
                            </w:r>
                            <w:r>
                              <w:rPr>
                                <w:rFonts w:hint="eastAsia" w:ascii="宋体" w:hAnsi="宋体" w:cs="宋体"/>
                                <w:spacing w:val="9"/>
                                <w:w w:val="99"/>
                                <w:sz w:val="20"/>
                                <w:szCs w:val="20"/>
                                <w:lang w:eastAsia="zh-CN"/>
                              </w:rPr>
                              <w:t>值</w:t>
                            </w:r>
                            <w:r>
                              <w:rPr>
                                <w:rFonts w:hint="eastAsia" w:ascii="宋体" w:hAnsi="宋体" w:cs="宋体"/>
                                <w:spacing w:val="12"/>
                                <w:w w:val="99"/>
                                <w:sz w:val="20"/>
                                <w:szCs w:val="20"/>
                                <w:lang w:eastAsia="zh-CN"/>
                              </w:rPr>
                              <w:t>及能</w:t>
                            </w:r>
                            <w:r>
                              <w:rPr>
                                <w:rFonts w:hint="eastAsia" w:ascii="宋体" w:hAnsi="宋体" w:cs="宋体"/>
                                <w:w w:val="99"/>
                                <w:sz w:val="20"/>
                                <w:szCs w:val="20"/>
                                <w:lang w:eastAsia="zh-CN"/>
                              </w:rPr>
                              <w:t>效等级》（</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28380</w:t>
                            </w:r>
                            <w:r>
                              <w:rPr>
                                <w:rFonts w:hint="eastAsia" w:ascii="宋体" w:hAnsi="宋体" w:cs="宋体"/>
                                <w:w w:val="99"/>
                                <w:sz w:val="20"/>
                                <w:szCs w:val="20"/>
                                <w:lang w:eastAsia="zh-CN"/>
                              </w:rPr>
                              <w:t>）</w:t>
                            </w:r>
                          </w:p>
                        </w:tc>
                      </w:tr>
                      <w:tr w14:paraId="6BF56F36">
                        <w:tblPrEx>
                          <w:tblCellMar>
                            <w:top w:w="0" w:type="dxa"/>
                            <w:left w:w="0" w:type="dxa"/>
                            <w:bottom w:w="0" w:type="dxa"/>
                            <w:right w:w="0" w:type="dxa"/>
                          </w:tblCellMar>
                        </w:tblPrEx>
                        <w:trPr>
                          <w:trHeight w:val="727" w:hRule="exac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733FF5C4">
                            <w:pPr>
                              <w:widowControl/>
                              <w:jc w:val="left"/>
                              <w:rPr>
                                <w:rFonts w:ascii="宋体" w:hAnsi="宋体" w:eastAsia="Times New Roman" w:cs="宋体"/>
                                <w:kern w:val="0"/>
                                <w:sz w:val="20"/>
                                <w:szCs w:val="20"/>
                              </w:rPr>
                            </w:pPr>
                          </w:p>
                        </w:tc>
                        <w:tc>
                          <w:tcPr>
                            <w:tcW w:w="1166" w:type="dxa"/>
                            <w:vMerge w:val="continue"/>
                            <w:tcBorders>
                              <w:top w:val="single" w:color="000000" w:sz="4" w:space="0"/>
                              <w:left w:val="single" w:color="000000" w:sz="4" w:space="0"/>
                              <w:bottom w:val="single" w:color="000000" w:sz="4" w:space="0"/>
                              <w:right w:val="single" w:color="000000" w:sz="4" w:space="0"/>
                            </w:tcBorders>
                            <w:noWrap w:val="0"/>
                            <w:vAlign w:val="center"/>
                          </w:tcPr>
                          <w:p w14:paraId="4D5C3D0B">
                            <w:pPr>
                              <w:widowControl/>
                              <w:jc w:val="left"/>
                              <w:rPr>
                                <w:rFonts w:ascii="宋体" w:hAnsi="宋体" w:eastAsia="Times New Roman" w:cs="宋体"/>
                                <w:kern w:val="0"/>
                                <w:sz w:val="20"/>
                                <w:szCs w:val="20"/>
                              </w:rPr>
                            </w:pPr>
                          </w:p>
                        </w:tc>
                        <w:tc>
                          <w:tcPr>
                            <w:tcW w:w="1800" w:type="dxa"/>
                            <w:tcBorders>
                              <w:top w:val="single" w:color="000000" w:sz="4" w:space="0"/>
                              <w:left w:val="single" w:color="000000" w:sz="4" w:space="0"/>
                              <w:bottom w:val="single" w:color="000000" w:sz="4" w:space="0"/>
                              <w:right w:val="single" w:color="000000" w:sz="4" w:space="0"/>
                            </w:tcBorders>
                            <w:noWrap w:val="0"/>
                            <w:vAlign w:val="top"/>
                          </w:tcPr>
                          <w:p w14:paraId="5A8DEB3B">
                            <w:pPr>
                              <w:pStyle w:val="56"/>
                              <w:spacing w:before="44" w:line="280" w:lineRule="auto"/>
                              <w:ind w:left="7" w:right="5"/>
                              <w:rPr>
                                <w:rFonts w:ascii="宋体" w:hAnsi="宋体" w:cs="宋体"/>
                                <w:sz w:val="20"/>
                                <w:szCs w:val="20"/>
                              </w:rPr>
                            </w:pPr>
                            <w:r>
                              <w:rPr>
                                <w:rFonts w:hint="eastAsia" w:ascii="宋体" w:hAnsi="宋体" w:cs="宋体"/>
                                <w:w w:val="99"/>
                                <w:sz w:val="20"/>
                                <w:szCs w:val="20"/>
                              </w:rPr>
                              <w:t>★</w:t>
                            </w:r>
                            <w:r>
                              <w:rPr>
                                <w:rFonts w:hint="eastAsia" w:ascii="宋体" w:hAnsi="宋体" w:cs="宋体"/>
                                <w:spacing w:val="1"/>
                                <w:w w:val="99"/>
                                <w:sz w:val="20"/>
                                <w:szCs w:val="20"/>
                              </w:rPr>
                              <w:t>A020</w:t>
                            </w:r>
                            <w:r>
                              <w:rPr>
                                <w:rFonts w:hint="eastAsia" w:ascii="宋体" w:hAnsi="宋体" w:cs="宋体"/>
                                <w:w w:val="99"/>
                                <w:sz w:val="20"/>
                                <w:szCs w:val="20"/>
                              </w:rPr>
                              <w:t>10</w:t>
                            </w:r>
                            <w:r>
                              <w:rPr>
                                <w:rFonts w:hint="eastAsia" w:ascii="宋体" w:hAnsi="宋体" w:cs="宋体"/>
                                <w:spacing w:val="1"/>
                                <w:w w:val="99"/>
                                <w:sz w:val="20"/>
                                <w:szCs w:val="20"/>
                              </w:rPr>
                              <w:t>1</w:t>
                            </w:r>
                            <w:r>
                              <w:rPr>
                                <w:rFonts w:hint="eastAsia" w:ascii="宋体" w:hAnsi="宋体" w:cs="宋体"/>
                                <w:w w:val="99"/>
                                <w:sz w:val="20"/>
                                <w:szCs w:val="20"/>
                              </w:rPr>
                              <w:t>05便携式计算机</w:t>
                            </w:r>
                          </w:p>
                        </w:tc>
                        <w:tc>
                          <w:tcPr>
                            <w:tcW w:w="1823" w:type="dxa"/>
                            <w:tcBorders>
                              <w:top w:val="single" w:color="000000" w:sz="4" w:space="0"/>
                              <w:left w:val="single" w:color="000000" w:sz="4" w:space="0"/>
                              <w:bottom w:val="single" w:color="000000" w:sz="4" w:space="0"/>
                              <w:right w:val="single" w:color="000000" w:sz="4" w:space="0"/>
                            </w:tcBorders>
                            <w:noWrap w:val="0"/>
                            <w:vAlign w:val="top"/>
                          </w:tcPr>
                          <w:p w14:paraId="506B0F38">
                            <w:pPr>
                              <w:rPr>
                                <w:rFonts w:ascii="Calibri" w:hAnsi="Calibri"/>
                                <w:sz w:val="22"/>
                                <w:szCs w:val="22"/>
                              </w:rPr>
                            </w:pPr>
                          </w:p>
                        </w:tc>
                        <w:tc>
                          <w:tcPr>
                            <w:tcW w:w="3762" w:type="dxa"/>
                            <w:tcBorders>
                              <w:top w:val="single" w:color="000000" w:sz="4" w:space="0"/>
                              <w:left w:val="single" w:color="000000" w:sz="4" w:space="0"/>
                              <w:bottom w:val="single" w:color="000000" w:sz="4" w:space="0"/>
                              <w:right w:val="single" w:color="000000" w:sz="4" w:space="0"/>
                            </w:tcBorders>
                            <w:noWrap w:val="0"/>
                            <w:vAlign w:val="top"/>
                          </w:tcPr>
                          <w:p w14:paraId="2FFE4FCA">
                            <w:pPr>
                              <w:pStyle w:val="56"/>
                              <w:spacing w:before="44" w:line="280" w:lineRule="auto"/>
                              <w:ind w:left="7" w:right="4"/>
                              <w:rPr>
                                <w:rFonts w:ascii="宋体" w:hAnsi="宋体" w:cs="宋体"/>
                                <w:sz w:val="20"/>
                                <w:szCs w:val="20"/>
                                <w:lang w:eastAsia="zh-CN"/>
                              </w:rPr>
                            </w:pPr>
                            <w:r>
                              <w:rPr>
                                <w:rFonts w:hint="eastAsia" w:ascii="宋体" w:hAnsi="宋体" w:cs="宋体"/>
                                <w:spacing w:val="12"/>
                                <w:w w:val="99"/>
                                <w:sz w:val="20"/>
                                <w:szCs w:val="20"/>
                                <w:lang w:eastAsia="zh-CN"/>
                              </w:rPr>
                              <w:t>《微型计算机能效限定</w:t>
                            </w:r>
                            <w:r>
                              <w:rPr>
                                <w:rFonts w:hint="eastAsia" w:ascii="宋体" w:hAnsi="宋体" w:cs="宋体"/>
                                <w:spacing w:val="9"/>
                                <w:w w:val="99"/>
                                <w:sz w:val="20"/>
                                <w:szCs w:val="20"/>
                                <w:lang w:eastAsia="zh-CN"/>
                              </w:rPr>
                              <w:t>值</w:t>
                            </w:r>
                            <w:r>
                              <w:rPr>
                                <w:rFonts w:hint="eastAsia" w:ascii="宋体" w:hAnsi="宋体" w:cs="宋体"/>
                                <w:spacing w:val="12"/>
                                <w:w w:val="99"/>
                                <w:sz w:val="20"/>
                                <w:szCs w:val="20"/>
                                <w:lang w:eastAsia="zh-CN"/>
                              </w:rPr>
                              <w:t>及能</w:t>
                            </w:r>
                            <w:r>
                              <w:rPr>
                                <w:rFonts w:hint="eastAsia" w:ascii="宋体" w:hAnsi="宋体" w:cs="宋体"/>
                                <w:w w:val="99"/>
                                <w:sz w:val="20"/>
                                <w:szCs w:val="20"/>
                                <w:lang w:eastAsia="zh-CN"/>
                              </w:rPr>
                              <w:t>效等级》（</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28380</w:t>
                            </w:r>
                            <w:r>
                              <w:rPr>
                                <w:rFonts w:hint="eastAsia" w:ascii="宋体" w:hAnsi="宋体" w:cs="宋体"/>
                                <w:w w:val="99"/>
                                <w:sz w:val="20"/>
                                <w:szCs w:val="20"/>
                                <w:lang w:eastAsia="zh-CN"/>
                              </w:rPr>
                              <w:t>）</w:t>
                            </w:r>
                          </w:p>
                        </w:tc>
                      </w:tr>
                      <w:tr w14:paraId="00B6540F">
                        <w:tblPrEx>
                          <w:tblCellMar>
                            <w:top w:w="0" w:type="dxa"/>
                            <w:left w:w="0" w:type="dxa"/>
                            <w:bottom w:w="0" w:type="dxa"/>
                            <w:right w:w="0" w:type="dxa"/>
                          </w:tblCellMar>
                        </w:tblPrEx>
                        <w:trPr>
                          <w:trHeight w:val="763" w:hRule="exac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7DA4D54B">
                            <w:pPr>
                              <w:widowControl/>
                              <w:jc w:val="left"/>
                              <w:rPr>
                                <w:rFonts w:ascii="宋体" w:hAnsi="宋体" w:eastAsia="Times New Roman" w:cs="宋体"/>
                                <w:kern w:val="0"/>
                                <w:sz w:val="20"/>
                                <w:szCs w:val="20"/>
                              </w:rPr>
                            </w:pPr>
                          </w:p>
                        </w:tc>
                        <w:tc>
                          <w:tcPr>
                            <w:tcW w:w="1166" w:type="dxa"/>
                            <w:vMerge w:val="continue"/>
                            <w:tcBorders>
                              <w:top w:val="single" w:color="000000" w:sz="4" w:space="0"/>
                              <w:left w:val="single" w:color="000000" w:sz="4" w:space="0"/>
                              <w:bottom w:val="single" w:color="000000" w:sz="4" w:space="0"/>
                              <w:right w:val="single" w:color="000000" w:sz="4" w:space="0"/>
                            </w:tcBorders>
                            <w:noWrap w:val="0"/>
                            <w:vAlign w:val="center"/>
                          </w:tcPr>
                          <w:p w14:paraId="40685E7E">
                            <w:pPr>
                              <w:widowControl/>
                              <w:jc w:val="left"/>
                              <w:rPr>
                                <w:rFonts w:ascii="宋体" w:hAnsi="宋体" w:eastAsia="Times New Roman" w:cs="宋体"/>
                                <w:kern w:val="0"/>
                                <w:sz w:val="20"/>
                                <w:szCs w:val="20"/>
                              </w:rPr>
                            </w:pPr>
                          </w:p>
                        </w:tc>
                        <w:tc>
                          <w:tcPr>
                            <w:tcW w:w="1800" w:type="dxa"/>
                            <w:tcBorders>
                              <w:top w:val="single" w:color="000000" w:sz="4" w:space="0"/>
                              <w:left w:val="single" w:color="000000" w:sz="4" w:space="0"/>
                              <w:bottom w:val="single" w:color="000000" w:sz="4" w:space="0"/>
                              <w:right w:val="single" w:color="000000" w:sz="4" w:space="0"/>
                            </w:tcBorders>
                            <w:noWrap w:val="0"/>
                            <w:vAlign w:val="top"/>
                          </w:tcPr>
                          <w:p w14:paraId="4EE60AF0">
                            <w:pPr>
                              <w:pStyle w:val="56"/>
                              <w:spacing w:before="64" w:line="280" w:lineRule="auto"/>
                              <w:ind w:left="7" w:right="5"/>
                              <w:rPr>
                                <w:rFonts w:ascii="宋体" w:hAnsi="宋体" w:cs="宋体"/>
                                <w:sz w:val="20"/>
                                <w:szCs w:val="20"/>
                                <w:lang w:eastAsia="zh-CN"/>
                              </w:rPr>
                            </w:pPr>
                            <w:r>
                              <w:rPr>
                                <w:rFonts w:hint="eastAsia" w:ascii="宋体" w:hAnsi="宋体" w:cs="宋体"/>
                                <w:w w:val="99"/>
                                <w:sz w:val="20"/>
                                <w:szCs w:val="20"/>
                                <w:lang w:eastAsia="zh-CN"/>
                              </w:rPr>
                              <w:t>★</w:t>
                            </w:r>
                            <w:r>
                              <w:rPr>
                                <w:rFonts w:hint="eastAsia" w:ascii="宋体" w:hAnsi="宋体" w:cs="宋体"/>
                                <w:spacing w:val="1"/>
                                <w:w w:val="99"/>
                                <w:sz w:val="20"/>
                                <w:szCs w:val="20"/>
                                <w:lang w:eastAsia="zh-CN"/>
                              </w:rPr>
                              <w:t>A020</w:t>
                            </w:r>
                            <w:r>
                              <w:rPr>
                                <w:rFonts w:hint="eastAsia" w:ascii="宋体" w:hAnsi="宋体" w:cs="宋体"/>
                                <w:w w:val="99"/>
                                <w:sz w:val="20"/>
                                <w:szCs w:val="20"/>
                                <w:lang w:eastAsia="zh-CN"/>
                              </w:rPr>
                              <w:t>10</w:t>
                            </w:r>
                            <w:r>
                              <w:rPr>
                                <w:rFonts w:hint="eastAsia" w:ascii="宋体" w:hAnsi="宋体" w:cs="宋体"/>
                                <w:spacing w:val="1"/>
                                <w:w w:val="99"/>
                                <w:sz w:val="20"/>
                                <w:szCs w:val="20"/>
                                <w:lang w:eastAsia="zh-CN"/>
                              </w:rPr>
                              <w:t>1</w:t>
                            </w:r>
                            <w:r>
                              <w:rPr>
                                <w:rFonts w:hint="eastAsia" w:ascii="宋体" w:hAnsi="宋体" w:cs="宋体"/>
                                <w:w w:val="99"/>
                                <w:sz w:val="20"/>
                                <w:szCs w:val="20"/>
                                <w:lang w:eastAsia="zh-CN"/>
                              </w:rPr>
                              <w:t>07平板式微型计</w:t>
                            </w:r>
                            <w:r>
                              <w:rPr>
                                <w:rFonts w:hint="eastAsia" w:ascii="宋体" w:hAnsi="宋体" w:cs="宋体"/>
                                <w:spacing w:val="2"/>
                                <w:w w:val="99"/>
                                <w:sz w:val="20"/>
                                <w:szCs w:val="20"/>
                                <w:lang w:eastAsia="zh-CN"/>
                              </w:rPr>
                              <w:t>算</w:t>
                            </w:r>
                            <w:r>
                              <w:rPr>
                                <w:rFonts w:hint="eastAsia" w:ascii="宋体" w:hAnsi="宋体" w:cs="宋体"/>
                                <w:w w:val="99"/>
                                <w:sz w:val="20"/>
                                <w:szCs w:val="20"/>
                                <w:lang w:eastAsia="zh-CN"/>
                              </w:rPr>
                              <w:t>机</w:t>
                            </w:r>
                          </w:p>
                        </w:tc>
                        <w:tc>
                          <w:tcPr>
                            <w:tcW w:w="1823" w:type="dxa"/>
                            <w:tcBorders>
                              <w:top w:val="single" w:color="000000" w:sz="4" w:space="0"/>
                              <w:left w:val="single" w:color="000000" w:sz="4" w:space="0"/>
                              <w:bottom w:val="single" w:color="000000" w:sz="4" w:space="0"/>
                              <w:right w:val="single" w:color="000000" w:sz="4" w:space="0"/>
                            </w:tcBorders>
                            <w:noWrap w:val="0"/>
                            <w:vAlign w:val="top"/>
                          </w:tcPr>
                          <w:p w14:paraId="7D07A84D">
                            <w:pPr>
                              <w:rPr>
                                <w:rFonts w:ascii="Calibri" w:hAnsi="Calibri"/>
                                <w:sz w:val="22"/>
                                <w:szCs w:val="22"/>
                              </w:rPr>
                            </w:pPr>
                          </w:p>
                        </w:tc>
                        <w:tc>
                          <w:tcPr>
                            <w:tcW w:w="3762" w:type="dxa"/>
                            <w:tcBorders>
                              <w:top w:val="single" w:color="000000" w:sz="4" w:space="0"/>
                              <w:left w:val="single" w:color="000000" w:sz="4" w:space="0"/>
                              <w:bottom w:val="single" w:color="000000" w:sz="4" w:space="0"/>
                              <w:right w:val="single" w:color="000000" w:sz="4" w:space="0"/>
                            </w:tcBorders>
                            <w:noWrap w:val="0"/>
                            <w:vAlign w:val="top"/>
                          </w:tcPr>
                          <w:p w14:paraId="6A4E11AB">
                            <w:pPr>
                              <w:pStyle w:val="56"/>
                              <w:spacing w:before="64" w:line="280" w:lineRule="auto"/>
                              <w:ind w:left="7" w:right="4"/>
                              <w:rPr>
                                <w:rFonts w:ascii="宋体" w:hAnsi="宋体" w:cs="宋体"/>
                                <w:sz w:val="20"/>
                                <w:szCs w:val="20"/>
                                <w:lang w:eastAsia="zh-CN"/>
                              </w:rPr>
                            </w:pPr>
                            <w:r>
                              <w:rPr>
                                <w:rFonts w:hint="eastAsia" w:ascii="宋体" w:hAnsi="宋体" w:cs="宋体"/>
                                <w:spacing w:val="12"/>
                                <w:w w:val="99"/>
                                <w:sz w:val="20"/>
                                <w:szCs w:val="20"/>
                                <w:lang w:eastAsia="zh-CN"/>
                              </w:rPr>
                              <w:t>《微型计算机能效限定</w:t>
                            </w:r>
                            <w:r>
                              <w:rPr>
                                <w:rFonts w:hint="eastAsia" w:ascii="宋体" w:hAnsi="宋体" w:cs="宋体"/>
                                <w:spacing w:val="9"/>
                                <w:w w:val="99"/>
                                <w:sz w:val="20"/>
                                <w:szCs w:val="20"/>
                                <w:lang w:eastAsia="zh-CN"/>
                              </w:rPr>
                              <w:t>值</w:t>
                            </w:r>
                            <w:r>
                              <w:rPr>
                                <w:rFonts w:hint="eastAsia" w:ascii="宋体" w:hAnsi="宋体" w:cs="宋体"/>
                                <w:spacing w:val="12"/>
                                <w:w w:val="99"/>
                                <w:sz w:val="20"/>
                                <w:szCs w:val="20"/>
                                <w:lang w:eastAsia="zh-CN"/>
                              </w:rPr>
                              <w:t>及能</w:t>
                            </w:r>
                            <w:r>
                              <w:rPr>
                                <w:rFonts w:hint="eastAsia" w:ascii="宋体" w:hAnsi="宋体" w:cs="宋体"/>
                                <w:w w:val="99"/>
                                <w:sz w:val="20"/>
                                <w:szCs w:val="20"/>
                                <w:lang w:eastAsia="zh-CN"/>
                              </w:rPr>
                              <w:t>效等级》（</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28380</w:t>
                            </w:r>
                            <w:r>
                              <w:rPr>
                                <w:rFonts w:hint="eastAsia" w:ascii="宋体" w:hAnsi="宋体" w:cs="宋体"/>
                                <w:w w:val="99"/>
                                <w:sz w:val="20"/>
                                <w:szCs w:val="20"/>
                                <w:lang w:eastAsia="zh-CN"/>
                              </w:rPr>
                              <w:t>）</w:t>
                            </w:r>
                          </w:p>
                        </w:tc>
                      </w:tr>
                      <w:tr w14:paraId="5FFFBBA3">
                        <w:tblPrEx>
                          <w:tblCellMar>
                            <w:top w:w="0" w:type="dxa"/>
                            <w:left w:w="0" w:type="dxa"/>
                            <w:bottom w:w="0" w:type="dxa"/>
                            <w:right w:w="0" w:type="dxa"/>
                          </w:tblCellMar>
                        </w:tblPrEx>
                        <w:trPr>
                          <w:trHeight w:val="742" w:hRule="exact"/>
                        </w:trPr>
                        <w:tc>
                          <w:tcPr>
                            <w:tcW w:w="574" w:type="dxa"/>
                            <w:vMerge w:val="restart"/>
                            <w:tcBorders>
                              <w:top w:val="single" w:color="000000" w:sz="4" w:space="0"/>
                              <w:left w:val="single" w:color="000000" w:sz="4" w:space="0"/>
                              <w:bottom w:val="single" w:color="000000" w:sz="4" w:space="0"/>
                              <w:right w:val="single" w:color="000000" w:sz="4" w:space="0"/>
                            </w:tcBorders>
                            <w:noWrap w:val="0"/>
                            <w:vAlign w:val="top"/>
                          </w:tcPr>
                          <w:p w14:paraId="37F98ED9">
                            <w:pPr>
                              <w:pStyle w:val="56"/>
                              <w:rPr>
                                <w:rFonts w:ascii="宋体" w:hAnsi="宋体" w:cs="宋体"/>
                                <w:sz w:val="20"/>
                                <w:szCs w:val="20"/>
                                <w:lang w:eastAsia="zh-CN"/>
                              </w:rPr>
                            </w:pPr>
                          </w:p>
                          <w:p w14:paraId="52E78A82">
                            <w:pPr>
                              <w:pStyle w:val="56"/>
                              <w:rPr>
                                <w:rFonts w:hint="eastAsia" w:ascii="宋体" w:hAnsi="宋体" w:cs="宋体"/>
                                <w:sz w:val="20"/>
                                <w:szCs w:val="20"/>
                                <w:lang w:eastAsia="zh-CN"/>
                              </w:rPr>
                            </w:pPr>
                          </w:p>
                          <w:p w14:paraId="2A703391">
                            <w:pPr>
                              <w:pStyle w:val="56"/>
                              <w:rPr>
                                <w:rFonts w:hint="eastAsia" w:ascii="宋体" w:hAnsi="宋体" w:cs="宋体"/>
                                <w:sz w:val="20"/>
                                <w:szCs w:val="20"/>
                                <w:lang w:eastAsia="zh-CN"/>
                              </w:rPr>
                            </w:pPr>
                          </w:p>
                          <w:p w14:paraId="793370A0">
                            <w:pPr>
                              <w:pStyle w:val="56"/>
                              <w:rPr>
                                <w:rFonts w:hint="eastAsia" w:ascii="宋体" w:hAnsi="宋体" w:cs="宋体"/>
                                <w:sz w:val="20"/>
                                <w:szCs w:val="20"/>
                                <w:lang w:eastAsia="zh-CN"/>
                              </w:rPr>
                            </w:pPr>
                          </w:p>
                          <w:p w14:paraId="7BC0DFB5">
                            <w:pPr>
                              <w:pStyle w:val="56"/>
                              <w:rPr>
                                <w:rFonts w:hint="eastAsia" w:ascii="宋体" w:hAnsi="宋体" w:cs="宋体"/>
                                <w:sz w:val="20"/>
                                <w:szCs w:val="20"/>
                                <w:lang w:eastAsia="zh-CN"/>
                              </w:rPr>
                            </w:pPr>
                          </w:p>
                          <w:p w14:paraId="59C7CF72">
                            <w:pPr>
                              <w:pStyle w:val="56"/>
                              <w:rPr>
                                <w:rFonts w:hint="eastAsia" w:ascii="宋体" w:hAnsi="宋体" w:cs="宋体"/>
                                <w:sz w:val="20"/>
                                <w:szCs w:val="20"/>
                                <w:lang w:eastAsia="zh-CN"/>
                              </w:rPr>
                            </w:pPr>
                          </w:p>
                          <w:p w14:paraId="2691A627">
                            <w:pPr>
                              <w:pStyle w:val="56"/>
                              <w:rPr>
                                <w:rFonts w:hint="eastAsia" w:ascii="宋体" w:hAnsi="宋体" w:cs="宋体"/>
                                <w:sz w:val="20"/>
                                <w:szCs w:val="20"/>
                                <w:lang w:eastAsia="zh-CN"/>
                              </w:rPr>
                            </w:pPr>
                          </w:p>
                          <w:p w14:paraId="7DD39B80">
                            <w:pPr>
                              <w:pStyle w:val="56"/>
                              <w:spacing w:before="2"/>
                              <w:rPr>
                                <w:rFonts w:hint="eastAsia" w:ascii="宋体" w:hAnsi="宋体" w:cs="宋体"/>
                                <w:sz w:val="14"/>
                                <w:szCs w:val="14"/>
                                <w:lang w:eastAsia="zh-CN"/>
                              </w:rPr>
                            </w:pPr>
                          </w:p>
                          <w:p w14:paraId="2982A468">
                            <w:pPr>
                              <w:pStyle w:val="56"/>
                              <w:ind w:right="1"/>
                              <w:jc w:val="center"/>
                              <w:rPr>
                                <w:rFonts w:ascii="宋体" w:hAnsi="宋体" w:cs="宋体"/>
                                <w:sz w:val="20"/>
                                <w:szCs w:val="20"/>
                              </w:rPr>
                            </w:pPr>
                            <w:r>
                              <w:rPr>
                                <w:rFonts w:hint="eastAsia" w:ascii="宋体"/>
                                <w:w w:val="99"/>
                                <w:sz w:val="20"/>
                              </w:rPr>
                              <w:t>2</w:t>
                            </w:r>
                          </w:p>
                        </w:tc>
                        <w:tc>
                          <w:tcPr>
                            <w:tcW w:w="1166" w:type="dxa"/>
                            <w:vMerge w:val="restart"/>
                            <w:tcBorders>
                              <w:top w:val="single" w:color="000000" w:sz="4" w:space="0"/>
                              <w:left w:val="single" w:color="000000" w:sz="4" w:space="0"/>
                              <w:bottom w:val="single" w:color="000000" w:sz="4" w:space="0"/>
                              <w:right w:val="single" w:color="000000" w:sz="4" w:space="0"/>
                            </w:tcBorders>
                            <w:noWrap w:val="0"/>
                            <w:vAlign w:val="top"/>
                          </w:tcPr>
                          <w:p w14:paraId="104F5154">
                            <w:pPr>
                              <w:pStyle w:val="56"/>
                              <w:rPr>
                                <w:rFonts w:ascii="宋体" w:hAnsi="宋体" w:cs="宋体"/>
                                <w:sz w:val="20"/>
                                <w:szCs w:val="20"/>
                              </w:rPr>
                            </w:pPr>
                          </w:p>
                          <w:p w14:paraId="707C466D">
                            <w:pPr>
                              <w:pStyle w:val="56"/>
                              <w:rPr>
                                <w:rFonts w:hint="eastAsia" w:ascii="宋体" w:hAnsi="宋体" w:cs="宋体"/>
                                <w:sz w:val="20"/>
                                <w:szCs w:val="20"/>
                              </w:rPr>
                            </w:pPr>
                          </w:p>
                          <w:p w14:paraId="462CC5B4">
                            <w:pPr>
                              <w:pStyle w:val="56"/>
                              <w:rPr>
                                <w:rFonts w:hint="eastAsia" w:ascii="宋体" w:hAnsi="宋体" w:cs="宋体"/>
                                <w:sz w:val="20"/>
                                <w:szCs w:val="20"/>
                              </w:rPr>
                            </w:pPr>
                          </w:p>
                          <w:p w14:paraId="4FC4A399">
                            <w:pPr>
                              <w:pStyle w:val="56"/>
                              <w:rPr>
                                <w:rFonts w:hint="eastAsia" w:ascii="宋体" w:hAnsi="宋体" w:cs="宋体"/>
                                <w:sz w:val="20"/>
                                <w:szCs w:val="20"/>
                              </w:rPr>
                            </w:pPr>
                          </w:p>
                          <w:p w14:paraId="0DF6679C">
                            <w:pPr>
                              <w:pStyle w:val="56"/>
                              <w:rPr>
                                <w:rFonts w:hint="eastAsia" w:ascii="宋体" w:hAnsi="宋体" w:cs="宋体"/>
                                <w:sz w:val="20"/>
                                <w:szCs w:val="20"/>
                              </w:rPr>
                            </w:pPr>
                          </w:p>
                          <w:p w14:paraId="7F6A077D">
                            <w:pPr>
                              <w:pStyle w:val="56"/>
                              <w:rPr>
                                <w:rFonts w:hint="eastAsia" w:ascii="宋体" w:hAnsi="宋体" w:cs="宋体"/>
                                <w:sz w:val="20"/>
                                <w:szCs w:val="20"/>
                              </w:rPr>
                            </w:pPr>
                          </w:p>
                          <w:p w14:paraId="7D6932F0">
                            <w:pPr>
                              <w:pStyle w:val="56"/>
                              <w:spacing w:before="3"/>
                              <w:rPr>
                                <w:rFonts w:hint="eastAsia" w:ascii="宋体" w:hAnsi="宋体" w:cs="宋体"/>
                              </w:rPr>
                            </w:pPr>
                          </w:p>
                          <w:p w14:paraId="6C266CBB">
                            <w:pPr>
                              <w:pStyle w:val="56"/>
                              <w:ind w:left="7"/>
                              <w:rPr>
                                <w:rFonts w:hint="eastAsia"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01</w:t>
                            </w:r>
                            <w:r>
                              <w:rPr>
                                <w:rFonts w:hint="eastAsia" w:ascii="宋体" w:hAnsi="宋体" w:cs="宋体"/>
                                <w:spacing w:val="1"/>
                                <w:w w:val="99"/>
                                <w:sz w:val="20"/>
                                <w:szCs w:val="20"/>
                              </w:rPr>
                              <w:t>0</w:t>
                            </w:r>
                            <w:r>
                              <w:rPr>
                                <w:rFonts w:hint="eastAsia" w:ascii="宋体" w:hAnsi="宋体" w:cs="宋体"/>
                                <w:w w:val="99"/>
                                <w:sz w:val="20"/>
                                <w:szCs w:val="20"/>
                              </w:rPr>
                              <w:t>6输入</w:t>
                            </w:r>
                          </w:p>
                          <w:p w14:paraId="1FF6A263">
                            <w:pPr>
                              <w:pStyle w:val="56"/>
                              <w:spacing w:before="50"/>
                              <w:ind w:left="7"/>
                              <w:rPr>
                                <w:rFonts w:ascii="宋体" w:hAnsi="宋体" w:cs="宋体"/>
                                <w:sz w:val="20"/>
                                <w:szCs w:val="20"/>
                              </w:rPr>
                            </w:pPr>
                            <w:r>
                              <w:rPr>
                                <w:rFonts w:hint="eastAsia" w:ascii="宋体" w:hAnsi="宋体" w:cs="宋体"/>
                                <w:w w:val="99"/>
                                <w:sz w:val="20"/>
                                <w:szCs w:val="20"/>
                              </w:rPr>
                              <w:t>输出设备</w:t>
                            </w:r>
                          </w:p>
                        </w:tc>
                        <w:tc>
                          <w:tcPr>
                            <w:tcW w:w="1800" w:type="dxa"/>
                            <w:vMerge w:val="restart"/>
                            <w:tcBorders>
                              <w:top w:val="single" w:color="000000" w:sz="4" w:space="0"/>
                              <w:left w:val="single" w:color="000000" w:sz="4" w:space="0"/>
                              <w:bottom w:val="single" w:color="000000" w:sz="4" w:space="0"/>
                              <w:right w:val="single" w:color="000000" w:sz="4" w:space="0"/>
                            </w:tcBorders>
                            <w:noWrap w:val="0"/>
                            <w:vAlign w:val="top"/>
                          </w:tcPr>
                          <w:p w14:paraId="0E623EE2">
                            <w:pPr>
                              <w:pStyle w:val="56"/>
                              <w:rPr>
                                <w:rFonts w:ascii="宋体" w:hAnsi="宋体" w:cs="宋体"/>
                                <w:sz w:val="20"/>
                                <w:szCs w:val="20"/>
                              </w:rPr>
                            </w:pPr>
                          </w:p>
                          <w:p w14:paraId="13F7B5C1">
                            <w:pPr>
                              <w:pStyle w:val="56"/>
                              <w:rPr>
                                <w:rFonts w:hint="eastAsia" w:ascii="宋体" w:hAnsi="宋体" w:cs="宋体"/>
                                <w:sz w:val="20"/>
                                <w:szCs w:val="20"/>
                              </w:rPr>
                            </w:pPr>
                          </w:p>
                          <w:p w14:paraId="71ED3358">
                            <w:pPr>
                              <w:pStyle w:val="56"/>
                              <w:rPr>
                                <w:rFonts w:hint="eastAsia" w:ascii="宋体" w:hAnsi="宋体" w:cs="宋体"/>
                                <w:sz w:val="20"/>
                                <w:szCs w:val="20"/>
                              </w:rPr>
                            </w:pPr>
                          </w:p>
                          <w:p w14:paraId="225E6FA7">
                            <w:pPr>
                              <w:pStyle w:val="56"/>
                              <w:spacing w:before="164"/>
                              <w:ind w:left="7"/>
                              <w:rPr>
                                <w:rFonts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01</w:t>
                            </w:r>
                            <w:r>
                              <w:rPr>
                                <w:rFonts w:hint="eastAsia" w:ascii="宋体" w:hAnsi="宋体" w:cs="宋体"/>
                                <w:spacing w:val="1"/>
                                <w:w w:val="99"/>
                                <w:sz w:val="20"/>
                                <w:szCs w:val="20"/>
                              </w:rPr>
                              <w:t>0</w:t>
                            </w:r>
                            <w:r>
                              <w:rPr>
                                <w:rFonts w:hint="eastAsia" w:ascii="宋体" w:hAnsi="宋体" w:cs="宋体"/>
                                <w:w w:val="99"/>
                                <w:sz w:val="20"/>
                                <w:szCs w:val="20"/>
                              </w:rPr>
                              <w:t>601打印设备</w:t>
                            </w:r>
                          </w:p>
                        </w:tc>
                        <w:tc>
                          <w:tcPr>
                            <w:tcW w:w="1823" w:type="dxa"/>
                            <w:tcBorders>
                              <w:top w:val="single" w:color="000000" w:sz="4" w:space="0"/>
                              <w:left w:val="single" w:color="000000" w:sz="4" w:space="0"/>
                              <w:bottom w:val="single" w:color="000000" w:sz="4" w:space="0"/>
                              <w:right w:val="single" w:color="000000" w:sz="4" w:space="0"/>
                            </w:tcBorders>
                            <w:noWrap w:val="0"/>
                            <w:vAlign w:val="top"/>
                          </w:tcPr>
                          <w:p w14:paraId="5AF5247A">
                            <w:pPr>
                              <w:pStyle w:val="56"/>
                              <w:spacing w:before="52"/>
                              <w:ind w:left="7"/>
                              <w:rPr>
                                <w:rFonts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01</w:t>
                            </w:r>
                            <w:r>
                              <w:rPr>
                                <w:rFonts w:hint="eastAsia" w:ascii="宋体" w:hAnsi="宋体" w:cs="宋体"/>
                                <w:spacing w:val="1"/>
                                <w:w w:val="99"/>
                                <w:sz w:val="20"/>
                                <w:szCs w:val="20"/>
                              </w:rPr>
                              <w:t>0</w:t>
                            </w:r>
                            <w:r>
                              <w:rPr>
                                <w:rFonts w:hint="eastAsia" w:ascii="宋体" w:hAnsi="宋体" w:cs="宋体"/>
                                <w:w w:val="99"/>
                                <w:sz w:val="20"/>
                                <w:szCs w:val="20"/>
                              </w:rPr>
                              <w:t>60</w:t>
                            </w:r>
                            <w:r>
                              <w:rPr>
                                <w:rFonts w:hint="eastAsia" w:ascii="宋体" w:hAnsi="宋体" w:cs="宋体"/>
                                <w:spacing w:val="1"/>
                                <w:w w:val="99"/>
                                <w:sz w:val="20"/>
                                <w:szCs w:val="20"/>
                              </w:rPr>
                              <w:t>10</w:t>
                            </w:r>
                            <w:r>
                              <w:rPr>
                                <w:rFonts w:hint="eastAsia" w:ascii="宋体" w:hAnsi="宋体" w:cs="宋体"/>
                                <w:w w:val="99"/>
                                <w:sz w:val="20"/>
                                <w:szCs w:val="20"/>
                              </w:rPr>
                              <w:t>1喷墨打</w:t>
                            </w:r>
                          </w:p>
                          <w:p w14:paraId="39718DF6">
                            <w:pPr>
                              <w:pStyle w:val="56"/>
                              <w:spacing w:before="50"/>
                              <w:ind w:left="7"/>
                              <w:rPr>
                                <w:rFonts w:ascii="宋体" w:hAnsi="宋体" w:cs="宋体"/>
                                <w:sz w:val="20"/>
                                <w:szCs w:val="20"/>
                              </w:rPr>
                            </w:pPr>
                            <w:r>
                              <w:rPr>
                                <w:rFonts w:hint="eastAsia" w:ascii="宋体" w:hAnsi="宋体" w:cs="宋体"/>
                                <w:w w:val="99"/>
                                <w:sz w:val="20"/>
                                <w:szCs w:val="20"/>
                              </w:rPr>
                              <w:t>印机</w:t>
                            </w:r>
                          </w:p>
                        </w:tc>
                        <w:tc>
                          <w:tcPr>
                            <w:tcW w:w="3762" w:type="dxa"/>
                            <w:tcBorders>
                              <w:top w:val="single" w:color="000000" w:sz="4" w:space="0"/>
                              <w:left w:val="single" w:color="000000" w:sz="4" w:space="0"/>
                              <w:bottom w:val="single" w:color="000000" w:sz="4" w:space="0"/>
                              <w:right w:val="single" w:color="000000" w:sz="4" w:space="0"/>
                            </w:tcBorders>
                            <w:noWrap w:val="0"/>
                            <w:vAlign w:val="top"/>
                          </w:tcPr>
                          <w:p w14:paraId="48C24023">
                            <w:pPr>
                              <w:pStyle w:val="56"/>
                              <w:spacing w:before="52" w:line="280" w:lineRule="auto"/>
                              <w:ind w:left="7" w:right="7"/>
                              <w:rPr>
                                <w:rFonts w:ascii="宋体" w:hAnsi="宋体" w:cs="宋体"/>
                                <w:sz w:val="20"/>
                                <w:szCs w:val="20"/>
                                <w:lang w:eastAsia="zh-CN"/>
                              </w:rPr>
                            </w:pPr>
                            <w:r>
                              <w:rPr>
                                <w:rFonts w:hint="eastAsia" w:ascii="宋体" w:hAnsi="宋体" w:cs="宋体"/>
                                <w:w w:val="99"/>
                                <w:sz w:val="20"/>
                                <w:szCs w:val="20"/>
                                <w:lang w:eastAsia="zh-CN"/>
                              </w:rPr>
                              <w:t>《复印</w:t>
                            </w:r>
                            <w:r>
                              <w:rPr>
                                <w:rFonts w:hint="eastAsia" w:ascii="宋体" w:hAnsi="宋体" w:cs="宋体"/>
                                <w:spacing w:val="2"/>
                                <w:w w:val="99"/>
                                <w:sz w:val="20"/>
                                <w:szCs w:val="20"/>
                                <w:lang w:eastAsia="zh-CN"/>
                              </w:rPr>
                              <w:t>机</w:t>
                            </w:r>
                            <w:r>
                              <w:rPr>
                                <w:rFonts w:hint="eastAsia" w:ascii="宋体" w:hAnsi="宋体" w:cs="宋体"/>
                                <w:spacing w:val="-58"/>
                                <w:w w:val="99"/>
                                <w:sz w:val="20"/>
                                <w:szCs w:val="20"/>
                                <w:lang w:eastAsia="zh-CN"/>
                              </w:rPr>
                              <w:t>、</w:t>
                            </w:r>
                            <w:r>
                              <w:rPr>
                                <w:rFonts w:hint="eastAsia" w:ascii="宋体" w:hAnsi="宋体" w:cs="宋体"/>
                                <w:spacing w:val="2"/>
                                <w:w w:val="99"/>
                                <w:sz w:val="20"/>
                                <w:szCs w:val="20"/>
                                <w:lang w:eastAsia="zh-CN"/>
                              </w:rPr>
                              <w:t>打</w:t>
                            </w:r>
                            <w:r>
                              <w:rPr>
                                <w:rFonts w:hint="eastAsia" w:ascii="宋体" w:hAnsi="宋体" w:cs="宋体"/>
                                <w:w w:val="99"/>
                                <w:sz w:val="20"/>
                                <w:szCs w:val="20"/>
                                <w:lang w:eastAsia="zh-CN"/>
                              </w:rPr>
                              <w:t>印机</w:t>
                            </w:r>
                            <w:r>
                              <w:rPr>
                                <w:rFonts w:hint="eastAsia" w:ascii="宋体" w:hAnsi="宋体" w:cs="宋体"/>
                                <w:spacing w:val="2"/>
                                <w:w w:val="99"/>
                                <w:sz w:val="20"/>
                                <w:szCs w:val="20"/>
                                <w:lang w:eastAsia="zh-CN"/>
                              </w:rPr>
                              <w:t>和</w:t>
                            </w:r>
                            <w:r>
                              <w:rPr>
                                <w:rFonts w:hint="eastAsia" w:ascii="宋体" w:hAnsi="宋体" w:cs="宋体"/>
                                <w:w w:val="99"/>
                                <w:sz w:val="20"/>
                                <w:szCs w:val="20"/>
                                <w:lang w:eastAsia="zh-CN"/>
                              </w:rPr>
                              <w:t>传真</w:t>
                            </w:r>
                            <w:r>
                              <w:rPr>
                                <w:rFonts w:hint="eastAsia" w:ascii="宋体" w:hAnsi="宋体" w:cs="宋体"/>
                                <w:spacing w:val="2"/>
                                <w:w w:val="99"/>
                                <w:sz w:val="20"/>
                                <w:szCs w:val="20"/>
                                <w:lang w:eastAsia="zh-CN"/>
                              </w:rPr>
                              <w:t>机</w:t>
                            </w:r>
                            <w:r>
                              <w:rPr>
                                <w:rFonts w:hint="eastAsia" w:ascii="宋体" w:hAnsi="宋体" w:cs="宋体"/>
                                <w:w w:val="99"/>
                                <w:sz w:val="20"/>
                                <w:szCs w:val="20"/>
                                <w:lang w:eastAsia="zh-CN"/>
                              </w:rPr>
                              <w:t>能效限定值及</w:t>
                            </w:r>
                            <w:r>
                              <w:rPr>
                                <w:rFonts w:hint="eastAsia" w:ascii="宋体" w:hAnsi="宋体" w:cs="宋体"/>
                                <w:spacing w:val="2"/>
                                <w:w w:val="99"/>
                                <w:sz w:val="20"/>
                                <w:szCs w:val="20"/>
                                <w:lang w:eastAsia="zh-CN"/>
                              </w:rPr>
                              <w:t>能</w:t>
                            </w:r>
                            <w:r>
                              <w:rPr>
                                <w:rFonts w:hint="eastAsia" w:ascii="宋体" w:hAnsi="宋体" w:cs="宋体"/>
                                <w:w w:val="99"/>
                                <w:sz w:val="20"/>
                                <w:szCs w:val="20"/>
                                <w:lang w:eastAsia="zh-CN"/>
                              </w:rPr>
                              <w:t>效等</w:t>
                            </w:r>
                            <w:r>
                              <w:rPr>
                                <w:rFonts w:hint="eastAsia" w:ascii="宋体" w:hAnsi="宋体" w:cs="宋体"/>
                                <w:spacing w:val="2"/>
                                <w:w w:val="99"/>
                                <w:sz w:val="20"/>
                                <w:szCs w:val="20"/>
                                <w:lang w:eastAsia="zh-CN"/>
                              </w:rPr>
                              <w:t>级</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21</w:t>
                            </w:r>
                            <w:r>
                              <w:rPr>
                                <w:rFonts w:hint="eastAsia" w:ascii="宋体" w:hAnsi="宋体" w:cs="宋体"/>
                                <w:w w:val="99"/>
                                <w:sz w:val="20"/>
                                <w:szCs w:val="20"/>
                                <w:lang w:eastAsia="zh-CN"/>
                              </w:rPr>
                              <w:t>52</w:t>
                            </w:r>
                            <w:r>
                              <w:rPr>
                                <w:rFonts w:hint="eastAsia" w:ascii="宋体" w:hAnsi="宋体" w:cs="宋体"/>
                                <w:spacing w:val="1"/>
                                <w:w w:val="99"/>
                                <w:sz w:val="20"/>
                                <w:szCs w:val="20"/>
                                <w:lang w:eastAsia="zh-CN"/>
                              </w:rPr>
                              <w:t>1</w:t>
                            </w:r>
                            <w:r>
                              <w:rPr>
                                <w:rFonts w:hint="eastAsia" w:ascii="宋体" w:hAnsi="宋体" w:cs="宋体"/>
                                <w:w w:val="99"/>
                                <w:sz w:val="20"/>
                                <w:szCs w:val="20"/>
                                <w:lang w:eastAsia="zh-CN"/>
                              </w:rPr>
                              <w:t>）</w:t>
                            </w:r>
                          </w:p>
                        </w:tc>
                      </w:tr>
                      <w:tr w14:paraId="6DBA3B22">
                        <w:tblPrEx>
                          <w:tblCellMar>
                            <w:top w:w="0" w:type="dxa"/>
                            <w:left w:w="0" w:type="dxa"/>
                            <w:bottom w:w="0" w:type="dxa"/>
                            <w:right w:w="0" w:type="dxa"/>
                          </w:tblCellMar>
                        </w:tblPrEx>
                        <w:trPr>
                          <w:trHeight w:val="742" w:hRule="exac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31250903">
                            <w:pPr>
                              <w:widowControl/>
                              <w:jc w:val="left"/>
                              <w:rPr>
                                <w:rFonts w:ascii="宋体" w:hAnsi="宋体" w:eastAsia="Times New Roman" w:cs="宋体"/>
                                <w:kern w:val="0"/>
                                <w:sz w:val="20"/>
                                <w:szCs w:val="20"/>
                              </w:rPr>
                            </w:pPr>
                          </w:p>
                        </w:tc>
                        <w:tc>
                          <w:tcPr>
                            <w:tcW w:w="1166" w:type="dxa"/>
                            <w:vMerge w:val="continue"/>
                            <w:tcBorders>
                              <w:top w:val="single" w:color="000000" w:sz="4" w:space="0"/>
                              <w:left w:val="single" w:color="000000" w:sz="4" w:space="0"/>
                              <w:bottom w:val="single" w:color="000000" w:sz="4" w:space="0"/>
                              <w:right w:val="single" w:color="000000" w:sz="4" w:space="0"/>
                            </w:tcBorders>
                            <w:noWrap w:val="0"/>
                            <w:vAlign w:val="center"/>
                          </w:tcPr>
                          <w:p w14:paraId="5CFA7402">
                            <w:pPr>
                              <w:widowControl/>
                              <w:jc w:val="left"/>
                              <w:rPr>
                                <w:rFonts w:ascii="宋体" w:hAnsi="宋体" w:eastAsia="Times New Roman" w:cs="宋体"/>
                                <w:kern w:val="0"/>
                                <w:sz w:val="20"/>
                                <w:szCs w:val="20"/>
                              </w:rPr>
                            </w:pPr>
                          </w:p>
                        </w:tc>
                        <w:tc>
                          <w:tcPr>
                            <w:tcW w:w="1800" w:type="dxa"/>
                            <w:vMerge w:val="continue"/>
                            <w:tcBorders>
                              <w:top w:val="single" w:color="000000" w:sz="4" w:space="0"/>
                              <w:left w:val="single" w:color="000000" w:sz="4" w:space="0"/>
                              <w:bottom w:val="single" w:color="000000" w:sz="4" w:space="0"/>
                              <w:right w:val="single" w:color="000000" w:sz="4" w:space="0"/>
                            </w:tcBorders>
                            <w:noWrap w:val="0"/>
                            <w:vAlign w:val="center"/>
                          </w:tcPr>
                          <w:p w14:paraId="3FFFE1CC">
                            <w:pPr>
                              <w:widowControl/>
                              <w:jc w:val="left"/>
                              <w:rPr>
                                <w:rFonts w:ascii="宋体" w:hAnsi="宋体" w:eastAsia="Times New Roman" w:cs="宋体"/>
                                <w:kern w:val="0"/>
                                <w:sz w:val="20"/>
                                <w:szCs w:val="20"/>
                              </w:rPr>
                            </w:pPr>
                          </w:p>
                        </w:tc>
                        <w:tc>
                          <w:tcPr>
                            <w:tcW w:w="1823" w:type="dxa"/>
                            <w:tcBorders>
                              <w:top w:val="single" w:color="000000" w:sz="4" w:space="0"/>
                              <w:left w:val="single" w:color="000000" w:sz="4" w:space="0"/>
                              <w:bottom w:val="single" w:color="000000" w:sz="4" w:space="0"/>
                              <w:right w:val="single" w:color="000000" w:sz="4" w:space="0"/>
                            </w:tcBorders>
                            <w:noWrap w:val="0"/>
                            <w:vAlign w:val="top"/>
                          </w:tcPr>
                          <w:p w14:paraId="0ED288F0">
                            <w:pPr>
                              <w:pStyle w:val="56"/>
                              <w:spacing w:before="52"/>
                              <w:ind w:left="7"/>
                              <w:rPr>
                                <w:rFonts w:ascii="宋体" w:hAnsi="宋体" w:cs="宋体"/>
                                <w:sz w:val="20"/>
                                <w:szCs w:val="20"/>
                              </w:rPr>
                            </w:pPr>
                            <w:r>
                              <w:rPr>
                                <w:rFonts w:hint="eastAsia" w:ascii="宋体" w:hAnsi="宋体" w:cs="宋体"/>
                                <w:w w:val="99"/>
                                <w:sz w:val="20"/>
                                <w:szCs w:val="20"/>
                              </w:rPr>
                              <w:t>★</w:t>
                            </w:r>
                            <w:r>
                              <w:rPr>
                                <w:rFonts w:hint="eastAsia" w:ascii="宋体" w:hAnsi="宋体" w:cs="宋体"/>
                                <w:spacing w:val="1"/>
                                <w:w w:val="99"/>
                                <w:sz w:val="20"/>
                                <w:szCs w:val="20"/>
                              </w:rPr>
                              <w:t>A02</w:t>
                            </w:r>
                            <w:r>
                              <w:rPr>
                                <w:rFonts w:hint="eastAsia" w:ascii="宋体" w:hAnsi="宋体" w:cs="宋体"/>
                                <w:w w:val="99"/>
                                <w:sz w:val="20"/>
                                <w:szCs w:val="20"/>
                              </w:rPr>
                              <w:t>01</w:t>
                            </w:r>
                            <w:r>
                              <w:rPr>
                                <w:rFonts w:hint="eastAsia" w:ascii="宋体" w:hAnsi="宋体" w:cs="宋体"/>
                                <w:spacing w:val="1"/>
                                <w:w w:val="99"/>
                                <w:sz w:val="20"/>
                                <w:szCs w:val="20"/>
                              </w:rPr>
                              <w:t>0</w:t>
                            </w:r>
                            <w:r>
                              <w:rPr>
                                <w:rFonts w:hint="eastAsia" w:ascii="宋体" w:hAnsi="宋体" w:cs="宋体"/>
                                <w:w w:val="99"/>
                                <w:sz w:val="20"/>
                                <w:szCs w:val="20"/>
                              </w:rPr>
                              <w:t>60</w:t>
                            </w:r>
                            <w:r>
                              <w:rPr>
                                <w:rFonts w:hint="eastAsia" w:ascii="宋体" w:hAnsi="宋体" w:cs="宋体"/>
                                <w:spacing w:val="1"/>
                                <w:w w:val="99"/>
                                <w:sz w:val="20"/>
                                <w:szCs w:val="20"/>
                              </w:rPr>
                              <w:t>1</w:t>
                            </w:r>
                            <w:r>
                              <w:rPr>
                                <w:rFonts w:hint="eastAsia" w:ascii="宋体" w:hAnsi="宋体" w:cs="宋体"/>
                                <w:w w:val="99"/>
                                <w:sz w:val="20"/>
                                <w:szCs w:val="20"/>
                              </w:rPr>
                              <w:t>02激光</w:t>
                            </w:r>
                          </w:p>
                          <w:p w14:paraId="6476ECCF">
                            <w:pPr>
                              <w:pStyle w:val="56"/>
                              <w:spacing w:before="50"/>
                              <w:ind w:left="7"/>
                              <w:rPr>
                                <w:rFonts w:ascii="宋体" w:hAnsi="宋体" w:cs="宋体"/>
                                <w:sz w:val="20"/>
                                <w:szCs w:val="20"/>
                              </w:rPr>
                            </w:pPr>
                            <w:r>
                              <w:rPr>
                                <w:rFonts w:hint="eastAsia" w:ascii="宋体" w:hAnsi="宋体" w:cs="宋体"/>
                                <w:w w:val="99"/>
                                <w:sz w:val="20"/>
                                <w:szCs w:val="20"/>
                              </w:rPr>
                              <w:t>打印机</w:t>
                            </w:r>
                          </w:p>
                        </w:tc>
                        <w:tc>
                          <w:tcPr>
                            <w:tcW w:w="3762" w:type="dxa"/>
                            <w:tcBorders>
                              <w:top w:val="single" w:color="000000" w:sz="4" w:space="0"/>
                              <w:left w:val="single" w:color="000000" w:sz="4" w:space="0"/>
                              <w:bottom w:val="single" w:color="000000" w:sz="4" w:space="0"/>
                              <w:right w:val="single" w:color="000000" w:sz="4" w:space="0"/>
                            </w:tcBorders>
                            <w:noWrap w:val="0"/>
                            <w:vAlign w:val="top"/>
                          </w:tcPr>
                          <w:p w14:paraId="16BCC4DA">
                            <w:pPr>
                              <w:pStyle w:val="56"/>
                              <w:spacing w:before="52" w:line="280" w:lineRule="auto"/>
                              <w:ind w:left="7" w:right="7"/>
                              <w:rPr>
                                <w:rFonts w:ascii="宋体" w:hAnsi="宋体" w:cs="宋体"/>
                                <w:sz w:val="20"/>
                                <w:szCs w:val="20"/>
                                <w:lang w:eastAsia="zh-CN"/>
                              </w:rPr>
                            </w:pPr>
                            <w:r>
                              <w:rPr>
                                <w:rFonts w:hint="eastAsia" w:ascii="宋体" w:hAnsi="宋体" w:cs="宋体"/>
                                <w:w w:val="99"/>
                                <w:sz w:val="20"/>
                                <w:szCs w:val="20"/>
                                <w:lang w:eastAsia="zh-CN"/>
                              </w:rPr>
                              <w:t>《复印</w:t>
                            </w:r>
                            <w:r>
                              <w:rPr>
                                <w:rFonts w:hint="eastAsia" w:ascii="宋体" w:hAnsi="宋体" w:cs="宋体"/>
                                <w:spacing w:val="2"/>
                                <w:w w:val="99"/>
                                <w:sz w:val="20"/>
                                <w:szCs w:val="20"/>
                                <w:lang w:eastAsia="zh-CN"/>
                              </w:rPr>
                              <w:t>机</w:t>
                            </w:r>
                            <w:r>
                              <w:rPr>
                                <w:rFonts w:hint="eastAsia" w:ascii="宋体" w:hAnsi="宋体" w:cs="宋体"/>
                                <w:spacing w:val="-58"/>
                                <w:w w:val="99"/>
                                <w:sz w:val="20"/>
                                <w:szCs w:val="20"/>
                                <w:lang w:eastAsia="zh-CN"/>
                              </w:rPr>
                              <w:t>、</w:t>
                            </w:r>
                            <w:r>
                              <w:rPr>
                                <w:rFonts w:hint="eastAsia" w:ascii="宋体" w:hAnsi="宋体" w:cs="宋体"/>
                                <w:spacing w:val="2"/>
                                <w:w w:val="99"/>
                                <w:sz w:val="20"/>
                                <w:szCs w:val="20"/>
                                <w:lang w:eastAsia="zh-CN"/>
                              </w:rPr>
                              <w:t>打</w:t>
                            </w:r>
                            <w:r>
                              <w:rPr>
                                <w:rFonts w:hint="eastAsia" w:ascii="宋体" w:hAnsi="宋体" w:cs="宋体"/>
                                <w:w w:val="99"/>
                                <w:sz w:val="20"/>
                                <w:szCs w:val="20"/>
                                <w:lang w:eastAsia="zh-CN"/>
                              </w:rPr>
                              <w:t>印机</w:t>
                            </w:r>
                            <w:r>
                              <w:rPr>
                                <w:rFonts w:hint="eastAsia" w:ascii="宋体" w:hAnsi="宋体" w:cs="宋体"/>
                                <w:spacing w:val="2"/>
                                <w:w w:val="99"/>
                                <w:sz w:val="20"/>
                                <w:szCs w:val="20"/>
                                <w:lang w:eastAsia="zh-CN"/>
                              </w:rPr>
                              <w:t>和</w:t>
                            </w:r>
                            <w:r>
                              <w:rPr>
                                <w:rFonts w:hint="eastAsia" w:ascii="宋体" w:hAnsi="宋体" w:cs="宋体"/>
                                <w:w w:val="99"/>
                                <w:sz w:val="20"/>
                                <w:szCs w:val="20"/>
                                <w:lang w:eastAsia="zh-CN"/>
                              </w:rPr>
                              <w:t>传真</w:t>
                            </w:r>
                            <w:r>
                              <w:rPr>
                                <w:rFonts w:hint="eastAsia" w:ascii="宋体" w:hAnsi="宋体" w:cs="宋体"/>
                                <w:spacing w:val="2"/>
                                <w:w w:val="99"/>
                                <w:sz w:val="20"/>
                                <w:szCs w:val="20"/>
                                <w:lang w:eastAsia="zh-CN"/>
                              </w:rPr>
                              <w:t>机</w:t>
                            </w:r>
                            <w:r>
                              <w:rPr>
                                <w:rFonts w:hint="eastAsia" w:ascii="宋体" w:hAnsi="宋体" w:cs="宋体"/>
                                <w:w w:val="99"/>
                                <w:sz w:val="20"/>
                                <w:szCs w:val="20"/>
                                <w:lang w:eastAsia="zh-CN"/>
                              </w:rPr>
                              <w:t>能效限定值及</w:t>
                            </w:r>
                            <w:r>
                              <w:rPr>
                                <w:rFonts w:hint="eastAsia" w:ascii="宋体" w:hAnsi="宋体" w:cs="宋体"/>
                                <w:spacing w:val="2"/>
                                <w:w w:val="99"/>
                                <w:sz w:val="20"/>
                                <w:szCs w:val="20"/>
                                <w:lang w:eastAsia="zh-CN"/>
                              </w:rPr>
                              <w:t>能</w:t>
                            </w:r>
                            <w:r>
                              <w:rPr>
                                <w:rFonts w:hint="eastAsia" w:ascii="宋体" w:hAnsi="宋体" w:cs="宋体"/>
                                <w:w w:val="99"/>
                                <w:sz w:val="20"/>
                                <w:szCs w:val="20"/>
                                <w:lang w:eastAsia="zh-CN"/>
                              </w:rPr>
                              <w:t>效等</w:t>
                            </w:r>
                            <w:r>
                              <w:rPr>
                                <w:rFonts w:hint="eastAsia" w:ascii="宋体" w:hAnsi="宋体" w:cs="宋体"/>
                                <w:spacing w:val="2"/>
                                <w:w w:val="99"/>
                                <w:sz w:val="20"/>
                                <w:szCs w:val="20"/>
                                <w:lang w:eastAsia="zh-CN"/>
                              </w:rPr>
                              <w:t>级</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21</w:t>
                            </w:r>
                            <w:r>
                              <w:rPr>
                                <w:rFonts w:hint="eastAsia" w:ascii="宋体" w:hAnsi="宋体" w:cs="宋体"/>
                                <w:w w:val="99"/>
                                <w:sz w:val="20"/>
                                <w:szCs w:val="20"/>
                                <w:lang w:eastAsia="zh-CN"/>
                              </w:rPr>
                              <w:t>52</w:t>
                            </w:r>
                            <w:r>
                              <w:rPr>
                                <w:rFonts w:hint="eastAsia" w:ascii="宋体" w:hAnsi="宋体" w:cs="宋体"/>
                                <w:spacing w:val="1"/>
                                <w:w w:val="99"/>
                                <w:sz w:val="20"/>
                                <w:szCs w:val="20"/>
                                <w:lang w:eastAsia="zh-CN"/>
                              </w:rPr>
                              <w:t>1</w:t>
                            </w:r>
                            <w:r>
                              <w:rPr>
                                <w:rFonts w:hint="eastAsia" w:ascii="宋体" w:hAnsi="宋体" w:cs="宋体"/>
                                <w:w w:val="99"/>
                                <w:sz w:val="20"/>
                                <w:szCs w:val="20"/>
                                <w:lang w:eastAsia="zh-CN"/>
                              </w:rPr>
                              <w:t>）</w:t>
                            </w:r>
                          </w:p>
                        </w:tc>
                      </w:tr>
                      <w:tr w14:paraId="78F5D730">
                        <w:tblPrEx>
                          <w:tblCellMar>
                            <w:top w:w="0" w:type="dxa"/>
                            <w:left w:w="0" w:type="dxa"/>
                            <w:bottom w:w="0" w:type="dxa"/>
                            <w:right w:w="0" w:type="dxa"/>
                          </w:tblCellMar>
                        </w:tblPrEx>
                        <w:trPr>
                          <w:trHeight w:val="742" w:hRule="exac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7EDC960D">
                            <w:pPr>
                              <w:widowControl/>
                              <w:jc w:val="left"/>
                              <w:rPr>
                                <w:rFonts w:ascii="宋体" w:hAnsi="宋体" w:eastAsia="Times New Roman" w:cs="宋体"/>
                                <w:kern w:val="0"/>
                                <w:sz w:val="20"/>
                                <w:szCs w:val="20"/>
                              </w:rPr>
                            </w:pPr>
                          </w:p>
                        </w:tc>
                        <w:tc>
                          <w:tcPr>
                            <w:tcW w:w="1166" w:type="dxa"/>
                            <w:vMerge w:val="continue"/>
                            <w:tcBorders>
                              <w:top w:val="single" w:color="000000" w:sz="4" w:space="0"/>
                              <w:left w:val="single" w:color="000000" w:sz="4" w:space="0"/>
                              <w:bottom w:val="single" w:color="000000" w:sz="4" w:space="0"/>
                              <w:right w:val="single" w:color="000000" w:sz="4" w:space="0"/>
                            </w:tcBorders>
                            <w:noWrap w:val="0"/>
                            <w:vAlign w:val="center"/>
                          </w:tcPr>
                          <w:p w14:paraId="4C9E567E">
                            <w:pPr>
                              <w:widowControl/>
                              <w:jc w:val="left"/>
                              <w:rPr>
                                <w:rFonts w:ascii="宋体" w:hAnsi="宋体" w:eastAsia="Times New Roman" w:cs="宋体"/>
                                <w:kern w:val="0"/>
                                <w:sz w:val="20"/>
                                <w:szCs w:val="20"/>
                              </w:rPr>
                            </w:pPr>
                          </w:p>
                        </w:tc>
                        <w:tc>
                          <w:tcPr>
                            <w:tcW w:w="1800" w:type="dxa"/>
                            <w:vMerge w:val="continue"/>
                            <w:tcBorders>
                              <w:top w:val="single" w:color="000000" w:sz="4" w:space="0"/>
                              <w:left w:val="single" w:color="000000" w:sz="4" w:space="0"/>
                              <w:bottom w:val="single" w:color="000000" w:sz="4" w:space="0"/>
                              <w:right w:val="single" w:color="000000" w:sz="4" w:space="0"/>
                            </w:tcBorders>
                            <w:noWrap w:val="0"/>
                            <w:vAlign w:val="center"/>
                          </w:tcPr>
                          <w:p w14:paraId="79C64F8D">
                            <w:pPr>
                              <w:widowControl/>
                              <w:jc w:val="left"/>
                              <w:rPr>
                                <w:rFonts w:ascii="宋体" w:hAnsi="宋体" w:eastAsia="Times New Roman" w:cs="宋体"/>
                                <w:kern w:val="0"/>
                                <w:sz w:val="20"/>
                                <w:szCs w:val="20"/>
                              </w:rPr>
                            </w:pPr>
                          </w:p>
                        </w:tc>
                        <w:tc>
                          <w:tcPr>
                            <w:tcW w:w="1823" w:type="dxa"/>
                            <w:tcBorders>
                              <w:top w:val="single" w:color="000000" w:sz="4" w:space="0"/>
                              <w:left w:val="single" w:color="000000" w:sz="4" w:space="0"/>
                              <w:bottom w:val="single" w:color="000000" w:sz="4" w:space="0"/>
                              <w:right w:val="single" w:color="000000" w:sz="4" w:space="0"/>
                            </w:tcBorders>
                            <w:noWrap w:val="0"/>
                            <w:vAlign w:val="top"/>
                          </w:tcPr>
                          <w:p w14:paraId="3D438A54">
                            <w:pPr>
                              <w:pStyle w:val="56"/>
                              <w:spacing w:before="52"/>
                              <w:ind w:left="7"/>
                              <w:rPr>
                                <w:rFonts w:ascii="宋体" w:hAnsi="宋体" w:cs="宋体"/>
                                <w:sz w:val="20"/>
                                <w:szCs w:val="20"/>
                              </w:rPr>
                            </w:pPr>
                            <w:r>
                              <w:rPr>
                                <w:rFonts w:hint="eastAsia" w:ascii="宋体" w:hAnsi="宋体" w:cs="宋体"/>
                                <w:w w:val="99"/>
                                <w:sz w:val="20"/>
                                <w:szCs w:val="20"/>
                              </w:rPr>
                              <w:t>★</w:t>
                            </w:r>
                            <w:r>
                              <w:rPr>
                                <w:rFonts w:hint="eastAsia" w:ascii="宋体" w:hAnsi="宋体" w:cs="宋体"/>
                                <w:spacing w:val="1"/>
                                <w:w w:val="99"/>
                                <w:sz w:val="20"/>
                                <w:szCs w:val="20"/>
                              </w:rPr>
                              <w:t>A02</w:t>
                            </w:r>
                            <w:r>
                              <w:rPr>
                                <w:rFonts w:hint="eastAsia" w:ascii="宋体" w:hAnsi="宋体" w:cs="宋体"/>
                                <w:w w:val="99"/>
                                <w:sz w:val="20"/>
                                <w:szCs w:val="20"/>
                              </w:rPr>
                              <w:t>01</w:t>
                            </w:r>
                            <w:r>
                              <w:rPr>
                                <w:rFonts w:hint="eastAsia" w:ascii="宋体" w:hAnsi="宋体" w:cs="宋体"/>
                                <w:spacing w:val="1"/>
                                <w:w w:val="99"/>
                                <w:sz w:val="20"/>
                                <w:szCs w:val="20"/>
                              </w:rPr>
                              <w:t>0</w:t>
                            </w:r>
                            <w:r>
                              <w:rPr>
                                <w:rFonts w:hint="eastAsia" w:ascii="宋体" w:hAnsi="宋体" w:cs="宋体"/>
                                <w:w w:val="99"/>
                                <w:sz w:val="20"/>
                                <w:szCs w:val="20"/>
                              </w:rPr>
                              <w:t>60</w:t>
                            </w:r>
                            <w:r>
                              <w:rPr>
                                <w:rFonts w:hint="eastAsia" w:ascii="宋体" w:hAnsi="宋体" w:cs="宋体"/>
                                <w:spacing w:val="1"/>
                                <w:w w:val="99"/>
                                <w:sz w:val="20"/>
                                <w:szCs w:val="20"/>
                              </w:rPr>
                              <w:t>1</w:t>
                            </w:r>
                            <w:r>
                              <w:rPr>
                                <w:rFonts w:hint="eastAsia" w:ascii="宋体" w:hAnsi="宋体" w:cs="宋体"/>
                                <w:w w:val="99"/>
                                <w:sz w:val="20"/>
                                <w:szCs w:val="20"/>
                              </w:rPr>
                              <w:t>04针式</w:t>
                            </w:r>
                          </w:p>
                          <w:p w14:paraId="1245E581">
                            <w:pPr>
                              <w:pStyle w:val="56"/>
                              <w:spacing w:before="50"/>
                              <w:ind w:left="7"/>
                              <w:rPr>
                                <w:rFonts w:ascii="宋体" w:hAnsi="宋体" w:cs="宋体"/>
                                <w:sz w:val="20"/>
                                <w:szCs w:val="20"/>
                              </w:rPr>
                            </w:pPr>
                            <w:r>
                              <w:rPr>
                                <w:rFonts w:hint="eastAsia" w:ascii="宋体" w:hAnsi="宋体" w:cs="宋体"/>
                                <w:w w:val="99"/>
                                <w:sz w:val="20"/>
                                <w:szCs w:val="20"/>
                              </w:rPr>
                              <w:t>打印机</w:t>
                            </w:r>
                          </w:p>
                        </w:tc>
                        <w:tc>
                          <w:tcPr>
                            <w:tcW w:w="3762" w:type="dxa"/>
                            <w:tcBorders>
                              <w:top w:val="single" w:color="000000" w:sz="4" w:space="0"/>
                              <w:left w:val="single" w:color="000000" w:sz="4" w:space="0"/>
                              <w:bottom w:val="single" w:color="000000" w:sz="4" w:space="0"/>
                              <w:right w:val="single" w:color="000000" w:sz="4" w:space="0"/>
                            </w:tcBorders>
                            <w:noWrap w:val="0"/>
                            <w:vAlign w:val="top"/>
                          </w:tcPr>
                          <w:p w14:paraId="1BC9ED85">
                            <w:pPr>
                              <w:pStyle w:val="56"/>
                              <w:spacing w:before="52" w:line="280" w:lineRule="auto"/>
                              <w:ind w:left="7" w:right="7"/>
                              <w:rPr>
                                <w:rFonts w:ascii="宋体" w:hAnsi="宋体" w:cs="宋体"/>
                                <w:sz w:val="20"/>
                                <w:szCs w:val="20"/>
                                <w:lang w:eastAsia="zh-CN"/>
                              </w:rPr>
                            </w:pPr>
                            <w:r>
                              <w:rPr>
                                <w:rFonts w:hint="eastAsia" w:ascii="宋体" w:hAnsi="宋体" w:cs="宋体"/>
                                <w:w w:val="99"/>
                                <w:sz w:val="20"/>
                                <w:szCs w:val="20"/>
                                <w:lang w:eastAsia="zh-CN"/>
                              </w:rPr>
                              <w:t>《复印</w:t>
                            </w:r>
                            <w:r>
                              <w:rPr>
                                <w:rFonts w:hint="eastAsia" w:ascii="宋体" w:hAnsi="宋体" w:cs="宋体"/>
                                <w:spacing w:val="2"/>
                                <w:w w:val="99"/>
                                <w:sz w:val="20"/>
                                <w:szCs w:val="20"/>
                                <w:lang w:eastAsia="zh-CN"/>
                              </w:rPr>
                              <w:t>机</w:t>
                            </w:r>
                            <w:r>
                              <w:rPr>
                                <w:rFonts w:hint="eastAsia" w:ascii="宋体" w:hAnsi="宋体" w:cs="宋体"/>
                                <w:spacing w:val="-58"/>
                                <w:w w:val="99"/>
                                <w:sz w:val="20"/>
                                <w:szCs w:val="20"/>
                                <w:lang w:eastAsia="zh-CN"/>
                              </w:rPr>
                              <w:t>、</w:t>
                            </w:r>
                            <w:r>
                              <w:rPr>
                                <w:rFonts w:hint="eastAsia" w:ascii="宋体" w:hAnsi="宋体" w:cs="宋体"/>
                                <w:spacing w:val="2"/>
                                <w:w w:val="99"/>
                                <w:sz w:val="20"/>
                                <w:szCs w:val="20"/>
                                <w:lang w:eastAsia="zh-CN"/>
                              </w:rPr>
                              <w:t>打</w:t>
                            </w:r>
                            <w:r>
                              <w:rPr>
                                <w:rFonts w:hint="eastAsia" w:ascii="宋体" w:hAnsi="宋体" w:cs="宋体"/>
                                <w:w w:val="99"/>
                                <w:sz w:val="20"/>
                                <w:szCs w:val="20"/>
                                <w:lang w:eastAsia="zh-CN"/>
                              </w:rPr>
                              <w:t>印机</w:t>
                            </w:r>
                            <w:r>
                              <w:rPr>
                                <w:rFonts w:hint="eastAsia" w:ascii="宋体" w:hAnsi="宋体" w:cs="宋体"/>
                                <w:spacing w:val="2"/>
                                <w:w w:val="99"/>
                                <w:sz w:val="20"/>
                                <w:szCs w:val="20"/>
                                <w:lang w:eastAsia="zh-CN"/>
                              </w:rPr>
                              <w:t>和</w:t>
                            </w:r>
                            <w:r>
                              <w:rPr>
                                <w:rFonts w:hint="eastAsia" w:ascii="宋体" w:hAnsi="宋体" w:cs="宋体"/>
                                <w:w w:val="99"/>
                                <w:sz w:val="20"/>
                                <w:szCs w:val="20"/>
                                <w:lang w:eastAsia="zh-CN"/>
                              </w:rPr>
                              <w:t>传真</w:t>
                            </w:r>
                            <w:r>
                              <w:rPr>
                                <w:rFonts w:hint="eastAsia" w:ascii="宋体" w:hAnsi="宋体" w:cs="宋体"/>
                                <w:spacing w:val="2"/>
                                <w:w w:val="99"/>
                                <w:sz w:val="20"/>
                                <w:szCs w:val="20"/>
                                <w:lang w:eastAsia="zh-CN"/>
                              </w:rPr>
                              <w:t>机</w:t>
                            </w:r>
                            <w:r>
                              <w:rPr>
                                <w:rFonts w:hint="eastAsia" w:ascii="宋体" w:hAnsi="宋体" w:cs="宋体"/>
                                <w:w w:val="99"/>
                                <w:sz w:val="20"/>
                                <w:szCs w:val="20"/>
                                <w:lang w:eastAsia="zh-CN"/>
                              </w:rPr>
                              <w:t>能效限定值及</w:t>
                            </w:r>
                            <w:r>
                              <w:rPr>
                                <w:rFonts w:hint="eastAsia" w:ascii="宋体" w:hAnsi="宋体" w:cs="宋体"/>
                                <w:spacing w:val="2"/>
                                <w:w w:val="99"/>
                                <w:sz w:val="20"/>
                                <w:szCs w:val="20"/>
                                <w:lang w:eastAsia="zh-CN"/>
                              </w:rPr>
                              <w:t>能</w:t>
                            </w:r>
                            <w:r>
                              <w:rPr>
                                <w:rFonts w:hint="eastAsia" w:ascii="宋体" w:hAnsi="宋体" w:cs="宋体"/>
                                <w:w w:val="99"/>
                                <w:sz w:val="20"/>
                                <w:szCs w:val="20"/>
                                <w:lang w:eastAsia="zh-CN"/>
                              </w:rPr>
                              <w:t>效等</w:t>
                            </w:r>
                            <w:r>
                              <w:rPr>
                                <w:rFonts w:hint="eastAsia" w:ascii="宋体" w:hAnsi="宋体" w:cs="宋体"/>
                                <w:spacing w:val="2"/>
                                <w:w w:val="99"/>
                                <w:sz w:val="20"/>
                                <w:szCs w:val="20"/>
                                <w:lang w:eastAsia="zh-CN"/>
                              </w:rPr>
                              <w:t>级</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21</w:t>
                            </w:r>
                            <w:r>
                              <w:rPr>
                                <w:rFonts w:hint="eastAsia" w:ascii="宋体" w:hAnsi="宋体" w:cs="宋体"/>
                                <w:w w:val="99"/>
                                <w:sz w:val="20"/>
                                <w:szCs w:val="20"/>
                                <w:lang w:eastAsia="zh-CN"/>
                              </w:rPr>
                              <w:t>52</w:t>
                            </w:r>
                            <w:r>
                              <w:rPr>
                                <w:rFonts w:hint="eastAsia" w:ascii="宋体" w:hAnsi="宋体" w:cs="宋体"/>
                                <w:spacing w:val="1"/>
                                <w:w w:val="99"/>
                                <w:sz w:val="20"/>
                                <w:szCs w:val="20"/>
                                <w:lang w:eastAsia="zh-CN"/>
                              </w:rPr>
                              <w:t>1</w:t>
                            </w:r>
                            <w:r>
                              <w:rPr>
                                <w:rFonts w:hint="eastAsia" w:ascii="宋体" w:hAnsi="宋体" w:cs="宋体"/>
                                <w:w w:val="99"/>
                                <w:sz w:val="20"/>
                                <w:szCs w:val="20"/>
                                <w:lang w:eastAsia="zh-CN"/>
                              </w:rPr>
                              <w:t>）</w:t>
                            </w:r>
                          </w:p>
                        </w:tc>
                      </w:tr>
                      <w:tr w14:paraId="4D2AC870">
                        <w:tblPrEx>
                          <w:tblCellMar>
                            <w:top w:w="0" w:type="dxa"/>
                            <w:left w:w="0" w:type="dxa"/>
                            <w:bottom w:w="0" w:type="dxa"/>
                            <w:right w:w="0" w:type="dxa"/>
                          </w:tblCellMar>
                        </w:tblPrEx>
                        <w:trPr>
                          <w:trHeight w:val="773" w:hRule="exac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4CF8A794">
                            <w:pPr>
                              <w:widowControl/>
                              <w:jc w:val="left"/>
                              <w:rPr>
                                <w:rFonts w:ascii="宋体" w:hAnsi="宋体" w:eastAsia="Times New Roman" w:cs="宋体"/>
                                <w:kern w:val="0"/>
                                <w:sz w:val="20"/>
                                <w:szCs w:val="20"/>
                              </w:rPr>
                            </w:pPr>
                          </w:p>
                        </w:tc>
                        <w:tc>
                          <w:tcPr>
                            <w:tcW w:w="1166" w:type="dxa"/>
                            <w:vMerge w:val="continue"/>
                            <w:tcBorders>
                              <w:top w:val="single" w:color="000000" w:sz="4" w:space="0"/>
                              <w:left w:val="single" w:color="000000" w:sz="4" w:space="0"/>
                              <w:bottom w:val="single" w:color="000000" w:sz="4" w:space="0"/>
                              <w:right w:val="single" w:color="000000" w:sz="4" w:space="0"/>
                            </w:tcBorders>
                            <w:noWrap w:val="0"/>
                            <w:vAlign w:val="center"/>
                          </w:tcPr>
                          <w:p w14:paraId="5C18B818">
                            <w:pPr>
                              <w:widowControl/>
                              <w:jc w:val="left"/>
                              <w:rPr>
                                <w:rFonts w:ascii="宋体" w:hAnsi="宋体" w:eastAsia="Times New Roman" w:cs="宋体"/>
                                <w:kern w:val="0"/>
                                <w:sz w:val="20"/>
                                <w:szCs w:val="20"/>
                              </w:rPr>
                            </w:pPr>
                          </w:p>
                        </w:tc>
                        <w:tc>
                          <w:tcPr>
                            <w:tcW w:w="1800" w:type="dxa"/>
                            <w:tcBorders>
                              <w:top w:val="single" w:color="000000" w:sz="4" w:space="0"/>
                              <w:left w:val="single" w:color="000000" w:sz="4" w:space="0"/>
                              <w:bottom w:val="single" w:color="000000" w:sz="4" w:space="0"/>
                              <w:right w:val="single" w:color="000000" w:sz="4" w:space="0"/>
                            </w:tcBorders>
                            <w:noWrap w:val="0"/>
                            <w:vAlign w:val="top"/>
                          </w:tcPr>
                          <w:p w14:paraId="35DFE4C5">
                            <w:pPr>
                              <w:pStyle w:val="56"/>
                              <w:spacing w:before="2"/>
                              <w:rPr>
                                <w:rFonts w:ascii="宋体" w:hAnsi="宋体" w:cs="宋体"/>
                                <w:sz w:val="17"/>
                                <w:szCs w:val="17"/>
                                <w:lang w:eastAsia="zh-CN"/>
                              </w:rPr>
                            </w:pPr>
                          </w:p>
                          <w:p w14:paraId="60DE2DB0">
                            <w:pPr>
                              <w:pStyle w:val="56"/>
                              <w:ind w:left="7"/>
                              <w:rPr>
                                <w:rFonts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01</w:t>
                            </w:r>
                            <w:r>
                              <w:rPr>
                                <w:rFonts w:hint="eastAsia" w:ascii="宋体" w:hAnsi="宋体" w:cs="宋体"/>
                                <w:spacing w:val="1"/>
                                <w:w w:val="99"/>
                                <w:sz w:val="20"/>
                                <w:szCs w:val="20"/>
                              </w:rPr>
                              <w:t>0</w:t>
                            </w:r>
                            <w:r>
                              <w:rPr>
                                <w:rFonts w:hint="eastAsia" w:ascii="宋体" w:hAnsi="宋体" w:cs="宋体"/>
                                <w:w w:val="99"/>
                                <w:sz w:val="20"/>
                                <w:szCs w:val="20"/>
                              </w:rPr>
                              <w:t>604显示设备</w:t>
                            </w:r>
                          </w:p>
                        </w:tc>
                        <w:tc>
                          <w:tcPr>
                            <w:tcW w:w="1823" w:type="dxa"/>
                            <w:tcBorders>
                              <w:top w:val="single" w:color="000000" w:sz="4" w:space="0"/>
                              <w:left w:val="single" w:color="000000" w:sz="4" w:space="0"/>
                              <w:bottom w:val="single" w:color="000000" w:sz="4" w:space="0"/>
                              <w:right w:val="single" w:color="000000" w:sz="4" w:space="0"/>
                            </w:tcBorders>
                            <w:noWrap w:val="0"/>
                            <w:vAlign w:val="top"/>
                          </w:tcPr>
                          <w:p w14:paraId="3FC61710">
                            <w:pPr>
                              <w:pStyle w:val="56"/>
                              <w:spacing w:before="68"/>
                              <w:ind w:left="7"/>
                              <w:rPr>
                                <w:rFonts w:ascii="宋体" w:hAnsi="宋体" w:cs="宋体"/>
                                <w:sz w:val="20"/>
                                <w:szCs w:val="20"/>
                              </w:rPr>
                            </w:pPr>
                            <w:r>
                              <w:rPr>
                                <w:rFonts w:hint="eastAsia" w:ascii="宋体" w:hAnsi="宋体" w:cs="宋体"/>
                                <w:w w:val="99"/>
                                <w:sz w:val="20"/>
                                <w:szCs w:val="20"/>
                              </w:rPr>
                              <w:t>★</w:t>
                            </w:r>
                            <w:r>
                              <w:rPr>
                                <w:rFonts w:hint="eastAsia" w:ascii="宋体" w:hAnsi="宋体" w:cs="宋体"/>
                                <w:spacing w:val="1"/>
                                <w:w w:val="99"/>
                                <w:sz w:val="20"/>
                                <w:szCs w:val="20"/>
                              </w:rPr>
                              <w:t>A02</w:t>
                            </w:r>
                            <w:r>
                              <w:rPr>
                                <w:rFonts w:hint="eastAsia" w:ascii="宋体" w:hAnsi="宋体" w:cs="宋体"/>
                                <w:w w:val="99"/>
                                <w:sz w:val="20"/>
                                <w:szCs w:val="20"/>
                              </w:rPr>
                              <w:t>01</w:t>
                            </w:r>
                            <w:r>
                              <w:rPr>
                                <w:rFonts w:hint="eastAsia" w:ascii="宋体" w:hAnsi="宋体" w:cs="宋体"/>
                                <w:spacing w:val="1"/>
                                <w:w w:val="99"/>
                                <w:sz w:val="20"/>
                                <w:szCs w:val="20"/>
                              </w:rPr>
                              <w:t>0</w:t>
                            </w:r>
                            <w:r>
                              <w:rPr>
                                <w:rFonts w:hint="eastAsia" w:ascii="宋体" w:hAnsi="宋体" w:cs="宋体"/>
                                <w:w w:val="99"/>
                                <w:sz w:val="20"/>
                                <w:szCs w:val="20"/>
                              </w:rPr>
                              <w:t>60</w:t>
                            </w:r>
                            <w:r>
                              <w:rPr>
                                <w:rFonts w:hint="eastAsia" w:ascii="宋体" w:hAnsi="宋体" w:cs="宋体"/>
                                <w:spacing w:val="1"/>
                                <w:w w:val="99"/>
                                <w:sz w:val="20"/>
                                <w:szCs w:val="20"/>
                              </w:rPr>
                              <w:t>4</w:t>
                            </w:r>
                            <w:r>
                              <w:rPr>
                                <w:rFonts w:hint="eastAsia" w:ascii="宋体" w:hAnsi="宋体" w:cs="宋体"/>
                                <w:w w:val="99"/>
                                <w:sz w:val="20"/>
                                <w:szCs w:val="20"/>
                              </w:rPr>
                              <w:t>01液晶</w:t>
                            </w:r>
                          </w:p>
                          <w:p w14:paraId="42F82BB6">
                            <w:pPr>
                              <w:pStyle w:val="56"/>
                              <w:spacing w:before="50"/>
                              <w:ind w:left="7"/>
                              <w:rPr>
                                <w:rFonts w:ascii="宋体" w:hAnsi="宋体" w:cs="宋体"/>
                                <w:sz w:val="20"/>
                                <w:szCs w:val="20"/>
                              </w:rPr>
                            </w:pPr>
                            <w:r>
                              <w:rPr>
                                <w:rFonts w:hint="eastAsia" w:ascii="宋体" w:hAnsi="宋体" w:cs="宋体"/>
                                <w:w w:val="99"/>
                                <w:sz w:val="20"/>
                                <w:szCs w:val="20"/>
                              </w:rPr>
                              <w:t>显示器</w:t>
                            </w:r>
                          </w:p>
                        </w:tc>
                        <w:tc>
                          <w:tcPr>
                            <w:tcW w:w="3762" w:type="dxa"/>
                            <w:tcBorders>
                              <w:top w:val="single" w:color="000000" w:sz="4" w:space="0"/>
                              <w:left w:val="single" w:color="000000" w:sz="4" w:space="0"/>
                              <w:bottom w:val="single" w:color="000000" w:sz="4" w:space="0"/>
                              <w:right w:val="single" w:color="000000" w:sz="4" w:space="0"/>
                            </w:tcBorders>
                            <w:noWrap w:val="0"/>
                            <w:vAlign w:val="top"/>
                          </w:tcPr>
                          <w:p w14:paraId="18A4A114">
                            <w:pPr>
                              <w:pStyle w:val="56"/>
                              <w:spacing w:before="68" w:line="280" w:lineRule="auto"/>
                              <w:ind w:left="7" w:right="4"/>
                              <w:rPr>
                                <w:rFonts w:ascii="宋体" w:hAnsi="宋体" w:cs="宋体"/>
                                <w:sz w:val="20"/>
                                <w:szCs w:val="20"/>
                                <w:lang w:eastAsia="zh-CN"/>
                              </w:rPr>
                            </w:pPr>
                            <w:r>
                              <w:rPr>
                                <w:rFonts w:hint="eastAsia" w:ascii="宋体" w:hAnsi="宋体" w:cs="宋体"/>
                                <w:spacing w:val="12"/>
                                <w:w w:val="99"/>
                                <w:sz w:val="20"/>
                                <w:szCs w:val="20"/>
                                <w:lang w:eastAsia="zh-CN"/>
                              </w:rPr>
                              <w:t>《计算机显示器能效限</w:t>
                            </w:r>
                            <w:r>
                              <w:rPr>
                                <w:rFonts w:hint="eastAsia" w:ascii="宋体" w:hAnsi="宋体" w:cs="宋体"/>
                                <w:spacing w:val="9"/>
                                <w:w w:val="99"/>
                                <w:sz w:val="20"/>
                                <w:szCs w:val="20"/>
                                <w:lang w:eastAsia="zh-CN"/>
                              </w:rPr>
                              <w:t>定</w:t>
                            </w:r>
                            <w:r>
                              <w:rPr>
                                <w:rFonts w:hint="eastAsia" w:ascii="宋体" w:hAnsi="宋体" w:cs="宋体"/>
                                <w:spacing w:val="12"/>
                                <w:w w:val="99"/>
                                <w:sz w:val="20"/>
                                <w:szCs w:val="20"/>
                                <w:lang w:eastAsia="zh-CN"/>
                              </w:rPr>
                              <w:t>值及</w:t>
                            </w:r>
                            <w:r>
                              <w:rPr>
                                <w:rFonts w:hint="eastAsia" w:ascii="宋体" w:hAnsi="宋体" w:cs="宋体"/>
                                <w:w w:val="99"/>
                                <w:sz w:val="20"/>
                                <w:szCs w:val="20"/>
                                <w:lang w:eastAsia="zh-CN"/>
                              </w:rPr>
                              <w:t>能效等级</w:t>
                            </w:r>
                            <w:r>
                              <w:rPr>
                                <w:rFonts w:hint="eastAsia" w:ascii="宋体" w:hAnsi="宋体" w:cs="宋体"/>
                                <w:spacing w:val="2"/>
                                <w:w w:val="99"/>
                                <w:sz w:val="20"/>
                                <w:szCs w:val="20"/>
                                <w:lang w:eastAsia="zh-CN"/>
                              </w:rPr>
                              <w:t>》</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21</w:t>
                            </w:r>
                            <w:r>
                              <w:rPr>
                                <w:rFonts w:hint="eastAsia" w:ascii="宋体" w:hAnsi="宋体" w:cs="宋体"/>
                                <w:w w:val="99"/>
                                <w:sz w:val="20"/>
                                <w:szCs w:val="20"/>
                                <w:lang w:eastAsia="zh-CN"/>
                              </w:rPr>
                              <w:t>52</w:t>
                            </w:r>
                            <w:r>
                              <w:rPr>
                                <w:rFonts w:hint="eastAsia" w:ascii="宋体" w:hAnsi="宋体" w:cs="宋体"/>
                                <w:spacing w:val="1"/>
                                <w:w w:val="99"/>
                                <w:sz w:val="20"/>
                                <w:szCs w:val="20"/>
                                <w:lang w:eastAsia="zh-CN"/>
                              </w:rPr>
                              <w:t>0</w:t>
                            </w:r>
                            <w:r>
                              <w:rPr>
                                <w:rFonts w:hint="eastAsia" w:ascii="宋体" w:hAnsi="宋体" w:cs="宋体"/>
                                <w:w w:val="99"/>
                                <w:sz w:val="20"/>
                                <w:szCs w:val="20"/>
                                <w:lang w:eastAsia="zh-CN"/>
                              </w:rPr>
                              <w:t>）</w:t>
                            </w:r>
                          </w:p>
                        </w:tc>
                      </w:tr>
                      <w:tr w14:paraId="60900AE3">
                        <w:tblPrEx>
                          <w:tblCellMar>
                            <w:top w:w="0" w:type="dxa"/>
                            <w:left w:w="0" w:type="dxa"/>
                            <w:bottom w:w="0" w:type="dxa"/>
                            <w:right w:w="0" w:type="dxa"/>
                          </w:tblCellMar>
                        </w:tblPrEx>
                        <w:trPr>
                          <w:trHeight w:val="1161" w:hRule="exac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7952606A">
                            <w:pPr>
                              <w:widowControl/>
                              <w:jc w:val="left"/>
                              <w:rPr>
                                <w:rFonts w:ascii="宋体" w:hAnsi="宋体" w:eastAsia="Times New Roman" w:cs="宋体"/>
                                <w:kern w:val="0"/>
                                <w:sz w:val="20"/>
                                <w:szCs w:val="20"/>
                              </w:rPr>
                            </w:pPr>
                          </w:p>
                        </w:tc>
                        <w:tc>
                          <w:tcPr>
                            <w:tcW w:w="1166" w:type="dxa"/>
                            <w:vMerge w:val="continue"/>
                            <w:tcBorders>
                              <w:top w:val="single" w:color="000000" w:sz="4" w:space="0"/>
                              <w:left w:val="single" w:color="000000" w:sz="4" w:space="0"/>
                              <w:bottom w:val="single" w:color="000000" w:sz="4" w:space="0"/>
                              <w:right w:val="single" w:color="000000" w:sz="4" w:space="0"/>
                            </w:tcBorders>
                            <w:noWrap w:val="0"/>
                            <w:vAlign w:val="center"/>
                          </w:tcPr>
                          <w:p w14:paraId="2841994D">
                            <w:pPr>
                              <w:widowControl/>
                              <w:jc w:val="left"/>
                              <w:rPr>
                                <w:rFonts w:ascii="宋体" w:hAnsi="宋体" w:eastAsia="Times New Roman" w:cs="宋体"/>
                                <w:kern w:val="0"/>
                                <w:sz w:val="20"/>
                                <w:szCs w:val="20"/>
                              </w:rPr>
                            </w:pPr>
                          </w:p>
                        </w:tc>
                        <w:tc>
                          <w:tcPr>
                            <w:tcW w:w="1800" w:type="dxa"/>
                            <w:tcBorders>
                              <w:top w:val="single" w:color="000000" w:sz="4" w:space="0"/>
                              <w:left w:val="single" w:color="000000" w:sz="4" w:space="0"/>
                              <w:bottom w:val="single" w:color="000000" w:sz="4" w:space="0"/>
                              <w:right w:val="single" w:color="000000" w:sz="4" w:space="0"/>
                            </w:tcBorders>
                            <w:noWrap w:val="0"/>
                            <w:vAlign w:val="top"/>
                          </w:tcPr>
                          <w:p w14:paraId="0EED7CAC">
                            <w:pPr>
                              <w:pStyle w:val="56"/>
                              <w:spacing w:before="8"/>
                              <w:rPr>
                                <w:rFonts w:ascii="宋体" w:hAnsi="宋体" w:cs="宋体"/>
                                <w:sz w:val="27"/>
                                <w:szCs w:val="27"/>
                                <w:lang w:eastAsia="zh-CN"/>
                              </w:rPr>
                            </w:pPr>
                          </w:p>
                          <w:p w14:paraId="33B6DC03">
                            <w:pPr>
                              <w:pStyle w:val="56"/>
                              <w:spacing w:line="280" w:lineRule="auto"/>
                              <w:ind w:left="7" w:right="5"/>
                              <w:rPr>
                                <w:rFonts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01</w:t>
                            </w:r>
                            <w:r>
                              <w:rPr>
                                <w:rFonts w:hint="eastAsia" w:ascii="宋体" w:hAnsi="宋体" w:cs="宋体"/>
                                <w:spacing w:val="1"/>
                                <w:w w:val="99"/>
                                <w:sz w:val="20"/>
                                <w:szCs w:val="20"/>
                              </w:rPr>
                              <w:t>0</w:t>
                            </w:r>
                            <w:r>
                              <w:rPr>
                                <w:rFonts w:hint="eastAsia" w:ascii="宋体" w:hAnsi="宋体" w:cs="宋体"/>
                                <w:w w:val="99"/>
                                <w:sz w:val="20"/>
                                <w:szCs w:val="20"/>
                              </w:rPr>
                              <w:t>609图形图像输入设备</w:t>
                            </w:r>
                          </w:p>
                        </w:tc>
                        <w:tc>
                          <w:tcPr>
                            <w:tcW w:w="1823" w:type="dxa"/>
                            <w:tcBorders>
                              <w:top w:val="single" w:color="000000" w:sz="4" w:space="0"/>
                              <w:left w:val="single" w:color="000000" w:sz="4" w:space="0"/>
                              <w:bottom w:val="single" w:color="000000" w:sz="4" w:space="0"/>
                              <w:right w:val="single" w:color="000000" w:sz="4" w:space="0"/>
                            </w:tcBorders>
                            <w:noWrap w:val="0"/>
                            <w:vAlign w:val="top"/>
                          </w:tcPr>
                          <w:p w14:paraId="2C3ADCFD">
                            <w:pPr>
                              <w:pStyle w:val="56"/>
                              <w:rPr>
                                <w:rFonts w:ascii="宋体" w:hAnsi="宋体" w:cs="宋体"/>
                                <w:sz w:val="20"/>
                                <w:szCs w:val="20"/>
                              </w:rPr>
                            </w:pPr>
                          </w:p>
                          <w:p w14:paraId="13EAA99B">
                            <w:pPr>
                              <w:pStyle w:val="56"/>
                              <w:spacing w:before="7"/>
                              <w:rPr>
                                <w:rFonts w:hint="eastAsia" w:ascii="宋体" w:hAnsi="宋体" w:cs="宋体"/>
                                <w:sz w:val="19"/>
                                <w:szCs w:val="19"/>
                              </w:rPr>
                            </w:pPr>
                          </w:p>
                          <w:p w14:paraId="717CA603">
                            <w:pPr>
                              <w:pStyle w:val="56"/>
                              <w:ind w:left="7"/>
                              <w:rPr>
                                <w:rFonts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01</w:t>
                            </w:r>
                            <w:r>
                              <w:rPr>
                                <w:rFonts w:hint="eastAsia" w:ascii="宋体" w:hAnsi="宋体" w:cs="宋体"/>
                                <w:spacing w:val="1"/>
                                <w:w w:val="99"/>
                                <w:sz w:val="20"/>
                                <w:szCs w:val="20"/>
                              </w:rPr>
                              <w:t>0</w:t>
                            </w:r>
                            <w:r>
                              <w:rPr>
                                <w:rFonts w:hint="eastAsia" w:ascii="宋体" w:hAnsi="宋体" w:cs="宋体"/>
                                <w:w w:val="99"/>
                                <w:sz w:val="20"/>
                                <w:szCs w:val="20"/>
                              </w:rPr>
                              <w:t>60</w:t>
                            </w:r>
                            <w:r>
                              <w:rPr>
                                <w:rFonts w:hint="eastAsia" w:ascii="宋体" w:hAnsi="宋体" w:cs="宋体"/>
                                <w:spacing w:val="1"/>
                                <w:w w:val="99"/>
                                <w:sz w:val="20"/>
                                <w:szCs w:val="20"/>
                              </w:rPr>
                              <w:t>9</w:t>
                            </w:r>
                            <w:r>
                              <w:rPr>
                                <w:rFonts w:hint="eastAsia" w:ascii="宋体" w:hAnsi="宋体" w:cs="宋体"/>
                                <w:w w:val="99"/>
                                <w:sz w:val="20"/>
                                <w:szCs w:val="20"/>
                              </w:rPr>
                              <w:t>01扫描仪</w:t>
                            </w:r>
                          </w:p>
                        </w:tc>
                        <w:tc>
                          <w:tcPr>
                            <w:tcW w:w="3762" w:type="dxa"/>
                            <w:tcBorders>
                              <w:top w:val="single" w:color="000000" w:sz="4" w:space="0"/>
                              <w:left w:val="single" w:color="000000" w:sz="4" w:space="0"/>
                              <w:bottom w:val="single" w:color="000000" w:sz="4" w:space="0"/>
                              <w:right w:val="single" w:color="000000" w:sz="4" w:space="0"/>
                            </w:tcBorders>
                            <w:noWrap w:val="0"/>
                            <w:vAlign w:val="top"/>
                          </w:tcPr>
                          <w:p w14:paraId="596B1259">
                            <w:pPr>
                              <w:pStyle w:val="56"/>
                              <w:spacing w:before="49" w:line="280" w:lineRule="auto"/>
                              <w:ind w:left="7" w:right="7"/>
                              <w:rPr>
                                <w:rFonts w:ascii="宋体" w:hAnsi="宋体" w:cs="宋体"/>
                                <w:sz w:val="20"/>
                                <w:szCs w:val="20"/>
                                <w:lang w:eastAsia="zh-CN"/>
                              </w:rPr>
                            </w:pPr>
                            <w:r>
                              <w:rPr>
                                <w:rFonts w:hint="eastAsia" w:ascii="宋体" w:hAnsi="宋体" w:cs="宋体"/>
                                <w:w w:val="99"/>
                                <w:sz w:val="20"/>
                                <w:szCs w:val="20"/>
                                <w:lang w:eastAsia="zh-CN"/>
                              </w:rPr>
                              <w:t>参</w:t>
                            </w:r>
                            <w:r>
                              <w:rPr>
                                <w:rFonts w:hint="eastAsia" w:ascii="宋体" w:hAnsi="宋体" w:cs="宋体"/>
                                <w:spacing w:val="-29"/>
                                <w:w w:val="99"/>
                                <w:sz w:val="20"/>
                                <w:szCs w:val="20"/>
                                <w:lang w:eastAsia="zh-CN"/>
                              </w:rPr>
                              <w:t>照</w:t>
                            </w:r>
                            <w:r>
                              <w:rPr>
                                <w:rFonts w:hint="eastAsia" w:ascii="宋体" w:hAnsi="宋体" w:cs="宋体"/>
                                <w:w w:val="99"/>
                                <w:sz w:val="20"/>
                                <w:szCs w:val="20"/>
                                <w:lang w:eastAsia="zh-CN"/>
                              </w:rPr>
                              <w:t>《</w:t>
                            </w:r>
                            <w:r>
                              <w:rPr>
                                <w:rFonts w:hint="eastAsia" w:ascii="宋体" w:hAnsi="宋体" w:cs="宋体"/>
                                <w:spacing w:val="2"/>
                                <w:w w:val="99"/>
                                <w:sz w:val="20"/>
                                <w:szCs w:val="20"/>
                                <w:lang w:eastAsia="zh-CN"/>
                              </w:rPr>
                              <w:t>复</w:t>
                            </w:r>
                            <w:r>
                              <w:rPr>
                                <w:rFonts w:hint="eastAsia" w:ascii="宋体" w:hAnsi="宋体" w:cs="宋体"/>
                                <w:w w:val="99"/>
                                <w:sz w:val="20"/>
                                <w:szCs w:val="20"/>
                                <w:lang w:eastAsia="zh-CN"/>
                              </w:rPr>
                              <w:t>印</w:t>
                            </w:r>
                            <w:r>
                              <w:rPr>
                                <w:rFonts w:hint="eastAsia" w:ascii="宋体" w:hAnsi="宋体" w:cs="宋体"/>
                                <w:spacing w:val="2"/>
                                <w:w w:val="99"/>
                                <w:sz w:val="20"/>
                                <w:szCs w:val="20"/>
                                <w:lang w:eastAsia="zh-CN"/>
                              </w:rPr>
                              <w:t>机</w:t>
                            </w:r>
                            <w:r>
                              <w:rPr>
                                <w:rFonts w:hint="eastAsia" w:ascii="宋体" w:hAnsi="宋体" w:cs="宋体"/>
                                <w:spacing w:val="-29"/>
                                <w:w w:val="99"/>
                                <w:sz w:val="20"/>
                                <w:szCs w:val="20"/>
                                <w:lang w:eastAsia="zh-CN"/>
                              </w:rPr>
                              <w:t>、</w:t>
                            </w:r>
                            <w:r>
                              <w:rPr>
                                <w:rFonts w:hint="eastAsia" w:ascii="宋体" w:hAnsi="宋体" w:cs="宋体"/>
                                <w:w w:val="99"/>
                                <w:sz w:val="20"/>
                                <w:szCs w:val="20"/>
                                <w:lang w:eastAsia="zh-CN"/>
                              </w:rPr>
                              <w:t>打</w:t>
                            </w:r>
                            <w:r>
                              <w:rPr>
                                <w:rFonts w:hint="eastAsia" w:ascii="宋体" w:hAnsi="宋体" w:cs="宋体"/>
                                <w:spacing w:val="2"/>
                                <w:w w:val="99"/>
                                <w:sz w:val="20"/>
                                <w:szCs w:val="20"/>
                                <w:lang w:eastAsia="zh-CN"/>
                              </w:rPr>
                              <w:t>印</w:t>
                            </w:r>
                            <w:r>
                              <w:rPr>
                                <w:rFonts w:hint="eastAsia" w:ascii="宋体" w:hAnsi="宋体" w:cs="宋体"/>
                                <w:w w:val="99"/>
                                <w:sz w:val="20"/>
                                <w:szCs w:val="20"/>
                                <w:lang w:eastAsia="zh-CN"/>
                              </w:rPr>
                              <w:t>机和</w:t>
                            </w:r>
                            <w:r>
                              <w:rPr>
                                <w:rFonts w:hint="eastAsia" w:ascii="宋体" w:hAnsi="宋体" w:cs="宋体"/>
                                <w:spacing w:val="2"/>
                                <w:w w:val="99"/>
                                <w:sz w:val="20"/>
                                <w:szCs w:val="20"/>
                                <w:lang w:eastAsia="zh-CN"/>
                              </w:rPr>
                              <w:t>传</w:t>
                            </w:r>
                            <w:r>
                              <w:rPr>
                                <w:rFonts w:hint="eastAsia" w:ascii="宋体" w:hAnsi="宋体" w:cs="宋体"/>
                                <w:w w:val="99"/>
                                <w:sz w:val="20"/>
                                <w:szCs w:val="20"/>
                                <w:lang w:eastAsia="zh-CN"/>
                              </w:rPr>
                              <w:t>真机能效限定</w:t>
                            </w:r>
                            <w:r>
                              <w:rPr>
                                <w:rFonts w:hint="eastAsia" w:ascii="宋体" w:hAnsi="宋体" w:cs="宋体"/>
                                <w:spacing w:val="2"/>
                                <w:w w:val="99"/>
                                <w:sz w:val="20"/>
                                <w:szCs w:val="20"/>
                                <w:lang w:eastAsia="zh-CN"/>
                              </w:rPr>
                              <w:t>值</w:t>
                            </w:r>
                            <w:r>
                              <w:rPr>
                                <w:rFonts w:hint="eastAsia" w:ascii="宋体" w:hAnsi="宋体" w:cs="宋体"/>
                                <w:w w:val="99"/>
                                <w:sz w:val="20"/>
                                <w:szCs w:val="20"/>
                                <w:lang w:eastAsia="zh-CN"/>
                              </w:rPr>
                              <w:t>及能</w:t>
                            </w:r>
                            <w:r>
                              <w:rPr>
                                <w:rFonts w:hint="eastAsia" w:ascii="宋体" w:hAnsi="宋体" w:cs="宋体"/>
                                <w:spacing w:val="2"/>
                                <w:w w:val="99"/>
                                <w:sz w:val="20"/>
                                <w:szCs w:val="20"/>
                                <w:lang w:eastAsia="zh-CN"/>
                              </w:rPr>
                              <w:t>效</w:t>
                            </w:r>
                            <w:r>
                              <w:rPr>
                                <w:rFonts w:hint="eastAsia" w:ascii="宋体" w:hAnsi="宋体" w:cs="宋体"/>
                                <w:w w:val="99"/>
                                <w:sz w:val="20"/>
                                <w:szCs w:val="20"/>
                                <w:lang w:eastAsia="zh-CN"/>
                              </w:rPr>
                              <w:t>等级</w:t>
                            </w:r>
                            <w:r>
                              <w:rPr>
                                <w:rFonts w:hint="eastAsia" w:ascii="宋体" w:hAnsi="宋体" w:cs="宋体"/>
                                <w:spacing w:val="-106"/>
                                <w:w w:val="99"/>
                                <w:sz w:val="20"/>
                                <w:szCs w:val="20"/>
                                <w:lang w:eastAsia="zh-CN"/>
                              </w:rPr>
                              <w:t>》</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2152</w:t>
                            </w:r>
                            <w:r>
                              <w:rPr>
                                <w:rFonts w:hint="eastAsia" w:ascii="宋体" w:hAnsi="宋体" w:cs="宋体"/>
                                <w:w w:val="99"/>
                                <w:sz w:val="20"/>
                                <w:szCs w:val="20"/>
                                <w:lang w:eastAsia="zh-CN"/>
                              </w:rPr>
                              <w:t>1）</w:t>
                            </w:r>
                            <w:r>
                              <w:rPr>
                                <w:rFonts w:hint="eastAsia" w:ascii="宋体" w:hAnsi="宋体" w:cs="宋体"/>
                                <w:spacing w:val="2"/>
                                <w:w w:val="99"/>
                                <w:sz w:val="20"/>
                                <w:szCs w:val="20"/>
                                <w:lang w:eastAsia="zh-CN"/>
                              </w:rPr>
                              <w:t>中</w:t>
                            </w:r>
                            <w:r>
                              <w:rPr>
                                <w:rFonts w:hint="eastAsia" w:ascii="宋体" w:hAnsi="宋体" w:cs="宋体"/>
                                <w:spacing w:val="4"/>
                                <w:w w:val="99"/>
                                <w:sz w:val="20"/>
                                <w:szCs w:val="20"/>
                                <w:lang w:eastAsia="zh-CN"/>
                              </w:rPr>
                              <w:t>打印速</w:t>
                            </w:r>
                            <w:r>
                              <w:rPr>
                                <w:rFonts w:hint="eastAsia" w:ascii="宋体" w:hAnsi="宋体" w:cs="宋体"/>
                                <w:spacing w:val="2"/>
                                <w:w w:val="99"/>
                                <w:sz w:val="20"/>
                                <w:szCs w:val="20"/>
                                <w:lang w:eastAsia="zh-CN"/>
                              </w:rPr>
                              <w:t>度</w:t>
                            </w:r>
                            <w:r>
                              <w:rPr>
                                <w:rFonts w:hint="eastAsia" w:ascii="宋体" w:hAnsi="宋体" w:cs="宋体"/>
                                <w:w w:val="99"/>
                                <w:sz w:val="20"/>
                                <w:szCs w:val="20"/>
                                <w:lang w:eastAsia="zh-CN"/>
                              </w:rPr>
                              <w:t>为</w:t>
                            </w:r>
                            <w:r>
                              <w:rPr>
                                <w:rFonts w:hint="eastAsia" w:ascii="宋体" w:hAnsi="宋体" w:cs="宋体"/>
                                <w:spacing w:val="1"/>
                                <w:w w:val="99"/>
                                <w:sz w:val="20"/>
                                <w:szCs w:val="20"/>
                                <w:lang w:eastAsia="zh-CN"/>
                              </w:rPr>
                              <w:t>1</w:t>
                            </w:r>
                            <w:r>
                              <w:rPr>
                                <w:rFonts w:hint="eastAsia" w:ascii="宋体" w:hAnsi="宋体" w:cs="宋体"/>
                                <w:w w:val="99"/>
                                <w:sz w:val="20"/>
                                <w:szCs w:val="20"/>
                                <w:lang w:eastAsia="zh-CN"/>
                              </w:rPr>
                              <w:t>5</w:t>
                            </w:r>
                            <w:r>
                              <w:rPr>
                                <w:rFonts w:hint="eastAsia" w:ascii="宋体" w:hAnsi="宋体" w:cs="宋体"/>
                                <w:spacing w:val="2"/>
                                <w:w w:val="99"/>
                                <w:sz w:val="20"/>
                                <w:szCs w:val="20"/>
                                <w:lang w:eastAsia="zh-CN"/>
                              </w:rPr>
                              <w:t>页</w:t>
                            </w:r>
                            <w:r>
                              <w:rPr>
                                <w:rFonts w:hint="eastAsia" w:ascii="宋体" w:hAnsi="宋体" w:cs="宋体"/>
                                <w:spacing w:val="5"/>
                                <w:w w:val="99"/>
                                <w:sz w:val="20"/>
                                <w:szCs w:val="20"/>
                                <w:lang w:eastAsia="zh-CN"/>
                              </w:rPr>
                              <w:t>/</w:t>
                            </w:r>
                            <w:r>
                              <w:rPr>
                                <w:rFonts w:hint="eastAsia" w:ascii="宋体" w:hAnsi="宋体" w:cs="宋体"/>
                                <w:spacing w:val="4"/>
                                <w:w w:val="99"/>
                                <w:sz w:val="20"/>
                                <w:szCs w:val="20"/>
                                <w:lang w:eastAsia="zh-CN"/>
                              </w:rPr>
                              <w:t>分的</w:t>
                            </w:r>
                            <w:r>
                              <w:rPr>
                                <w:rFonts w:hint="eastAsia" w:ascii="宋体" w:hAnsi="宋体" w:cs="宋体"/>
                                <w:spacing w:val="2"/>
                                <w:w w:val="99"/>
                                <w:sz w:val="20"/>
                                <w:szCs w:val="20"/>
                                <w:lang w:eastAsia="zh-CN"/>
                              </w:rPr>
                              <w:t>针</w:t>
                            </w:r>
                            <w:r>
                              <w:rPr>
                                <w:rFonts w:hint="eastAsia" w:ascii="宋体" w:hAnsi="宋体" w:cs="宋体"/>
                                <w:spacing w:val="4"/>
                                <w:w w:val="99"/>
                                <w:sz w:val="20"/>
                                <w:szCs w:val="20"/>
                                <w:lang w:eastAsia="zh-CN"/>
                              </w:rPr>
                              <w:t>式</w:t>
                            </w:r>
                            <w:r>
                              <w:rPr>
                                <w:rFonts w:hint="eastAsia" w:ascii="宋体" w:hAnsi="宋体" w:cs="宋体"/>
                                <w:w w:val="99"/>
                                <w:sz w:val="20"/>
                                <w:szCs w:val="20"/>
                                <w:lang w:eastAsia="zh-CN"/>
                              </w:rPr>
                              <w:t>打印机相</w:t>
                            </w:r>
                            <w:r>
                              <w:rPr>
                                <w:rFonts w:hint="eastAsia" w:ascii="宋体" w:hAnsi="宋体" w:cs="宋体"/>
                                <w:spacing w:val="2"/>
                                <w:w w:val="99"/>
                                <w:sz w:val="20"/>
                                <w:szCs w:val="20"/>
                                <w:lang w:eastAsia="zh-CN"/>
                              </w:rPr>
                              <w:t>关</w:t>
                            </w:r>
                            <w:r>
                              <w:rPr>
                                <w:rFonts w:hint="eastAsia" w:ascii="宋体" w:hAnsi="宋体" w:cs="宋体"/>
                                <w:w w:val="99"/>
                                <w:sz w:val="20"/>
                                <w:szCs w:val="20"/>
                                <w:lang w:eastAsia="zh-CN"/>
                              </w:rPr>
                              <w:t>要求</w:t>
                            </w:r>
                          </w:p>
                        </w:tc>
                      </w:tr>
                      <w:tr w14:paraId="66B4DC91">
                        <w:tblPrEx>
                          <w:tblCellMar>
                            <w:top w:w="0" w:type="dxa"/>
                            <w:left w:w="0" w:type="dxa"/>
                            <w:bottom w:w="0" w:type="dxa"/>
                            <w:right w:w="0" w:type="dxa"/>
                          </w:tblCellMar>
                        </w:tblPrEx>
                        <w:trPr>
                          <w:trHeight w:val="684" w:hRule="exact"/>
                        </w:trPr>
                        <w:tc>
                          <w:tcPr>
                            <w:tcW w:w="574" w:type="dxa"/>
                            <w:tcBorders>
                              <w:top w:val="single" w:color="000000" w:sz="4" w:space="0"/>
                              <w:left w:val="single" w:color="000000" w:sz="4" w:space="0"/>
                              <w:bottom w:val="single" w:color="000000" w:sz="4" w:space="0"/>
                              <w:right w:val="single" w:color="000000" w:sz="4" w:space="0"/>
                            </w:tcBorders>
                            <w:noWrap w:val="0"/>
                            <w:vAlign w:val="top"/>
                          </w:tcPr>
                          <w:p w14:paraId="1CBF3C14">
                            <w:pPr>
                              <w:pStyle w:val="56"/>
                              <w:spacing w:before="179"/>
                              <w:ind w:right="1"/>
                              <w:jc w:val="center"/>
                              <w:rPr>
                                <w:rFonts w:ascii="宋体" w:hAnsi="宋体" w:cs="宋体"/>
                                <w:sz w:val="20"/>
                                <w:szCs w:val="20"/>
                              </w:rPr>
                            </w:pPr>
                            <w:r>
                              <w:rPr>
                                <w:rFonts w:hint="eastAsia" w:ascii="宋体"/>
                                <w:w w:val="99"/>
                                <w:sz w:val="20"/>
                              </w:rPr>
                              <w:t>3</w:t>
                            </w:r>
                          </w:p>
                        </w:tc>
                        <w:tc>
                          <w:tcPr>
                            <w:tcW w:w="1166" w:type="dxa"/>
                            <w:tcBorders>
                              <w:top w:val="single" w:color="000000" w:sz="4" w:space="0"/>
                              <w:left w:val="single" w:color="000000" w:sz="4" w:space="0"/>
                              <w:bottom w:val="single" w:color="000000" w:sz="4" w:space="0"/>
                              <w:right w:val="single" w:color="000000" w:sz="4" w:space="0"/>
                            </w:tcBorders>
                            <w:noWrap w:val="0"/>
                            <w:vAlign w:val="top"/>
                          </w:tcPr>
                          <w:p w14:paraId="173E5E49">
                            <w:pPr>
                              <w:pStyle w:val="56"/>
                              <w:spacing w:before="23"/>
                              <w:ind w:left="7"/>
                              <w:rPr>
                                <w:rFonts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02</w:t>
                            </w:r>
                            <w:r>
                              <w:rPr>
                                <w:rFonts w:hint="eastAsia" w:ascii="宋体" w:hAnsi="宋体" w:cs="宋体"/>
                                <w:spacing w:val="1"/>
                                <w:w w:val="99"/>
                                <w:sz w:val="20"/>
                                <w:szCs w:val="20"/>
                              </w:rPr>
                              <w:t>0</w:t>
                            </w:r>
                            <w:r>
                              <w:rPr>
                                <w:rFonts w:hint="eastAsia" w:ascii="宋体" w:hAnsi="宋体" w:cs="宋体"/>
                                <w:w w:val="99"/>
                                <w:sz w:val="20"/>
                                <w:szCs w:val="20"/>
                              </w:rPr>
                              <w:t>2投影</w:t>
                            </w:r>
                          </w:p>
                          <w:p w14:paraId="6D047083">
                            <w:pPr>
                              <w:pStyle w:val="56"/>
                              <w:spacing w:before="50"/>
                              <w:ind w:left="7"/>
                              <w:rPr>
                                <w:rFonts w:ascii="宋体" w:hAnsi="宋体" w:cs="宋体"/>
                                <w:sz w:val="20"/>
                                <w:szCs w:val="20"/>
                              </w:rPr>
                            </w:pPr>
                            <w:r>
                              <w:rPr>
                                <w:rFonts w:hint="eastAsia" w:ascii="宋体" w:hAnsi="宋体" w:cs="宋体"/>
                                <w:w w:val="99"/>
                                <w:sz w:val="20"/>
                                <w:szCs w:val="20"/>
                              </w:rPr>
                              <w:t>仪</w:t>
                            </w:r>
                          </w:p>
                        </w:tc>
                        <w:tc>
                          <w:tcPr>
                            <w:tcW w:w="1800" w:type="dxa"/>
                            <w:tcBorders>
                              <w:top w:val="single" w:color="000000" w:sz="4" w:space="0"/>
                              <w:left w:val="single" w:color="000000" w:sz="4" w:space="0"/>
                              <w:bottom w:val="single" w:color="000000" w:sz="4" w:space="0"/>
                              <w:right w:val="single" w:color="000000" w:sz="4" w:space="0"/>
                            </w:tcBorders>
                            <w:noWrap w:val="0"/>
                            <w:vAlign w:val="top"/>
                          </w:tcPr>
                          <w:p w14:paraId="76DA2C66">
                            <w:pPr>
                              <w:rPr>
                                <w:rFonts w:ascii="Calibri" w:hAnsi="Calibri"/>
                                <w:sz w:val="22"/>
                                <w:szCs w:val="22"/>
                              </w:rPr>
                            </w:pPr>
                          </w:p>
                        </w:tc>
                        <w:tc>
                          <w:tcPr>
                            <w:tcW w:w="1823" w:type="dxa"/>
                            <w:tcBorders>
                              <w:top w:val="single" w:color="000000" w:sz="4" w:space="0"/>
                              <w:left w:val="single" w:color="000000" w:sz="4" w:space="0"/>
                              <w:bottom w:val="single" w:color="000000" w:sz="4" w:space="0"/>
                              <w:right w:val="single" w:color="000000" w:sz="4" w:space="0"/>
                            </w:tcBorders>
                            <w:noWrap w:val="0"/>
                            <w:vAlign w:val="top"/>
                          </w:tcPr>
                          <w:p w14:paraId="53426D58">
                            <w:pPr>
                              <w:rPr>
                                <w:rFonts w:ascii="Calibri" w:hAnsi="Calibri"/>
                                <w:sz w:val="22"/>
                                <w:szCs w:val="22"/>
                              </w:rPr>
                            </w:pPr>
                          </w:p>
                        </w:tc>
                        <w:tc>
                          <w:tcPr>
                            <w:tcW w:w="3762" w:type="dxa"/>
                            <w:tcBorders>
                              <w:top w:val="single" w:color="000000" w:sz="4" w:space="0"/>
                              <w:left w:val="single" w:color="000000" w:sz="4" w:space="0"/>
                              <w:bottom w:val="single" w:color="000000" w:sz="4" w:space="0"/>
                              <w:right w:val="single" w:color="000000" w:sz="4" w:space="0"/>
                            </w:tcBorders>
                            <w:noWrap w:val="0"/>
                            <w:vAlign w:val="top"/>
                          </w:tcPr>
                          <w:p w14:paraId="29ECA646">
                            <w:pPr>
                              <w:pStyle w:val="56"/>
                              <w:spacing w:before="23"/>
                              <w:ind w:left="7"/>
                              <w:rPr>
                                <w:rFonts w:ascii="宋体" w:hAnsi="宋体" w:cs="宋体"/>
                                <w:sz w:val="20"/>
                                <w:szCs w:val="20"/>
                                <w:lang w:eastAsia="zh-CN"/>
                              </w:rPr>
                            </w:pPr>
                            <w:r>
                              <w:rPr>
                                <w:rFonts w:hint="eastAsia" w:ascii="宋体" w:hAnsi="宋体" w:cs="宋体"/>
                                <w:w w:val="99"/>
                                <w:sz w:val="20"/>
                                <w:szCs w:val="20"/>
                                <w:lang w:eastAsia="zh-CN"/>
                              </w:rPr>
                              <w:t>《投影</w:t>
                            </w:r>
                            <w:r>
                              <w:rPr>
                                <w:rFonts w:hint="eastAsia" w:ascii="宋体" w:hAnsi="宋体" w:cs="宋体"/>
                                <w:spacing w:val="2"/>
                                <w:w w:val="99"/>
                                <w:sz w:val="20"/>
                                <w:szCs w:val="20"/>
                                <w:lang w:eastAsia="zh-CN"/>
                              </w:rPr>
                              <w:t>机</w:t>
                            </w:r>
                            <w:r>
                              <w:rPr>
                                <w:rFonts w:hint="eastAsia" w:ascii="宋体" w:hAnsi="宋体" w:cs="宋体"/>
                                <w:w w:val="99"/>
                                <w:sz w:val="20"/>
                                <w:szCs w:val="20"/>
                                <w:lang w:eastAsia="zh-CN"/>
                              </w:rPr>
                              <w:t>能效</w:t>
                            </w:r>
                            <w:r>
                              <w:rPr>
                                <w:rFonts w:hint="eastAsia" w:ascii="宋体" w:hAnsi="宋体" w:cs="宋体"/>
                                <w:spacing w:val="2"/>
                                <w:w w:val="99"/>
                                <w:sz w:val="20"/>
                                <w:szCs w:val="20"/>
                                <w:lang w:eastAsia="zh-CN"/>
                              </w:rPr>
                              <w:t>限</w:t>
                            </w:r>
                            <w:r>
                              <w:rPr>
                                <w:rFonts w:hint="eastAsia" w:ascii="宋体" w:hAnsi="宋体" w:cs="宋体"/>
                                <w:w w:val="99"/>
                                <w:sz w:val="20"/>
                                <w:szCs w:val="20"/>
                                <w:lang w:eastAsia="zh-CN"/>
                              </w:rPr>
                              <w:t>定值</w:t>
                            </w:r>
                            <w:r>
                              <w:rPr>
                                <w:rFonts w:hint="eastAsia" w:ascii="宋体" w:hAnsi="宋体" w:cs="宋体"/>
                                <w:spacing w:val="2"/>
                                <w:w w:val="99"/>
                                <w:sz w:val="20"/>
                                <w:szCs w:val="20"/>
                                <w:lang w:eastAsia="zh-CN"/>
                              </w:rPr>
                              <w:t>及</w:t>
                            </w:r>
                            <w:r>
                              <w:rPr>
                                <w:rFonts w:hint="eastAsia" w:ascii="宋体" w:hAnsi="宋体" w:cs="宋体"/>
                                <w:w w:val="99"/>
                                <w:sz w:val="20"/>
                                <w:szCs w:val="20"/>
                                <w:lang w:eastAsia="zh-CN"/>
                              </w:rPr>
                              <w:t>能</w:t>
                            </w:r>
                            <w:r>
                              <w:rPr>
                                <w:rFonts w:hint="eastAsia" w:ascii="宋体" w:hAnsi="宋体" w:cs="宋体"/>
                                <w:spacing w:val="2"/>
                                <w:w w:val="99"/>
                                <w:sz w:val="20"/>
                                <w:szCs w:val="20"/>
                                <w:lang w:eastAsia="zh-CN"/>
                              </w:rPr>
                              <w:t>效</w:t>
                            </w:r>
                            <w:r>
                              <w:rPr>
                                <w:rFonts w:hint="eastAsia" w:ascii="宋体" w:hAnsi="宋体" w:cs="宋体"/>
                                <w:w w:val="99"/>
                                <w:sz w:val="20"/>
                                <w:szCs w:val="20"/>
                                <w:lang w:eastAsia="zh-CN"/>
                              </w:rPr>
                              <w:t>等级》（</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3</w:t>
                            </w:r>
                            <w:r>
                              <w:rPr>
                                <w:rFonts w:hint="eastAsia" w:ascii="宋体" w:hAnsi="宋体" w:cs="宋体"/>
                                <w:w w:val="99"/>
                                <w:sz w:val="20"/>
                                <w:szCs w:val="20"/>
                                <w:lang w:eastAsia="zh-CN"/>
                              </w:rPr>
                              <w:t>20</w:t>
                            </w:r>
                            <w:r>
                              <w:rPr>
                                <w:rFonts w:hint="eastAsia" w:ascii="宋体" w:hAnsi="宋体" w:cs="宋体"/>
                                <w:spacing w:val="1"/>
                                <w:w w:val="99"/>
                                <w:sz w:val="20"/>
                                <w:szCs w:val="20"/>
                                <w:lang w:eastAsia="zh-CN"/>
                              </w:rPr>
                              <w:t>28</w:t>
                            </w:r>
                            <w:r>
                              <w:rPr>
                                <w:rFonts w:hint="eastAsia" w:ascii="宋体" w:hAnsi="宋体" w:cs="宋体"/>
                                <w:w w:val="99"/>
                                <w:sz w:val="20"/>
                                <w:szCs w:val="20"/>
                                <w:lang w:eastAsia="zh-CN"/>
                              </w:rPr>
                              <w:t>）</w:t>
                            </w:r>
                          </w:p>
                        </w:tc>
                      </w:tr>
                      <w:tr w14:paraId="40E7ACF2">
                        <w:tblPrEx>
                          <w:tblCellMar>
                            <w:top w:w="0" w:type="dxa"/>
                            <w:left w:w="0" w:type="dxa"/>
                            <w:bottom w:w="0" w:type="dxa"/>
                            <w:right w:w="0" w:type="dxa"/>
                          </w:tblCellMar>
                        </w:tblPrEx>
                        <w:trPr>
                          <w:trHeight w:val="770" w:hRule="exact"/>
                        </w:trPr>
                        <w:tc>
                          <w:tcPr>
                            <w:tcW w:w="574" w:type="dxa"/>
                            <w:tcBorders>
                              <w:top w:val="single" w:color="000000" w:sz="4" w:space="0"/>
                              <w:left w:val="single" w:color="000000" w:sz="4" w:space="0"/>
                              <w:bottom w:val="single" w:color="000000" w:sz="4" w:space="0"/>
                              <w:right w:val="single" w:color="000000" w:sz="4" w:space="0"/>
                            </w:tcBorders>
                            <w:noWrap w:val="0"/>
                            <w:vAlign w:val="top"/>
                          </w:tcPr>
                          <w:p w14:paraId="09916DC7">
                            <w:pPr>
                              <w:pStyle w:val="56"/>
                              <w:spacing w:before="13"/>
                              <w:rPr>
                                <w:rFonts w:ascii="宋体" w:hAnsi="宋体" w:cs="宋体"/>
                                <w:sz w:val="16"/>
                                <w:szCs w:val="16"/>
                                <w:lang w:eastAsia="zh-CN"/>
                              </w:rPr>
                            </w:pPr>
                          </w:p>
                          <w:p w14:paraId="4F268163">
                            <w:pPr>
                              <w:pStyle w:val="56"/>
                              <w:ind w:right="1"/>
                              <w:jc w:val="center"/>
                              <w:rPr>
                                <w:rFonts w:ascii="宋体" w:hAnsi="宋体" w:cs="宋体"/>
                                <w:sz w:val="20"/>
                                <w:szCs w:val="20"/>
                              </w:rPr>
                            </w:pPr>
                            <w:r>
                              <w:rPr>
                                <w:rFonts w:hint="eastAsia" w:ascii="宋体"/>
                                <w:w w:val="99"/>
                                <w:sz w:val="20"/>
                              </w:rPr>
                              <w:t>4</w:t>
                            </w:r>
                          </w:p>
                        </w:tc>
                        <w:tc>
                          <w:tcPr>
                            <w:tcW w:w="1166" w:type="dxa"/>
                            <w:tcBorders>
                              <w:top w:val="single" w:color="000000" w:sz="4" w:space="0"/>
                              <w:left w:val="single" w:color="000000" w:sz="4" w:space="0"/>
                              <w:bottom w:val="single" w:color="000000" w:sz="4" w:space="0"/>
                              <w:right w:val="single" w:color="000000" w:sz="4" w:space="0"/>
                            </w:tcBorders>
                            <w:noWrap w:val="0"/>
                            <w:vAlign w:val="top"/>
                          </w:tcPr>
                          <w:p w14:paraId="747C347A">
                            <w:pPr>
                              <w:pStyle w:val="56"/>
                              <w:spacing w:before="66"/>
                              <w:ind w:left="7"/>
                              <w:rPr>
                                <w:rFonts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02</w:t>
                            </w:r>
                            <w:r>
                              <w:rPr>
                                <w:rFonts w:hint="eastAsia" w:ascii="宋体" w:hAnsi="宋体" w:cs="宋体"/>
                                <w:spacing w:val="1"/>
                                <w:w w:val="99"/>
                                <w:sz w:val="20"/>
                                <w:szCs w:val="20"/>
                              </w:rPr>
                              <w:t>0</w:t>
                            </w:r>
                            <w:r>
                              <w:rPr>
                                <w:rFonts w:hint="eastAsia" w:ascii="宋体" w:hAnsi="宋体" w:cs="宋体"/>
                                <w:w w:val="99"/>
                                <w:sz w:val="20"/>
                                <w:szCs w:val="20"/>
                              </w:rPr>
                              <w:t>4多功</w:t>
                            </w:r>
                          </w:p>
                          <w:p w14:paraId="41CD44A0">
                            <w:pPr>
                              <w:pStyle w:val="56"/>
                              <w:spacing w:before="50"/>
                              <w:ind w:left="7"/>
                              <w:rPr>
                                <w:rFonts w:ascii="宋体" w:hAnsi="宋体" w:cs="宋体"/>
                                <w:sz w:val="20"/>
                                <w:szCs w:val="20"/>
                              </w:rPr>
                            </w:pPr>
                            <w:r>
                              <w:rPr>
                                <w:rFonts w:hint="eastAsia" w:ascii="宋体" w:hAnsi="宋体" w:cs="宋体"/>
                                <w:w w:val="99"/>
                                <w:sz w:val="20"/>
                                <w:szCs w:val="20"/>
                              </w:rPr>
                              <w:t>能一体机</w:t>
                            </w:r>
                          </w:p>
                        </w:tc>
                        <w:tc>
                          <w:tcPr>
                            <w:tcW w:w="1800" w:type="dxa"/>
                            <w:tcBorders>
                              <w:top w:val="single" w:color="000000" w:sz="4" w:space="0"/>
                              <w:left w:val="single" w:color="000000" w:sz="4" w:space="0"/>
                              <w:bottom w:val="single" w:color="000000" w:sz="4" w:space="0"/>
                              <w:right w:val="single" w:color="000000" w:sz="4" w:space="0"/>
                            </w:tcBorders>
                            <w:noWrap w:val="0"/>
                            <w:vAlign w:val="top"/>
                          </w:tcPr>
                          <w:p w14:paraId="78B2E694">
                            <w:pPr>
                              <w:rPr>
                                <w:rFonts w:ascii="Calibri" w:hAnsi="Calibri"/>
                                <w:sz w:val="22"/>
                                <w:szCs w:val="22"/>
                              </w:rPr>
                            </w:pPr>
                          </w:p>
                        </w:tc>
                        <w:tc>
                          <w:tcPr>
                            <w:tcW w:w="1823" w:type="dxa"/>
                            <w:tcBorders>
                              <w:top w:val="single" w:color="000000" w:sz="4" w:space="0"/>
                              <w:left w:val="single" w:color="000000" w:sz="4" w:space="0"/>
                              <w:bottom w:val="single" w:color="000000" w:sz="4" w:space="0"/>
                              <w:right w:val="single" w:color="000000" w:sz="4" w:space="0"/>
                            </w:tcBorders>
                            <w:noWrap w:val="0"/>
                            <w:vAlign w:val="top"/>
                          </w:tcPr>
                          <w:p w14:paraId="375D1073">
                            <w:pPr>
                              <w:rPr>
                                <w:rFonts w:ascii="Calibri" w:hAnsi="Calibri"/>
                                <w:sz w:val="22"/>
                                <w:szCs w:val="22"/>
                              </w:rPr>
                            </w:pPr>
                          </w:p>
                        </w:tc>
                        <w:tc>
                          <w:tcPr>
                            <w:tcW w:w="3762" w:type="dxa"/>
                            <w:tcBorders>
                              <w:top w:val="single" w:color="000000" w:sz="4" w:space="0"/>
                              <w:left w:val="single" w:color="000000" w:sz="4" w:space="0"/>
                              <w:bottom w:val="single" w:color="000000" w:sz="4" w:space="0"/>
                              <w:right w:val="single" w:color="000000" w:sz="4" w:space="0"/>
                            </w:tcBorders>
                            <w:noWrap w:val="0"/>
                            <w:vAlign w:val="top"/>
                          </w:tcPr>
                          <w:p w14:paraId="4F2CB428">
                            <w:pPr>
                              <w:pStyle w:val="56"/>
                              <w:spacing w:before="66" w:line="280" w:lineRule="auto"/>
                              <w:ind w:left="7" w:right="7"/>
                              <w:rPr>
                                <w:rFonts w:ascii="宋体" w:hAnsi="宋体" w:cs="宋体"/>
                                <w:sz w:val="20"/>
                                <w:szCs w:val="20"/>
                                <w:lang w:eastAsia="zh-CN"/>
                              </w:rPr>
                            </w:pPr>
                            <w:r>
                              <w:rPr>
                                <w:rFonts w:hint="eastAsia" w:ascii="宋体" w:hAnsi="宋体" w:cs="宋体"/>
                                <w:w w:val="99"/>
                                <w:sz w:val="20"/>
                                <w:szCs w:val="20"/>
                                <w:lang w:eastAsia="zh-CN"/>
                              </w:rPr>
                              <w:t>《复印</w:t>
                            </w:r>
                            <w:r>
                              <w:rPr>
                                <w:rFonts w:hint="eastAsia" w:ascii="宋体" w:hAnsi="宋体" w:cs="宋体"/>
                                <w:spacing w:val="2"/>
                                <w:w w:val="99"/>
                                <w:sz w:val="20"/>
                                <w:szCs w:val="20"/>
                                <w:lang w:eastAsia="zh-CN"/>
                              </w:rPr>
                              <w:t>机</w:t>
                            </w:r>
                            <w:r>
                              <w:rPr>
                                <w:rFonts w:hint="eastAsia" w:ascii="宋体" w:hAnsi="宋体" w:cs="宋体"/>
                                <w:spacing w:val="-58"/>
                                <w:w w:val="99"/>
                                <w:sz w:val="20"/>
                                <w:szCs w:val="20"/>
                                <w:lang w:eastAsia="zh-CN"/>
                              </w:rPr>
                              <w:t>、</w:t>
                            </w:r>
                            <w:r>
                              <w:rPr>
                                <w:rFonts w:hint="eastAsia" w:ascii="宋体" w:hAnsi="宋体" w:cs="宋体"/>
                                <w:spacing w:val="2"/>
                                <w:w w:val="99"/>
                                <w:sz w:val="20"/>
                                <w:szCs w:val="20"/>
                                <w:lang w:eastAsia="zh-CN"/>
                              </w:rPr>
                              <w:t>打</w:t>
                            </w:r>
                            <w:r>
                              <w:rPr>
                                <w:rFonts w:hint="eastAsia" w:ascii="宋体" w:hAnsi="宋体" w:cs="宋体"/>
                                <w:w w:val="99"/>
                                <w:sz w:val="20"/>
                                <w:szCs w:val="20"/>
                                <w:lang w:eastAsia="zh-CN"/>
                              </w:rPr>
                              <w:t>印机</w:t>
                            </w:r>
                            <w:r>
                              <w:rPr>
                                <w:rFonts w:hint="eastAsia" w:ascii="宋体" w:hAnsi="宋体" w:cs="宋体"/>
                                <w:spacing w:val="2"/>
                                <w:w w:val="99"/>
                                <w:sz w:val="20"/>
                                <w:szCs w:val="20"/>
                                <w:lang w:eastAsia="zh-CN"/>
                              </w:rPr>
                              <w:t>和</w:t>
                            </w:r>
                            <w:r>
                              <w:rPr>
                                <w:rFonts w:hint="eastAsia" w:ascii="宋体" w:hAnsi="宋体" w:cs="宋体"/>
                                <w:w w:val="99"/>
                                <w:sz w:val="20"/>
                                <w:szCs w:val="20"/>
                                <w:lang w:eastAsia="zh-CN"/>
                              </w:rPr>
                              <w:t>传真</w:t>
                            </w:r>
                            <w:r>
                              <w:rPr>
                                <w:rFonts w:hint="eastAsia" w:ascii="宋体" w:hAnsi="宋体" w:cs="宋体"/>
                                <w:spacing w:val="2"/>
                                <w:w w:val="99"/>
                                <w:sz w:val="20"/>
                                <w:szCs w:val="20"/>
                                <w:lang w:eastAsia="zh-CN"/>
                              </w:rPr>
                              <w:t>机</w:t>
                            </w:r>
                            <w:r>
                              <w:rPr>
                                <w:rFonts w:hint="eastAsia" w:ascii="宋体" w:hAnsi="宋体" w:cs="宋体"/>
                                <w:w w:val="99"/>
                                <w:sz w:val="20"/>
                                <w:szCs w:val="20"/>
                                <w:lang w:eastAsia="zh-CN"/>
                              </w:rPr>
                              <w:t>能效限定值及</w:t>
                            </w:r>
                            <w:r>
                              <w:rPr>
                                <w:rFonts w:hint="eastAsia" w:ascii="宋体" w:hAnsi="宋体" w:cs="宋体"/>
                                <w:spacing w:val="2"/>
                                <w:w w:val="99"/>
                                <w:sz w:val="20"/>
                                <w:szCs w:val="20"/>
                                <w:lang w:eastAsia="zh-CN"/>
                              </w:rPr>
                              <w:t>能</w:t>
                            </w:r>
                            <w:r>
                              <w:rPr>
                                <w:rFonts w:hint="eastAsia" w:ascii="宋体" w:hAnsi="宋体" w:cs="宋体"/>
                                <w:w w:val="99"/>
                                <w:sz w:val="20"/>
                                <w:szCs w:val="20"/>
                                <w:lang w:eastAsia="zh-CN"/>
                              </w:rPr>
                              <w:t>效等</w:t>
                            </w:r>
                            <w:r>
                              <w:rPr>
                                <w:rFonts w:hint="eastAsia" w:ascii="宋体" w:hAnsi="宋体" w:cs="宋体"/>
                                <w:spacing w:val="2"/>
                                <w:w w:val="99"/>
                                <w:sz w:val="20"/>
                                <w:szCs w:val="20"/>
                                <w:lang w:eastAsia="zh-CN"/>
                              </w:rPr>
                              <w:t>级</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21</w:t>
                            </w:r>
                            <w:r>
                              <w:rPr>
                                <w:rFonts w:hint="eastAsia" w:ascii="宋体" w:hAnsi="宋体" w:cs="宋体"/>
                                <w:w w:val="99"/>
                                <w:sz w:val="20"/>
                                <w:szCs w:val="20"/>
                                <w:lang w:eastAsia="zh-CN"/>
                              </w:rPr>
                              <w:t>52</w:t>
                            </w:r>
                            <w:r>
                              <w:rPr>
                                <w:rFonts w:hint="eastAsia" w:ascii="宋体" w:hAnsi="宋体" w:cs="宋体"/>
                                <w:spacing w:val="1"/>
                                <w:w w:val="99"/>
                                <w:sz w:val="20"/>
                                <w:szCs w:val="20"/>
                                <w:lang w:eastAsia="zh-CN"/>
                              </w:rPr>
                              <w:t>1</w:t>
                            </w:r>
                            <w:r>
                              <w:rPr>
                                <w:rFonts w:hint="eastAsia" w:ascii="宋体" w:hAnsi="宋体" w:cs="宋体"/>
                                <w:w w:val="99"/>
                                <w:sz w:val="20"/>
                                <w:szCs w:val="20"/>
                                <w:lang w:eastAsia="zh-CN"/>
                              </w:rPr>
                              <w:t>）</w:t>
                            </w:r>
                          </w:p>
                        </w:tc>
                      </w:tr>
                      <w:tr w14:paraId="12820578">
                        <w:tblPrEx>
                          <w:tblCellMar>
                            <w:top w:w="0" w:type="dxa"/>
                            <w:left w:w="0" w:type="dxa"/>
                            <w:bottom w:w="0" w:type="dxa"/>
                            <w:right w:w="0" w:type="dxa"/>
                          </w:tblCellMar>
                        </w:tblPrEx>
                        <w:trPr>
                          <w:trHeight w:val="646" w:hRule="exact"/>
                        </w:trPr>
                        <w:tc>
                          <w:tcPr>
                            <w:tcW w:w="574" w:type="dxa"/>
                            <w:tcBorders>
                              <w:top w:val="single" w:color="000000" w:sz="4" w:space="0"/>
                              <w:left w:val="single" w:color="000000" w:sz="4" w:space="0"/>
                              <w:bottom w:val="single" w:color="000000" w:sz="4" w:space="0"/>
                              <w:right w:val="single" w:color="000000" w:sz="4" w:space="0"/>
                            </w:tcBorders>
                            <w:noWrap w:val="0"/>
                            <w:vAlign w:val="top"/>
                          </w:tcPr>
                          <w:p w14:paraId="6FC64333">
                            <w:pPr>
                              <w:pStyle w:val="56"/>
                              <w:spacing w:before="160"/>
                              <w:ind w:right="1"/>
                              <w:jc w:val="center"/>
                              <w:rPr>
                                <w:rFonts w:ascii="宋体" w:hAnsi="宋体" w:cs="宋体"/>
                                <w:sz w:val="20"/>
                                <w:szCs w:val="20"/>
                              </w:rPr>
                            </w:pPr>
                            <w:r>
                              <w:rPr>
                                <w:rFonts w:hint="eastAsia" w:ascii="宋体"/>
                                <w:w w:val="99"/>
                                <w:sz w:val="20"/>
                              </w:rPr>
                              <w:t>5</w:t>
                            </w:r>
                          </w:p>
                        </w:tc>
                        <w:tc>
                          <w:tcPr>
                            <w:tcW w:w="1166" w:type="dxa"/>
                            <w:tcBorders>
                              <w:top w:val="single" w:color="000000" w:sz="4" w:space="0"/>
                              <w:left w:val="single" w:color="000000" w:sz="4" w:space="0"/>
                              <w:bottom w:val="single" w:color="000000" w:sz="4" w:space="0"/>
                              <w:right w:val="single" w:color="000000" w:sz="4" w:space="0"/>
                            </w:tcBorders>
                            <w:noWrap w:val="0"/>
                            <w:vAlign w:val="top"/>
                          </w:tcPr>
                          <w:p w14:paraId="606C5E7C">
                            <w:pPr>
                              <w:pStyle w:val="56"/>
                              <w:spacing w:before="160"/>
                              <w:ind w:left="7"/>
                              <w:rPr>
                                <w:rFonts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05</w:t>
                            </w:r>
                            <w:r>
                              <w:rPr>
                                <w:rFonts w:hint="eastAsia" w:ascii="宋体" w:hAnsi="宋体" w:cs="宋体"/>
                                <w:spacing w:val="1"/>
                                <w:w w:val="99"/>
                                <w:sz w:val="20"/>
                                <w:szCs w:val="20"/>
                              </w:rPr>
                              <w:t>1</w:t>
                            </w:r>
                            <w:r>
                              <w:rPr>
                                <w:rFonts w:hint="eastAsia" w:ascii="宋体" w:hAnsi="宋体" w:cs="宋体"/>
                                <w:w w:val="99"/>
                                <w:sz w:val="20"/>
                                <w:szCs w:val="20"/>
                              </w:rPr>
                              <w:t>9泵</w:t>
                            </w:r>
                          </w:p>
                        </w:tc>
                        <w:tc>
                          <w:tcPr>
                            <w:tcW w:w="1800" w:type="dxa"/>
                            <w:tcBorders>
                              <w:top w:val="single" w:color="000000" w:sz="4" w:space="0"/>
                              <w:left w:val="single" w:color="000000" w:sz="4" w:space="0"/>
                              <w:bottom w:val="single" w:color="000000" w:sz="4" w:space="0"/>
                              <w:right w:val="single" w:color="000000" w:sz="4" w:space="0"/>
                            </w:tcBorders>
                            <w:noWrap w:val="0"/>
                            <w:vAlign w:val="top"/>
                          </w:tcPr>
                          <w:p w14:paraId="270FC034">
                            <w:pPr>
                              <w:pStyle w:val="56"/>
                              <w:spacing w:before="160"/>
                              <w:ind w:left="7"/>
                              <w:rPr>
                                <w:rFonts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05</w:t>
                            </w:r>
                            <w:r>
                              <w:rPr>
                                <w:rFonts w:hint="eastAsia" w:ascii="宋体" w:hAnsi="宋体" w:cs="宋体"/>
                                <w:spacing w:val="1"/>
                                <w:w w:val="99"/>
                                <w:sz w:val="20"/>
                                <w:szCs w:val="20"/>
                              </w:rPr>
                              <w:t>1</w:t>
                            </w:r>
                            <w:r>
                              <w:rPr>
                                <w:rFonts w:hint="eastAsia" w:ascii="宋体" w:hAnsi="宋体" w:cs="宋体"/>
                                <w:w w:val="99"/>
                                <w:sz w:val="20"/>
                                <w:szCs w:val="20"/>
                              </w:rPr>
                              <w:t>901离心泵</w:t>
                            </w:r>
                          </w:p>
                        </w:tc>
                        <w:tc>
                          <w:tcPr>
                            <w:tcW w:w="1823" w:type="dxa"/>
                            <w:tcBorders>
                              <w:top w:val="single" w:color="000000" w:sz="4" w:space="0"/>
                              <w:left w:val="single" w:color="000000" w:sz="4" w:space="0"/>
                              <w:bottom w:val="single" w:color="000000" w:sz="4" w:space="0"/>
                              <w:right w:val="single" w:color="000000" w:sz="4" w:space="0"/>
                            </w:tcBorders>
                            <w:noWrap w:val="0"/>
                            <w:vAlign w:val="top"/>
                          </w:tcPr>
                          <w:p w14:paraId="412A8E2A">
                            <w:pPr>
                              <w:rPr>
                                <w:rFonts w:ascii="Calibri" w:hAnsi="Calibri"/>
                                <w:sz w:val="22"/>
                                <w:szCs w:val="22"/>
                              </w:rPr>
                            </w:pPr>
                          </w:p>
                        </w:tc>
                        <w:tc>
                          <w:tcPr>
                            <w:tcW w:w="3762" w:type="dxa"/>
                            <w:tcBorders>
                              <w:top w:val="single" w:color="000000" w:sz="4" w:space="0"/>
                              <w:left w:val="single" w:color="000000" w:sz="4" w:space="0"/>
                              <w:bottom w:val="single" w:color="000000" w:sz="4" w:space="0"/>
                              <w:right w:val="single" w:color="000000" w:sz="4" w:space="0"/>
                            </w:tcBorders>
                            <w:noWrap w:val="0"/>
                            <w:vAlign w:val="top"/>
                          </w:tcPr>
                          <w:p w14:paraId="0395FAA1">
                            <w:pPr>
                              <w:pStyle w:val="56"/>
                              <w:spacing w:before="4" w:line="280" w:lineRule="auto"/>
                              <w:ind w:left="7" w:right="4"/>
                              <w:rPr>
                                <w:rFonts w:ascii="宋体" w:hAnsi="宋体" w:cs="宋体"/>
                                <w:sz w:val="20"/>
                                <w:szCs w:val="20"/>
                                <w:lang w:eastAsia="zh-CN"/>
                              </w:rPr>
                            </w:pPr>
                            <w:r>
                              <w:rPr>
                                <w:rFonts w:hint="eastAsia" w:ascii="宋体" w:hAnsi="宋体" w:cs="宋体"/>
                                <w:spacing w:val="12"/>
                                <w:w w:val="99"/>
                                <w:sz w:val="20"/>
                                <w:szCs w:val="20"/>
                                <w:lang w:eastAsia="zh-CN"/>
                              </w:rPr>
                              <w:t>《清水离心泵能效限定</w:t>
                            </w:r>
                            <w:r>
                              <w:rPr>
                                <w:rFonts w:hint="eastAsia" w:ascii="宋体" w:hAnsi="宋体" w:cs="宋体"/>
                                <w:spacing w:val="9"/>
                                <w:w w:val="99"/>
                                <w:sz w:val="20"/>
                                <w:szCs w:val="20"/>
                                <w:lang w:eastAsia="zh-CN"/>
                              </w:rPr>
                              <w:t>值</w:t>
                            </w:r>
                            <w:r>
                              <w:rPr>
                                <w:rFonts w:hint="eastAsia" w:ascii="宋体" w:hAnsi="宋体" w:cs="宋体"/>
                                <w:spacing w:val="12"/>
                                <w:w w:val="99"/>
                                <w:sz w:val="20"/>
                                <w:szCs w:val="20"/>
                                <w:lang w:eastAsia="zh-CN"/>
                              </w:rPr>
                              <w:t>及节</w:t>
                            </w:r>
                            <w:r>
                              <w:rPr>
                                <w:rFonts w:hint="eastAsia" w:ascii="宋体" w:hAnsi="宋体" w:cs="宋体"/>
                                <w:w w:val="99"/>
                                <w:sz w:val="20"/>
                                <w:szCs w:val="20"/>
                                <w:lang w:eastAsia="zh-CN"/>
                              </w:rPr>
                              <w:t>能评价值</w:t>
                            </w:r>
                            <w:r>
                              <w:rPr>
                                <w:rFonts w:hint="eastAsia" w:ascii="宋体" w:hAnsi="宋体" w:cs="宋体"/>
                                <w:spacing w:val="2"/>
                                <w:w w:val="99"/>
                                <w:sz w:val="20"/>
                                <w:szCs w:val="20"/>
                                <w:lang w:eastAsia="zh-CN"/>
                              </w:rPr>
                              <w:t>》</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19</w:t>
                            </w:r>
                            <w:r>
                              <w:rPr>
                                <w:rFonts w:hint="eastAsia" w:ascii="宋体" w:hAnsi="宋体" w:cs="宋体"/>
                                <w:w w:val="99"/>
                                <w:sz w:val="20"/>
                                <w:szCs w:val="20"/>
                                <w:lang w:eastAsia="zh-CN"/>
                              </w:rPr>
                              <w:t>76</w:t>
                            </w:r>
                            <w:r>
                              <w:rPr>
                                <w:rFonts w:hint="eastAsia" w:ascii="宋体" w:hAnsi="宋体" w:cs="宋体"/>
                                <w:spacing w:val="1"/>
                                <w:w w:val="99"/>
                                <w:sz w:val="20"/>
                                <w:szCs w:val="20"/>
                                <w:lang w:eastAsia="zh-CN"/>
                              </w:rPr>
                              <w:t>2</w:t>
                            </w:r>
                            <w:r>
                              <w:rPr>
                                <w:rFonts w:hint="eastAsia" w:ascii="宋体" w:hAnsi="宋体" w:cs="宋体"/>
                                <w:w w:val="99"/>
                                <w:sz w:val="20"/>
                                <w:szCs w:val="20"/>
                                <w:lang w:eastAsia="zh-CN"/>
                              </w:rPr>
                              <w:t>）</w:t>
                            </w:r>
                          </w:p>
                        </w:tc>
                      </w:tr>
                      <w:tr w14:paraId="3434BBF7">
                        <w:tblPrEx>
                          <w:tblCellMar>
                            <w:top w:w="0" w:type="dxa"/>
                            <w:left w:w="0" w:type="dxa"/>
                            <w:bottom w:w="0" w:type="dxa"/>
                            <w:right w:w="0" w:type="dxa"/>
                          </w:tblCellMar>
                        </w:tblPrEx>
                        <w:trPr>
                          <w:trHeight w:val="1322" w:hRule="exact"/>
                        </w:trPr>
                        <w:tc>
                          <w:tcPr>
                            <w:tcW w:w="574" w:type="dxa"/>
                            <w:vMerge w:val="restart"/>
                            <w:tcBorders>
                              <w:top w:val="single" w:color="000000" w:sz="4" w:space="0"/>
                              <w:left w:val="single" w:color="000000" w:sz="4" w:space="0"/>
                              <w:bottom w:val="single" w:color="000000" w:sz="4" w:space="0"/>
                              <w:right w:val="single" w:color="000000" w:sz="4" w:space="0"/>
                            </w:tcBorders>
                            <w:noWrap w:val="0"/>
                            <w:vAlign w:val="top"/>
                          </w:tcPr>
                          <w:p w14:paraId="146DDB96">
                            <w:pPr>
                              <w:pStyle w:val="56"/>
                              <w:rPr>
                                <w:rFonts w:ascii="宋体" w:hAnsi="宋体" w:cs="宋体"/>
                                <w:sz w:val="20"/>
                                <w:szCs w:val="20"/>
                                <w:lang w:eastAsia="zh-CN"/>
                              </w:rPr>
                            </w:pPr>
                          </w:p>
                          <w:p w14:paraId="1AF55CCA">
                            <w:pPr>
                              <w:pStyle w:val="56"/>
                              <w:rPr>
                                <w:rFonts w:hint="eastAsia" w:ascii="宋体" w:hAnsi="宋体" w:cs="宋体"/>
                                <w:sz w:val="20"/>
                                <w:szCs w:val="20"/>
                                <w:lang w:eastAsia="zh-CN"/>
                              </w:rPr>
                            </w:pPr>
                          </w:p>
                          <w:p w14:paraId="610F2705">
                            <w:pPr>
                              <w:pStyle w:val="56"/>
                              <w:spacing w:before="7"/>
                              <w:rPr>
                                <w:rFonts w:hint="eastAsia" w:ascii="宋体" w:hAnsi="宋体" w:cs="宋体"/>
                                <w:sz w:val="26"/>
                                <w:szCs w:val="26"/>
                                <w:lang w:eastAsia="zh-CN"/>
                              </w:rPr>
                            </w:pPr>
                          </w:p>
                          <w:p w14:paraId="3FA38FA9">
                            <w:pPr>
                              <w:pStyle w:val="56"/>
                              <w:ind w:right="1"/>
                              <w:jc w:val="center"/>
                              <w:rPr>
                                <w:rFonts w:ascii="宋体" w:hAnsi="宋体" w:cs="宋体"/>
                                <w:sz w:val="20"/>
                                <w:szCs w:val="20"/>
                              </w:rPr>
                            </w:pPr>
                            <w:r>
                              <w:rPr>
                                <w:rFonts w:hint="eastAsia" w:ascii="宋体"/>
                                <w:w w:val="99"/>
                                <w:sz w:val="20"/>
                              </w:rPr>
                              <w:t>6</w:t>
                            </w:r>
                          </w:p>
                        </w:tc>
                        <w:tc>
                          <w:tcPr>
                            <w:tcW w:w="1166" w:type="dxa"/>
                            <w:vMerge w:val="restart"/>
                            <w:tcBorders>
                              <w:top w:val="single" w:color="000000" w:sz="4" w:space="0"/>
                              <w:left w:val="single" w:color="000000" w:sz="4" w:space="0"/>
                              <w:bottom w:val="single" w:color="000000" w:sz="4" w:space="0"/>
                              <w:right w:val="single" w:color="000000" w:sz="4" w:space="0"/>
                            </w:tcBorders>
                            <w:noWrap w:val="0"/>
                            <w:vAlign w:val="top"/>
                          </w:tcPr>
                          <w:p w14:paraId="7518BC9C">
                            <w:pPr>
                              <w:pStyle w:val="56"/>
                              <w:rPr>
                                <w:rFonts w:ascii="宋体" w:hAnsi="宋体" w:cs="宋体"/>
                                <w:sz w:val="20"/>
                                <w:szCs w:val="20"/>
                              </w:rPr>
                            </w:pPr>
                          </w:p>
                          <w:p w14:paraId="384BCA95">
                            <w:pPr>
                              <w:pStyle w:val="56"/>
                              <w:rPr>
                                <w:rFonts w:hint="eastAsia" w:ascii="宋体" w:hAnsi="宋体" w:cs="宋体"/>
                                <w:sz w:val="20"/>
                                <w:szCs w:val="20"/>
                              </w:rPr>
                            </w:pPr>
                          </w:p>
                          <w:p w14:paraId="3D705A33">
                            <w:pPr>
                              <w:pStyle w:val="56"/>
                              <w:spacing w:before="8"/>
                              <w:rPr>
                                <w:rFonts w:hint="eastAsia" w:ascii="宋体" w:hAnsi="宋体" w:cs="宋体"/>
                                <w:sz w:val="14"/>
                                <w:szCs w:val="14"/>
                              </w:rPr>
                            </w:pPr>
                          </w:p>
                          <w:p w14:paraId="175750C5">
                            <w:pPr>
                              <w:pStyle w:val="56"/>
                              <w:ind w:left="7"/>
                              <w:rPr>
                                <w:rFonts w:hint="eastAsia"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05</w:t>
                            </w:r>
                            <w:r>
                              <w:rPr>
                                <w:rFonts w:hint="eastAsia" w:ascii="宋体" w:hAnsi="宋体" w:cs="宋体"/>
                                <w:spacing w:val="1"/>
                                <w:w w:val="99"/>
                                <w:sz w:val="20"/>
                                <w:szCs w:val="20"/>
                              </w:rPr>
                              <w:t>2</w:t>
                            </w:r>
                            <w:r>
                              <w:rPr>
                                <w:rFonts w:hint="eastAsia" w:ascii="宋体" w:hAnsi="宋体" w:cs="宋体"/>
                                <w:w w:val="99"/>
                                <w:sz w:val="20"/>
                                <w:szCs w:val="20"/>
                              </w:rPr>
                              <w:t>3制冷</w:t>
                            </w:r>
                          </w:p>
                          <w:p w14:paraId="51EF17CE">
                            <w:pPr>
                              <w:pStyle w:val="56"/>
                              <w:spacing w:before="50"/>
                              <w:ind w:left="7"/>
                              <w:rPr>
                                <w:rFonts w:ascii="宋体" w:hAnsi="宋体" w:cs="宋体"/>
                                <w:sz w:val="20"/>
                                <w:szCs w:val="20"/>
                              </w:rPr>
                            </w:pPr>
                            <w:r>
                              <w:rPr>
                                <w:rFonts w:hint="eastAsia" w:ascii="宋体" w:hAnsi="宋体" w:cs="宋体"/>
                                <w:w w:val="99"/>
                                <w:sz w:val="20"/>
                                <w:szCs w:val="20"/>
                              </w:rPr>
                              <w:t>空调设备</w:t>
                            </w:r>
                          </w:p>
                        </w:tc>
                        <w:tc>
                          <w:tcPr>
                            <w:tcW w:w="1800" w:type="dxa"/>
                            <w:vMerge w:val="restart"/>
                            <w:tcBorders>
                              <w:top w:val="single" w:color="000000" w:sz="4" w:space="0"/>
                              <w:left w:val="single" w:color="000000" w:sz="4" w:space="0"/>
                              <w:bottom w:val="single" w:color="000000" w:sz="4" w:space="0"/>
                              <w:right w:val="single" w:color="000000" w:sz="4" w:space="0"/>
                            </w:tcBorders>
                            <w:noWrap w:val="0"/>
                            <w:vAlign w:val="top"/>
                          </w:tcPr>
                          <w:p w14:paraId="49E3B02D">
                            <w:pPr>
                              <w:pStyle w:val="56"/>
                              <w:rPr>
                                <w:rFonts w:ascii="宋体" w:hAnsi="宋体" w:cs="宋体"/>
                                <w:sz w:val="20"/>
                                <w:szCs w:val="20"/>
                              </w:rPr>
                            </w:pPr>
                          </w:p>
                          <w:p w14:paraId="26F2094C">
                            <w:pPr>
                              <w:pStyle w:val="56"/>
                              <w:rPr>
                                <w:rFonts w:hint="eastAsia" w:ascii="宋体" w:hAnsi="宋体" w:cs="宋体"/>
                                <w:sz w:val="20"/>
                                <w:szCs w:val="20"/>
                              </w:rPr>
                            </w:pPr>
                          </w:p>
                          <w:p w14:paraId="4B7982D2">
                            <w:pPr>
                              <w:pStyle w:val="56"/>
                              <w:spacing w:before="8"/>
                              <w:rPr>
                                <w:rFonts w:hint="eastAsia" w:ascii="宋体" w:hAnsi="宋体" w:cs="宋体"/>
                                <w:sz w:val="14"/>
                                <w:szCs w:val="14"/>
                              </w:rPr>
                            </w:pPr>
                          </w:p>
                          <w:p w14:paraId="43141F3F">
                            <w:pPr>
                              <w:pStyle w:val="56"/>
                              <w:spacing w:line="280" w:lineRule="auto"/>
                              <w:ind w:left="7" w:right="5"/>
                              <w:rPr>
                                <w:rFonts w:ascii="宋体" w:hAnsi="宋体" w:cs="宋体"/>
                                <w:sz w:val="20"/>
                                <w:szCs w:val="20"/>
                              </w:rPr>
                            </w:pPr>
                            <w:r>
                              <w:rPr>
                                <w:rFonts w:hint="eastAsia" w:ascii="宋体" w:hAnsi="宋体" w:cs="宋体"/>
                                <w:w w:val="99"/>
                                <w:sz w:val="20"/>
                                <w:szCs w:val="20"/>
                              </w:rPr>
                              <w:t>★</w:t>
                            </w:r>
                            <w:r>
                              <w:rPr>
                                <w:rFonts w:hint="eastAsia" w:ascii="宋体" w:hAnsi="宋体" w:cs="宋体"/>
                                <w:spacing w:val="1"/>
                                <w:w w:val="99"/>
                                <w:sz w:val="20"/>
                                <w:szCs w:val="20"/>
                              </w:rPr>
                              <w:t>A020</w:t>
                            </w:r>
                            <w:r>
                              <w:rPr>
                                <w:rFonts w:hint="eastAsia" w:ascii="宋体" w:hAnsi="宋体" w:cs="宋体"/>
                                <w:w w:val="99"/>
                                <w:sz w:val="20"/>
                                <w:szCs w:val="20"/>
                              </w:rPr>
                              <w:t>52</w:t>
                            </w:r>
                            <w:r>
                              <w:rPr>
                                <w:rFonts w:hint="eastAsia" w:ascii="宋体" w:hAnsi="宋体" w:cs="宋体"/>
                                <w:spacing w:val="1"/>
                                <w:w w:val="99"/>
                                <w:sz w:val="20"/>
                                <w:szCs w:val="20"/>
                              </w:rPr>
                              <w:t>3</w:t>
                            </w:r>
                            <w:r>
                              <w:rPr>
                                <w:rFonts w:hint="eastAsia" w:ascii="宋体" w:hAnsi="宋体" w:cs="宋体"/>
                                <w:w w:val="99"/>
                                <w:sz w:val="20"/>
                                <w:szCs w:val="20"/>
                              </w:rPr>
                              <w:t>01制冷压缩机</w:t>
                            </w:r>
                          </w:p>
                        </w:tc>
                        <w:tc>
                          <w:tcPr>
                            <w:tcW w:w="1823" w:type="dxa"/>
                            <w:tcBorders>
                              <w:top w:val="single" w:color="000000" w:sz="4" w:space="0"/>
                              <w:left w:val="single" w:color="000000" w:sz="4" w:space="0"/>
                              <w:bottom w:val="single" w:color="000000" w:sz="4" w:space="0"/>
                              <w:right w:val="single" w:color="000000" w:sz="4" w:space="0"/>
                            </w:tcBorders>
                            <w:noWrap w:val="0"/>
                            <w:vAlign w:val="top"/>
                          </w:tcPr>
                          <w:p w14:paraId="52158325">
                            <w:pPr>
                              <w:pStyle w:val="56"/>
                              <w:rPr>
                                <w:rFonts w:ascii="宋体" w:hAnsi="宋体" w:cs="宋体"/>
                                <w:sz w:val="20"/>
                                <w:szCs w:val="20"/>
                              </w:rPr>
                            </w:pPr>
                          </w:p>
                          <w:p w14:paraId="16DE342F">
                            <w:pPr>
                              <w:pStyle w:val="56"/>
                              <w:spacing w:before="1"/>
                              <w:rPr>
                                <w:rFonts w:hint="eastAsia" w:ascii="宋体" w:hAnsi="宋体" w:cs="宋体"/>
                                <w:sz w:val="18"/>
                                <w:szCs w:val="18"/>
                              </w:rPr>
                            </w:pPr>
                          </w:p>
                          <w:p w14:paraId="0B180CF9">
                            <w:pPr>
                              <w:pStyle w:val="56"/>
                              <w:ind w:left="7"/>
                              <w:rPr>
                                <w:rFonts w:ascii="宋体" w:hAnsi="宋体" w:cs="宋体"/>
                                <w:sz w:val="20"/>
                                <w:szCs w:val="20"/>
                              </w:rPr>
                            </w:pPr>
                            <w:r>
                              <w:rPr>
                                <w:rFonts w:hint="eastAsia" w:ascii="宋体" w:hAnsi="宋体" w:cs="宋体"/>
                                <w:w w:val="99"/>
                                <w:sz w:val="20"/>
                                <w:szCs w:val="20"/>
                              </w:rPr>
                              <w:t>冷水机组</w:t>
                            </w:r>
                          </w:p>
                        </w:tc>
                        <w:tc>
                          <w:tcPr>
                            <w:tcW w:w="3762" w:type="dxa"/>
                            <w:tcBorders>
                              <w:top w:val="single" w:color="000000" w:sz="4" w:space="0"/>
                              <w:left w:val="single" w:color="000000" w:sz="4" w:space="0"/>
                              <w:bottom w:val="single" w:color="000000" w:sz="4" w:space="0"/>
                              <w:right w:val="single" w:color="000000" w:sz="4" w:space="0"/>
                            </w:tcBorders>
                            <w:noWrap w:val="0"/>
                            <w:vAlign w:val="top"/>
                          </w:tcPr>
                          <w:p w14:paraId="4AC9808A">
                            <w:pPr>
                              <w:pStyle w:val="56"/>
                              <w:spacing w:before="30" w:line="280" w:lineRule="auto"/>
                              <w:ind w:left="7" w:right="4"/>
                              <w:jc w:val="both"/>
                              <w:rPr>
                                <w:rFonts w:ascii="宋体" w:hAnsi="宋体" w:cs="宋体"/>
                                <w:sz w:val="20"/>
                                <w:szCs w:val="20"/>
                                <w:lang w:eastAsia="zh-CN"/>
                              </w:rPr>
                            </w:pPr>
                            <w:r>
                              <w:rPr>
                                <w:rFonts w:hint="eastAsia" w:ascii="宋体" w:hAnsi="宋体" w:cs="宋体"/>
                                <w:spacing w:val="12"/>
                                <w:w w:val="99"/>
                                <w:sz w:val="20"/>
                                <w:szCs w:val="20"/>
                                <w:lang w:eastAsia="zh-CN"/>
                              </w:rPr>
                              <w:t>《冷水机组能效限定值</w:t>
                            </w:r>
                            <w:r>
                              <w:rPr>
                                <w:rFonts w:hint="eastAsia" w:ascii="宋体" w:hAnsi="宋体" w:cs="宋体"/>
                                <w:spacing w:val="9"/>
                                <w:w w:val="99"/>
                                <w:sz w:val="20"/>
                                <w:szCs w:val="20"/>
                                <w:lang w:eastAsia="zh-CN"/>
                              </w:rPr>
                              <w:t>及</w:t>
                            </w:r>
                            <w:r>
                              <w:rPr>
                                <w:rFonts w:hint="eastAsia" w:ascii="宋体" w:hAnsi="宋体" w:cs="宋体"/>
                                <w:spacing w:val="12"/>
                                <w:w w:val="99"/>
                                <w:sz w:val="20"/>
                                <w:szCs w:val="20"/>
                                <w:lang w:eastAsia="zh-CN"/>
                              </w:rPr>
                              <w:t>能效</w:t>
                            </w:r>
                            <w:r>
                              <w:rPr>
                                <w:rFonts w:hint="eastAsia" w:ascii="宋体" w:hAnsi="宋体" w:cs="宋体"/>
                                <w:w w:val="99"/>
                                <w:sz w:val="20"/>
                                <w:szCs w:val="20"/>
                                <w:lang w:eastAsia="zh-CN"/>
                              </w:rPr>
                              <w:t>等级</w:t>
                            </w:r>
                            <w:r>
                              <w:rPr>
                                <w:rFonts w:hint="eastAsia" w:ascii="宋体" w:hAnsi="宋体" w:cs="宋体"/>
                                <w:spacing w:val="-3"/>
                                <w:w w:val="99"/>
                                <w:sz w:val="20"/>
                                <w:szCs w:val="20"/>
                                <w:lang w:eastAsia="zh-CN"/>
                              </w:rPr>
                              <w:t>》</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195</w:t>
                            </w:r>
                            <w:r>
                              <w:rPr>
                                <w:rFonts w:hint="eastAsia" w:ascii="宋体" w:hAnsi="宋体" w:cs="宋体"/>
                                <w:w w:val="99"/>
                                <w:sz w:val="20"/>
                                <w:szCs w:val="20"/>
                                <w:lang w:eastAsia="zh-CN"/>
                              </w:rPr>
                              <w:t>77</w:t>
                            </w:r>
                            <w:r>
                              <w:rPr>
                                <w:rFonts w:hint="eastAsia" w:ascii="宋体" w:hAnsi="宋体" w:cs="宋体"/>
                                <w:spacing w:val="-3"/>
                                <w:w w:val="99"/>
                                <w:sz w:val="20"/>
                                <w:szCs w:val="20"/>
                                <w:lang w:eastAsia="zh-CN"/>
                              </w:rPr>
                              <w:t>），</w:t>
                            </w:r>
                            <w:r>
                              <w:rPr>
                                <w:rFonts w:hint="eastAsia" w:ascii="宋体" w:hAnsi="宋体" w:cs="宋体"/>
                                <w:w w:val="99"/>
                                <w:sz w:val="20"/>
                                <w:szCs w:val="20"/>
                                <w:lang w:eastAsia="zh-CN"/>
                              </w:rPr>
                              <w:t>《低</w:t>
                            </w:r>
                            <w:r>
                              <w:rPr>
                                <w:rFonts w:hint="eastAsia" w:ascii="宋体" w:hAnsi="宋体" w:cs="宋体"/>
                                <w:spacing w:val="2"/>
                                <w:w w:val="99"/>
                                <w:sz w:val="20"/>
                                <w:szCs w:val="20"/>
                                <w:lang w:eastAsia="zh-CN"/>
                              </w:rPr>
                              <w:t>环</w:t>
                            </w:r>
                            <w:r>
                              <w:rPr>
                                <w:rFonts w:hint="eastAsia" w:ascii="宋体" w:hAnsi="宋体" w:cs="宋体"/>
                                <w:w w:val="99"/>
                                <w:sz w:val="20"/>
                                <w:szCs w:val="20"/>
                                <w:lang w:eastAsia="zh-CN"/>
                              </w:rPr>
                              <w:t>境温度空气源</w:t>
                            </w:r>
                            <w:r>
                              <w:rPr>
                                <w:rFonts w:hint="eastAsia" w:ascii="宋体" w:hAnsi="宋体" w:cs="宋体"/>
                                <w:spacing w:val="2"/>
                                <w:w w:val="99"/>
                                <w:sz w:val="20"/>
                                <w:szCs w:val="20"/>
                                <w:lang w:eastAsia="zh-CN"/>
                              </w:rPr>
                              <w:t>热</w:t>
                            </w:r>
                            <w:r>
                              <w:rPr>
                                <w:rFonts w:hint="eastAsia" w:ascii="宋体" w:hAnsi="宋体" w:cs="宋体"/>
                                <w:spacing w:val="-29"/>
                                <w:w w:val="99"/>
                                <w:sz w:val="20"/>
                                <w:szCs w:val="20"/>
                                <w:lang w:eastAsia="zh-CN"/>
                              </w:rPr>
                              <w:t>泵</w:t>
                            </w:r>
                            <w:r>
                              <w:rPr>
                                <w:rFonts w:hint="eastAsia" w:ascii="宋体" w:hAnsi="宋体" w:cs="宋体"/>
                                <w:spacing w:val="2"/>
                                <w:w w:val="99"/>
                                <w:sz w:val="20"/>
                                <w:szCs w:val="20"/>
                                <w:lang w:eastAsia="zh-CN"/>
                              </w:rPr>
                              <w:t>（</w:t>
                            </w:r>
                            <w:r>
                              <w:rPr>
                                <w:rFonts w:hint="eastAsia" w:ascii="宋体" w:hAnsi="宋体" w:cs="宋体"/>
                                <w:w w:val="99"/>
                                <w:sz w:val="20"/>
                                <w:szCs w:val="20"/>
                                <w:lang w:eastAsia="zh-CN"/>
                              </w:rPr>
                              <w:t>冷水</w:t>
                            </w:r>
                            <w:r>
                              <w:rPr>
                                <w:rFonts w:hint="eastAsia" w:ascii="宋体" w:hAnsi="宋体" w:cs="宋体"/>
                                <w:spacing w:val="-27"/>
                                <w:w w:val="99"/>
                                <w:sz w:val="20"/>
                                <w:szCs w:val="20"/>
                                <w:lang w:eastAsia="zh-CN"/>
                              </w:rPr>
                              <w:t>）</w:t>
                            </w:r>
                            <w:r>
                              <w:rPr>
                                <w:rFonts w:hint="eastAsia" w:ascii="宋体" w:hAnsi="宋体" w:cs="宋体"/>
                                <w:w w:val="99"/>
                                <w:sz w:val="20"/>
                                <w:szCs w:val="20"/>
                                <w:lang w:eastAsia="zh-CN"/>
                              </w:rPr>
                              <w:t>机组</w:t>
                            </w:r>
                            <w:r>
                              <w:rPr>
                                <w:rFonts w:hint="eastAsia" w:ascii="宋体" w:hAnsi="宋体" w:cs="宋体"/>
                                <w:spacing w:val="2"/>
                                <w:w w:val="99"/>
                                <w:sz w:val="20"/>
                                <w:szCs w:val="20"/>
                                <w:lang w:eastAsia="zh-CN"/>
                              </w:rPr>
                              <w:t>能</w:t>
                            </w:r>
                            <w:r>
                              <w:rPr>
                                <w:rFonts w:hint="eastAsia" w:ascii="宋体" w:hAnsi="宋体" w:cs="宋体"/>
                                <w:w w:val="99"/>
                                <w:sz w:val="20"/>
                                <w:szCs w:val="20"/>
                                <w:lang w:eastAsia="zh-CN"/>
                              </w:rPr>
                              <w:t>效限定值及能</w:t>
                            </w:r>
                            <w:r>
                              <w:rPr>
                                <w:rFonts w:hint="eastAsia" w:ascii="宋体" w:hAnsi="宋体" w:cs="宋体"/>
                                <w:spacing w:val="2"/>
                                <w:w w:val="99"/>
                                <w:sz w:val="20"/>
                                <w:szCs w:val="20"/>
                                <w:lang w:eastAsia="zh-CN"/>
                              </w:rPr>
                              <w:t>效</w:t>
                            </w:r>
                            <w:r>
                              <w:rPr>
                                <w:rFonts w:hint="eastAsia" w:ascii="宋体" w:hAnsi="宋体" w:cs="宋体"/>
                                <w:w w:val="99"/>
                                <w:sz w:val="20"/>
                                <w:szCs w:val="20"/>
                                <w:lang w:eastAsia="zh-CN"/>
                              </w:rPr>
                              <w:t>等级</w:t>
                            </w:r>
                            <w:r>
                              <w:rPr>
                                <w:rFonts w:hint="eastAsia" w:ascii="宋体" w:hAnsi="宋体" w:cs="宋体"/>
                                <w:spacing w:val="2"/>
                                <w:w w:val="99"/>
                                <w:sz w:val="20"/>
                                <w:szCs w:val="20"/>
                                <w:lang w:eastAsia="zh-CN"/>
                              </w:rPr>
                              <w:t>》</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37</w:t>
                            </w:r>
                            <w:r>
                              <w:rPr>
                                <w:rFonts w:hint="eastAsia" w:ascii="宋体" w:hAnsi="宋体" w:cs="宋体"/>
                                <w:w w:val="99"/>
                                <w:sz w:val="20"/>
                                <w:szCs w:val="20"/>
                                <w:lang w:eastAsia="zh-CN"/>
                              </w:rPr>
                              <w:t>48</w:t>
                            </w:r>
                            <w:r>
                              <w:rPr>
                                <w:rFonts w:hint="eastAsia" w:ascii="宋体" w:hAnsi="宋体" w:cs="宋体"/>
                                <w:spacing w:val="-2"/>
                                <w:w w:val="99"/>
                                <w:sz w:val="20"/>
                                <w:szCs w:val="20"/>
                                <w:lang w:eastAsia="zh-CN"/>
                              </w:rPr>
                              <w:t>0</w:t>
                            </w:r>
                            <w:r>
                              <w:rPr>
                                <w:rFonts w:hint="eastAsia" w:ascii="宋体" w:hAnsi="宋体" w:cs="宋体"/>
                                <w:w w:val="99"/>
                                <w:sz w:val="20"/>
                                <w:szCs w:val="20"/>
                                <w:lang w:eastAsia="zh-CN"/>
                              </w:rPr>
                              <w:t>）</w:t>
                            </w:r>
                          </w:p>
                        </w:tc>
                      </w:tr>
                      <w:tr w14:paraId="6BCB2C06">
                        <w:tblPrEx>
                          <w:tblCellMar>
                            <w:top w:w="0" w:type="dxa"/>
                            <w:left w:w="0" w:type="dxa"/>
                            <w:bottom w:w="0" w:type="dxa"/>
                            <w:right w:w="0" w:type="dxa"/>
                          </w:tblCellMar>
                        </w:tblPrEx>
                        <w:trPr>
                          <w:trHeight w:val="744" w:hRule="exac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1E4B5E31">
                            <w:pPr>
                              <w:widowControl/>
                              <w:jc w:val="left"/>
                              <w:rPr>
                                <w:rFonts w:ascii="宋体" w:hAnsi="宋体" w:eastAsia="Times New Roman" w:cs="宋体"/>
                                <w:kern w:val="0"/>
                                <w:sz w:val="20"/>
                                <w:szCs w:val="20"/>
                              </w:rPr>
                            </w:pPr>
                          </w:p>
                        </w:tc>
                        <w:tc>
                          <w:tcPr>
                            <w:tcW w:w="1166" w:type="dxa"/>
                            <w:vMerge w:val="continue"/>
                            <w:tcBorders>
                              <w:top w:val="single" w:color="000000" w:sz="4" w:space="0"/>
                              <w:left w:val="single" w:color="000000" w:sz="4" w:space="0"/>
                              <w:bottom w:val="single" w:color="000000" w:sz="4" w:space="0"/>
                              <w:right w:val="single" w:color="000000" w:sz="4" w:space="0"/>
                            </w:tcBorders>
                            <w:noWrap w:val="0"/>
                            <w:vAlign w:val="center"/>
                          </w:tcPr>
                          <w:p w14:paraId="6A69E27A">
                            <w:pPr>
                              <w:widowControl/>
                              <w:jc w:val="left"/>
                              <w:rPr>
                                <w:rFonts w:ascii="宋体" w:hAnsi="宋体" w:eastAsia="Times New Roman" w:cs="宋体"/>
                                <w:kern w:val="0"/>
                                <w:sz w:val="20"/>
                                <w:szCs w:val="20"/>
                              </w:rPr>
                            </w:pPr>
                          </w:p>
                        </w:tc>
                        <w:tc>
                          <w:tcPr>
                            <w:tcW w:w="1800" w:type="dxa"/>
                            <w:vMerge w:val="continue"/>
                            <w:tcBorders>
                              <w:top w:val="single" w:color="000000" w:sz="4" w:space="0"/>
                              <w:left w:val="single" w:color="000000" w:sz="4" w:space="0"/>
                              <w:bottom w:val="single" w:color="000000" w:sz="4" w:space="0"/>
                              <w:right w:val="single" w:color="000000" w:sz="4" w:space="0"/>
                            </w:tcBorders>
                            <w:noWrap w:val="0"/>
                            <w:vAlign w:val="center"/>
                          </w:tcPr>
                          <w:p w14:paraId="6E850FE8">
                            <w:pPr>
                              <w:widowControl/>
                              <w:jc w:val="left"/>
                              <w:rPr>
                                <w:rFonts w:ascii="宋体" w:hAnsi="宋体" w:eastAsia="Times New Roman" w:cs="宋体"/>
                                <w:kern w:val="0"/>
                                <w:sz w:val="20"/>
                                <w:szCs w:val="20"/>
                              </w:rPr>
                            </w:pPr>
                          </w:p>
                        </w:tc>
                        <w:tc>
                          <w:tcPr>
                            <w:tcW w:w="1823" w:type="dxa"/>
                            <w:tcBorders>
                              <w:top w:val="single" w:color="000000" w:sz="4" w:space="0"/>
                              <w:left w:val="single" w:color="000000" w:sz="4" w:space="0"/>
                              <w:bottom w:val="single" w:color="000000" w:sz="4" w:space="0"/>
                              <w:right w:val="single" w:color="000000" w:sz="4" w:space="0"/>
                            </w:tcBorders>
                            <w:noWrap w:val="0"/>
                            <w:vAlign w:val="top"/>
                          </w:tcPr>
                          <w:p w14:paraId="731462C9">
                            <w:pPr>
                              <w:pStyle w:val="56"/>
                              <w:spacing w:before="12"/>
                              <w:rPr>
                                <w:rFonts w:ascii="宋体" w:hAnsi="宋体" w:cs="宋体"/>
                                <w:sz w:val="15"/>
                                <w:szCs w:val="15"/>
                                <w:lang w:eastAsia="zh-CN"/>
                              </w:rPr>
                            </w:pPr>
                          </w:p>
                          <w:p w14:paraId="74404AC3">
                            <w:pPr>
                              <w:pStyle w:val="56"/>
                              <w:ind w:left="7"/>
                              <w:rPr>
                                <w:rFonts w:ascii="宋体" w:hAnsi="宋体" w:cs="宋体"/>
                                <w:sz w:val="20"/>
                                <w:szCs w:val="20"/>
                              </w:rPr>
                            </w:pPr>
                            <w:r>
                              <w:rPr>
                                <w:rFonts w:hint="eastAsia" w:ascii="宋体" w:hAnsi="宋体" w:cs="宋体"/>
                                <w:w w:val="99"/>
                                <w:sz w:val="20"/>
                                <w:szCs w:val="20"/>
                              </w:rPr>
                              <w:t>水源热</w:t>
                            </w:r>
                            <w:r>
                              <w:rPr>
                                <w:rFonts w:hint="eastAsia" w:ascii="宋体" w:hAnsi="宋体" w:cs="宋体"/>
                                <w:spacing w:val="2"/>
                                <w:w w:val="99"/>
                                <w:sz w:val="20"/>
                                <w:szCs w:val="20"/>
                              </w:rPr>
                              <w:t>泵</w:t>
                            </w:r>
                            <w:r>
                              <w:rPr>
                                <w:rFonts w:hint="eastAsia" w:ascii="宋体" w:hAnsi="宋体" w:cs="宋体"/>
                                <w:w w:val="99"/>
                                <w:sz w:val="20"/>
                                <w:szCs w:val="20"/>
                              </w:rPr>
                              <w:t>机组</w:t>
                            </w:r>
                          </w:p>
                        </w:tc>
                        <w:tc>
                          <w:tcPr>
                            <w:tcW w:w="3762" w:type="dxa"/>
                            <w:tcBorders>
                              <w:top w:val="single" w:color="000000" w:sz="4" w:space="0"/>
                              <w:left w:val="single" w:color="000000" w:sz="4" w:space="0"/>
                              <w:bottom w:val="single" w:color="000000" w:sz="4" w:space="0"/>
                              <w:right w:val="single" w:color="000000" w:sz="4" w:space="0"/>
                            </w:tcBorders>
                            <w:noWrap w:val="0"/>
                            <w:vAlign w:val="top"/>
                          </w:tcPr>
                          <w:p w14:paraId="2B25942F">
                            <w:pPr>
                              <w:pStyle w:val="56"/>
                              <w:spacing w:before="52" w:line="280" w:lineRule="auto"/>
                              <w:ind w:left="7" w:right="7"/>
                              <w:rPr>
                                <w:rFonts w:ascii="宋体" w:hAnsi="宋体" w:cs="宋体"/>
                                <w:sz w:val="20"/>
                                <w:szCs w:val="20"/>
                                <w:lang w:eastAsia="zh-CN"/>
                              </w:rPr>
                            </w:pPr>
                            <w:r>
                              <w:rPr>
                                <w:rFonts w:hint="eastAsia" w:ascii="宋体" w:hAnsi="宋体" w:cs="宋体"/>
                                <w:w w:val="99"/>
                                <w:sz w:val="20"/>
                                <w:szCs w:val="20"/>
                                <w:lang w:eastAsia="zh-CN"/>
                              </w:rPr>
                              <w:t>《</w:t>
                            </w:r>
                            <w:r>
                              <w:rPr>
                                <w:rFonts w:hint="eastAsia" w:ascii="宋体" w:hAnsi="宋体" w:cs="宋体"/>
                                <w:spacing w:val="-29"/>
                                <w:w w:val="99"/>
                                <w:sz w:val="20"/>
                                <w:szCs w:val="20"/>
                                <w:lang w:eastAsia="zh-CN"/>
                              </w:rPr>
                              <w:t>水</w:t>
                            </w:r>
                            <w:r>
                              <w:rPr>
                                <w:rFonts w:hint="eastAsia" w:ascii="宋体" w:hAnsi="宋体" w:cs="宋体"/>
                                <w:w w:val="99"/>
                                <w:sz w:val="20"/>
                                <w:szCs w:val="20"/>
                                <w:lang w:eastAsia="zh-CN"/>
                              </w:rPr>
                              <w:t>（</w:t>
                            </w:r>
                            <w:r>
                              <w:rPr>
                                <w:rFonts w:hint="eastAsia" w:ascii="宋体" w:hAnsi="宋体" w:cs="宋体"/>
                                <w:spacing w:val="2"/>
                                <w:w w:val="99"/>
                                <w:sz w:val="20"/>
                                <w:szCs w:val="20"/>
                                <w:lang w:eastAsia="zh-CN"/>
                              </w:rPr>
                              <w:t>地</w:t>
                            </w:r>
                            <w:r>
                              <w:rPr>
                                <w:rFonts w:hint="eastAsia" w:ascii="宋体" w:hAnsi="宋体" w:cs="宋体"/>
                                <w:spacing w:val="-29"/>
                                <w:w w:val="99"/>
                                <w:sz w:val="20"/>
                                <w:szCs w:val="20"/>
                                <w:lang w:eastAsia="zh-CN"/>
                              </w:rPr>
                              <w:t>）</w:t>
                            </w:r>
                            <w:r>
                              <w:rPr>
                                <w:rFonts w:hint="eastAsia" w:ascii="宋体" w:hAnsi="宋体" w:cs="宋体"/>
                                <w:spacing w:val="2"/>
                                <w:w w:val="99"/>
                                <w:sz w:val="20"/>
                                <w:szCs w:val="20"/>
                                <w:lang w:eastAsia="zh-CN"/>
                              </w:rPr>
                              <w:t>源</w:t>
                            </w:r>
                            <w:r>
                              <w:rPr>
                                <w:rFonts w:hint="eastAsia" w:ascii="宋体" w:hAnsi="宋体" w:cs="宋体"/>
                                <w:w w:val="99"/>
                                <w:sz w:val="20"/>
                                <w:szCs w:val="20"/>
                                <w:lang w:eastAsia="zh-CN"/>
                              </w:rPr>
                              <w:t>热泵</w:t>
                            </w:r>
                            <w:r>
                              <w:rPr>
                                <w:rFonts w:hint="eastAsia" w:ascii="宋体" w:hAnsi="宋体" w:cs="宋体"/>
                                <w:spacing w:val="2"/>
                                <w:w w:val="99"/>
                                <w:sz w:val="20"/>
                                <w:szCs w:val="20"/>
                                <w:lang w:eastAsia="zh-CN"/>
                              </w:rPr>
                              <w:t>机</w:t>
                            </w:r>
                            <w:r>
                              <w:rPr>
                                <w:rFonts w:hint="eastAsia" w:ascii="宋体" w:hAnsi="宋体" w:cs="宋体"/>
                                <w:w w:val="99"/>
                                <w:sz w:val="20"/>
                                <w:szCs w:val="20"/>
                                <w:lang w:eastAsia="zh-CN"/>
                              </w:rPr>
                              <w:t>组能</w:t>
                            </w:r>
                            <w:r>
                              <w:rPr>
                                <w:rFonts w:hint="eastAsia" w:ascii="宋体" w:hAnsi="宋体" w:cs="宋体"/>
                                <w:spacing w:val="2"/>
                                <w:w w:val="99"/>
                                <w:sz w:val="20"/>
                                <w:szCs w:val="20"/>
                                <w:lang w:eastAsia="zh-CN"/>
                              </w:rPr>
                              <w:t>效</w:t>
                            </w:r>
                            <w:r>
                              <w:rPr>
                                <w:rFonts w:hint="eastAsia" w:ascii="宋体" w:hAnsi="宋体" w:cs="宋体"/>
                                <w:w w:val="99"/>
                                <w:sz w:val="20"/>
                                <w:szCs w:val="20"/>
                                <w:lang w:eastAsia="zh-CN"/>
                              </w:rPr>
                              <w:t>限定值及能效</w:t>
                            </w:r>
                            <w:r>
                              <w:rPr>
                                <w:rFonts w:hint="eastAsia" w:ascii="宋体" w:hAnsi="宋体" w:cs="宋体"/>
                                <w:spacing w:val="2"/>
                                <w:w w:val="99"/>
                                <w:sz w:val="20"/>
                                <w:szCs w:val="20"/>
                                <w:lang w:eastAsia="zh-CN"/>
                              </w:rPr>
                              <w:t>等</w:t>
                            </w:r>
                            <w:r>
                              <w:rPr>
                                <w:rFonts w:hint="eastAsia" w:ascii="宋体" w:hAnsi="宋体" w:cs="宋体"/>
                                <w:w w:val="99"/>
                                <w:sz w:val="20"/>
                                <w:szCs w:val="20"/>
                                <w:lang w:eastAsia="zh-CN"/>
                              </w:rPr>
                              <w:t>级》（</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30721</w:t>
                            </w:r>
                            <w:r>
                              <w:rPr>
                                <w:rFonts w:hint="eastAsia" w:ascii="宋体" w:hAnsi="宋体" w:cs="宋体"/>
                                <w:w w:val="99"/>
                                <w:sz w:val="20"/>
                                <w:szCs w:val="20"/>
                                <w:lang w:eastAsia="zh-CN"/>
                              </w:rPr>
                              <w:t>）</w:t>
                            </w:r>
                          </w:p>
                        </w:tc>
                      </w:tr>
                    </w:tbl>
                    <w:p w14:paraId="2F0A21B4">
                      <w:pPr>
                        <w:rPr>
                          <w:rFonts w:ascii="Calibri" w:hAnsi="Calibri"/>
                          <w:sz w:val="22"/>
                          <w:szCs w:val="22"/>
                        </w:rPr>
                      </w:pPr>
                    </w:p>
                  </w:txbxContent>
                </v:textbox>
              </v:shape>
            </w:pict>
          </mc:Fallback>
        </mc:AlternateContent>
      </w:r>
    </w:p>
    <w:p w14:paraId="66EC5E57">
      <w:pPr>
        <w:rPr>
          <w:rFonts w:hint="eastAsia" w:ascii="Arial Unicode MS" w:hAnsi="Arial Unicode MS" w:eastAsia="Arial Unicode MS" w:cs="Arial Unicode MS"/>
          <w:color w:val="auto"/>
          <w:sz w:val="20"/>
          <w:szCs w:val="20"/>
          <w:highlight w:val="none"/>
        </w:rPr>
      </w:pPr>
    </w:p>
    <w:p w14:paraId="64C2C761">
      <w:pPr>
        <w:rPr>
          <w:rFonts w:hint="eastAsia" w:ascii="Arial Unicode MS" w:hAnsi="Arial Unicode MS" w:eastAsia="Arial Unicode MS" w:cs="Arial Unicode MS"/>
          <w:color w:val="auto"/>
          <w:sz w:val="20"/>
          <w:szCs w:val="20"/>
          <w:highlight w:val="none"/>
        </w:rPr>
      </w:pPr>
    </w:p>
    <w:p w14:paraId="319A261C">
      <w:pPr>
        <w:rPr>
          <w:rFonts w:hint="eastAsia" w:ascii="Arial Unicode MS" w:hAnsi="Arial Unicode MS" w:eastAsia="Arial Unicode MS" w:cs="Arial Unicode MS"/>
          <w:color w:val="auto"/>
          <w:sz w:val="20"/>
          <w:szCs w:val="20"/>
          <w:highlight w:val="none"/>
        </w:rPr>
      </w:pPr>
    </w:p>
    <w:p w14:paraId="2E6B77FF">
      <w:pPr>
        <w:rPr>
          <w:rFonts w:hint="eastAsia" w:ascii="Arial Unicode MS" w:hAnsi="Arial Unicode MS" w:eastAsia="Arial Unicode MS" w:cs="Arial Unicode MS"/>
          <w:color w:val="auto"/>
          <w:sz w:val="20"/>
          <w:szCs w:val="20"/>
          <w:highlight w:val="none"/>
        </w:rPr>
      </w:pPr>
    </w:p>
    <w:p w14:paraId="53C30F34">
      <w:pPr>
        <w:rPr>
          <w:rFonts w:hint="eastAsia" w:ascii="Arial Unicode MS" w:hAnsi="Arial Unicode MS" w:eastAsia="Arial Unicode MS" w:cs="Arial Unicode MS"/>
          <w:color w:val="auto"/>
          <w:sz w:val="20"/>
          <w:szCs w:val="20"/>
          <w:highlight w:val="none"/>
        </w:rPr>
      </w:pPr>
    </w:p>
    <w:p w14:paraId="7CE29563">
      <w:pPr>
        <w:rPr>
          <w:rFonts w:hint="eastAsia" w:ascii="Arial Unicode MS" w:hAnsi="Arial Unicode MS" w:eastAsia="Arial Unicode MS" w:cs="Arial Unicode MS"/>
          <w:color w:val="auto"/>
          <w:sz w:val="20"/>
          <w:szCs w:val="20"/>
          <w:highlight w:val="none"/>
        </w:rPr>
      </w:pPr>
    </w:p>
    <w:p w14:paraId="155C2BFD">
      <w:pPr>
        <w:rPr>
          <w:rFonts w:hint="eastAsia" w:ascii="Arial Unicode MS" w:hAnsi="Arial Unicode MS" w:eastAsia="Arial Unicode MS" w:cs="Arial Unicode MS"/>
          <w:color w:val="auto"/>
          <w:sz w:val="20"/>
          <w:szCs w:val="20"/>
          <w:highlight w:val="none"/>
        </w:rPr>
      </w:pPr>
    </w:p>
    <w:p w14:paraId="7A25D165">
      <w:pPr>
        <w:rPr>
          <w:rFonts w:hint="eastAsia" w:ascii="Arial Unicode MS" w:hAnsi="Arial Unicode MS" w:eastAsia="Arial Unicode MS" w:cs="Arial Unicode MS"/>
          <w:color w:val="auto"/>
          <w:sz w:val="20"/>
          <w:szCs w:val="20"/>
          <w:highlight w:val="none"/>
        </w:rPr>
      </w:pPr>
    </w:p>
    <w:p w14:paraId="095E7911">
      <w:pPr>
        <w:rPr>
          <w:rFonts w:hint="eastAsia" w:ascii="Arial Unicode MS" w:hAnsi="Arial Unicode MS" w:eastAsia="Arial Unicode MS" w:cs="Arial Unicode MS"/>
          <w:color w:val="auto"/>
          <w:sz w:val="20"/>
          <w:szCs w:val="20"/>
          <w:highlight w:val="none"/>
        </w:rPr>
      </w:pPr>
    </w:p>
    <w:p w14:paraId="5A37D035">
      <w:pPr>
        <w:rPr>
          <w:rFonts w:hint="eastAsia" w:ascii="Arial Unicode MS" w:hAnsi="Arial Unicode MS" w:eastAsia="Arial Unicode MS" w:cs="Arial Unicode MS"/>
          <w:color w:val="auto"/>
          <w:sz w:val="20"/>
          <w:szCs w:val="20"/>
          <w:highlight w:val="none"/>
        </w:rPr>
      </w:pPr>
    </w:p>
    <w:p w14:paraId="63FB7DB9">
      <w:pPr>
        <w:rPr>
          <w:rFonts w:hint="eastAsia" w:ascii="Arial Unicode MS" w:hAnsi="Arial Unicode MS" w:eastAsia="Arial Unicode MS" w:cs="Arial Unicode MS"/>
          <w:color w:val="auto"/>
          <w:sz w:val="20"/>
          <w:szCs w:val="20"/>
          <w:highlight w:val="none"/>
        </w:rPr>
      </w:pPr>
    </w:p>
    <w:p w14:paraId="65A2AEB5">
      <w:pPr>
        <w:rPr>
          <w:rFonts w:hint="eastAsia" w:ascii="Arial Unicode MS" w:hAnsi="Arial Unicode MS" w:eastAsia="Arial Unicode MS" w:cs="Arial Unicode MS"/>
          <w:color w:val="auto"/>
          <w:sz w:val="20"/>
          <w:szCs w:val="20"/>
          <w:highlight w:val="none"/>
        </w:rPr>
      </w:pPr>
    </w:p>
    <w:p w14:paraId="7497C54F">
      <w:pPr>
        <w:rPr>
          <w:rFonts w:hint="eastAsia" w:ascii="Arial Unicode MS" w:hAnsi="Arial Unicode MS" w:eastAsia="Arial Unicode MS" w:cs="Arial Unicode MS"/>
          <w:color w:val="auto"/>
          <w:sz w:val="20"/>
          <w:szCs w:val="20"/>
          <w:highlight w:val="none"/>
        </w:rPr>
      </w:pPr>
    </w:p>
    <w:p w14:paraId="611969B3">
      <w:pPr>
        <w:rPr>
          <w:rFonts w:hint="eastAsia" w:ascii="Arial Unicode MS" w:hAnsi="Arial Unicode MS" w:eastAsia="Arial Unicode MS" w:cs="Arial Unicode MS"/>
          <w:color w:val="auto"/>
          <w:sz w:val="20"/>
          <w:szCs w:val="20"/>
          <w:highlight w:val="none"/>
        </w:rPr>
      </w:pPr>
    </w:p>
    <w:p w14:paraId="7DBD3CF7">
      <w:pPr>
        <w:rPr>
          <w:rFonts w:hint="eastAsia" w:ascii="Arial Unicode MS" w:hAnsi="Arial Unicode MS" w:eastAsia="Arial Unicode MS" w:cs="Arial Unicode MS"/>
          <w:color w:val="auto"/>
          <w:sz w:val="20"/>
          <w:szCs w:val="20"/>
          <w:highlight w:val="none"/>
        </w:rPr>
      </w:pPr>
    </w:p>
    <w:p w14:paraId="5B0B5FEA">
      <w:pPr>
        <w:rPr>
          <w:rFonts w:hint="eastAsia" w:ascii="Arial Unicode MS" w:hAnsi="Arial Unicode MS" w:eastAsia="Arial Unicode MS" w:cs="Arial Unicode MS"/>
          <w:color w:val="auto"/>
          <w:sz w:val="20"/>
          <w:szCs w:val="20"/>
          <w:highlight w:val="none"/>
        </w:rPr>
      </w:pPr>
    </w:p>
    <w:p w14:paraId="5AED4804">
      <w:pPr>
        <w:rPr>
          <w:rFonts w:hint="eastAsia" w:ascii="Arial Unicode MS" w:hAnsi="Arial Unicode MS" w:eastAsia="Arial Unicode MS" w:cs="Arial Unicode MS"/>
          <w:color w:val="auto"/>
          <w:sz w:val="20"/>
          <w:szCs w:val="20"/>
          <w:highlight w:val="none"/>
        </w:rPr>
      </w:pPr>
    </w:p>
    <w:p w14:paraId="277C92A4">
      <w:pPr>
        <w:spacing w:before="16"/>
        <w:rPr>
          <w:rFonts w:hint="eastAsia" w:ascii="Arial Unicode MS" w:hAnsi="Arial Unicode MS" w:eastAsia="Arial Unicode MS" w:cs="Arial Unicode MS"/>
          <w:color w:val="auto"/>
          <w:sz w:val="17"/>
          <w:szCs w:val="17"/>
          <w:highlight w:val="none"/>
        </w:rPr>
      </w:pPr>
    </w:p>
    <w:p w14:paraId="67E406FD">
      <w:pPr>
        <w:rPr>
          <w:rFonts w:hint="eastAsia" w:ascii="宋体" w:hAnsi="宋体" w:cs="宋体"/>
          <w:color w:val="auto"/>
          <w:sz w:val="20"/>
          <w:szCs w:val="20"/>
          <w:highlight w:val="none"/>
        </w:rPr>
      </w:pPr>
    </w:p>
    <w:p w14:paraId="0106FA88">
      <w:pPr>
        <w:rPr>
          <w:rFonts w:hint="eastAsia" w:ascii="宋体" w:hAnsi="宋体" w:cs="宋体"/>
          <w:color w:val="auto"/>
          <w:sz w:val="20"/>
          <w:szCs w:val="20"/>
          <w:highlight w:val="none"/>
        </w:rPr>
      </w:pPr>
    </w:p>
    <w:p w14:paraId="33062E50">
      <w:pPr>
        <w:spacing w:before="3"/>
        <w:rPr>
          <w:rFonts w:hint="eastAsia" w:ascii="宋体" w:hAnsi="宋体" w:cs="宋体"/>
          <w:color w:val="auto"/>
          <w:sz w:val="15"/>
          <w:szCs w:val="15"/>
          <w:highlight w:val="none"/>
        </w:rPr>
      </w:pPr>
    </w:p>
    <w:p w14:paraId="14A2B61C">
      <w:pPr>
        <w:widowControl/>
        <w:jc w:val="left"/>
        <w:rPr>
          <w:rFonts w:ascii="宋体" w:hAnsi="宋体" w:cs="宋体"/>
          <w:color w:val="auto"/>
          <w:sz w:val="20"/>
          <w:szCs w:val="20"/>
          <w:highlight w:val="none"/>
        </w:rPr>
        <w:sectPr>
          <w:footerReference r:id="rId6" w:type="default"/>
          <w:pgSz w:w="11910" w:h="16840"/>
          <w:pgMar w:top="1440" w:right="1080" w:bottom="1440" w:left="1080" w:header="720" w:footer="720" w:gutter="0"/>
          <w:pgNumType w:fmt="decimal"/>
          <w:cols w:space="720" w:num="1"/>
        </w:sectPr>
      </w:pPr>
    </w:p>
    <w:p w14:paraId="5DF6AFC9">
      <w:pPr>
        <w:rPr>
          <w:rFonts w:hint="eastAsia" w:ascii="宋体" w:hAnsi="宋体" w:cs="宋体"/>
          <w:color w:val="auto"/>
          <w:sz w:val="20"/>
          <w:szCs w:val="20"/>
          <w:highlight w:val="none"/>
        </w:rPr>
      </w:pPr>
      <w:r>
        <w:rPr>
          <w:rFonts w:hint="eastAsia"/>
          <w:color w:val="auto"/>
          <w:highlight w:val="none"/>
        </w:rPr>
        <mc:AlternateContent>
          <mc:Choice Requires="wps">
            <w:drawing>
              <wp:anchor distT="0" distB="0" distL="114300" distR="114300" simplePos="0" relativeHeight="251660288" behindDoc="0" locked="0" layoutInCell="1" allowOverlap="1">
                <wp:simplePos x="0" y="0"/>
                <wp:positionH relativeFrom="page">
                  <wp:posOffset>856615</wp:posOffset>
                </wp:positionH>
                <wp:positionV relativeFrom="paragraph">
                  <wp:posOffset>43815</wp:posOffset>
                </wp:positionV>
                <wp:extent cx="6165850" cy="8524240"/>
                <wp:effectExtent l="0" t="0" r="0" b="0"/>
                <wp:wrapNone/>
                <wp:docPr id="2" name="文本框 3"/>
                <wp:cNvGraphicFramePr/>
                <a:graphic xmlns:a="http://schemas.openxmlformats.org/drawingml/2006/main">
                  <a:graphicData uri="http://schemas.microsoft.com/office/word/2010/wordprocessingShape">
                    <wps:wsp>
                      <wps:cNvSpPr txBox="1"/>
                      <wps:spPr>
                        <a:xfrm>
                          <a:off x="0" y="0"/>
                          <a:ext cx="6165850" cy="8524240"/>
                        </a:xfrm>
                        <a:prstGeom prst="rect">
                          <a:avLst/>
                        </a:prstGeom>
                        <a:noFill/>
                        <a:ln>
                          <a:noFill/>
                        </a:ln>
                      </wps:spPr>
                      <wps:txbx>
                        <w:txbxContent>
                          <w:tbl>
                            <w:tblPr>
                              <w:tblStyle w:val="24"/>
                              <w:tblW w:w="9105" w:type="dxa"/>
                              <w:tblInd w:w="2" w:type="dxa"/>
                              <w:tblLayout w:type="fixed"/>
                              <w:tblCellMar>
                                <w:top w:w="0" w:type="dxa"/>
                                <w:left w:w="0" w:type="dxa"/>
                                <w:bottom w:w="0" w:type="dxa"/>
                                <w:right w:w="0" w:type="dxa"/>
                              </w:tblCellMar>
                            </w:tblPr>
                            <w:tblGrid>
                              <w:gridCol w:w="570"/>
                              <w:gridCol w:w="1163"/>
                              <w:gridCol w:w="1800"/>
                              <w:gridCol w:w="1792"/>
                              <w:gridCol w:w="3780"/>
                            </w:tblGrid>
                            <w:tr w14:paraId="6CEC0A9A">
                              <w:tblPrEx>
                                <w:tblCellMar>
                                  <w:top w:w="0" w:type="dxa"/>
                                  <w:left w:w="0" w:type="dxa"/>
                                  <w:bottom w:w="0" w:type="dxa"/>
                                  <w:right w:w="0" w:type="dxa"/>
                                </w:tblCellMar>
                              </w:tblPrEx>
                              <w:trPr>
                                <w:trHeight w:val="416" w:hRule="exact"/>
                              </w:trPr>
                              <w:tc>
                                <w:tcPr>
                                  <w:tcW w:w="570" w:type="dxa"/>
                                  <w:vMerge w:val="restart"/>
                                  <w:tcBorders>
                                    <w:top w:val="single" w:color="000000" w:sz="4" w:space="0"/>
                                    <w:left w:val="single" w:color="000000" w:sz="4" w:space="0"/>
                                    <w:bottom w:val="single" w:color="000000" w:sz="4" w:space="0"/>
                                    <w:right w:val="single" w:color="000000" w:sz="4" w:space="0"/>
                                  </w:tcBorders>
                                  <w:noWrap w:val="0"/>
                                  <w:vAlign w:val="top"/>
                                </w:tcPr>
                                <w:p w14:paraId="262BB2E1">
                                  <w:pPr>
                                    <w:rPr>
                                      <w:rFonts w:ascii="Calibri" w:hAnsi="Calibri"/>
                                      <w:sz w:val="22"/>
                                      <w:szCs w:val="22"/>
                                    </w:rPr>
                                  </w:pPr>
                                </w:p>
                              </w:tc>
                              <w:tc>
                                <w:tcPr>
                                  <w:tcW w:w="1163" w:type="dxa"/>
                                  <w:vMerge w:val="restart"/>
                                  <w:tcBorders>
                                    <w:top w:val="single" w:color="000000" w:sz="4" w:space="0"/>
                                    <w:left w:val="single" w:color="000000" w:sz="4" w:space="0"/>
                                    <w:bottom w:val="single" w:color="000000" w:sz="4" w:space="0"/>
                                    <w:right w:val="single" w:color="000000" w:sz="4" w:space="0"/>
                                  </w:tcBorders>
                                  <w:noWrap w:val="0"/>
                                  <w:vAlign w:val="top"/>
                                </w:tcPr>
                                <w:p w14:paraId="4A1D437B">
                                  <w:pPr>
                                    <w:rPr>
                                      <w:rFonts w:ascii="Calibri" w:hAnsi="Calibri"/>
                                      <w:sz w:val="22"/>
                                      <w:szCs w:val="22"/>
                                    </w:rPr>
                                  </w:pPr>
                                </w:p>
                              </w:tc>
                              <w:tc>
                                <w:tcPr>
                                  <w:tcW w:w="1800" w:type="dxa"/>
                                  <w:vMerge w:val="restart"/>
                                  <w:tcBorders>
                                    <w:top w:val="single" w:color="000000" w:sz="4" w:space="0"/>
                                    <w:left w:val="single" w:color="000000" w:sz="4" w:space="0"/>
                                    <w:bottom w:val="single" w:color="000000" w:sz="4" w:space="0"/>
                                    <w:right w:val="single" w:color="000000" w:sz="4" w:space="0"/>
                                  </w:tcBorders>
                                  <w:noWrap w:val="0"/>
                                  <w:vAlign w:val="top"/>
                                </w:tcPr>
                                <w:p w14:paraId="5AA05BD3">
                                  <w:pPr>
                                    <w:rPr>
                                      <w:rFonts w:ascii="Calibri" w:hAnsi="Calibri"/>
                                      <w:sz w:val="22"/>
                                      <w:szCs w:val="22"/>
                                    </w:rPr>
                                  </w:pPr>
                                </w:p>
                              </w:tc>
                              <w:tc>
                                <w:tcPr>
                                  <w:tcW w:w="1792" w:type="dxa"/>
                                  <w:tcBorders>
                                    <w:top w:val="single" w:color="000000" w:sz="4" w:space="0"/>
                                    <w:left w:val="single" w:color="000000" w:sz="4" w:space="0"/>
                                    <w:bottom w:val="nil"/>
                                    <w:right w:val="single" w:color="000000" w:sz="4" w:space="0"/>
                                  </w:tcBorders>
                                  <w:noWrap w:val="0"/>
                                  <w:vAlign w:val="top"/>
                                </w:tcPr>
                                <w:p w14:paraId="054F2317">
                                  <w:pPr>
                                    <w:pStyle w:val="56"/>
                                    <w:spacing w:before="93"/>
                                    <w:ind w:left="7"/>
                                    <w:rPr>
                                      <w:rFonts w:ascii="宋体" w:hAnsi="宋体" w:cs="宋体"/>
                                      <w:sz w:val="20"/>
                                      <w:szCs w:val="20"/>
                                    </w:rPr>
                                  </w:pPr>
                                  <w:r>
                                    <w:rPr>
                                      <w:rFonts w:hint="eastAsia" w:ascii="宋体" w:hAnsi="宋体" w:cs="宋体"/>
                                      <w:w w:val="99"/>
                                      <w:sz w:val="20"/>
                                      <w:szCs w:val="20"/>
                                    </w:rPr>
                                    <w:t>溴化锂吸收式冷水机</w:t>
                                  </w:r>
                                </w:p>
                              </w:tc>
                              <w:tc>
                                <w:tcPr>
                                  <w:tcW w:w="3780" w:type="dxa"/>
                                  <w:vMerge w:val="restart"/>
                                  <w:tcBorders>
                                    <w:top w:val="single" w:color="000000" w:sz="4" w:space="0"/>
                                    <w:left w:val="single" w:color="000000" w:sz="4" w:space="0"/>
                                    <w:right w:val="single" w:color="000000" w:sz="4" w:space="0"/>
                                  </w:tcBorders>
                                  <w:noWrap w:val="0"/>
                                  <w:vAlign w:val="top"/>
                                </w:tcPr>
                                <w:p w14:paraId="1A4ABC80">
                                  <w:pPr>
                                    <w:pStyle w:val="56"/>
                                    <w:spacing w:before="93"/>
                                    <w:ind w:left="7"/>
                                    <w:rPr>
                                      <w:rFonts w:hint="eastAsia" w:ascii="宋体" w:hAnsi="宋体" w:cs="宋体"/>
                                      <w:w w:val="99"/>
                                      <w:sz w:val="20"/>
                                      <w:szCs w:val="20"/>
                                      <w:lang w:eastAsia="zh-CN"/>
                                    </w:rPr>
                                  </w:pPr>
                                  <w:r>
                                    <w:rPr>
                                      <w:rFonts w:hint="eastAsia" w:ascii="宋体" w:hAnsi="宋体" w:cs="宋体"/>
                                      <w:w w:val="99"/>
                                      <w:sz w:val="20"/>
                                      <w:szCs w:val="20"/>
                                      <w:lang w:eastAsia="zh-CN"/>
                                    </w:rPr>
                                    <w:t>《溴化锂吸收式冷水机组能效限</w:t>
                                  </w:r>
                                </w:p>
                                <w:p w14:paraId="373A14CD">
                                  <w:pPr>
                                    <w:pStyle w:val="56"/>
                                    <w:spacing w:line="256" w:lineRule="exact"/>
                                    <w:ind w:left="7"/>
                                    <w:rPr>
                                      <w:rFonts w:ascii="宋体" w:hAnsi="宋体" w:cs="宋体"/>
                                      <w:sz w:val="20"/>
                                      <w:szCs w:val="20"/>
                                      <w:lang w:eastAsia="zh-CN"/>
                                    </w:rPr>
                                  </w:pPr>
                                  <w:r>
                                    <w:rPr>
                                      <w:rFonts w:hint="eastAsia" w:ascii="宋体" w:hAnsi="宋体" w:cs="宋体"/>
                                      <w:w w:val="99"/>
                                      <w:sz w:val="20"/>
                                      <w:szCs w:val="20"/>
                                      <w:lang w:eastAsia="zh-CN"/>
                                    </w:rPr>
                                    <w:t>定值及能效等级》（GB29540）</w:t>
                                  </w:r>
                                </w:p>
                              </w:tc>
                            </w:tr>
                            <w:tr w14:paraId="7DC71712">
                              <w:tblPrEx>
                                <w:tblCellMar>
                                  <w:top w:w="0" w:type="dxa"/>
                                  <w:left w:w="0" w:type="dxa"/>
                                  <w:bottom w:w="0" w:type="dxa"/>
                                  <w:right w:w="0" w:type="dxa"/>
                                </w:tblCellMar>
                              </w:tblPrEx>
                              <w:trPr>
                                <w:trHeight w:val="408" w:hRule="exact"/>
                              </w:trPr>
                              <w:tc>
                                <w:tcPr>
                                  <w:tcW w:w="570" w:type="dxa"/>
                                  <w:vMerge w:val="continue"/>
                                  <w:tcBorders>
                                    <w:top w:val="single" w:color="000000" w:sz="4" w:space="0"/>
                                    <w:left w:val="single" w:color="000000" w:sz="4" w:space="0"/>
                                    <w:bottom w:val="single" w:color="000000" w:sz="4" w:space="0"/>
                                    <w:right w:val="single" w:color="000000" w:sz="4" w:space="0"/>
                                  </w:tcBorders>
                                  <w:noWrap w:val="0"/>
                                  <w:vAlign w:val="center"/>
                                </w:tcPr>
                                <w:p w14:paraId="1DD2B9E1">
                                  <w:pPr>
                                    <w:widowControl/>
                                    <w:jc w:val="left"/>
                                    <w:rPr>
                                      <w:rFonts w:ascii="Calibri" w:hAnsi="Calibri" w:eastAsia="Times New Roman"/>
                                      <w:sz w:val="22"/>
                                      <w:szCs w:val="22"/>
                                    </w:rPr>
                                  </w:pPr>
                                </w:p>
                              </w:tc>
                              <w:tc>
                                <w:tcPr>
                                  <w:tcW w:w="1163" w:type="dxa"/>
                                  <w:vMerge w:val="continue"/>
                                  <w:tcBorders>
                                    <w:top w:val="single" w:color="000000" w:sz="4" w:space="0"/>
                                    <w:left w:val="single" w:color="000000" w:sz="4" w:space="0"/>
                                    <w:bottom w:val="single" w:color="000000" w:sz="4" w:space="0"/>
                                    <w:right w:val="single" w:color="000000" w:sz="4" w:space="0"/>
                                  </w:tcBorders>
                                  <w:noWrap w:val="0"/>
                                  <w:vAlign w:val="center"/>
                                </w:tcPr>
                                <w:p w14:paraId="78928000">
                                  <w:pPr>
                                    <w:widowControl/>
                                    <w:jc w:val="left"/>
                                    <w:rPr>
                                      <w:rFonts w:ascii="Calibri" w:hAnsi="Calibri" w:eastAsia="Times New Roman"/>
                                      <w:sz w:val="22"/>
                                      <w:szCs w:val="22"/>
                                    </w:rPr>
                                  </w:pPr>
                                </w:p>
                              </w:tc>
                              <w:tc>
                                <w:tcPr>
                                  <w:tcW w:w="1800" w:type="dxa"/>
                                  <w:vMerge w:val="continue"/>
                                  <w:tcBorders>
                                    <w:top w:val="single" w:color="000000" w:sz="4" w:space="0"/>
                                    <w:left w:val="single" w:color="000000" w:sz="4" w:space="0"/>
                                    <w:bottom w:val="single" w:color="000000" w:sz="4" w:space="0"/>
                                    <w:right w:val="single" w:color="000000" w:sz="4" w:space="0"/>
                                  </w:tcBorders>
                                  <w:noWrap w:val="0"/>
                                  <w:vAlign w:val="center"/>
                                </w:tcPr>
                                <w:p w14:paraId="7942AEA0">
                                  <w:pPr>
                                    <w:widowControl/>
                                    <w:jc w:val="left"/>
                                    <w:rPr>
                                      <w:rFonts w:ascii="Calibri" w:hAnsi="Calibri" w:eastAsia="Times New Roman"/>
                                      <w:sz w:val="22"/>
                                      <w:szCs w:val="22"/>
                                    </w:rPr>
                                  </w:pPr>
                                </w:p>
                              </w:tc>
                              <w:tc>
                                <w:tcPr>
                                  <w:tcW w:w="1792" w:type="dxa"/>
                                  <w:tcBorders>
                                    <w:top w:val="nil"/>
                                    <w:left w:val="single" w:color="000000" w:sz="4" w:space="0"/>
                                    <w:bottom w:val="single" w:color="000000" w:sz="4" w:space="0"/>
                                    <w:right w:val="single" w:color="000000" w:sz="4" w:space="0"/>
                                  </w:tcBorders>
                                  <w:noWrap w:val="0"/>
                                  <w:vAlign w:val="top"/>
                                </w:tcPr>
                                <w:p w14:paraId="7A0E59B9">
                                  <w:pPr>
                                    <w:pStyle w:val="56"/>
                                    <w:spacing w:line="256" w:lineRule="exact"/>
                                    <w:ind w:left="7"/>
                                    <w:rPr>
                                      <w:rFonts w:ascii="宋体" w:hAnsi="宋体" w:cs="宋体"/>
                                      <w:sz w:val="20"/>
                                      <w:szCs w:val="20"/>
                                    </w:rPr>
                                  </w:pPr>
                                  <w:r>
                                    <w:rPr>
                                      <w:rFonts w:hint="eastAsia" w:ascii="宋体" w:hAnsi="宋体" w:cs="宋体"/>
                                      <w:w w:val="99"/>
                                      <w:sz w:val="20"/>
                                      <w:szCs w:val="20"/>
                                    </w:rPr>
                                    <w:t>组</w:t>
                                  </w:r>
                                </w:p>
                              </w:tc>
                              <w:tc>
                                <w:tcPr>
                                  <w:tcW w:w="3780" w:type="dxa"/>
                                  <w:vMerge w:val="continue"/>
                                  <w:tcBorders>
                                    <w:left w:val="single" w:color="000000" w:sz="4" w:space="0"/>
                                    <w:bottom w:val="single" w:color="000000" w:sz="4" w:space="0"/>
                                    <w:right w:val="single" w:color="000000" w:sz="4" w:space="0"/>
                                  </w:tcBorders>
                                  <w:noWrap w:val="0"/>
                                  <w:vAlign w:val="top"/>
                                </w:tcPr>
                                <w:p w14:paraId="2282747E">
                                  <w:pPr>
                                    <w:pStyle w:val="56"/>
                                    <w:spacing w:line="256" w:lineRule="exact"/>
                                    <w:ind w:left="7"/>
                                    <w:rPr>
                                      <w:rFonts w:ascii="宋体" w:hAnsi="宋体" w:cs="宋体"/>
                                      <w:sz w:val="20"/>
                                      <w:szCs w:val="20"/>
                                      <w:lang w:eastAsia="zh-CN"/>
                                    </w:rPr>
                                  </w:pPr>
                                </w:p>
                              </w:tc>
                            </w:tr>
                            <w:tr w14:paraId="179A84D4">
                              <w:tblPrEx>
                                <w:tblCellMar>
                                  <w:top w:w="0" w:type="dxa"/>
                                  <w:left w:w="0" w:type="dxa"/>
                                  <w:bottom w:w="0" w:type="dxa"/>
                                  <w:right w:w="0" w:type="dxa"/>
                                </w:tblCellMar>
                              </w:tblPrEx>
                              <w:trPr>
                                <w:trHeight w:val="958" w:hRule="exact"/>
                              </w:trPr>
                              <w:tc>
                                <w:tcPr>
                                  <w:tcW w:w="570" w:type="dxa"/>
                                  <w:vMerge w:val="continue"/>
                                  <w:tcBorders>
                                    <w:top w:val="single" w:color="000000" w:sz="4" w:space="0"/>
                                    <w:left w:val="single" w:color="000000" w:sz="4" w:space="0"/>
                                    <w:bottom w:val="single" w:color="000000" w:sz="4" w:space="0"/>
                                    <w:right w:val="single" w:color="000000" w:sz="4" w:space="0"/>
                                  </w:tcBorders>
                                  <w:noWrap w:val="0"/>
                                  <w:vAlign w:val="center"/>
                                </w:tcPr>
                                <w:p w14:paraId="0FC67D82">
                                  <w:pPr>
                                    <w:widowControl/>
                                    <w:jc w:val="left"/>
                                    <w:rPr>
                                      <w:rFonts w:ascii="Calibri" w:hAnsi="Calibri" w:eastAsia="Times New Roman"/>
                                      <w:sz w:val="22"/>
                                      <w:szCs w:val="22"/>
                                    </w:rPr>
                                  </w:pPr>
                                </w:p>
                              </w:tc>
                              <w:tc>
                                <w:tcPr>
                                  <w:tcW w:w="1163" w:type="dxa"/>
                                  <w:vMerge w:val="continue"/>
                                  <w:tcBorders>
                                    <w:top w:val="single" w:color="000000" w:sz="4" w:space="0"/>
                                    <w:left w:val="single" w:color="000000" w:sz="4" w:space="0"/>
                                    <w:bottom w:val="single" w:color="000000" w:sz="4" w:space="0"/>
                                    <w:right w:val="single" w:color="000000" w:sz="4" w:space="0"/>
                                  </w:tcBorders>
                                  <w:noWrap w:val="0"/>
                                  <w:vAlign w:val="center"/>
                                </w:tcPr>
                                <w:p w14:paraId="76867912">
                                  <w:pPr>
                                    <w:widowControl/>
                                    <w:jc w:val="left"/>
                                    <w:rPr>
                                      <w:rFonts w:ascii="Calibri" w:hAnsi="Calibri" w:eastAsia="Times New Roman"/>
                                      <w:sz w:val="22"/>
                                      <w:szCs w:val="22"/>
                                    </w:rPr>
                                  </w:pPr>
                                </w:p>
                              </w:tc>
                              <w:tc>
                                <w:tcPr>
                                  <w:tcW w:w="1800" w:type="dxa"/>
                                  <w:vMerge w:val="restart"/>
                                  <w:tcBorders>
                                    <w:top w:val="single" w:color="000000" w:sz="4" w:space="0"/>
                                    <w:left w:val="single" w:color="000000" w:sz="4" w:space="0"/>
                                    <w:bottom w:val="single" w:color="000000" w:sz="4" w:space="0"/>
                                    <w:right w:val="single" w:color="000000" w:sz="4" w:space="0"/>
                                  </w:tcBorders>
                                  <w:noWrap w:val="0"/>
                                  <w:vAlign w:val="top"/>
                                </w:tcPr>
                                <w:p w14:paraId="59E68E1F">
                                  <w:pPr>
                                    <w:pStyle w:val="56"/>
                                    <w:rPr>
                                      <w:rFonts w:ascii="宋体" w:hAnsi="宋体" w:cs="宋体"/>
                                      <w:sz w:val="20"/>
                                      <w:szCs w:val="20"/>
                                      <w:lang w:eastAsia="zh-CN"/>
                                    </w:rPr>
                                  </w:pPr>
                                </w:p>
                                <w:p w14:paraId="3CE0819A">
                                  <w:pPr>
                                    <w:pStyle w:val="56"/>
                                    <w:rPr>
                                      <w:rFonts w:hint="eastAsia" w:ascii="宋体" w:hAnsi="宋体" w:cs="宋体"/>
                                      <w:sz w:val="20"/>
                                      <w:szCs w:val="20"/>
                                      <w:lang w:eastAsia="zh-CN"/>
                                    </w:rPr>
                                  </w:pPr>
                                </w:p>
                                <w:p w14:paraId="62750667">
                                  <w:pPr>
                                    <w:pStyle w:val="56"/>
                                    <w:spacing w:before="3"/>
                                    <w:rPr>
                                      <w:rFonts w:hint="eastAsia" w:ascii="宋体" w:hAnsi="宋体" w:cs="宋体"/>
                                      <w:sz w:val="21"/>
                                      <w:szCs w:val="21"/>
                                      <w:lang w:eastAsia="zh-CN"/>
                                    </w:rPr>
                                  </w:pPr>
                                </w:p>
                                <w:p w14:paraId="6AF6328D">
                                  <w:pPr>
                                    <w:pStyle w:val="56"/>
                                    <w:spacing w:line="280" w:lineRule="auto"/>
                                    <w:ind w:left="7" w:right="5"/>
                                    <w:rPr>
                                      <w:rFonts w:ascii="宋体" w:hAnsi="宋体" w:cs="宋体"/>
                                      <w:sz w:val="20"/>
                                      <w:szCs w:val="20"/>
                                    </w:rPr>
                                  </w:pPr>
                                  <w:r>
                                    <w:rPr>
                                      <w:rFonts w:hint="eastAsia" w:ascii="宋体" w:hAnsi="宋体" w:cs="宋体"/>
                                      <w:w w:val="99"/>
                                      <w:sz w:val="20"/>
                                      <w:szCs w:val="20"/>
                                    </w:rPr>
                                    <w:t>★A02052305空调机组</w:t>
                                  </w:r>
                                </w:p>
                              </w:tc>
                              <w:tc>
                                <w:tcPr>
                                  <w:tcW w:w="1792" w:type="dxa"/>
                                  <w:tcBorders>
                                    <w:top w:val="single" w:color="000000" w:sz="4" w:space="0"/>
                                    <w:left w:val="single" w:color="000000" w:sz="4" w:space="0"/>
                                    <w:bottom w:val="single" w:color="000000" w:sz="4" w:space="0"/>
                                    <w:right w:val="single" w:color="000000" w:sz="4" w:space="0"/>
                                  </w:tcBorders>
                                  <w:noWrap w:val="0"/>
                                  <w:vAlign w:val="top"/>
                                </w:tcPr>
                                <w:p w14:paraId="1374F355">
                                  <w:pPr>
                                    <w:pStyle w:val="56"/>
                                    <w:spacing w:before="4" w:line="280" w:lineRule="auto"/>
                                    <w:ind w:left="7" w:right="7"/>
                                    <w:jc w:val="both"/>
                                    <w:rPr>
                                      <w:rFonts w:hint="eastAsia" w:ascii="宋体" w:hAnsi="宋体" w:cs="宋体"/>
                                      <w:w w:val="99"/>
                                      <w:sz w:val="20"/>
                                      <w:szCs w:val="20"/>
                                      <w:lang w:eastAsia="zh-CN"/>
                                    </w:rPr>
                                  </w:pPr>
                                  <w:r>
                                    <w:rPr>
                                      <w:rFonts w:hint="eastAsia" w:ascii="宋体" w:hAnsi="宋体" w:cs="宋体"/>
                                      <w:w w:val="99"/>
                                      <w:sz w:val="20"/>
                                      <w:szCs w:val="20"/>
                                      <w:lang w:eastAsia="zh-CN"/>
                                    </w:rPr>
                                    <w:t>多联式空调（热泵）机组</w:t>
                                  </w:r>
                                </w:p>
                                <w:p w14:paraId="1C8BBE55">
                                  <w:pPr>
                                    <w:pStyle w:val="56"/>
                                    <w:spacing w:before="4" w:line="280" w:lineRule="auto"/>
                                    <w:ind w:left="7" w:right="7"/>
                                    <w:jc w:val="both"/>
                                    <w:rPr>
                                      <w:rFonts w:ascii="宋体" w:hAnsi="宋体" w:cs="宋体"/>
                                      <w:sz w:val="20"/>
                                      <w:szCs w:val="20"/>
                                      <w:lang w:eastAsia="zh-CN"/>
                                    </w:rPr>
                                  </w:pPr>
                                  <w:r>
                                    <w:rPr>
                                      <w:rFonts w:hint="eastAsia" w:ascii="宋体" w:hAnsi="宋体" w:cs="宋体"/>
                                      <w:w w:val="99"/>
                                      <w:sz w:val="20"/>
                                      <w:szCs w:val="20"/>
                                      <w:lang w:eastAsia="zh-CN"/>
                                    </w:rPr>
                                    <w:t>（制冷量&gt;14000W）</w:t>
                                  </w:r>
                                </w:p>
                              </w:tc>
                              <w:tc>
                                <w:tcPr>
                                  <w:tcW w:w="3780" w:type="dxa"/>
                                  <w:tcBorders>
                                    <w:top w:val="single" w:color="000000" w:sz="4" w:space="0"/>
                                    <w:left w:val="single" w:color="000000" w:sz="4" w:space="0"/>
                                    <w:bottom w:val="single" w:color="000000" w:sz="4" w:space="0"/>
                                    <w:right w:val="single" w:color="000000" w:sz="4" w:space="0"/>
                                  </w:tcBorders>
                                  <w:noWrap w:val="0"/>
                                  <w:vAlign w:val="top"/>
                                </w:tcPr>
                                <w:p w14:paraId="48964EE5">
                                  <w:pPr>
                                    <w:pStyle w:val="56"/>
                                    <w:spacing w:before="160" w:line="280" w:lineRule="auto"/>
                                    <w:ind w:left="7" w:right="7"/>
                                    <w:rPr>
                                      <w:rFonts w:ascii="宋体" w:hAnsi="宋体" w:cs="宋体"/>
                                      <w:sz w:val="20"/>
                                      <w:szCs w:val="20"/>
                                      <w:lang w:eastAsia="zh-CN"/>
                                    </w:rPr>
                                  </w:pPr>
                                  <w:r>
                                    <w:rPr>
                                      <w:rFonts w:hint="eastAsia" w:ascii="宋体" w:hAnsi="宋体" w:cs="宋体"/>
                                      <w:w w:val="99"/>
                                      <w:sz w:val="20"/>
                                      <w:szCs w:val="20"/>
                                      <w:lang w:eastAsia="zh-CN"/>
                                    </w:rPr>
                                    <w:t>《多联式空调（热泵）机组能效限定值及能源效率等级》（GB21454）</w:t>
                                  </w:r>
                                </w:p>
                              </w:tc>
                            </w:tr>
                            <w:tr w14:paraId="27AAB180">
                              <w:tblPrEx>
                                <w:tblCellMar>
                                  <w:top w:w="0" w:type="dxa"/>
                                  <w:left w:w="0" w:type="dxa"/>
                                  <w:bottom w:w="0" w:type="dxa"/>
                                  <w:right w:w="0" w:type="dxa"/>
                                </w:tblCellMar>
                              </w:tblPrEx>
                              <w:trPr>
                                <w:trHeight w:val="644" w:hRule="exact"/>
                              </w:trPr>
                              <w:tc>
                                <w:tcPr>
                                  <w:tcW w:w="570" w:type="dxa"/>
                                  <w:vMerge w:val="continue"/>
                                  <w:tcBorders>
                                    <w:top w:val="single" w:color="000000" w:sz="4" w:space="0"/>
                                    <w:left w:val="single" w:color="000000" w:sz="4" w:space="0"/>
                                    <w:bottom w:val="single" w:color="000000" w:sz="4" w:space="0"/>
                                    <w:right w:val="single" w:color="000000" w:sz="4" w:space="0"/>
                                  </w:tcBorders>
                                  <w:noWrap w:val="0"/>
                                  <w:vAlign w:val="center"/>
                                </w:tcPr>
                                <w:p w14:paraId="0655CF5E">
                                  <w:pPr>
                                    <w:widowControl/>
                                    <w:jc w:val="left"/>
                                    <w:rPr>
                                      <w:rFonts w:ascii="Calibri" w:hAnsi="Calibri" w:eastAsia="Times New Roman"/>
                                      <w:sz w:val="22"/>
                                      <w:szCs w:val="22"/>
                                    </w:rPr>
                                  </w:pPr>
                                </w:p>
                              </w:tc>
                              <w:tc>
                                <w:tcPr>
                                  <w:tcW w:w="1163" w:type="dxa"/>
                                  <w:vMerge w:val="continue"/>
                                  <w:tcBorders>
                                    <w:top w:val="single" w:color="000000" w:sz="4" w:space="0"/>
                                    <w:left w:val="single" w:color="000000" w:sz="4" w:space="0"/>
                                    <w:bottom w:val="single" w:color="000000" w:sz="4" w:space="0"/>
                                    <w:right w:val="single" w:color="000000" w:sz="4" w:space="0"/>
                                  </w:tcBorders>
                                  <w:noWrap w:val="0"/>
                                  <w:vAlign w:val="center"/>
                                </w:tcPr>
                                <w:p w14:paraId="7C40B624">
                                  <w:pPr>
                                    <w:widowControl/>
                                    <w:jc w:val="left"/>
                                    <w:rPr>
                                      <w:rFonts w:ascii="Calibri" w:hAnsi="Calibri" w:eastAsia="Times New Roman"/>
                                      <w:sz w:val="22"/>
                                      <w:szCs w:val="22"/>
                                    </w:rPr>
                                  </w:pPr>
                                </w:p>
                              </w:tc>
                              <w:tc>
                                <w:tcPr>
                                  <w:tcW w:w="1800" w:type="dxa"/>
                                  <w:vMerge w:val="continue"/>
                                  <w:tcBorders>
                                    <w:top w:val="single" w:color="000000" w:sz="4" w:space="0"/>
                                    <w:left w:val="single" w:color="000000" w:sz="4" w:space="0"/>
                                    <w:bottom w:val="single" w:color="000000" w:sz="4" w:space="0"/>
                                    <w:right w:val="single" w:color="000000" w:sz="4" w:space="0"/>
                                  </w:tcBorders>
                                  <w:noWrap w:val="0"/>
                                  <w:vAlign w:val="center"/>
                                </w:tcPr>
                                <w:p w14:paraId="72D266F8">
                                  <w:pPr>
                                    <w:widowControl/>
                                    <w:jc w:val="left"/>
                                    <w:rPr>
                                      <w:rFonts w:ascii="宋体" w:hAnsi="宋体" w:eastAsia="Times New Roman" w:cs="宋体"/>
                                      <w:kern w:val="0"/>
                                      <w:sz w:val="20"/>
                                      <w:szCs w:val="20"/>
                                    </w:rPr>
                                  </w:pPr>
                                </w:p>
                              </w:tc>
                              <w:tc>
                                <w:tcPr>
                                  <w:tcW w:w="1792" w:type="dxa"/>
                                  <w:tcBorders>
                                    <w:top w:val="single" w:color="000000" w:sz="4" w:space="0"/>
                                    <w:left w:val="single" w:color="000000" w:sz="4" w:space="0"/>
                                    <w:bottom w:val="nil"/>
                                    <w:right w:val="single" w:color="000000" w:sz="4" w:space="0"/>
                                  </w:tcBorders>
                                  <w:noWrap w:val="0"/>
                                  <w:vAlign w:val="top"/>
                                </w:tcPr>
                                <w:p w14:paraId="7BFBB384">
                                  <w:pPr>
                                    <w:pStyle w:val="56"/>
                                    <w:spacing w:before="7"/>
                                    <w:rPr>
                                      <w:rFonts w:ascii="宋体" w:hAnsi="宋体" w:cs="宋体"/>
                                      <w:sz w:val="24"/>
                                      <w:szCs w:val="24"/>
                                      <w:lang w:eastAsia="zh-CN"/>
                                    </w:rPr>
                                  </w:pPr>
                                </w:p>
                                <w:p w14:paraId="12751FB2">
                                  <w:pPr>
                                    <w:pStyle w:val="56"/>
                                    <w:ind w:left="7"/>
                                    <w:rPr>
                                      <w:rFonts w:ascii="宋体" w:hAnsi="宋体" w:cs="宋体"/>
                                      <w:sz w:val="20"/>
                                      <w:szCs w:val="20"/>
                                    </w:rPr>
                                  </w:pPr>
                                  <w:r>
                                    <w:rPr>
                                      <w:rFonts w:hint="eastAsia" w:ascii="宋体" w:hAnsi="宋体" w:cs="宋体"/>
                                      <w:w w:val="99"/>
                                      <w:sz w:val="20"/>
                                      <w:szCs w:val="20"/>
                                    </w:rPr>
                                    <w:t>单元式空气调节机</w:t>
                                  </w:r>
                                </w:p>
                              </w:tc>
                              <w:tc>
                                <w:tcPr>
                                  <w:tcW w:w="3780" w:type="dxa"/>
                                  <w:vMerge w:val="restart"/>
                                  <w:tcBorders>
                                    <w:top w:val="single" w:color="000000" w:sz="4" w:space="0"/>
                                    <w:left w:val="single" w:color="000000" w:sz="4" w:space="0"/>
                                    <w:right w:val="single" w:color="000000" w:sz="4" w:space="0"/>
                                  </w:tcBorders>
                                  <w:noWrap w:val="0"/>
                                  <w:vAlign w:val="top"/>
                                </w:tcPr>
                                <w:p w14:paraId="568FCF75">
                                  <w:pPr>
                                    <w:pStyle w:val="56"/>
                                    <w:spacing w:before="9" w:line="280" w:lineRule="auto"/>
                                    <w:ind w:left="7" w:right="4"/>
                                    <w:rPr>
                                      <w:rFonts w:ascii="宋体" w:hAnsi="宋体" w:cs="宋体"/>
                                      <w:sz w:val="20"/>
                                      <w:szCs w:val="20"/>
                                      <w:lang w:eastAsia="zh-CN"/>
                                    </w:rPr>
                                  </w:pPr>
                                  <w:r>
                                    <w:rPr>
                                      <w:rFonts w:hint="eastAsia" w:ascii="宋体" w:hAnsi="宋体" w:cs="宋体"/>
                                      <w:w w:val="99"/>
                                      <w:sz w:val="20"/>
                                      <w:szCs w:val="20"/>
                                      <w:lang w:eastAsia="zh-CN"/>
                                    </w:rPr>
                                    <w:t>《单元式空气调节机能效限定值及能效等级》（GB19576）《风管送风式空调机组能效限定值及能效等级》（GB37479）</w:t>
                                  </w:r>
                                </w:p>
                              </w:tc>
                            </w:tr>
                            <w:tr w14:paraId="4A02AF12">
                              <w:tblPrEx>
                                <w:tblCellMar>
                                  <w:top w:w="0" w:type="dxa"/>
                                  <w:left w:w="0" w:type="dxa"/>
                                  <w:bottom w:w="0" w:type="dxa"/>
                                  <w:right w:w="0" w:type="dxa"/>
                                </w:tblCellMar>
                              </w:tblPrEx>
                              <w:trPr>
                                <w:trHeight w:val="402" w:hRule="exact"/>
                              </w:trPr>
                              <w:tc>
                                <w:tcPr>
                                  <w:tcW w:w="570" w:type="dxa"/>
                                  <w:vMerge w:val="continue"/>
                                  <w:tcBorders>
                                    <w:top w:val="single" w:color="000000" w:sz="4" w:space="0"/>
                                    <w:left w:val="single" w:color="000000" w:sz="4" w:space="0"/>
                                    <w:bottom w:val="single" w:color="000000" w:sz="4" w:space="0"/>
                                    <w:right w:val="single" w:color="000000" w:sz="4" w:space="0"/>
                                  </w:tcBorders>
                                  <w:noWrap w:val="0"/>
                                  <w:vAlign w:val="center"/>
                                </w:tcPr>
                                <w:p w14:paraId="637BDB1B">
                                  <w:pPr>
                                    <w:widowControl/>
                                    <w:jc w:val="left"/>
                                    <w:rPr>
                                      <w:rFonts w:ascii="Calibri" w:hAnsi="Calibri" w:eastAsia="Times New Roman"/>
                                      <w:sz w:val="22"/>
                                      <w:szCs w:val="22"/>
                                    </w:rPr>
                                  </w:pPr>
                                </w:p>
                              </w:tc>
                              <w:tc>
                                <w:tcPr>
                                  <w:tcW w:w="1163" w:type="dxa"/>
                                  <w:vMerge w:val="continue"/>
                                  <w:tcBorders>
                                    <w:top w:val="single" w:color="000000" w:sz="4" w:space="0"/>
                                    <w:left w:val="single" w:color="000000" w:sz="4" w:space="0"/>
                                    <w:bottom w:val="single" w:color="000000" w:sz="4" w:space="0"/>
                                    <w:right w:val="single" w:color="000000" w:sz="4" w:space="0"/>
                                  </w:tcBorders>
                                  <w:noWrap w:val="0"/>
                                  <w:vAlign w:val="center"/>
                                </w:tcPr>
                                <w:p w14:paraId="19A49A0D">
                                  <w:pPr>
                                    <w:widowControl/>
                                    <w:jc w:val="left"/>
                                    <w:rPr>
                                      <w:rFonts w:ascii="Calibri" w:hAnsi="Calibri" w:eastAsia="Times New Roman"/>
                                      <w:sz w:val="22"/>
                                      <w:szCs w:val="22"/>
                                    </w:rPr>
                                  </w:pPr>
                                </w:p>
                              </w:tc>
                              <w:tc>
                                <w:tcPr>
                                  <w:tcW w:w="1800" w:type="dxa"/>
                                  <w:vMerge w:val="continue"/>
                                  <w:tcBorders>
                                    <w:top w:val="single" w:color="000000" w:sz="4" w:space="0"/>
                                    <w:left w:val="single" w:color="000000" w:sz="4" w:space="0"/>
                                    <w:bottom w:val="single" w:color="000000" w:sz="4" w:space="0"/>
                                    <w:right w:val="single" w:color="000000" w:sz="4" w:space="0"/>
                                  </w:tcBorders>
                                  <w:noWrap w:val="0"/>
                                  <w:vAlign w:val="center"/>
                                </w:tcPr>
                                <w:p w14:paraId="3C9A6806">
                                  <w:pPr>
                                    <w:widowControl/>
                                    <w:jc w:val="left"/>
                                    <w:rPr>
                                      <w:rFonts w:ascii="宋体" w:hAnsi="宋体" w:eastAsia="Times New Roman" w:cs="宋体"/>
                                      <w:kern w:val="0"/>
                                      <w:sz w:val="20"/>
                                      <w:szCs w:val="20"/>
                                    </w:rPr>
                                  </w:pPr>
                                </w:p>
                              </w:tc>
                              <w:tc>
                                <w:tcPr>
                                  <w:tcW w:w="1792" w:type="dxa"/>
                                  <w:tcBorders>
                                    <w:top w:val="nil"/>
                                    <w:left w:val="single" w:color="000000" w:sz="4" w:space="0"/>
                                    <w:bottom w:val="single" w:color="000000" w:sz="4" w:space="0"/>
                                    <w:right w:val="single" w:color="000000" w:sz="4" w:space="0"/>
                                  </w:tcBorders>
                                  <w:noWrap w:val="0"/>
                                  <w:vAlign w:val="top"/>
                                </w:tcPr>
                                <w:p w14:paraId="5720D136">
                                  <w:pPr>
                                    <w:pStyle w:val="56"/>
                                    <w:spacing w:line="256" w:lineRule="exact"/>
                                    <w:ind w:left="7"/>
                                    <w:rPr>
                                      <w:rFonts w:ascii="宋体" w:hAnsi="宋体" w:cs="宋体"/>
                                      <w:sz w:val="20"/>
                                      <w:szCs w:val="20"/>
                                    </w:rPr>
                                  </w:pPr>
                                  <w:r>
                                    <w:rPr>
                                      <w:rFonts w:hint="eastAsia" w:ascii="宋体" w:hAnsi="宋体" w:cs="宋体"/>
                                      <w:w w:val="99"/>
                                      <w:sz w:val="20"/>
                                      <w:szCs w:val="20"/>
                                    </w:rPr>
                                    <w:t>（制冷量&gt;14000W）</w:t>
                                  </w:r>
                                </w:p>
                              </w:tc>
                              <w:tc>
                                <w:tcPr>
                                  <w:tcW w:w="3780" w:type="dxa"/>
                                  <w:vMerge w:val="continue"/>
                                  <w:tcBorders>
                                    <w:left w:val="single" w:color="000000" w:sz="4" w:space="0"/>
                                    <w:right w:val="single" w:color="000000" w:sz="4" w:space="0"/>
                                  </w:tcBorders>
                                  <w:noWrap w:val="0"/>
                                  <w:vAlign w:val="top"/>
                                </w:tcPr>
                                <w:p w14:paraId="66A881FC">
                                  <w:pPr>
                                    <w:pStyle w:val="56"/>
                                    <w:spacing w:line="256" w:lineRule="exact"/>
                                    <w:rPr>
                                      <w:rFonts w:ascii="宋体" w:hAnsi="宋体" w:cs="宋体"/>
                                      <w:sz w:val="20"/>
                                      <w:szCs w:val="20"/>
                                      <w:lang w:eastAsia="zh-CN"/>
                                    </w:rPr>
                                  </w:pPr>
                                </w:p>
                              </w:tc>
                            </w:tr>
                            <w:tr w14:paraId="3C796C46">
                              <w:tblPrEx>
                                <w:tblCellMar>
                                  <w:top w:w="0" w:type="dxa"/>
                                  <w:left w:w="0" w:type="dxa"/>
                                  <w:bottom w:w="0" w:type="dxa"/>
                                  <w:right w:w="0" w:type="dxa"/>
                                </w:tblCellMar>
                              </w:tblPrEx>
                              <w:trPr>
                                <w:trHeight w:val="405" w:hRule="exact"/>
                              </w:trPr>
                              <w:tc>
                                <w:tcPr>
                                  <w:tcW w:w="570" w:type="dxa"/>
                                  <w:vMerge w:val="continue"/>
                                  <w:tcBorders>
                                    <w:top w:val="single" w:color="000000" w:sz="4" w:space="0"/>
                                    <w:left w:val="single" w:color="000000" w:sz="4" w:space="0"/>
                                    <w:bottom w:val="single" w:color="000000" w:sz="4" w:space="0"/>
                                    <w:right w:val="single" w:color="000000" w:sz="4" w:space="0"/>
                                  </w:tcBorders>
                                  <w:noWrap w:val="0"/>
                                  <w:vAlign w:val="center"/>
                                </w:tcPr>
                                <w:p w14:paraId="640BC525">
                                  <w:pPr>
                                    <w:widowControl/>
                                    <w:jc w:val="left"/>
                                    <w:rPr>
                                      <w:rFonts w:ascii="Calibri" w:hAnsi="Calibri" w:eastAsia="Times New Roman"/>
                                      <w:sz w:val="22"/>
                                      <w:szCs w:val="22"/>
                                      <w:lang w:eastAsia="en-US"/>
                                    </w:rPr>
                                  </w:pPr>
                                </w:p>
                              </w:tc>
                              <w:tc>
                                <w:tcPr>
                                  <w:tcW w:w="1163" w:type="dxa"/>
                                  <w:vMerge w:val="continue"/>
                                  <w:tcBorders>
                                    <w:top w:val="single" w:color="000000" w:sz="4" w:space="0"/>
                                    <w:left w:val="single" w:color="000000" w:sz="4" w:space="0"/>
                                    <w:bottom w:val="single" w:color="000000" w:sz="4" w:space="0"/>
                                    <w:right w:val="single" w:color="000000" w:sz="4" w:space="0"/>
                                  </w:tcBorders>
                                  <w:noWrap w:val="0"/>
                                  <w:vAlign w:val="center"/>
                                </w:tcPr>
                                <w:p w14:paraId="605856CF">
                                  <w:pPr>
                                    <w:widowControl/>
                                    <w:jc w:val="left"/>
                                    <w:rPr>
                                      <w:rFonts w:ascii="Calibri" w:hAnsi="Calibri" w:eastAsia="Times New Roman"/>
                                      <w:sz w:val="22"/>
                                      <w:szCs w:val="22"/>
                                      <w:lang w:eastAsia="en-US"/>
                                    </w:rPr>
                                  </w:pPr>
                                </w:p>
                              </w:tc>
                              <w:tc>
                                <w:tcPr>
                                  <w:tcW w:w="1800" w:type="dxa"/>
                                  <w:tcBorders>
                                    <w:top w:val="single" w:color="000000" w:sz="4" w:space="0"/>
                                    <w:left w:val="single" w:color="000000" w:sz="4" w:space="0"/>
                                    <w:bottom w:val="nil"/>
                                    <w:right w:val="single" w:color="000000" w:sz="4" w:space="0"/>
                                  </w:tcBorders>
                                  <w:noWrap w:val="0"/>
                                  <w:vAlign w:val="top"/>
                                </w:tcPr>
                                <w:p w14:paraId="5209C2AD">
                                  <w:pPr>
                                    <w:pStyle w:val="56"/>
                                    <w:spacing w:before="83"/>
                                    <w:ind w:left="7"/>
                                    <w:rPr>
                                      <w:rFonts w:ascii="宋体" w:hAnsi="宋体" w:cs="宋体"/>
                                      <w:sz w:val="20"/>
                                      <w:szCs w:val="20"/>
                                    </w:rPr>
                                  </w:pPr>
                                  <w:r>
                                    <w:rPr>
                                      <w:rFonts w:hint="eastAsia" w:ascii="宋体" w:hAnsi="宋体" w:cs="宋体"/>
                                      <w:w w:val="99"/>
                                      <w:sz w:val="20"/>
                                      <w:szCs w:val="20"/>
                                    </w:rPr>
                                    <w:t>★A02052309专用制</w:t>
                                  </w:r>
                                </w:p>
                              </w:tc>
                              <w:tc>
                                <w:tcPr>
                                  <w:tcW w:w="1792" w:type="dxa"/>
                                  <w:vMerge w:val="restart"/>
                                  <w:tcBorders>
                                    <w:top w:val="single" w:color="000000" w:sz="4" w:space="0"/>
                                    <w:left w:val="single" w:color="000000" w:sz="4" w:space="0"/>
                                    <w:bottom w:val="single" w:color="000000" w:sz="4" w:space="0"/>
                                    <w:right w:val="single" w:color="000000" w:sz="4" w:space="0"/>
                                  </w:tcBorders>
                                  <w:noWrap w:val="0"/>
                                  <w:vAlign w:val="top"/>
                                </w:tcPr>
                                <w:p w14:paraId="41F1C670">
                                  <w:pPr>
                                    <w:pStyle w:val="56"/>
                                    <w:spacing w:before="1"/>
                                    <w:rPr>
                                      <w:rFonts w:ascii="宋体" w:hAnsi="宋体" w:cs="宋体"/>
                                      <w:sz w:val="18"/>
                                      <w:szCs w:val="18"/>
                                    </w:rPr>
                                  </w:pPr>
                                </w:p>
                                <w:p w14:paraId="5416FD90">
                                  <w:pPr>
                                    <w:pStyle w:val="56"/>
                                    <w:ind w:left="7"/>
                                    <w:rPr>
                                      <w:rFonts w:ascii="宋体" w:hAnsi="宋体" w:cs="宋体"/>
                                      <w:sz w:val="20"/>
                                      <w:szCs w:val="20"/>
                                    </w:rPr>
                                  </w:pPr>
                                  <w:r>
                                    <w:rPr>
                                      <w:rFonts w:hint="eastAsia" w:ascii="宋体" w:hAnsi="宋体" w:cs="宋体"/>
                                      <w:w w:val="99"/>
                                      <w:sz w:val="20"/>
                                      <w:szCs w:val="20"/>
                                    </w:rPr>
                                    <w:t>机房空调</w:t>
                                  </w:r>
                                </w:p>
                              </w:tc>
                              <w:tc>
                                <w:tcPr>
                                  <w:tcW w:w="3780" w:type="dxa"/>
                                  <w:tcBorders>
                                    <w:top w:val="single" w:color="000000" w:sz="4" w:space="0"/>
                                    <w:left w:val="single" w:color="000000" w:sz="4" w:space="0"/>
                                    <w:bottom w:val="nil"/>
                                    <w:right w:val="single" w:color="000000" w:sz="4" w:space="0"/>
                                  </w:tcBorders>
                                  <w:noWrap w:val="0"/>
                                  <w:vAlign w:val="top"/>
                                </w:tcPr>
                                <w:p w14:paraId="23F5C469">
                                  <w:pPr>
                                    <w:pStyle w:val="56"/>
                                    <w:spacing w:before="83"/>
                                    <w:ind w:left="7"/>
                                    <w:rPr>
                                      <w:rFonts w:ascii="宋体" w:hAnsi="宋体" w:cs="宋体"/>
                                      <w:sz w:val="20"/>
                                      <w:szCs w:val="20"/>
                                      <w:lang w:eastAsia="zh-CN"/>
                                    </w:rPr>
                                  </w:pPr>
                                  <w:r>
                                    <w:rPr>
                                      <w:rFonts w:hint="eastAsia" w:ascii="宋体" w:hAnsi="宋体" w:cs="宋体"/>
                                      <w:w w:val="99"/>
                                      <w:sz w:val="20"/>
                                      <w:szCs w:val="20"/>
                                      <w:lang w:eastAsia="zh-CN"/>
                                    </w:rPr>
                                    <w:t>《单元式空气调节机能效限定值</w:t>
                                  </w:r>
                                </w:p>
                              </w:tc>
                            </w:tr>
                            <w:tr w14:paraId="5D428FB7">
                              <w:tblPrEx>
                                <w:tblCellMar>
                                  <w:top w:w="0" w:type="dxa"/>
                                  <w:left w:w="0" w:type="dxa"/>
                                  <w:bottom w:w="0" w:type="dxa"/>
                                  <w:right w:w="0" w:type="dxa"/>
                                </w:tblCellMar>
                              </w:tblPrEx>
                              <w:trPr>
                                <w:trHeight w:val="397" w:hRule="exact"/>
                              </w:trPr>
                              <w:tc>
                                <w:tcPr>
                                  <w:tcW w:w="570" w:type="dxa"/>
                                  <w:vMerge w:val="continue"/>
                                  <w:tcBorders>
                                    <w:top w:val="single" w:color="000000" w:sz="4" w:space="0"/>
                                    <w:left w:val="single" w:color="000000" w:sz="4" w:space="0"/>
                                    <w:bottom w:val="single" w:color="000000" w:sz="4" w:space="0"/>
                                    <w:right w:val="single" w:color="000000" w:sz="4" w:space="0"/>
                                  </w:tcBorders>
                                  <w:noWrap w:val="0"/>
                                  <w:vAlign w:val="center"/>
                                </w:tcPr>
                                <w:p w14:paraId="474A9B17">
                                  <w:pPr>
                                    <w:widowControl/>
                                    <w:jc w:val="left"/>
                                    <w:rPr>
                                      <w:rFonts w:ascii="Calibri" w:hAnsi="Calibri" w:eastAsia="Times New Roman"/>
                                      <w:sz w:val="22"/>
                                      <w:szCs w:val="22"/>
                                    </w:rPr>
                                  </w:pPr>
                                </w:p>
                              </w:tc>
                              <w:tc>
                                <w:tcPr>
                                  <w:tcW w:w="1163" w:type="dxa"/>
                                  <w:vMerge w:val="continue"/>
                                  <w:tcBorders>
                                    <w:top w:val="single" w:color="000000" w:sz="4" w:space="0"/>
                                    <w:left w:val="single" w:color="000000" w:sz="4" w:space="0"/>
                                    <w:bottom w:val="single" w:color="000000" w:sz="4" w:space="0"/>
                                    <w:right w:val="single" w:color="000000" w:sz="4" w:space="0"/>
                                  </w:tcBorders>
                                  <w:noWrap w:val="0"/>
                                  <w:vAlign w:val="center"/>
                                </w:tcPr>
                                <w:p w14:paraId="3435B884">
                                  <w:pPr>
                                    <w:widowControl/>
                                    <w:jc w:val="left"/>
                                    <w:rPr>
                                      <w:rFonts w:ascii="Calibri" w:hAnsi="Calibri" w:eastAsia="Times New Roman"/>
                                      <w:sz w:val="22"/>
                                      <w:szCs w:val="22"/>
                                    </w:rPr>
                                  </w:pPr>
                                </w:p>
                              </w:tc>
                              <w:tc>
                                <w:tcPr>
                                  <w:tcW w:w="1800" w:type="dxa"/>
                                  <w:tcBorders>
                                    <w:top w:val="nil"/>
                                    <w:left w:val="single" w:color="000000" w:sz="4" w:space="0"/>
                                    <w:bottom w:val="single" w:color="000000" w:sz="4" w:space="0"/>
                                    <w:right w:val="single" w:color="000000" w:sz="4" w:space="0"/>
                                  </w:tcBorders>
                                  <w:noWrap w:val="0"/>
                                  <w:vAlign w:val="top"/>
                                </w:tcPr>
                                <w:p w14:paraId="39F71538">
                                  <w:pPr>
                                    <w:pStyle w:val="56"/>
                                    <w:spacing w:line="254" w:lineRule="exact"/>
                                    <w:ind w:left="7"/>
                                    <w:rPr>
                                      <w:rFonts w:ascii="宋体" w:hAnsi="宋体" w:cs="宋体"/>
                                      <w:sz w:val="20"/>
                                      <w:szCs w:val="20"/>
                                    </w:rPr>
                                  </w:pPr>
                                  <w:r>
                                    <w:rPr>
                                      <w:rFonts w:hint="eastAsia" w:ascii="宋体" w:hAnsi="宋体" w:cs="宋体"/>
                                      <w:w w:val="99"/>
                                      <w:sz w:val="20"/>
                                      <w:szCs w:val="20"/>
                                    </w:rPr>
                                    <w:t>冷、空调设备</w:t>
                                  </w:r>
                                </w:p>
                              </w:tc>
                              <w:tc>
                                <w:tcPr>
                                  <w:tcW w:w="1792" w:type="dxa"/>
                                  <w:vMerge w:val="continue"/>
                                  <w:tcBorders>
                                    <w:top w:val="single" w:color="000000" w:sz="4" w:space="0"/>
                                    <w:left w:val="single" w:color="000000" w:sz="4" w:space="0"/>
                                    <w:bottom w:val="single" w:color="000000" w:sz="4" w:space="0"/>
                                    <w:right w:val="single" w:color="000000" w:sz="4" w:space="0"/>
                                  </w:tcBorders>
                                  <w:noWrap w:val="0"/>
                                  <w:vAlign w:val="center"/>
                                </w:tcPr>
                                <w:p w14:paraId="57A22B92">
                                  <w:pPr>
                                    <w:widowControl/>
                                    <w:jc w:val="left"/>
                                    <w:rPr>
                                      <w:rFonts w:ascii="宋体" w:hAnsi="宋体" w:eastAsia="Times New Roman" w:cs="宋体"/>
                                      <w:kern w:val="0"/>
                                      <w:sz w:val="20"/>
                                      <w:szCs w:val="20"/>
                                      <w:lang w:eastAsia="en-US"/>
                                    </w:rPr>
                                  </w:pPr>
                                </w:p>
                              </w:tc>
                              <w:tc>
                                <w:tcPr>
                                  <w:tcW w:w="3780" w:type="dxa"/>
                                  <w:tcBorders>
                                    <w:top w:val="nil"/>
                                    <w:left w:val="single" w:color="000000" w:sz="4" w:space="0"/>
                                    <w:bottom w:val="single" w:color="000000" w:sz="4" w:space="0"/>
                                    <w:right w:val="single" w:color="000000" w:sz="4" w:space="0"/>
                                  </w:tcBorders>
                                  <w:noWrap w:val="0"/>
                                  <w:vAlign w:val="top"/>
                                </w:tcPr>
                                <w:p w14:paraId="2FB6ED9C">
                                  <w:pPr>
                                    <w:pStyle w:val="56"/>
                                    <w:spacing w:line="254" w:lineRule="exact"/>
                                    <w:ind w:left="7"/>
                                    <w:rPr>
                                      <w:rFonts w:ascii="宋体" w:hAnsi="宋体" w:cs="宋体"/>
                                      <w:sz w:val="20"/>
                                      <w:szCs w:val="20"/>
                                      <w:lang w:eastAsia="zh-CN"/>
                                    </w:rPr>
                                  </w:pPr>
                                  <w:r>
                                    <w:rPr>
                                      <w:rFonts w:hint="eastAsia" w:ascii="宋体" w:hAnsi="宋体" w:cs="宋体"/>
                                      <w:w w:val="99"/>
                                      <w:sz w:val="20"/>
                                      <w:szCs w:val="20"/>
                                      <w:lang w:eastAsia="zh-CN"/>
                                    </w:rPr>
                                    <w:t>及能效等级》（GB19576）</w:t>
                                  </w:r>
                                </w:p>
                              </w:tc>
                            </w:tr>
                            <w:tr w14:paraId="071CBB53">
                              <w:tblPrEx>
                                <w:tblCellMar>
                                  <w:top w:w="0" w:type="dxa"/>
                                  <w:left w:w="0" w:type="dxa"/>
                                  <w:bottom w:w="0" w:type="dxa"/>
                                  <w:right w:w="0" w:type="dxa"/>
                                </w:tblCellMar>
                              </w:tblPrEx>
                              <w:trPr>
                                <w:trHeight w:val="543" w:hRule="exact"/>
                              </w:trPr>
                              <w:tc>
                                <w:tcPr>
                                  <w:tcW w:w="570" w:type="dxa"/>
                                  <w:vMerge w:val="continue"/>
                                  <w:tcBorders>
                                    <w:top w:val="single" w:color="000000" w:sz="4" w:space="0"/>
                                    <w:left w:val="single" w:color="000000" w:sz="4" w:space="0"/>
                                    <w:bottom w:val="single" w:color="000000" w:sz="4" w:space="0"/>
                                    <w:right w:val="single" w:color="000000" w:sz="4" w:space="0"/>
                                  </w:tcBorders>
                                  <w:noWrap w:val="0"/>
                                  <w:vAlign w:val="center"/>
                                </w:tcPr>
                                <w:p w14:paraId="77C07F09">
                                  <w:pPr>
                                    <w:widowControl/>
                                    <w:jc w:val="left"/>
                                    <w:rPr>
                                      <w:rFonts w:ascii="Calibri" w:hAnsi="Calibri" w:eastAsia="Times New Roman"/>
                                      <w:sz w:val="22"/>
                                      <w:szCs w:val="22"/>
                                    </w:rPr>
                                  </w:pPr>
                                </w:p>
                              </w:tc>
                              <w:tc>
                                <w:tcPr>
                                  <w:tcW w:w="1163" w:type="dxa"/>
                                  <w:vMerge w:val="continue"/>
                                  <w:tcBorders>
                                    <w:top w:val="single" w:color="000000" w:sz="4" w:space="0"/>
                                    <w:left w:val="single" w:color="000000" w:sz="4" w:space="0"/>
                                    <w:bottom w:val="single" w:color="000000" w:sz="4" w:space="0"/>
                                    <w:right w:val="single" w:color="000000" w:sz="4" w:space="0"/>
                                  </w:tcBorders>
                                  <w:noWrap w:val="0"/>
                                  <w:vAlign w:val="center"/>
                                </w:tcPr>
                                <w:p w14:paraId="234C745E">
                                  <w:pPr>
                                    <w:widowControl/>
                                    <w:jc w:val="left"/>
                                    <w:rPr>
                                      <w:rFonts w:ascii="Calibri" w:hAnsi="Calibri" w:eastAsia="Times New Roman"/>
                                      <w:sz w:val="22"/>
                                      <w:szCs w:val="22"/>
                                    </w:rPr>
                                  </w:pPr>
                                </w:p>
                              </w:tc>
                              <w:tc>
                                <w:tcPr>
                                  <w:tcW w:w="1800" w:type="dxa"/>
                                  <w:tcBorders>
                                    <w:top w:val="single" w:color="000000" w:sz="4" w:space="0"/>
                                    <w:left w:val="single" w:color="000000" w:sz="4" w:space="0"/>
                                    <w:bottom w:val="nil"/>
                                    <w:right w:val="single" w:color="000000" w:sz="4" w:space="0"/>
                                  </w:tcBorders>
                                  <w:noWrap w:val="0"/>
                                  <w:vAlign w:val="top"/>
                                </w:tcPr>
                                <w:p w14:paraId="36453A04">
                                  <w:pPr>
                                    <w:pStyle w:val="56"/>
                                    <w:rPr>
                                      <w:rFonts w:ascii="宋体" w:hAnsi="宋体" w:cs="宋体"/>
                                      <w:sz w:val="20"/>
                                      <w:szCs w:val="20"/>
                                      <w:lang w:eastAsia="zh-CN"/>
                                    </w:rPr>
                                  </w:pPr>
                                </w:p>
                                <w:p w14:paraId="5D9B59B6">
                                  <w:pPr>
                                    <w:pStyle w:val="56"/>
                                    <w:spacing w:before="9"/>
                                    <w:rPr>
                                      <w:rFonts w:hint="eastAsia" w:ascii="宋体" w:hAnsi="宋体" w:cs="宋体"/>
                                      <w:sz w:val="20"/>
                                      <w:szCs w:val="20"/>
                                      <w:lang w:eastAsia="zh-CN"/>
                                    </w:rPr>
                                  </w:pPr>
                                </w:p>
                                <w:p w14:paraId="61F7338C">
                                  <w:pPr>
                                    <w:pStyle w:val="56"/>
                                    <w:ind w:left="7"/>
                                    <w:rPr>
                                      <w:rFonts w:ascii="宋体" w:hAnsi="宋体" w:cs="宋体"/>
                                      <w:sz w:val="20"/>
                                      <w:szCs w:val="20"/>
                                    </w:rPr>
                                  </w:pPr>
                                  <w:r>
                                    <w:rPr>
                                      <w:rFonts w:hint="eastAsia" w:ascii="宋体" w:hAnsi="宋体" w:cs="宋体"/>
                                      <w:w w:val="99"/>
                                      <w:sz w:val="20"/>
                                      <w:szCs w:val="20"/>
                                    </w:rPr>
                                    <w:t>A02052399其他制冷</w:t>
                                  </w:r>
                                </w:p>
                              </w:tc>
                              <w:tc>
                                <w:tcPr>
                                  <w:tcW w:w="1792" w:type="dxa"/>
                                  <w:vMerge w:val="restart"/>
                                  <w:tcBorders>
                                    <w:top w:val="single" w:color="000000" w:sz="4" w:space="0"/>
                                    <w:left w:val="single" w:color="000000" w:sz="4" w:space="0"/>
                                    <w:bottom w:val="single" w:color="000000" w:sz="4" w:space="0"/>
                                    <w:right w:val="single" w:color="000000" w:sz="4" w:space="0"/>
                                  </w:tcBorders>
                                  <w:noWrap w:val="0"/>
                                  <w:vAlign w:val="top"/>
                                </w:tcPr>
                                <w:p w14:paraId="1620D8D4">
                                  <w:pPr>
                                    <w:pStyle w:val="56"/>
                                    <w:rPr>
                                      <w:rFonts w:ascii="宋体" w:hAnsi="宋体" w:cs="宋体"/>
                                      <w:sz w:val="20"/>
                                      <w:szCs w:val="20"/>
                                    </w:rPr>
                                  </w:pPr>
                                </w:p>
                                <w:p w14:paraId="3C233B8B">
                                  <w:pPr>
                                    <w:pStyle w:val="56"/>
                                    <w:rPr>
                                      <w:rFonts w:hint="eastAsia" w:ascii="宋体" w:hAnsi="宋体" w:cs="宋体"/>
                                      <w:sz w:val="20"/>
                                      <w:szCs w:val="20"/>
                                    </w:rPr>
                                  </w:pPr>
                                </w:p>
                                <w:p w14:paraId="05669D12">
                                  <w:pPr>
                                    <w:pStyle w:val="56"/>
                                    <w:spacing w:before="164"/>
                                    <w:ind w:left="7"/>
                                    <w:rPr>
                                      <w:rFonts w:ascii="宋体" w:hAnsi="宋体" w:cs="宋体"/>
                                      <w:sz w:val="20"/>
                                      <w:szCs w:val="20"/>
                                    </w:rPr>
                                  </w:pPr>
                                  <w:r>
                                    <w:rPr>
                                      <w:rFonts w:hint="eastAsia" w:ascii="宋体" w:hAnsi="宋体" w:cs="宋体"/>
                                      <w:w w:val="99"/>
                                      <w:sz w:val="20"/>
                                      <w:szCs w:val="20"/>
                                    </w:rPr>
                                    <w:t>冷却塔</w:t>
                                  </w:r>
                                </w:p>
                              </w:tc>
                              <w:tc>
                                <w:tcPr>
                                  <w:tcW w:w="3780" w:type="dxa"/>
                                  <w:vMerge w:val="restart"/>
                                  <w:tcBorders>
                                    <w:top w:val="single" w:color="000000" w:sz="4" w:space="0"/>
                                    <w:left w:val="single" w:color="000000" w:sz="4" w:space="0"/>
                                    <w:right w:val="single" w:color="000000" w:sz="4" w:space="0"/>
                                  </w:tcBorders>
                                  <w:noWrap w:val="0"/>
                                  <w:vAlign w:val="top"/>
                                </w:tcPr>
                                <w:p w14:paraId="26F28B58">
                                  <w:pPr>
                                    <w:pStyle w:val="56"/>
                                    <w:spacing w:before="11"/>
                                    <w:rPr>
                                      <w:rFonts w:ascii="宋体" w:hAnsi="宋体" w:cs="宋体"/>
                                      <w:sz w:val="16"/>
                                      <w:szCs w:val="16"/>
                                      <w:lang w:eastAsia="zh-CN"/>
                                    </w:rPr>
                                  </w:pPr>
                                </w:p>
                                <w:p w14:paraId="02B9F353">
                                  <w:pPr>
                                    <w:pStyle w:val="56"/>
                                    <w:ind w:left="7"/>
                                    <w:rPr>
                                      <w:rFonts w:ascii="宋体" w:hAnsi="宋体" w:cs="宋体"/>
                                      <w:sz w:val="20"/>
                                      <w:szCs w:val="20"/>
                                      <w:lang w:eastAsia="zh-CN"/>
                                    </w:rPr>
                                  </w:pPr>
                                  <w:r>
                                    <w:rPr>
                                      <w:rFonts w:hint="eastAsia" w:ascii="宋体" w:hAnsi="宋体" w:cs="宋体"/>
                                      <w:w w:val="99"/>
                                      <w:sz w:val="20"/>
                                      <w:szCs w:val="20"/>
                                      <w:lang w:eastAsia="zh-CN"/>
                                    </w:rPr>
                                    <w:t>《机械通风冷却塔第1部分：中小型开式冷却塔》（GB/T7190.1）</w:t>
                                  </w:r>
                                </w:p>
                                <w:p w14:paraId="0D975F76">
                                  <w:pPr>
                                    <w:pStyle w:val="56"/>
                                    <w:spacing w:line="256" w:lineRule="exact"/>
                                    <w:rPr>
                                      <w:rFonts w:ascii="宋体" w:hAnsi="宋体" w:cs="宋体"/>
                                      <w:sz w:val="20"/>
                                      <w:szCs w:val="20"/>
                                      <w:lang w:eastAsia="zh-CN"/>
                                    </w:rPr>
                                  </w:pPr>
                                  <w:r>
                                    <w:rPr>
                                      <w:rFonts w:hint="eastAsia" w:ascii="宋体" w:hAnsi="宋体" w:cs="宋体"/>
                                      <w:w w:val="99"/>
                                      <w:sz w:val="20"/>
                                      <w:szCs w:val="20"/>
                                      <w:lang w:eastAsia="zh-CN"/>
                                    </w:rPr>
                                    <w:t>《机械通风冷却塔第2部分：大型开式冷却塔》（GB/T7190.2）</w:t>
                                  </w:r>
                                </w:p>
                              </w:tc>
                            </w:tr>
                            <w:tr w14:paraId="196CC08D">
                              <w:tblPrEx>
                                <w:tblCellMar>
                                  <w:top w:w="0" w:type="dxa"/>
                                  <w:left w:w="0" w:type="dxa"/>
                                  <w:bottom w:w="0" w:type="dxa"/>
                                  <w:right w:w="0" w:type="dxa"/>
                                </w:tblCellMar>
                              </w:tblPrEx>
                              <w:trPr>
                                <w:trHeight w:val="717" w:hRule="exact"/>
                              </w:trPr>
                              <w:tc>
                                <w:tcPr>
                                  <w:tcW w:w="570" w:type="dxa"/>
                                  <w:vMerge w:val="continue"/>
                                  <w:tcBorders>
                                    <w:top w:val="single" w:color="000000" w:sz="4" w:space="0"/>
                                    <w:left w:val="single" w:color="000000" w:sz="4" w:space="0"/>
                                    <w:bottom w:val="single" w:color="000000" w:sz="4" w:space="0"/>
                                    <w:right w:val="single" w:color="000000" w:sz="4" w:space="0"/>
                                  </w:tcBorders>
                                  <w:noWrap w:val="0"/>
                                  <w:vAlign w:val="center"/>
                                </w:tcPr>
                                <w:p w14:paraId="215696B6">
                                  <w:pPr>
                                    <w:widowControl/>
                                    <w:jc w:val="left"/>
                                    <w:rPr>
                                      <w:rFonts w:ascii="Calibri" w:hAnsi="Calibri" w:eastAsia="Times New Roman"/>
                                      <w:sz w:val="22"/>
                                      <w:szCs w:val="22"/>
                                    </w:rPr>
                                  </w:pPr>
                                </w:p>
                              </w:tc>
                              <w:tc>
                                <w:tcPr>
                                  <w:tcW w:w="1163" w:type="dxa"/>
                                  <w:vMerge w:val="continue"/>
                                  <w:tcBorders>
                                    <w:top w:val="single" w:color="000000" w:sz="4" w:space="0"/>
                                    <w:left w:val="single" w:color="000000" w:sz="4" w:space="0"/>
                                    <w:bottom w:val="single" w:color="000000" w:sz="4" w:space="0"/>
                                    <w:right w:val="single" w:color="000000" w:sz="4" w:space="0"/>
                                  </w:tcBorders>
                                  <w:noWrap w:val="0"/>
                                  <w:vAlign w:val="center"/>
                                </w:tcPr>
                                <w:p w14:paraId="27974BEA">
                                  <w:pPr>
                                    <w:widowControl/>
                                    <w:jc w:val="left"/>
                                    <w:rPr>
                                      <w:rFonts w:ascii="Calibri" w:hAnsi="Calibri" w:eastAsia="Times New Roman"/>
                                      <w:sz w:val="22"/>
                                      <w:szCs w:val="22"/>
                                    </w:rPr>
                                  </w:pPr>
                                </w:p>
                              </w:tc>
                              <w:tc>
                                <w:tcPr>
                                  <w:tcW w:w="1800" w:type="dxa"/>
                                  <w:tcBorders>
                                    <w:top w:val="nil"/>
                                    <w:left w:val="single" w:color="000000" w:sz="4" w:space="0"/>
                                    <w:bottom w:val="single" w:color="000000" w:sz="4" w:space="0"/>
                                    <w:right w:val="single" w:color="000000" w:sz="4" w:space="0"/>
                                  </w:tcBorders>
                                  <w:noWrap w:val="0"/>
                                  <w:vAlign w:val="top"/>
                                </w:tcPr>
                                <w:p w14:paraId="5463BD7E">
                                  <w:pPr>
                                    <w:pStyle w:val="56"/>
                                    <w:spacing w:line="256" w:lineRule="exact"/>
                                    <w:ind w:left="7"/>
                                    <w:rPr>
                                      <w:rFonts w:ascii="宋体" w:hAnsi="宋体" w:cs="宋体"/>
                                      <w:sz w:val="20"/>
                                      <w:szCs w:val="20"/>
                                    </w:rPr>
                                  </w:pPr>
                                  <w:r>
                                    <w:rPr>
                                      <w:rFonts w:hint="eastAsia" w:ascii="宋体" w:hAnsi="宋体" w:cs="宋体"/>
                                      <w:w w:val="99"/>
                                      <w:sz w:val="20"/>
                                      <w:szCs w:val="20"/>
                                    </w:rPr>
                                    <w:t>空调设备</w:t>
                                  </w:r>
                                </w:p>
                              </w:tc>
                              <w:tc>
                                <w:tcPr>
                                  <w:tcW w:w="1792" w:type="dxa"/>
                                  <w:vMerge w:val="continue"/>
                                  <w:tcBorders>
                                    <w:top w:val="single" w:color="000000" w:sz="4" w:space="0"/>
                                    <w:left w:val="single" w:color="000000" w:sz="4" w:space="0"/>
                                    <w:bottom w:val="single" w:color="000000" w:sz="4" w:space="0"/>
                                    <w:right w:val="single" w:color="000000" w:sz="4" w:space="0"/>
                                  </w:tcBorders>
                                  <w:noWrap w:val="0"/>
                                  <w:vAlign w:val="center"/>
                                </w:tcPr>
                                <w:p w14:paraId="7018B41E">
                                  <w:pPr>
                                    <w:widowControl/>
                                    <w:jc w:val="left"/>
                                    <w:rPr>
                                      <w:rFonts w:ascii="宋体" w:hAnsi="宋体" w:eastAsia="Times New Roman" w:cs="宋体"/>
                                      <w:kern w:val="0"/>
                                      <w:sz w:val="20"/>
                                      <w:szCs w:val="20"/>
                                      <w:lang w:eastAsia="en-US"/>
                                    </w:rPr>
                                  </w:pPr>
                                </w:p>
                              </w:tc>
                              <w:tc>
                                <w:tcPr>
                                  <w:tcW w:w="3780" w:type="dxa"/>
                                  <w:vMerge w:val="continue"/>
                                  <w:tcBorders>
                                    <w:left w:val="single" w:color="000000" w:sz="4" w:space="0"/>
                                    <w:right w:val="single" w:color="000000" w:sz="4" w:space="0"/>
                                  </w:tcBorders>
                                  <w:noWrap w:val="0"/>
                                  <w:vAlign w:val="top"/>
                                </w:tcPr>
                                <w:p w14:paraId="44DF8821">
                                  <w:pPr>
                                    <w:pStyle w:val="56"/>
                                    <w:spacing w:line="256" w:lineRule="exact"/>
                                    <w:ind w:left="7"/>
                                    <w:rPr>
                                      <w:rFonts w:ascii="宋体" w:hAnsi="宋体" w:cs="宋体"/>
                                      <w:sz w:val="20"/>
                                      <w:szCs w:val="20"/>
                                      <w:lang w:eastAsia="zh-CN"/>
                                    </w:rPr>
                                  </w:pPr>
                                </w:p>
                              </w:tc>
                            </w:tr>
                            <w:tr w14:paraId="2CEDA70B">
                              <w:tblPrEx>
                                <w:tblCellMar>
                                  <w:top w:w="0" w:type="dxa"/>
                                  <w:left w:w="0" w:type="dxa"/>
                                  <w:bottom w:w="0" w:type="dxa"/>
                                  <w:right w:w="0" w:type="dxa"/>
                                </w:tblCellMar>
                              </w:tblPrEx>
                              <w:trPr>
                                <w:trHeight w:val="742" w:hRule="exact"/>
                              </w:trPr>
                              <w:tc>
                                <w:tcPr>
                                  <w:tcW w:w="570" w:type="dxa"/>
                                  <w:tcBorders>
                                    <w:top w:val="single" w:color="000000" w:sz="4" w:space="0"/>
                                    <w:left w:val="single" w:color="000000" w:sz="4" w:space="0"/>
                                    <w:bottom w:val="single" w:color="000000" w:sz="4" w:space="0"/>
                                    <w:right w:val="single" w:color="000000" w:sz="4" w:space="0"/>
                                  </w:tcBorders>
                                  <w:noWrap w:val="0"/>
                                  <w:vAlign w:val="top"/>
                                </w:tcPr>
                                <w:p w14:paraId="420D9468">
                                  <w:pPr>
                                    <w:pStyle w:val="56"/>
                                    <w:spacing w:before="12"/>
                                    <w:rPr>
                                      <w:rFonts w:ascii="宋体" w:hAnsi="宋体" w:cs="宋体"/>
                                      <w:sz w:val="15"/>
                                      <w:szCs w:val="15"/>
                                      <w:lang w:eastAsia="zh-CN"/>
                                    </w:rPr>
                                  </w:pPr>
                                </w:p>
                                <w:p w14:paraId="72275597">
                                  <w:pPr>
                                    <w:pStyle w:val="56"/>
                                    <w:ind w:right="1"/>
                                    <w:jc w:val="center"/>
                                    <w:rPr>
                                      <w:rFonts w:ascii="宋体" w:hAnsi="宋体" w:cs="宋体"/>
                                      <w:sz w:val="20"/>
                                      <w:szCs w:val="20"/>
                                    </w:rPr>
                                  </w:pPr>
                                  <w:r>
                                    <w:rPr>
                                      <w:rFonts w:hint="eastAsia" w:ascii="宋体"/>
                                      <w:w w:val="99"/>
                                      <w:sz w:val="20"/>
                                    </w:rPr>
                                    <w:t>7</w:t>
                                  </w:r>
                                </w:p>
                              </w:tc>
                              <w:tc>
                                <w:tcPr>
                                  <w:tcW w:w="1163" w:type="dxa"/>
                                  <w:tcBorders>
                                    <w:top w:val="single" w:color="000000" w:sz="4" w:space="0"/>
                                    <w:left w:val="single" w:color="000000" w:sz="4" w:space="0"/>
                                    <w:bottom w:val="single" w:color="000000" w:sz="4" w:space="0"/>
                                    <w:right w:val="single" w:color="000000" w:sz="4" w:space="0"/>
                                  </w:tcBorders>
                                  <w:noWrap w:val="0"/>
                                  <w:vAlign w:val="top"/>
                                </w:tcPr>
                                <w:p w14:paraId="1F90C350">
                                  <w:pPr>
                                    <w:pStyle w:val="56"/>
                                    <w:spacing w:before="12"/>
                                    <w:rPr>
                                      <w:rFonts w:ascii="宋体" w:hAnsi="宋体" w:cs="宋体"/>
                                      <w:sz w:val="15"/>
                                      <w:szCs w:val="15"/>
                                    </w:rPr>
                                  </w:pPr>
                                </w:p>
                                <w:p w14:paraId="52175217">
                                  <w:pPr>
                                    <w:pStyle w:val="56"/>
                                    <w:ind w:left="7"/>
                                    <w:rPr>
                                      <w:rFonts w:ascii="宋体" w:hAnsi="宋体" w:cs="宋体"/>
                                      <w:sz w:val="20"/>
                                      <w:szCs w:val="20"/>
                                    </w:rPr>
                                  </w:pPr>
                                  <w:r>
                                    <w:rPr>
                                      <w:rFonts w:hint="eastAsia" w:ascii="宋体" w:hAnsi="宋体" w:cs="宋体"/>
                                      <w:w w:val="99"/>
                                      <w:sz w:val="20"/>
                                      <w:szCs w:val="20"/>
                                    </w:rPr>
                                    <w:t>A020601电机</w:t>
                                  </w:r>
                                </w:p>
                              </w:tc>
                              <w:tc>
                                <w:tcPr>
                                  <w:tcW w:w="1800" w:type="dxa"/>
                                  <w:tcBorders>
                                    <w:top w:val="single" w:color="000000" w:sz="4" w:space="0"/>
                                    <w:left w:val="single" w:color="000000" w:sz="4" w:space="0"/>
                                    <w:bottom w:val="single" w:color="000000" w:sz="4" w:space="0"/>
                                    <w:right w:val="single" w:color="000000" w:sz="4" w:space="0"/>
                                  </w:tcBorders>
                                  <w:noWrap w:val="0"/>
                                  <w:vAlign w:val="top"/>
                                </w:tcPr>
                                <w:p w14:paraId="70AA807F">
                                  <w:pPr>
                                    <w:rPr>
                                      <w:rFonts w:ascii="Calibri" w:hAnsi="Calibri"/>
                                      <w:sz w:val="22"/>
                                      <w:szCs w:val="22"/>
                                    </w:rPr>
                                  </w:pPr>
                                </w:p>
                              </w:tc>
                              <w:tc>
                                <w:tcPr>
                                  <w:tcW w:w="1792" w:type="dxa"/>
                                  <w:tcBorders>
                                    <w:top w:val="single" w:color="000000" w:sz="4" w:space="0"/>
                                    <w:left w:val="single" w:color="000000" w:sz="4" w:space="0"/>
                                    <w:bottom w:val="single" w:color="000000" w:sz="4" w:space="0"/>
                                    <w:right w:val="single" w:color="000000" w:sz="4" w:space="0"/>
                                  </w:tcBorders>
                                  <w:noWrap w:val="0"/>
                                  <w:vAlign w:val="top"/>
                                </w:tcPr>
                                <w:p w14:paraId="584E6225">
                                  <w:pPr>
                                    <w:rPr>
                                      <w:rFonts w:ascii="Calibri" w:hAnsi="Calibri"/>
                                      <w:sz w:val="22"/>
                                      <w:szCs w:val="22"/>
                                    </w:rPr>
                                  </w:pPr>
                                </w:p>
                              </w:tc>
                              <w:tc>
                                <w:tcPr>
                                  <w:tcW w:w="3780" w:type="dxa"/>
                                  <w:tcBorders>
                                    <w:top w:val="single" w:color="000000" w:sz="4" w:space="0"/>
                                    <w:left w:val="single" w:color="000000" w:sz="4" w:space="0"/>
                                    <w:bottom w:val="single" w:color="000000" w:sz="4" w:space="0"/>
                                    <w:right w:val="single" w:color="000000" w:sz="4" w:space="0"/>
                                  </w:tcBorders>
                                  <w:noWrap w:val="0"/>
                                  <w:vAlign w:val="top"/>
                                </w:tcPr>
                                <w:p w14:paraId="474CE17A">
                                  <w:pPr>
                                    <w:pStyle w:val="56"/>
                                    <w:spacing w:before="52" w:line="280" w:lineRule="auto"/>
                                    <w:ind w:left="7" w:right="4"/>
                                    <w:rPr>
                                      <w:rFonts w:ascii="宋体" w:hAnsi="宋体" w:cs="宋体"/>
                                      <w:sz w:val="20"/>
                                      <w:szCs w:val="20"/>
                                      <w:lang w:eastAsia="zh-CN"/>
                                    </w:rPr>
                                  </w:pPr>
                                  <w:r>
                                    <w:rPr>
                                      <w:rFonts w:hint="eastAsia" w:ascii="宋体" w:hAnsi="宋体" w:cs="宋体"/>
                                      <w:w w:val="99"/>
                                      <w:sz w:val="20"/>
                                      <w:szCs w:val="20"/>
                                      <w:lang w:eastAsia="zh-CN"/>
                                    </w:rPr>
                                    <w:t>《中小型三相异步电动机能效限定值及能效等级》（GB18613）</w:t>
                                  </w:r>
                                </w:p>
                              </w:tc>
                            </w:tr>
                            <w:tr w14:paraId="7A4B9A78">
                              <w:tblPrEx>
                                <w:tblCellMar>
                                  <w:top w:w="0" w:type="dxa"/>
                                  <w:left w:w="0" w:type="dxa"/>
                                  <w:bottom w:w="0" w:type="dxa"/>
                                  <w:right w:w="0" w:type="dxa"/>
                                </w:tblCellMar>
                              </w:tblPrEx>
                              <w:trPr>
                                <w:trHeight w:val="353" w:hRule="exact"/>
                              </w:trPr>
                              <w:tc>
                                <w:tcPr>
                                  <w:tcW w:w="570" w:type="dxa"/>
                                  <w:vMerge w:val="restart"/>
                                  <w:tcBorders>
                                    <w:top w:val="single" w:color="000000" w:sz="4" w:space="0"/>
                                    <w:left w:val="single" w:color="000000" w:sz="4" w:space="0"/>
                                    <w:bottom w:val="single" w:color="000000" w:sz="4" w:space="0"/>
                                    <w:right w:val="single" w:color="000000" w:sz="4" w:space="0"/>
                                  </w:tcBorders>
                                  <w:noWrap w:val="0"/>
                                  <w:vAlign w:val="top"/>
                                </w:tcPr>
                                <w:p w14:paraId="1BB81F4E">
                                  <w:pPr>
                                    <w:pStyle w:val="56"/>
                                    <w:spacing w:before="3"/>
                                    <w:rPr>
                                      <w:rFonts w:ascii="宋体" w:hAnsi="宋体" w:cs="宋体"/>
                                      <w:sz w:val="14"/>
                                      <w:szCs w:val="14"/>
                                      <w:lang w:eastAsia="zh-CN"/>
                                    </w:rPr>
                                  </w:pPr>
                                </w:p>
                                <w:p w14:paraId="5725A127">
                                  <w:pPr>
                                    <w:pStyle w:val="56"/>
                                    <w:ind w:right="1"/>
                                    <w:jc w:val="center"/>
                                    <w:rPr>
                                      <w:rFonts w:ascii="宋体" w:hAnsi="宋体" w:cs="宋体"/>
                                      <w:sz w:val="20"/>
                                      <w:szCs w:val="20"/>
                                    </w:rPr>
                                  </w:pPr>
                                  <w:r>
                                    <w:rPr>
                                      <w:rFonts w:hint="eastAsia" w:ascii="宋体"/>
                                      <w:w w:val="99"/>
                                      <w:sz w:val="20"/>
                                    </w:rPr>
                                    <w:t>8</w:t>
                                  </w:r>
                                </w:p>
                              </w:tc>
                              <w:tc>
                                <w:tcPr>
                                  <w:tcW w:w="1163" w:type="dxa"/>
                                  <w:tcBorders>
                                    <w:top w:val="single" w:color="000000" w:sz="4" w:space="0"/>
                                    <w:left w:val="single" w:color="000000" w:sz="4" w:space="0"/>
                                    <w:bottom w:val="nil"/>
                                    <w:right w:val="single" w:color="000000" w:sz="4" w:space="0"/>
                                  </w:tcBorders>
                                  <w:noWrap w:val="0"/>
                                  <w:vAlign w:val="top"/>
                                </w:tcPr>
                                <w:p w14:paraId="301709D2">
                                  <w:pPr>
                                    <w:pStyle w:val="56"/>
                                    <w:spacing w:before="30"/>
                                    <w:ind w:left="7"/>
                                    <w:rPr>
                                      <w:rFonts w:ascii="宋体" w:hAnsi="宋体" w:cs="宋体"/>
                                      <w:sz w:val="20"/>
                                      <w:szCs w:val="20"/>
                                    </w:rPr>
                                  </w:pPr>
                                  <w:r>
                                    <w:rPr>
                                      <w:rFonts w:hint="eastAsia" w:ascii="宋体" w:hAnsi="宋体" w:cs="宋体"/>
                                      <w:w w:val="99"/>
                                      <w:sz w:val="20"/>
                                      <w:szCs w:val="20"/>
                                    </w:rPr>
                                    <w:t>A020602变压</w:t>
                                  </w:r>
                                </w:p>
                              </w:tc>
                              <w:tc>
                                <w:tcPr>
                                  <w:tcW w:w="1800" w:type="dxa"/>
                                  <w:vMerge w:val="restart"/>
                                  <w:tcBorders>
                                    <w:top w:val="single" w:color="000000" w:sz="4" w:space="0"/>
                                    <w:left w:val="single" w:color="000000" w:sz="4" w:space="0"/>
                                    <w:bottom w:val="single" w:color="000000" w:sz="4" w:space="0"/>
                                    <w:right w:val="single" w:color="000000" w:sz="4" w:space="0"/>
                                  </w:tcBorders>
                                  <w:noWrap w:val="0"/>
                                  <w:vAlign w:val="top"/>
                                </w:tcPr>
                                <w:p w14:paraId="1D863C38">
                                  <w:pPr>
                                    <w:pStyle w:val="56"/>
                                    <w:spacing w:before="3"/>
                                    <w:rPr>
                                      <w:rFonts w:ascii="宋体" w:hAnsi="宋体" w:cs="宋体"/>
                                      <w:sz w:val="14"/>
                                      <w:szCs w:val="14"/>
                                    </w:rPr>
                                  </w:pPr>
                                </w:p>
                                <w:p w14:paraId="3860FA29">
                                  <w:pPr>
                                    <w:pStyle w:val="56"/>
                                    <w:ind w:left="7"/>
                                    <w:rPr>
                                      <w:rFonts w:ascii="宋体" w:hAnsi="宋体" w:cs="宋体"/>
                                      <w:sz w:val="20"/>
                                      <w:szCs w:val="20"/>
                                    </w:rPr>
                                  </w:pPr>
                                  <w:r>
                                    <w:rPr>
                                      <w:rFonts w:hint="eastAsia" w:ascii="宋体" w:hAnsi="宋体" w:cs="宋体"/>
                                      <w:w w:val="99"/>
                                      <w:sz w:val="20"/>
                                      <w:szCs w:val="20"/>
                                    </w:rPr>
                                    <w:t>配电变压器</w:t>
                                  </w:r>
                                </w:p>
                              </w:tc>
                              <w:tc>
                                <w:tcPr>
                                  <w:tcW w:w="1792" w:type="dxa"/>
                                  <w:vMerge w:val="restart"/>
                                  <w:tcBorders>
                                    <w:top w:val="single" w:color="000000" w:sz="4" w:space="0"/>
                                    <w:left w:val="single" w:color="000000" w:sz="4" w:space="0"/>
                                    <w:bottom w:val="single" w:color="000000" w:sz="4" w:space="0"/>
                                    <w:right w:val="single" w:color="000000" w:sz="4" w:space="0"/>
                                  </w:tcBorders>
                                  <w:noWrap w:val="0"/>
                                  <w:vAlign w:val="top"/>
                                </w:tcPr>
                                <w:p w14:paraId="55EBE65F">
                                  <w:pPr>
                                    <w:rPr>
                                      <w:rFonts w:ascii="Calibri" w:hAnsi="Calibri"/>
                                      <w:sz w:val="22"/>
                                      <w:szCs w:val="22"/>
                                    </w:rPr>
                                  </w:pPr>
                                </w:p>
                              </w:tc>
                              <w:tc>
                                <w:tcPr>
                                  <w:tcW w:w="3780" w:type="dxa"/>
                                  <w:tcBorders>
                                    <w:top w:val="single" w:color="000000" w:sz="4" w:space="0"/>
                                    <w:left w:val="single" w:color="000000" w:sz="4" w:space="0"/>
                                    <w:bottom w:val="nil"/>
                                    <w:right w:val="single" w:color="000000" w:sz="4" w:space="0"/>
                                  </w:tcBorders>
                                  <w:noWrap w:val="0"/>
                                  <w:vAlign w:val="top"/>
                                </w:tcPr>
                                <w:p w14:paraId="5224E836">
                                  <w:pPr>
                                    <w:pStyle w:val="56"/>
                                    <w:spacing w:before="30"/>
                                    <w:ind w:left="7"/>
                                    <w:rPr>
                                      <w:rFonts w:ascii="宋体" w:hAnsi="宋体" w:cs="宋体"/>
                                      <w:sz w:val="20"/>
                                      <w:szCs w:val="20"/>
                                      <w:lang w:eastAsia="zh-CN"/>
                                    </w:rPr>
                                  </w:pPr>
                                  <w:r>
                                    <w:rPr>
                                      <w:rFonts w:hint="eastAsia" w:ascii="宋体" w:hAnsi="宋体" w:cs="宋体"/>
                                      <w:w w:val="99"/>
                                      <w:sz w:val="20"/>
                                      <w:szCs w:val="20"/>
                                      <w:lang w:eastAsia="zh-CN"/>
                                    </w:rPr>
                                    <w:t>《三相配电变压器能效限定值及</w:t>
                                  </w:r>
                                </w:p>
                              </w:tc>
                            </w:tr>
                            <w:tr w14:paraId="22AB9D5E">
                              <w:tblPrEx>
                                <w:tblCellMar>
                                  <w:top w:w="0" w:type="dxa"/>
                                  <w:left w:w="0" w:type="dxa"/>
                                  <w:bottom w:w="0" w:type="dxa"/>
                                  <w:right w:w="0" w:type="dxa"/>
                                </w:tblCellMar>
                              </w:tblPrEx>
                              <w:trPr>
                                <w:trHeight w:val="345" w:hRule="exact"/>
                              </w:trPr>
                              <w:tc>
                                <w:tcPr>
                                  <w:tcW w:w="570" w:type="dxa"/>
                                  <w:vMerge w:val="continue"/>
                                  <w:tcBorders>
                                    <w:top w:val="single" w:color="000000" w:sz="4" w:space="0"/>
                                    <w:left w:val="single" w:color="000000" w:sz="4" w:space="0"/>
                                    <w:bottom w:val="single" w:color="000000" w:sz="4" w:space="0"/>
                                    <w:right w:val="single" w:color="000000" w:sz="4" w:space="0"/>
                                  </w:tcBorders>
                                  <w:noWrap w:val="0"/>
                                  <w:vAlign w:val="center"/>
                                </w:tcPr>
                                <w:p w14:paraId="41D9B022">
                                  <w:pPr>
                                    <w:widowControl/>
                                    <w:jc w:val="left"/>
                                    <w:rPr>
                                      <w:rFonts w:ascii="宋体" w:hAnsi="宋体" w:eastAsia="Times New Roman" w:cs="宋体"/>
                                      <w:kern w:val="0"/>
                                      <w:sz w:val="20"/>
                                      <w:szCs w:val="20"/>
                                    </w:rPr>
                                  </w:pPr>
                                </w:p>
                              </w:tc>
                              <w:tc>
                                <w:tcPr>
                                  <w:tcW w:w="1163" w:type="dxa"/>
                                  <w:tcBorders>
                                    <w:top w:val="nil"/>
                                    <w:left w:val="single" w:color="000000" w:sz="4" w:space="0"/>
                                    <w:bottom w:val="single" w:color="000000" w:sz="4" w:space="0"/>
                                    <w:right w:val="single" w:color="000000" w:sz="4" w:space="0"/>
                                  </w:tcBorders>
                                  <w:noWrap w:val="0"/>
                                  <w:vAlign w:val="top"/>
                                </w:tcPr>
                                <w:p w14:paraId="27130C81">
                                  <w:pPr>
                                    <w:pStyle w:val="56"/>
                                    <w:spacing w:line="256" w:lineRule="exact"/>
                                    <w:ind w:left="7"/>
                                    <w:rPr>
                                      <w:rFonts w:ascii="宋体" w:hAnsi="宋体" w:cs="宋体"/>
                                      <w:sz w:val="20"/>
                                      <w:szCs w:val="20"/>
                                    </w:rPr>
                                  </w:pPr>
                                  <w:r>
                                    <w:rPr>
                                      <w:rFonts w:hint="eastAsia" w:ascii="宋体" w:hAnsi="宋体" w:cs="宋体"/>
                                      <w:w w:val="99"/>
                                      <w:sz w:val="20"/>
                                      <w:szCs w:val="20"/>
                                    </w:rPr>
                                    <w:t>器</w:t>
                                  </w:r>
                                </w:p>
                              </w:tc>
                              <w:tc>
                                <w:tcPr>
                                  <w:tcW w:w="1800" w:type="dxa"/>
                                  <w:vMerge w:val="continue"/>
                                  <w:tcBorders>
                                    <w:top w:val="single" w:color="000000" w:sz="4" w:space="0"/>
                                    <w:left w:val="single" w:color="000000" w:sz="4" w:space="0"/>
                                    <w:bottom w:val="single" w:color="000000" w:sz="4" w:space="0"/>
                                    <w:right w:val="single" w:color="000000" w:sz="4" w:space="0"/>
                                  </w:tcBorders>
                                  <w:noWrap w:val="0"/>
                                  <w:vAlign w:val="center"/>
                                </w:tcPr>
                                <w:p w14:paraId="6F94628A">
                                  <w:pPr>
                                    <w:widowControl/>
                                    <w:jc w:val="left"/>
                                    <w:rPr>
                                      <w:rFonts w:ascii="宋体" w:hAnsi="宋体" w:eastAsia="Times New Roman" w:cs="宋体"/>
                                      <w:kern w:val="0"/>
                                      <w:sz w:val="20"/>
                                      <w:szCs w:val="20"/>
                                      <w:lang w:eastAsia="en-US"/>
                                    </w:rPr>
                                  </w:pPr>
                                </w:p>
                              </w:tc>
                              <w:tc>
                                <w:tcPr>
                                  <w:tcW w:w="1792" w:type="dxa"/>
                                  <w:vMerge w:val="continue"/>
                                  <w:tcBorders>
                                    <w:top w:val="single" w:color="000000" w:sz="4" w:space="0"/>
                                    <w:left w:val="single" w:color="000000" w:sz="4" w:space="0"/>
                                    <w:bottom w:val="single" w:color="000000" w:sz="4" w:space="0"/>
                                    <w:right w:val="single" w:color="000000" w:sz="4" w:space="0"/>
                                  </w:tcBorders>
                                  <w:noWrap w:val="0"/>
                                  <w:vAlign w:val="center"/>
                                </w:tcPr>
                                <w:p w14:paraId="6FC08DAA">
                                  <w:pPr>
                                    <w:widowControl/>
                                    <w:jc w:val="left"/>
                                    <w:rPr>
                                      <w:rFonts w:ascii="Calibri" w:hAnsi="Calibri" w:eastAsia="Times New Roman"/>
                                      <w:sz w:val="22"/>
                                      <w:szCs w:val="22"/>
                                      <w:lang w:eastAsia="en-US"/>
                                    </w:rPr>
                                  </w:pPr>
                                </w:p>
                              </w:tc>
                              <w:tc>
                                <w:tcPr>
                                  <w:tcW w:w="3780" w:type="dxa"/>
                                  <w:tcBorders>
                                    <w:top w:val="nil"/>
                                    <w:left w:val="single" w:color="000000" w:sz="4" w:space="0"/>
                                    <w:bottom w:val="single" w:color="000000" w:sz="4" w:space="0"/>
                                    <w:right w:val="single" w:color="000000" w:sz="4" w:space="0"/>
                                  </w:tcBorders>
                                  <w:noWrap w:val="0"/>
                                  <w:vAlign w:val="top"/>
                                </w:tcPr>
                                <w:p w14:paraId="72D7E192">
                                  <w:pPr>
                                    <w:pStyle w:val="56"/>
                                    <w:spacing w:line="256" w:lineRule="exact"/>
                                    <w:ind w:left="7"/>
                                    <w:rPr>
                                      <w:rFonts w:ascii="宋体" w:hAnsi="宋体" w:cs="宋体"/>
                                      <w:sz w:val="20"/>
                                      <w:szCs w:val="20"/>
                                    </w:rPr>
                                  </w:pPr>
                                  <w:r>
                                    <w:rPr>
                                      <w:rFonts w:hint="eastAsia" w:ascii="宋体" w:hAnsi="宋体" w:cs="宋体"/>
                                      <w:w w:val="99"/>
                                      <w:sz w:val="20"/>
                                      <w:szCs w:val="20"/>
                                    </w:rPr>
                                    <w:t>能效等级》（GB20052）</w:t>
                                  </w:r>
                                </w:p>
                              </w:tc>
                            </w:tr>
                            <w:tr w14:paraId="74E67665">
                              <w:tblPrEx>
                                <w:tblCellMar>
                                  <w:top w:w="0" w:type="dxa"/>
                                  <w:left w:w="0" w:type="dxa"/>
                                  <w:bottom w:w="0" w:type="dxa"/>
                                  <w:right w:w="0" w:type="dxa"/>
                                </w:tblCellMar>
                              </w:tblPrEx>
                              <w:trPr>
                                <w:trHeight w:val="449" w:hRule="exact"/>
                              </w:trPr>
                              <w:tc>
                                <w:tcPr>
                                  <w:tcW w:w="570" w:type="dxa"/>
                                  <w:vMerge w:val="restart"/>
                                  <w:tcBorders>
                                    <w:top w:val="single" w:color="000000" w:sz="4" w:space="0"/>
                                    <w:left w:val="single" w:color="000000" w:sz="4" w:space="0"/>
                                    <w:bottom w:val="single" w:color="000000" w:sz="4" w:space="0"/>
                                    <w:right w:val="single" w:color="000000" w:sz="4" w:space="0"/>
                                  </w:tcBorders>
                                  <w:noWrap w:val="0"/>
                                  <w:vAlign w:val="top"/>
                                </w:tcPr>
                                <w:p w14:paraId="216782C9">
                                  <w:pPr>
                                    <w:pStyle w:val="56"/>
                                    <w:spacing w:before="8"/>
                                    <w:rPr>
                                      <w:rFonts w:ascii="宋体" w:hAnsi="宋体" w:cs="宋体"/>
                                      <w:sz w:val="21"/>
                                      <w:szCs w:val="21"/>
                                    </w:rPr>
                                  </w:pPr>
                                </w:p>
                                <w:p w14:paraId="2AC9838D">
                                  <w:pPr>
                                    <w:pStyle w:val="56"/>
                                    <w:ind w:right="1"/>
                                    <w:jc w:val="center"/>
                                    <w:rPr>
                                      <w:rFonts w:ascii="宋体" w:hAnsi="宋体" w:cs="宋体"/>
                                      <w:sz w:val="20"/>
                                      <w:szCs w:val="20"/>
                                    </w:rPr>
                                  </w:pPr>
                                  <w:r>
                                    <w:rPr>
                                      <w:rFonts w:hint="eastAsia" w:ascii="宋体"/>
                                      <w:w w:val="99"/>
                                      <w:sz w:val="20"/>
                                    </w:rPr>
                                    <w:t>9</w:t>
                                  </w:r>
                                </w:p>
                              </w:tc>
                              <w:tc>
                                <w:tcPr>
                                  <w:tcW w:w="1163" w:type="dxa"/>
                                  <w:tcBorders>
                                    <w:top w:val="single" w:color="000000" w:sz="4" w:space="0"/>
                                    <w:left w:val="single" w:color="000000" w:sz="4" w:space="0"/>
                                    <w:bottom w:val="nil"/>
                                    <w:right w:val="single" w:color="000000" w:sz="4" w:space="0"/>
                                  </w:tcBorders>
                                  <w:noWrap w:val="0"/>
                                  <w:vAlign w:val="top"/>
                                </w:tcPr>
                                <w:p w14:paraId="0B3592D0">
                                  <w:pPr>
                                    <w:pStyle w:val="56"/>
                                    <w:spacing w:before="126"/>
                                    <w:ind w:left="7"/>
                                    <w:rPr>
                                      <w:rFonts w:ascii="宋体" w:hAnsi="宋体" w:cs="宋体"/>
                                      <w:sz w:val="20"/>
                                      <w:szCs w:val="20"/>
                                    </w:rPr>
                                  </w:pPr>
                                  <w:r>
                                    <w:rPr>
                                      <w:rFonts w:hint="eastAsia" w:ascii="宋体" w:hAnsi="宋体" w:cs="宋体"/>
                                      <w:w w:val="99"/>
                                      <w:sz w:val="20"/>
                                      <w:szCs w:val="20"/>
                                    </w:rPr>
                                    <w:t>★A020609镇</w:t>
                                  </w:r>
                                </w:p>
                              </w:tc>
                              <w:tc>
                                <w:tcPr>
                                  <w:tcW w:w="1800" w:type="dxa"/>
                                  <w:vMerge w:val="restart"/>
                                  <w:tcBorders>
                                    <w:top w:val="single" w:color="000000" w:sz="4" w:space="0"/>
                                    <w:left w:val="single" w:color="000000" w:sz="4" w:space="0"/>
                                    <w:bottom w:val="single" w:color="000000" w:sz="4" w:space="0"/>
                                    <w:right w:val="single" w:color="000000" w:sz="4" w:space="0"/>
                                  </w:tcBorders>
                                  <w:noWrap w:val="0"/>
                                  <w:vAlign w:val="top"/>
                                </w:tcPr>
                                <w:p w14:paraId="408456A0">
                                  <w:pPr>
                                    <w:pStyle w:val="56"/>
                                    <w:spacing w:before="8"/>
                                    <w:rPr>
                                      <w:rFonts w:ascii="宋体" w:hAnsi="宋体" w:cs="宋体"/>
                                      <w:sz w:val="21"/>
                                      <w:szCs w:val="21"/>
                                    </w:rPr>
                                  </w:pPr>
                                </w:p>
                                <w:p w14:paraId="5B9C340F">
                                  <w:pPr>
                                    <w:pStyle w:val="56"/>
                                    <w:ind w:left="7"/>
                                    <w:rPr>
                                      <w:rFonts w:ascii="宋体" w:hAnsi="宋体" w:cs="宋体"/>
                                      <w:sz w:val="20"/>
                                      <w:szCs w:val="20"/>
                                    </w:rPr>
                                  </w:pPr>
                                  <w:r>
                                    <w:rPr>
                                      <w:rFonts w:hint="eastAsia" w:ascii="宋体" w:hAnsi="宋体" w:cs="宋体"/>
                                      <w:w w:val="99"/>
                                      <w:sz w:val="20"/>
                                      <w:szCs w:val="20"/>
                                    </w:rPr>
                                    <w:t>管型荧光灯镇流器</w:t>
                                  </w:r>
                                </w:p>
                              </w:tc>
                              <w:tc>
                                <w:tcPr>
                                  <w:tcW w:w="1792" w:type="dxa"/>
                                  <w:vMerge w:val="restart"/>
                                  <w:tcBorders>
                                    <w:top w:val="single" w:color="000000" w:sz="4" w:space="0"/>
                                    <w:left w:val="single" w:color="000000" w:sz="4" w:space="0"/>
                                    <w:bottom w:val="single" w:color="000000" w:sz="4" w:space="0"/>
                                    <w:right w:val="single" w:color="000000" w:sz="4" w:space="0"/>
                                  </w:tcBorders>
                                  <w:noWrap w:val="0"/>
                                  <w:vAlign w:val="top"/>
                                </w:tcPr>
                                <w:p w14:paraId="2D7E9CDF">
                                  <w:pPr>
                                    <w:rPr>
                                      <w:rFonts w:ascii="Calibri" w:hAnsi="Calibri"/>
                                      <w:sz w:val="22"/>
                                      <w:szCs w:val="22"/>
                                    </w:rPr>
                                  </w:pPr>
                                </w:p>
                              </w:tc>
                              <w:tc>
                                <w:tcPr>
                                  <w:tcW w:w="3780" w:type="dxa"/>
                                  <w:vMerge w:val="restart"/>
                                  <w:tcBorders>
                                    <w:top w:val="single" w:color="000000" w:sz="4" w:space="0"/>
                                    <w:left w:val="single" w:color="000000" w:sz="4" w:space="0"/>
                                    <w:right w:val="single" w:color="000000" w:sz="4" w:space="0"/>
                                  </w:tcBorders>
                                  <w:noWrap w:val="0"/>
                                  <w:vAlign w:val="top"/>
                                </w:tcPr>
                                <w:p w14:paraId="5F2E1C45">
                                  <w:pPr>
                                    <w:pStyle w:val="56"/>
                                    <w:spacing w:before="126"/>
                                    <w:ind w:left="7"/>
                                    <w:rPr>
                                      <w:rFonts w:ascii="宋体" w:hAnsi="宋体" w:cs="宋体"/>
                                      <w:sz w:val="20"/>
                                      <w:szCs w:val="20"/>
                                      <w:lang w:eastAsia="zh-CN"/>
                                    </w:rPr>
                                  </w:pPr>
                                  <w:r>
                                    <w:rPr>
                                      <w:rFonts w:hint="eastAsia" w:ascii="宋体" w:hAnsi="宋体" w:cs="宋体"/>
                                      <w:w w:val="99"/>
                                      <w:sz w:val="20"/>
                                      <w:szCs w:val="20"/>
                                      <w:lang w:eastAsia="zh-CN"/>
                                    </w:rPr>
                                    <w:t>《管形荧光灯镇流器能效限定值及能效等级》（GB17896）</w:t>
                                  </w:r>
                                </w:p>
                              </w:tc>
                            </w:tr>
                            <w:tr w14:paraId="69B00A8F">
                              <w:tblPrEx>
                                <w:tblCellMar>
                                  <w:top w:w="0" w:type="dxa"/>
                                  <w:left w:w="0" w:type="dxa"/>
                                  <w:bottom w:w="0" w:type="dxa"/>
                                  <w:right w:w="0" w:type="dxa"/>
                                </w:tblCellMar>
                              </w:tblPrEx>
                              <w:trPr>
                                <w:trHeight w:val="441" w:hRule="exact"/>
                              </w:trPr>
                              <w:tc>
                                <w:tcPr>
                                  <w:tcW w:w="570" w:type="dxa"/>
                                  <w:vMerge w:val="continue"/>
                                  <w:tcBorders>
                                    <w:top w:val="single" w:color="000000" w:sz="4" w:space="0"/>
                                    <w:left w:val="single" w:color="000000" w:sz="4" w:space="0"/>
                                    <w:bottom w:val="single" w:color="000000" w:sz="4" w:space="0"/>
                                    <w:right w:val="single" w:color="000000" w:sz="4" w:space="0"/>
                                  </w:tcBorders>
                                  <w:noWrap w:val="0"/>
                                  <w:vAlign w:val="center"/>
                                </w:tcPr>
                                <w:p w14:paraId="7234CE0C">
                                  <w:pPr>
                                    <w:widowControl/>
                                    <w:jc w:val="left"/>
                                    <w:rPr>
                                      <w:rFonts w:ascii="宋体" w:hAnsi="宋体" w:eastAsia="Times New Roman" w:cs="宋体"/>
                                      <w:kern w:val="0"/>
                                      <w:sz w:val="20"/>
                                      <w:szCs w:val="20"/>
                                    </w:rPr>
                                  </w:pPr>
                                </w:p>
                              </w:tc>
                              <w:tc>
                                <w:tcPr>
                                  <w:tcW w:w="1163" w:type="dxa"/>
                                  <w:tcBorders>
                                    <w:top w:val="nil"/>
                                    <w:left w:val="single" w:color="000000" w:sz="4" w:space="0"/>
                                    <w:bottom w:val="single" w:color="000000" w:sz="4" w:space="0"/>
                                    <w:right w:val="single" w:color="000000" w:sz="4" w:space="0"/>
                                  </w:tcBorders>
                                  <w:noWrap w:val="0"/>
                                  <w:vAlign w:val="top"/>
                                </w:tcPr>
                                <w:p w14:paraId="3D3CCC0B">
                                  <w:pPr>
                                    <w:pStyle w:val="56"/>
                                    <w:spacing w:line="256" w:lineRule="exact"/>
                                    <w:ind w:left="7"/>
                                    <w:rPr>
                                      <w:rFonts w:ascii="宋体" w:hAnsi="宋体" w:cs="宋体"/>
                                      <w:sz w:val="20"/>
                                      <w:szCs w:val="20"/>
                                    </w:rPr>
                                  </w:pPr>
                                  <w:r>
                                    <w:rPr>
                                      <w:rFonts w:hint="eastAsia" w:ascii="宋体" w:hAnsi="宋体" w:cs="宋体"/>
                                      <w:w w:val="99"/>
                                      <w:sz w:val="20"/>
                                      <w:szCs w:val="20"/>
                                    </w:rPr>
                                    <w:t>流器</w:t>
                                  </w:r>
                                </w:p>
                              </w:tc>
                              <w:tc>
                                <w:tcPr>
                                  <w:tcW w:w="1800" w:type="dxa"/>
                                  <w:vMerge w:val="continue"/>
                                  <w:tcBorders>
                                    <w:top w:val="single" w:color="000000" w:sz="4" w:space="0"/>
                                    <w:left w:val="single" w:color="000000" w:sz="4" w:space="0"/>
                                    <w:bottom w:val="single" w:color="000000" w:sz="4" w:space="0"/>
                                    <w:right w:val="single" w:color="000000" w:sz="4" w:space="0"/>
                                  </w:tcBorders>
                                  <w:noWrap w:val="0"/>
                                  <w:vAlign w:val="center"/>
                                </w:tcPr>
                                <w:p w14:paraId="5606AC46">
                                  <w:pPr>
                                    <w:widowControl/>
                                    <w:jc w:val="left"/>
                                    <w:rPr>
                                      <w:rFonts w:ascii="宋体" w:hAnsi="宋体" w:eastAsia="Times New Roman" w:cs="宋体"/>
                                      <w:kern w:val="0"/>
                                      <w:sz w:val="20"/>
                                      <w:szCs w:val="20"/>
                                      <w:lang w:eastAsia="en-US"/>
                                    </w:rPr>
                                  </w:pPr>
                                </w:p>
                              </w:tc>
                              <w:tc>
                                <w:tcPr>
                                  <w:tcW w:w="1792" w:type="dxa"/>
                                  <w:vMerge w:val="continue"/>
                                  <w:tcBorders>
                                    <w:top w:val="single" w:color="000000" w:sz="4" w:space="0"/>
                                    <w:left w:val="single" w:color="000000" w:sz="4" w:space="0"/>
                                    <w:bottom w:val="single" w:color="000000" w:sz="4" w:space="0"/>
                                    <w:right w:val="single" w:color="000000" w:sz="4" w:space="0"/>
                                  </w:tcBorders>
                                  <w:noWrap w:val="0"/>
                                  <w:vAlign w:val="center"/>
                                </w:tcPr>
                                <w:p w14:paraId="598BD134">
                                  <w:pPr>
                                    <w:widowControl/>
                                    <w:jc w:val="left"/>
                                    <w:rPr>
                                      <w:rFonts w:ascii="Calibri" w:hAnsi="Calibri" w:eastAsia="Times New Roman"/>
                                      <w:sz w:val="22"/>
                                      <w:szCs w:val="22"/>
                                      <w:lang w:eastAsia="en-US"/>
                                    </w:rPr>
                                  </w:pPr>
                                </w:p>
                              </w:tc>
                              <w:tc>
                                <w:tcPr>
                                  <w:tcW w:w="3780" w:type="dxa"/>
                                  <w:vMerge w:val="continue"/>
                                  <w:tcBorders>
                                    <w:left w:val="single" w:color="000000" w:sz="4" w:space="0"/>
                                    <w:bottom w:val="single" w:color="000000" w:sz="4" w:space="0"/>
                                    <w:right w:val="single" w:color="000000" w:sz="4" w:space="0"/>
                                  </w:tcBorders>
                                  <w:noWrap w:val="0"/>
                                  <w:vAlign w:val="top"/>
                                </w:tcPr>
                                <w:p w14:paraId="59DB6204">
                                  <w:pPr>
                                    <w:pStyle w:val="56"/>
                                    <w:spacing w:line="256" w:lineRule="exact"/>
                                    <w:ind w:left="7"/>
                                    <w:rPr>
                                      <w:rFonts w:ascii="宋体" w:hAnsi="宋体" w:cs="宋体"/>
                                      <w:sz w:val="20"/>
                                      <w:szCs w:val="20"/>
                                      <w:lang w:eastAsia="zh-CN"/>
                                    </w:rPr>
                                  </w:pPr>
                                </w:p>
                              </w:tc>
                            </w:tr>
                            <w:tr w14:paraId="352EAC72">
                              <w:tblPrEx>
                                <w:tblCellMar>
                                  <w:top w:w="0" w:type="dxa"/>
                                  <w:left w:w="0" w:type="dxa"/>
                                  <w:bottom w:w="0" w:type="dxa"/>
                                  <w:right w:w="0" w:type="dxa"/>
                                </w:tblCellMar>
                              </w:tblPrEx>
                              <w:trPr>
                                <w:trHeight w:val="752" w:hRule="exact"/>
                              </w:trPr>
                              <w:tc>
                                <w:tcPr>
                                  <w:tcW w:w="570" w:type="dxa"/>
                                  <w:vMerge w:val="restart"/>
                                  <w:tcBorders>
                                    <w:top w:val="single" w:color="000000" w:sz="4" w:space="0"/>
                                    <w:left w:val="single" w:color="000000" w:sz="4" w:space="0"/>
                                    <w:bottom w:val="single" w:color="000000" w:sz="4" w:space="0"/>
                                    <w:right w:val="single" w:color="000000" w:sz="4" w:space="0"/>
                                  </w:tcBorders>
                                  <w:noWrap w:val="0"/>
                                  <w:vAlign w:val="top"/>
                                </w:tcPr>
                                <w:p w14:paraId="5C538FDA">
                                  <w:pPr>
                                    <w:pStyle w:val="56"/>
                                    <w:rPr>
                                      <w:rFonts w:ascii="宋体" w:hAnsi="宋体" w:cs="宋体"/>
                                      <w:sz w:val="20"/>
                                      <w:szCs w:val="20"/>
                                      <w:lang w:eastAsia="zh-CN"/>
                                    </w:rPr>
                                  </w:pPr>
                                </w:p>
                                <w:p w14:paraId="0877A128">
                                  <w:pPr>
                                    <w:pStyle w:val="56"/>
                                    <w:rPr>
                                      <w:rFonts w:hint="eastAsia" w:ascii="宋体" w:hAnsi="宋体" w:cs="宋体"/>
                                      <w:sz w:val="20"/>
                                      <w:szCs w:val="20"/>
                                      <w:lang w:eastAsia="zh-CN"/>
                                    </w:rPr>
                                  </w:pPr>
                                </w:p>
                                <w:p w14:paraId="74459CAE">
                                  <w:pPr>
                                    <w:pStyle w:val="56"/>
                                    <w:rPr>
                                      <w:rFonts w:hint="eastAsia" w:ascii="宋体" w:hAnsi="宋体" w:cs="宋体"/>
                                      <w:sz w:val="20"/>
                                      <w:szCs w:val="20"/>
                                      <w:lang w:eastAsia="zh-CN"/>
                                    </w:rPr>
                                  </w:pPr>
                                </w:p>
                                <w:p w14:paraId="44E3E6B8">
                                  <w:pPr>
                                    <w:pStyle w:val="56"/>
                                    <w:rPr>
                                      <w:rFonts w:hint="eastAsia" w:ascii="宋体" w:hAnsi="宋体" w:cs="宋体"/>
                                      <w:sz w:val="20"/>
                                      <w:szCs w:val="20"/>
                                      <w:lang w:eastAsia="zh-CN"/>
                                    </w:rPr>
                                  </w:pPr>
                                </w:p>
                                <w:p w14:paraId="7A0EBC35">
                                  <w:pPr>
                                    <w:pStyle w:val="56"/>
                                    <w:rPr>
                                      <w:rFonts w:hint="eastAsia" w:ascii="宋体" w:hAnsi="宋体" w:cs="宋体"/>
                                      <w:sz w:val="20"/>
                                      <w:szCs w:val="20"/>
                                      <w:lang w:eastAsia="zh-CN"/>
                                    </w:rPr>
                                  </w:pPr>
                                </w:p>
                                <w:p w14:paraId="5E919CB4">
                                  <w:pPr>
                                    <w:pStyle w:val="56"/>
                                    <w:rPr>
                                      <w:rFonts w:hint="eastAsia" w:ascii="宋体" w:hAnsi="宋体" w:cs="宋体"/>
                                      <w:sz w:val="20"/>
                                      <w:szCs w:val="20"/>
                                      <w:lang w:eastAsia="zh-CN"/>
                                    </w:rPr>
                                  </w:pPr>
                                </w:p>
                                <w:p w14:paraId="6A15B5F4">
                                  <w:pPr>
                                    <w:pStyle w:val="56"/>
                                    <w:rPr>
                                      <w:rFonts w:hint="eastAsia" w:ascii="宋体" w:hAnsi="宋体" w:cs="宋体"/>
                                      <w:sz w:val="20"/>
                                      <w:szCs w:val="20"/>
                                      <w:lang w:eastAsia="zh-CN"/>
                                    </w:rPr>
                                  </w:pPr>
                                </w:p>
                                <w:p w14:paraId="151049B2">
                                  <w:pPr>
                                    <w:pStyle w:val="56"/>
                                    <w:rPr>
                                      <w:rFonts w:hint="eastAsia" w:ascii="宋体" w:hAnsi="宋体" w:cs="宋体"/>
                                      <w:sz w:val="20"/>
                                      <w:szCs w:val="20"/>
                                      <w:lang w:eastAsia="zh-CN"/>
                                    </w:rPr>
                                  </w:pPr>
                                </w:p>
                                <w:p w14:paraId="4B2CCF8B">
                                  <w:pPr>
                                    <w:pStyle w:val="56"/>
                                    <w:rPr>
                                      <w:rFonts w:hint="eastAsia" w:ascii="宋体" w:hAnsi="宋体" w:cs="宋体"/>
                                      <w:sz w:val="20"/>
                                      <w:szCs w:val="20"/>
                                      <w:lang w:eastAsia="zh-CN"/>
                                    </w:rPr>
                                  </w:pPr>
                                </w:p>
                                <w:p w14:paraId="7E822766">
                                  <w:pPr>
                                    <w:pStyle w:val="56"/>
                                    <w:spacing w:before="5"/>
                                    <w:rPr>
                                      <w:rFonts w:hint="eastAsia" w:ascii="宋体" w:hAnsi="宋体" w:cs="宋体"/>
                                      <w:sz w:val="18"/>
                                      <w:szCs w:val="18"/>
                                      <w:lang w:eastAsia="zh-CN"/>
                                    </w:rPr>
                                  </w:pPr>
                                </w:p>
                                <w:p w14:paraId="4D7D9494">
                                  <w:pPr>
                                    <w:pStyle w:val="56"/>
                                    <w:ind w:left="182"/>
                                    <w:rPr>
                                      <w:rFonts w:ascii="宋体" w:hAnsi="宋体" w:cs="宋体"/>
                                      <w:sz w:val="20"/>
                                      <w:szCs w:val="20"/>
                                    </w:rPr>
                                  </w:pPr>
                                  <w:r>
                                    <w:rPr>
                                      <w:rFonts w:hint="eastAsia" w:ascii="宋体"/>
                                      <w:w w:val="99"/>
                                      <w:sz w:val="20"/>
                                    </w:rPr>
                                    <w:t>10</w:t>
                                  </w:r>
                                </w:p>
                              </w:tc>
                              <w:tc>
                                <w:tcPr>
                                  <w:tcW w:w="1163" w:type="dxa"/>
                                  <w:vMerge w:val="restart"/>
                                  <w:tcBorders>
                                    <w:top w:val="single" w:color="000000" w:sz="4" w:space="0"/>
                                    <w:left w:val="single" w:color="000000" w:sz="4" w:space="0"/>
                                    <w:bottom w:val="single" w:color="000000" w:sz="4" w:space="0"/>
                                    <w:right w:val="single" w:color="000000" w:sz="4" w:space="0"/>
                                  </w:tcBorders>
                                  <w:noWrap w:val="0"/>
                                  <w:vAlign w:val="top"/>
                                </w:tcPr>
                                <w:p w14:paraId="45B404EC">
                                  <w:pPr>
                                    <w:pStyle w:val="56"/>
                                    <w:rPr>
                                      <w:rFonts w:ascii="宋体" w:hAnsi="宋体" w:cs="宋体"/>
                                      <w:sz w:val="20"/>
                                      <w:szCs w:val="20"/>
                                    </w:rPr>
                                  </w:pPr>
                                </w:p>
                                <w:p w14:paraId="3C3358FD">
                                  <w:pPr>
                                    <w:pStyle w:val="56"/>
                                    <w:rPr>
                                      <w:rFonts w:hint="eastAsia" w:ascii="宋体" w:hAnsi="宋体" w:cs="宋体"/>
                                      <w:sz w:val="20"/>
                                      <w:szCs w:val="20"/>
                                    </w:rPr>
                                  </w:pPr>
                                </w:p>
                                <w:p w14:paraId="22936EE5">
                                  <w:pPr>
                                    <w:pStyle w:val="56"/>
                                    <w:rPr>
                                      <w:rFonts w:hint="eastAsia" w:ascii="宋体" w:hAnsi="宋体" w:cs="宋体"/>
                                      <w:sz w:val="20"/>
                                      <w:szCs w:val="20"/>
                                    </w:rPr>
                                  </w:pPr>
                                </w:p>
                                <w:p w14:paraId="60D4D50E">
                                  <w:pPr>
                                    <w:pStyle w:val="56"/>
                                    <w:rPr>
                                      <w:rFonts w:hint="eastAsia" w:ascii="宋体" w:hAnsi="宋体" w:cs="宋体"/>
                                      <w:sz w:val="20"/>
                                      <w:szCs w:val="20"/>
                                    </w:rPr>
                                  </w:pPr>
                                </w:p>
                                <w:p w14:paraId="1A08731D">
                                  <w:pPr>
                                    <w:pStyle w:val="56"/>
                                    <w:rPr>
                                      <w:rFonts w:hint="eastAsia" w:ascii="宋体" w:hAnsi="宋体" w:cs="宋体"/>
                                      <w:sz w:val="20"/>
                                      <w:szCs w:val="20"/>
                                    </w:rPr>
                                  </w:pPr>
                                </w:p>
                                <w:p w14:paraId="57EBC784">
                                  <w:pPr>
                                    <w:pStyle w:val="56"/>
                                    <w:rPr>
                                      <w:rFonts w:hint="eastAsia" w:ascii="宋体" w:hAnsi="宋体" w:cs="宋体"/>
                                      <w:sz w:val="20"/>
                                      <w:szCs w:val="20"/>
                                    </w:rPr>
                                  </w:pPr>
                                </w:p>
                                <w:p w14:paraId="40CD6DAC">
                                  <w:pPr>
                                    <w:pStyle w:val="56"/>
                                    <w:rPr>
                                      <w:rFonts w:hint="eastAsia" w:ascii="宋体" w:hAnsi="宋体" w:cs="宋体"/>
                                      <w:sz w:val="20"/>
                                      <w:szCs w:val="20"/>
                                    </w:rPr>
                                  </w:pPr>
                                </w:p>
                                <w:p w14:paraId="069FA23D">
                                  <w:pPr>
                                    <w:pStyle w:val="56"/>
                                    <w:rPr>
                                      <w:rFonts w:hint="eastAsia" w:ascii="宋体" w:hAnsi="宋体" w:cs="宋体"/>
                                      <w:sz w:val="20"/>
                                      <w:szCs w:val="20"/>
                                    </w:rPr>
                                  </w:pPr>
                                </w:p>
                                <w:p w14:paraId="1DA87795">
                                  <w:pPr>
                                    <w:pStyle w:val="56"/>
                                    <w:spacing w:before="6"/>
                                    <w:rPr>
                                      <w:rFonts w:hint="eastAsia" w:ascii="宋体" w:hAnsi="宋体" w:cs="宋体"/>
                                      <w:sz w:val="26"/>
                                      <w:szCs w:val="26"/>
                                    </w:rPr>
                                  </w:pPr>
                                </w:p>
                                <w:p w14:paraId="0FFFB272">
                                  <w:pPr>
                                    <w:pStyle w:val="56"/>
                                    <w:ind w:left="7"/>
                                    <w:rPr>
                                      <w:rFonts w:hint="eastAsia" w:ascii="宋体" w:hAnsi="宋体" w:cs="宋体"/>
                                      <w:sz w:val="20"/>
                                      <w:szCs w:val="20"/>
                                    </w:rPr>
                                  </w:pPr>
                                  <w:r>
                                    <w:rPr>
                                      <w:rFonts w:hint="eastAsia" w:ascii="宋体" w:hAnsi="宋体" w:cs="宋体"/>
                                      <w:w w:val="99"/>
                                      <w:sz w:val="20"/>
                                      <w:szCs w:val="20"/>
                                    </w:rPr>
                                    <w:t>A020618生活</w:t>
                                  </w:r>
                                </w:p>
                                <w:p w14:paraId="2C14BF1A">
                                  <w:pPr>
                                    <w:pStyle w:val="56"/>
                                    <w:spacing w:before="50"/>
                                    <w:ind w:left="7"/>
                                    <w:rPr>
                                      <w:rFonts w:ascii="宋体" w:hAnsi="宋体" w:cs="宋体"/>
                                      <w:sz w:val="20"/>
                                      <w:szCs w:val="20"/>
                                    </w:rPr>
                                  </w:pPr>
                                  <w:r>
                                    <w:rPr>
                                      <w:rFonts w:hint="eastAsia" w:ascii="宋体" w:hAnsi="宋体" w:cs="宋体"/>
                                      <w:w w:val="99"/>
                                      <w:sz w:val="20"/>
                                      <w:szCs w:val="20"/>
                                    </w:rPr>
                                    <w:t>用电器</w:t>
                                  </w:r>
                                </w:p>
                              </w:tc>
                              <w:tc>
                                <w:tcPr>
                                  <w:tcW w:w="1800" w:type="dxa"/>
                                  <w:vMerge w:val="restart"/>
                                  <w:tcBorders>
                                    <w:top w:val="single" w:color="000000" w:sz="4" w:space="0"/>
                                    <w:left w:val="single" w:color="000000" w:sz="4" w:space="0"/>
                                    <w:bottom w:val="single" w:color="000000" w:sz="4" w:space="0"/>
                                    <w:right w:val="single" w:color="000000" w:sz="4" w:space="0"/>
                                  </w:tcBorders>
                                  <w:noWrap w:val="0"/>
                                  <w:vAlign w:val="top"/>
                                </w:tcPr>
                                <w:p w14:paraId="637B5468">
                                  <w:pPr>
                                    <w:pStyle w:val="56"/>
                                    <w:spacing w:before="1"/>
                                    <w:rPr>
                                      <w:rFonts w:ascii="宋体" w:hAnsi="宋体" w:cs="宋体"/>
                                      <w:sz w:val="16"/>
                                      <w:szCs w:val="16"/>
                                    </w:rPr>
                                  </w:pPr>
                                </w:p>
                                <w:p w14:paraId="2320C5F4">
                                  <w:pPr>
                                    <w:pStyle w:val="56"/>
                                    <w:ind w:left="7"/>
                                    <w:rPr>
                                      <w:rFonts w:ascii="宋体" w:hAnsi="宋体" w:cs="宋体"/>
                                      <w:sz w:val="20"/>
                                      <w:szCs w:val="20"/>
                                    </w:rPr>
                                  </w:pPr>
                                  <w:r>
                                    <w:rPr>
                                      <w:rFonts w:hint="eastAsia" w:ascii="宋体" w:hAnsi="宋体" w:cs="宋体"/>
                                      <w:w w:val="99"/>
                                      <w:sz w:val="20"/>
                                      <w:szCs w:val="20"/>
                                    </w:rPr>
                                    <w:t>A0206180101电冰箱</w:t>
                                  </w:r>
                                </w:p>
                              </w:tc>
                              <w:tc>
                                <w:tcPr>
                                  <w:tcW w:w="1792" w:type="dxa"/>
                                  <w:vMerge w:val="restart"/>
                                  <w:tcBorders>
                                    <w:top w:val="single" w:color="000000" w:sz="4" w:space="0"/>
                                    <w:left w:val="single" w:color="000000" w:sz="4" w:space="0"/>
                                    <w:bottom w:val="single" w:color="000000" w:sz="4" w:space="0"/>
                                    <w:right w:val="single" w:color="000000" w:sz="4" w:space="0"/>
                                  </w:tcBorders>
                                  <w:noWrap w:val="0"/>
                                  <w:vAlign w:val="top"/>
                                </w:tcPr>
                                <w:p w14:paraId="40A8C4D3">
                                  <w:pPr>
                                    <w:rPr>
                                      <w:rFonts w:ascii="Calibri" w:hAnsi="Calibri"/>
                                      <w:sz w:val="22"/>
                                      <w:szCs w:val="22"/>
                                    </w:rPr>
                                  </w:pPr>
                                </w:p>
                              </w:tc>
                              <w:tc>
                                <w:tcPr>
                                  <w:tcW w:w="3780" w:type="dxa"/>
                                  <w:tcBorders>
                                    <w:top w:val="single" w:color="000000" w:sz="4" w:space="0"/>
                                    <w:left w:val="single" w:color="000000" w:sz="4" w:space="0"/>
                                    <w:bottom w:val="single" w:color="000000" w:sz="4" w:space="0"/>
                                    <w:right w:val="single" w:color="000000" w:sz="4" w:space="0"/>
                                  </w:tcBorders>
                                  <w:noWrap w:val="0"/>
                                  <w:vAlign w:val="top"/>
                                </w:tcPr>
                                <w:p w14:paraId="65449AC6">
                                  <w:pPr>
                                    <w:pStyle w:val="56"/>
                                    <w:spacing w:before="126"/>
                                    <w:ind w:left="7"/>
                                    <w:rPr>
                                      <w:rFonts w:hint="eastAsia" w:ascii="宋体" w:hAnsi="宋体" w:cs="宋体"/>
                                      <w:w w:val="99"/>
                                      <w:sz w:val="20"/>
                                      <w:szCs w:val="20"/>
                                      <w:lang w:eastAsia="zh-CN"/>
                                    </w:rPr>
                                  </w:pPr>
                                  <w:r>
                                    <w:rPr>
                                      <w:rFonts w:hint="eastAsia" w:ascii="宋体" w:hAnsi="宋体" w:cs="宋体"/>
                                      <w:w w:val="99"/>
                                      <w:sz w:val="20"/>
                                      <w:szCs w:val="20"/>
                                      <w:lang w:eastAsia="zh-CN"/>
                                    </w:rPr>
                                    <w:t>《家用电冰箱耗电量限定值及能效等级》（GB12021.2）</w:t>
                                  </w:r>
                                </w:p>
                              </w:tc>
                            </w:tr>
                            <w:tr w14:paraId="543A282A">
                              <w:tblPrEx>
                                <w:tblCellMar>
                                  <w:top w:w="0" w:type="dxa"/>
                                  <w:left w:w="0" w:type="dxa"/>
                                  <w:bottom w:w="0" w:type="dxa"/>
                                  <w:right w:w="0" w:type="dxa"/>
                                </w:tblCellMar>
                              </w:tblPrEx>
                              <w:trPr>
                                <w:trHeight w:val="1299" w:hRule="exact"/>
                              </w:trPr>
                              <w:tc>
                                <w:tcPr>
                                  <w:tcW w:w="570" w:type="dxa"/>
                                  <w:vMerge w:val="continue"/>
                                  <w:tcBorders>
                                    <w:top w:val="single" w:color="000000" w:sz="4" w:space="0"/>
                                    <w:left w:val="single" w:color="000000" w:sz="4" w:space="0"/>
                                    <w:bottom w:val="single" w:color="000000" w:sz="4" w:space="0"/>
                                    <w:right w:val="single" w:color="000000" w:sz="4" w:space="0"/>
                                  </w:tcBorders>
                                  <w:noWrap w:val="0"/>
                                  <w:vAlign w:val="center"/>
                                </w:tcPr>
                                <w:p w14:paraId="3C6FA463">
                                  <w:pPr>
                                    <w:widowControl/>
                                    <w:jc w:val="left"/>
                                    <w:rPr>
                                      <w:rFonts w:ascii="宋体" w:hAnsi="宋体" w:eastAsia="Times New Roman" w:cs="宋体"/>
                                      <w:kern w:val="0"/>
                                      <w:sz w:val="20"/>
                                      <w:szCs w:val="20"/>
                                    </w:rPr>
                                  </w:pPr>
                                </w:p>
                              </w:tc>
                              <w:tc>
                                <w:tcPr>
                                  <w:tcW w:w="1163" w:type="dxa"/>
                                  <w:vMerge w:val="continue"/>
                                  <w:tcBorders>
                                    <w:top w:val="single" w:color="000000" w:sz="4" w:space="0"/>
                                    <w:left w:val="single" w:color="000000" w:sz="4" w:space="0"/>
                                    <w:bottom w:val="single" w:color="000000" w:sz="4" w:space="0"/>
                                    <w:right w:val="single" w:color="000000" w:sz="4" w:space="0"/>
                                  </w:tcBorders>
                                  <w:noWrap w:val="0"/>
                                  <w:vAlign w:val="center"/>
                                </w:tcPr>
                                <w:p w14:paraId="693BDDF8">
                                  <w:pPr>
                                    <w:widowControl/>
                                    <w:jc w:val="left"/>
                                    <w:rPr>
                                      <w:rFonts w:ascii="宋体" w:hAnsi="宋体" w:eastAsia="Times New Roman" w:cs="宋体"/>
                                      <w:kern w:val="0"/>
                                      <w:sz w:val="20"/>
                                      <w:szCs w:val="20"/>
                                    </w:rPr>
                                  </w:pPr>
                                </w:p>
                              </w:tc>
                              <w:tc>
                                <w:tcPr>
                                  <w:tcW w:w="1800" w:type="dxa"/>
                                  <w:vMerge w:val="restart"/>
                                  <w:tcBorders>
                                    <w:top w:val="single" w:color="000000" w:sz="4" w:space="0"/>
                                    <w:left w:val="single" w:color="000000" w:sz="4" w:space="0"/>
                                    <w:bottom w:val="single" w:color="000000" w:sz="4" w:space="0"/>
                                    <w:right w:val="single" w:color="000000" w:sz="4" w:space="0"/>
                                  </w:tcBorders>
                                  <w:noWrap w:val="0"/>
                                  <w:vAlign w:val="top"/>
                                </w:tcPr>
                                <w:p w14:paraId="39D80DB8">
                                  <w:pPr>
                                    <w:pStyle w:val="56"/>
                                    <w:rPr>
                                      <w:rFonts w:ascii="宋体" w:hAnsi="宋体" w:cs="宋体"/>
                                      <w:sz w:val="20"/>
                                      <w:szCs w:val="20"/>
                                      <w:lang w:eastAsia="zh-CN"/>
                                    </w:rPr>
                                  </w:pPr>
                                </w:p>
                                <w:p w14:paraId="1A36FFBC">
                                  <w:pPr>
                                    <w:pStyle w:val="56"/>
                                    <w:rPr>
                                      <w:rFonts w:hint="eastAsia" w:ascii="宋体" w:hAnsi="宋体" w:cs="宋体"/>
                                      <w:sz w:val="20"/>
                                      <w:szCs w:val="20"/>
                                      <w:lang w:eastAsia="zh-CN"/>
                                    </w:rPr>
                                  </w:pPr>
                                </w:p>
                                <w:p w14:paraId="6A2ADA2A">
                                  <w:pPr>
                                    <w:pStyle w:val="56"/>
                                    <w:rPr>
                                      <w:rFonts w:hint="eastAsia" w:ascii="宋体" w:hAnsi="宋体" w:cs="宋体"/>
                                      <w:sz w:val="20"/>
                                      <w:szCs w:val="20"/>
                                      <w:lang w:eastAsia="zh-CN"/>
                                    </w:rPr>
                                  </w:pPr>
                                </w:p>
                                <w:p w14:paraId="0BFB2A0C">
                                  <w:pPr>
                                    <w:pStyle w:val="56"/>
                                    <w:rPr>
                                      <w:rFonts w:hint="eastAsia" w:ascii="宋体" w:hAnsi="宋体" w:cs="宋体"/>
                                      <w:sz w:val="20"/>
                                      <w:szCs w:val="20"/>
                                      <w:lang w:eastAsia="zh-CN"/>
                                    </w:rPr>
                                  </w:pPr>
                                </w:p>
                                <w:p w14:paraId="715BD9C9">
                                  <w:pPr>
                                    <w:pStyle w:val="56"/>
                                    <w:rPr>
                                      <w:rFonts w:hint="eastAsia" w:ascii="宋体" w:hAnsi="宋体" w:cs="宋体"/>
                                      <w:sz w:val="20"/>
                                      <w:szCs w:val="20"/>
                                      <w:lang w:eastAsia="zh-CN"/>
                                    </w:rPr>
                                  </w:pPr>
                                </w:p>
                                <w:p w14:paraId="2E93729A">
                                  <w:pPr>
                                    <w:pStyle w:val="56"/>
                                    <w:rPr>
                                      <w:rFonts w:hint="eastAsia" w:ascii="宋体" w:hAnsi="宋体" w:cs="宋体"/>
                                      <w:sz w:val="20"/>
                                      <w:szCs w:val="20"/>
                                      <w:lang w:eastAsia="zh-CN"/>
                                    </w:rPr>
                                  </w:pPr>
                                </w:p>
                                <w:p w14:paraId="17487089">
                                  <w:pPr>
                                    <w:pStyle w:val="56"/>
                                    <w:spacing w:before="171"/>
                                    <w:ind w:left="7"/>
                                    <w:rPr>
                                      <w:rFonts w:hint="eastAsia" w:ascii="宋体" w:hAnsi="宋体" w:cs="宋体"/>
                                      <w:sz w:val="20"/>
                                      <w:szCs w:val="20"/>
                                    </w:rPr>
                                  </w:pPr>
                                  <w:r>
                                    <w:rPr>
                                      <w:rFonts w:hint="eastAsia" w:ascii="宋体" w:hAnsi="宋体" w:cs="宋体"/>
                                      <w:w w:val="99"/>
                                      <w:sz w:val="20"/>
                                      <w:szCs w:val="20"/>
                                    </w:rPr>
                                    <w:t>★A0206180203空调</w:t>
                                  </w:r>
                                </w:p>
                                <w:p w14:paraId="4AFAED5A">
                                  <w:pPr>
                                    <w:pStyle w:val="56"/>
                                    <w:spacing w:before="50"/>
                                    <w:ind w:left="7"/>
                                    <w:rPr>
                                      <w:rFonts w:ascii="宋体" w:hAnsi="宋体" w:cs="宋体"/>
                                      <w:sz w:val="20"/>
                                      <w:szCs w:val="20"/>
                                    </w:rPr>
                                  </w:pPr>
                                  <w:r>
                                    <w:rPr>
                                      <w:rFonts w:hint="eastAsia" w:ascii="宋体" w:hAnsi="宋体" w:cs="宋体"/>
                                      <w:w w:val="99"/>
                                      <w:sz w:val="20"/>
                                      <w:szCs w:val="20"/>
                                    </w:rPr>
                                    <w:t>机</w:t>
                                  </w:r>
                                </w:p>
                              </w:tc>
                              <w:tc>
                                <w:tcPr>
                                  <w:tcW w:w="1792" w:type="dxa"/>
                                  <w:tcBorders>
                                    <w:top w:val="single" w:color="000000" w:sz="4" w:space="0"/>
                                    <w:left w:val="single" w:color="000000" w:sz="4" w:space="0"/>
                                    <w:bottom w:val="single" w:color="000000" w:sz="4" w:space="0"/>
                                    <w:right w:val="single" w:color="000000" w:sz="4" w:space="0"/>
                                  </w:tcBorders>
                                  <w:noWrap w:val="0"/>
                                  <w:vAlign w:val="top"/>
                                </w:tcPr>
                                <w:p w14:paraId="67D47560">
                                  <w:pPr>
                                    <w:pStyle w:val="56"/>
                                    <w:rPr>
                                      <w:rFonts w:ascii="宋体" w:hAnsi="宋体" w:cs="宋体"/>
                                      <w:sz w:val="20"/>
                                      <w:szCs w:val="20"/>
                                    </w:rPr>
                                  </w:pPr>
                                </w:p>
                                <w:p w14:paraId="1B6FD4F1">
                                  <w:pPr>
                                    <w:pStyle w:val="56"/>
                                    <w:rPr>
                                      <w:rFonts w:hint="eastAsia" w:ascii="宋体" w:hAnsi="宋体" w:cs="宋体"/>
                                      <w:sz w:val="20"/>
                                      <w:szCs w:val="20"/>
                                    </w:rPr>
                                  </w:pPr>
                                </w:p>
                                <w:p w14:paraId="7287BBFF">
                                  <w:pPr>
                                    <w:pStyle w:val="56"/>
                                    <w:spacing w:before="12"/>
                                    <w:rPr>
                                      <w:rFonts w:hint="eastAsia" w:ascii="宋体" w:hAnsi="宋体" w:cs="宋体"/>
                                      <w:sz w:val="19"/>
                                      <w:szCs w:val="19"/>
                                    </w:rPr>
                                  </w:pPr>
                                </w:p>
                                <w:p w14:paraId="44580188">
                                  <w:pPr>
                                    <w:pStyle w:val="56"/>
                                    <w:ind w:left="7"/>
                                    <w:rPr>
                                      <w:rFonts w:ascii="宋体" w:hAnsi="宋体" w:cs="宋体"/>
                                      <w:sz w:val="20"/>
                                      <w:szCs w:val="20"/>
                                    </w:rPr>
                                  </w:pPr>
                                  <w:r>
                                    <w:rPr>
                                      <w:rFonts w:hint="eastAsia" w:ascii="宋体" w:hAnsi="宋体" w:cs="宋体"/>
                                      <w:w w:val="99"/>
                                      <w:sz w:val="20"/>
                                      <w:szCs w:val="20"/>
                                    </w:rPr>
                                    <w:t>房间空气调节器</w:t>
                                  </w:r>
                                </w:p>
                              </w:tc>
                              <w:tc>
                                <w:tcPr>
                                  <w:tcW w:w="3780" w:type="dxa"/>
                                  <w:tcBorders>
                                    <w:top w:val="single" w:color="000000" w:sz="4" w:space="0"/>
                                    <w:left w:val="single" w:color="000000" w:sz="4" w:space="0"/>
                                    <w:bottom w:val="single" w:color="000000" w:sz="4" w:space="0"/>
                                    <w:right w:val="single" w:color="000000" w:sz="4" w:space="0"/>
                                  </w:tcBorders>
                                  <w:noWrap w:val="0"/>
                                  <w:vAlign w:val="top"/>
                                </w:tcPr>
                                <w:p w14:paraId="121B6456">
                                  <w:pPr>
                                    <w:pStyle w:val="56"/>
                                    <w:spacing w:before="4"/>
                                    <w:ind w:left="7"/>
                                    <w:rPr>
                                      <w:rFonts w:hint="eastAsia" w:ascii="宋体" w:hAnsi="宋体" w:cs="宋体"/>
                                      <w:w w:val="99"/>
                                      <w:sz w:val="20"/>
                                      <w:szCs w:val="20"/>
                                      <w:lang w:eastAsia="zh-CN"/>
                                    </w:rPr>
                                  </w:pPr>
                                  <w:r>
                                    <w:rPr>
                                      <w:rFonts w:hint="eastAsia" w:ascii="宋体" w:hAnsi="宋体" w:cs="宋体"/>
                                      <w:w w:val="99"/>
                                      <w:sz w:val="20"/>
                                      <w:szCs w:val="20"/>
                                      <w:lang w:eastAsia="zh-CN"/>
                                    </w:rPr>
                                    <w:t>《转速可控型房间空气调节器能</w:t>
                                  </w:r>
                                </w:p>
                                <w:p w14:paraId="07ACD716">
                                  <w:pPr>
                                    <w:pStyle w:val="56"/>
                                    <w:spacing w:line="256" w:lineRule="exact"/>
                                    <w:ind w:left="7"/>
                                    <w:rPr>
                                      <w:rFonts w:ascii="宋体" w:hAnsi="宋体" w:cs="宋体"/>
                                      <w:sz w:val="20"/>
                                      <w:szCs w:val="20"/>
                                      <w:lang w:eastAsia="zh-CN"/>
                                    </w:rPr>
                                  </w:pPr>
                                  <w:r>
                                    <w:rPr>
                                      <w:rFonts w:hint="eastAsia" w:ascii="宋体" w:hAnsi="宋体" w:cs="宋体"/>
                                      <w:w w:val="99"/>
                                      <w:sz w:val="20"/>
                                      <w:szCs w:val="20"/>
                                      <w:lang w:eastAsia="zh-CN"/>
                                    </w:rPr>
                                    <w:t>效限定值及能效等级》（GB21455-2013），待2019年修订发布后，按《房间空气调节器能效限定值及能效等级》（GB21455-2019）</w:t>
                                  </w:r>
                                </w:p>
                                <w:p w14:paraId="1357B3CB">
                                  <w:pPr>
                                    <w:pStyle w:val="56"/>
                                    <w:spacing w:line="256" w:lineRule="exact"/>
                                    <w:ind w:left="7"/>
                                    <w:rPr>
                                      <w:rFonts w:ascii="宋体" w:hAnsi="宋体" w:cs="宋体"/>
                                      <w:sz w:val="20"/>
                                      <w:szCs w:val="20"/>
                                    </w:rPr>
                                  </w:pPr>
                                  <w:r>
                                    <w:rPr>
                                      <w:rFonts w:hint="eastAsia" w:ascii="宋体" w:hAnsi="宋体" w:cs="宋体"/>
                                      <w:w w:val="99"/>
                                      <w:sz w:val="20"/>
                                      <w:szCs w:val="20"/>
                                    </w:rPr>
                                    <w:t>实施。</w:t>
                                  </w:r>
                                </w:p>
                              </w:tc>
                            </w:tr>
                            <w:tr w14:paraId="3D94965A">
                              <w:tblPrEx>
                                <w:tblCellMar>
                                  <w:top w:w="0" w:type="dxa"/>
                                  <w:left w:w="0" w:type="dxa"/>
                                  <w:bottom w:w="0" w:type="dxa"/>
                                  <w:right w:w="0" w:type="dxa"/>
                                </w:tblCellMar>
                              </w:tblPrEx>
                              <w:trPr>
                                <w:trHeight w:val="958" w:hRule="exact"/>
                              </w:trPr>
                              <w:tc>
                                <w:tcPr>
                                  <w:tcW w:w="570" w:type="dxa"/>
                                  <w:vMerge w:val="continue"/>
                                  <w:tcBorders>
                                    <w:top w:val="single" w:color="000000" w:sz="4" w:space="0"/>
                                    <w:left w:val="single" w:color="000000" w:sz="4" w:space="0"/>
                                    <w:bottom w:val="single" w:color="000000" w:sz="4" w:space="0"/>
                                    <w:right w:val="single" w:color="000000" w:sz="4" w:space="0"/>
                                  </w:tcBorders>
                                  <w:noWrap w:val="0"/>
                                  <w:vAlign w:val="center"/>
                                </w:tcPr>
                                <w:p w14:paraId="54E8C094">
                                  <w:pPr>
                                    <w:widowControl/>
                                    <w:jc w:val="left"/>
                                    <w:rPr>
                                      <w:rFonts w:ascii="宋体" w:hAnsi="宋体" w:eastAsia="Times New Roman" w:cs="宋体"/>
                                      <w:kern w:val="0"/>
                                      <w:sz w:val="20"/>
                                      <w:szCs w:val="20"/>
                                      <w:lang w:eastAsia="en-US"/>
                                    </w:rPr>
                                  </w:pPr>
                                </w:p>
                              </w:tc>
                              <w:tc>
                                <w:tcPr>
                                  <w:tcW w:w="1163" w:type="dxa"/>
                                  <w:vMerge w:val="continue"/>
                                  <w:tcBorders>
                                    <w:top w:val="single" w:color="000000" w:sz="4" w:space="0"/>
                                    <w:left w:val="single" w:color="000000" w:sz="4" w:space="0"/>
                                    <w:bottom w:val="single" w:color="000000" w:sz="4" w:space="0"/>
                                    <w:right w:val="single" w:color="000000" w:sz="4" w:space="0"/>
                                  </w:tcBorders>
                                  <w:noWrap w:val="0"/>
                                  <w:vAlign w:val="center"/>
                                </w:tcPr>
                                <w:p w14:paraId="5DB2463E">
                                  <w:pPr>
                                    <w:widowControl/>
                                    <w:jc w:val="left"/>
                                    <w:rPr>
                                      <w:rFonts w:ascii="宋体" w:hAnsi="宋体" w:eastAsia="Times New Roman" w:cs="宋体"/>
                                      <w:kern w:val="0"/>
                                      <w:sz w:val="20"/>
                                      <w:szCs w:val="20"/>
                                      <w:lang w:eastAsia="en-US"/>
                                    </w:rPr>
                                  </w:pPr>
                                </w:p>
                              </w:tc>
                              <w:tc>
                                <w:tcPr>
                                  <w:tcW w:w="1800" w:type="dxa"/>
                                  <w:vMerge w:val="continue"/>
                                  <w:tcBorders>
                                    <w:top w:val="single" w:color="000000" w:sz="4" w:space="0"/>
                                    <w:left w:val="single" w:color="000000" w:sz="4" w:space="0"/>
                                    <w:bottom w:val="single" w:color="000000" w:sz="4" w:space="0"/>
                                    <w:right w:val="single" w:color="000000" w:sz="4" w:space="0"/>
                                  </w:tcBorders>
                                  <w:noWrap w:val="0"/>
                                  <w:vAlign w:val="center"/>
                                </w:tcPr>
                                <w:p w14:paraId="6EE0AA35">
                                  <w:pPr>
                                    <w:widowControl/>
                                    <w:jc w:val="left"/>
                                    <w:rPr>
                                      <w:rFonts w:ascii="宋体" w:hAnsi="宋体" w:eastAsia="Times New Roman" w:cs="宋体"/>
                                      <w:kern w:val="0"/>
                                      <w:sz w:val="20"/>
                                      <w:szCs w:val="20"/>
                                      <w:lang w:eastAsia="en-US"/>
                                    </w:rPr>
                                  </w:pPr>
                                </w:p>
                              </w:tc>
                              <w:tc>
                                <w:tcPr>
                                  <w:tcW w:w="1792" w:type="dxa"/>
                                  <w:tcBorders>
                                    <w:top w:val="single" w:color="000000" w:sz="4" w:space="0"/>
                                    <w:left w:val="single" w:color="000000" w:sz="4" w:space="0"/>
                                    <w:bottom w:val="single" w:color="000000" w:sz="4" w:space="0"/>
                                    <w:right w:val="single" w:color="000000" w:sz="4" w:space="0"/>
                                  </w:tcBorders>
                                  <w:noWrap w:val="0"/>
                                  <w:vAlign w:val="top"/>
                                </w:tcPr>
                                <w:p w14:paraId="51D97CFD">
                                  <w:pPr>
                                    <w:pStyle w:val="56"/>
                                    <w:spacing w:before="4" w:line="280" w:lineRule="auto"/>
                                    <w:ind w:left="7" w:right="7"/>
                                    <w:jc w:val="both"/>
                                    <w:rPr>
                                      <w:rFonts w:ascii="宋体" w:hAnsi="宋体" w:cs="宋体"/>
                                      <w:sz w:val="20"/>
                                      <w:szCs w:val="20"/>
                                      <w:lang w:eastAsia="zh-CN"/>
                                    </w:rPr>
                                  </w:pPr>
                                  <w:r>
                                    <w:rPr>
                                      <w:rFonts w:hint="eastAsia" w:ascii="宋体" w:hAnsi="宋体" w:cs="宋体"/>
                                      <w:w w:val="99"/>
                                      <w:sz w:val="20"/>
                                      <w:szCs w:val="20"/>
                                      <w:lang w:eastAsia="zh-CN"/>
                                    </w:rPr>
                                    <w:t>多联式空调（热泵）机组（制冷量≤ 14000W）</w:t>
                                  </w:r>
                                </w:p>
                              </w:tc>
                              <w:tc>
                                <w:tcPr>
                                  <w:tcW w:w="3780" w:type="dxa"/>
                                  <w:tcBorders>
                                    <w:top w:val="single" w:color="000000" w:sz="4" w:space="0"/>
                                    <w:left w:val="single" w:color="000000" w:sz="4" w:space="0"/>
                                    <w:bottom w:val="single" w:color="000000" w:sz="4" w:space="0"/>
                                    <w:right w:val="single" w:color="000000" w:sz="4" w:space="0"/>
                                  </w:tcBorders>
                                  <w:noWrap w:val="0"/>
                                  <w:vAlign w:val="top"/>
                                </w:tcPr>
                                <w:p w14:paraId="393C2B34">
                                  <w:pPr>
                                    <w:pStyle w:val="56"/>
                                    <w:spacing w:before="160" w:line="280" w:lineRule="auto"/>
                                    <w:ind w:left="7" w:right="7"/>
                                    <w:rPr>
                                      <w:rFonts w:ascii="宋体" w:hAnsi="宋体" w:cs="宋体"/>
                                      <w:sz w:val="20"/>
                                      <w:szCs w:val="20"/>
                                      <w:lang w:eastAsia="zh-CN"/>
                                    </w:rPr>
                                  </w:pPr>
                                  <w:r>
                                    <w:rPr>
                                      <w:rFonts w:hint="eastAsia" w:ascii="宋体" w:hAnsi="宋体" w:cs="宋体"/>
                                      <w:w w:val="99"/>
                                      <w:sz w:val="20"/>
                                      <w:szCs w:val="20"/>
                                      <w:lang w:eastAsia="zh-CN"/>
                                    </w:rPr>
                                    <w:t>《多联式空调（热泵）机组能效限定值及能源效率等级》（GB21454</w:t>
                                  </w:r>
                                </w:p>
                              </w:tc>
                            </w:tr>
                            <w:tr w14:paraId="5E9E9216">
                              <w:tblPrEx>
                                <w:tblCellMar>
                                  <w:top w:w="0" w:type="dxa"/>
                                  <w:left w:w="0" w:type="dxa"/>
                                  <w:bottom w:w="0" w:type="dxa"/>
                                  <w:right w:w="0" w:type="dxa"/>
                                </w:tblCellMar>
                              </w:tblPrEx>
                              <w:trPr>
                                <w:trHeight w:val="327" w:hRule="exact"/>
                              </w:trPr>
                              <w:tc>
                                <w:tcPr>
                                  <w:tcW w:w="570" w:type="dxa"/>
                                  <w:vMerge w:val="continue"/>
                                  <w:tcBorders>
                                    <w:top w:val="single" w:color="000000" w:sz="4" w:space="0"/>
                                    <w:left w:val="single" w:color="000000" w:sz="4" w:space="0"/>
                                    <w:bottom w:val="single" w:color="000000" w:sz="4" w:space="0"/>
                                    <w:right w:val="single" w:color="000000" w:sz="4" w:space="0"/>
                                  </w:tcBorders>
                                  <w:noWrap w:val="0"/>
                                  <w:vAlign w:val="center"/>
                                </w:tcPr>
                                <w:p w14:paraId="392774B7">
                                  <w:pPr>
                                    <w:widowControl/>
                                    <w:jc w:val="left"/>
                                    <w:rPr>
                                      <w:rFonts w:ascii="宋体" w:hAnsi="宋体" w:eastAsia="Times New Roman" w:cs="宋体"/>
                                      <w:kern w:val="0"/>
                                      <w:sz w:val="20"/>
                                      <w:szCs w:val="20"/>
                                    </w:rPr>
                                  </w:pPr>
                                </w:p>
                              </w:tc>
                              <w:tc>
                                <w:tcPr>
                                  <w:tcW w:w="1163" w:type="dxa"/>
                                  <w:vMerge w:val="continue"/>
                                  <w:tcBorders>
                                    <w:top w:val="single" w:color="000000" w:sz="4" w:space="0"/>
                                    <w:left w:val="single" w:color="000000" w:sz="4" w:space="0"/>
                                    <w:bottom w:val="single" w:color="000000" w:sz="4" w:space="0"/>
                                    <w:right w:val="single" w:color="000000" w:sz="4" w:space="0"/>
                                  </w:tcBorders>
                                  <w:noWrap w:val="0"/>
                                  <w:vAlign w:val="center"/>
                                </w:tcPr>
                                <w:p w14:paraId="5755C93D">
                                  <w:pPr>
                                    <w:widowControl/>
                                    <w:jc w:val="left"/>
                                    <w:rPr>
                                      <w:rFonts w:ascii="宋体" w:hAnsi="宋体" w:eastAsia="Times New Roman" w:cs="宋体"/>
                                      <w:kern w:val="0"/>
                                      <w:sz w:val="20"/>
                                      <w:szCs w:val="20"/>
                                    </w:rPr>
                                  </w:pPr>
                                </w:p>
                              </w:tc>
                              <w:tc>
                                <w:tcPr>
                                  <w:tcW w:w="1800" w:type="dxa"/>
                                  <w:vMerge w:val="continue"/>
                                  <w:tcBorders>
                                    <w:top w:val="single" w:color="000000" w:sz="4" w:space="0"/>
                                    <w:left w:val="single" w:color="000000" w:sz="4" w:space="0"/>
                                    <w:bottom w:val="single" w:color="000000" w:sz="4" w:space="0"/>
                                    <w:right w:val="single" w:color="000000" w:sz="4" w:space="0"/>
                                  </w:tcBorders>
                                  <w:noWrap w:val="0"/>
                                  <w:vAlign w:val="center"/>
                                </w:tcPr>
                                <w:p w14:paraId="75E988AE">
                                  <w:pPr>
                                    <w:widowControl/>
                                    <w:jc w:val="left"/>
                                    <w:rPr>
                                      <w:rFonts w:ascii="宋体" w:hAnsi="宋体" w:eastAsia="Times New Roman" w:cs="宋体"/>
                                      <w:kern w:val="0"/>
                                      <w:sz w:val="20"/>
                                      <w:szCs w:val="20"/>
                                    </w:rPr>
                                  </w:pPr>
                                </w:p>
                              </w:tc>
                              <w:tc>
                                <w:tcPr>
                                  <w:tcW w:w="1792" w:type="dxa"/>
                                  <w:vMerge w:val="restart"/>
                                  <w:tcBorders>
                                    <w:top w:val="single" w:color="000000" w:sz="4" w:space="0"/>
                                    <w:left w:val="single" w:color="000000" w:sz="4" w:space="0"/>
                                    <w:bottom w:val="nil"/>
                                    <w:right w:val="single" w:color="000000" w:sz="4" w:space="0"/>
                                  </w:tcBorders>
                                  <w:noWrap w:val="0"/>
                                  <w:vAlign w:val="top"/>
                                </w:tcPr>
                                <w:p w14:paraId="7174E04D">
                                  <w:pPr>
                                    <w:pStyle w:val="56"/>
                                    <w:spacing w:before="2"/>
                                    <w:rPr>
                                      <w:rFonts w:ascii="宋体" w:hAnsi="宋体" w:cs="宋体"/>
                                      <w:sz w:val="24"/>
                                      <w:szCs w:val="24"/>
                                      <w:lang w:eastAsia="zh-CN"/>
                                    </w:rPr>
                                  </w:pPr>
                                </w:p>
                                <w:p w14:paraId="0A164D50">
                                  <w:pPr>
                                    <w:pStyle w:val="56"/>
                                    <w:ind w:left="7"/>
                                    <w:rPr>
                                      <w:rFonts w:ascii="宋体" w:hAnsi="宋体" w:cs="宋体"/>
                                      <w:sz w:val="20"/>
                                      <w:szCs w:val="20"/>
                                    </w:rPr>
                                  </w:pPr>
                                  <w:r>
                                    <w:rPr>
                                      <w:rFonts w:hint="eastAsia" w:ascii="宋体" w:hAnsi="宋体" w:cs="宋体"/>
                                      <w:w w:val="99"/>
                                      <w:sz w:val="20"/>
                                      <w:szCs w:val="20"/>
                                    </w:rPr>
                                    <w:t>单元式空气调节机</w:t>
                                  </w:r>
                                </w:p>
                              </w:tc>
                              <w:tc>
                                <w:tcPr>
                                  <w:tcW w:w="3780" w:type="dxa"/>
                                  <w:vMerge w:val="restart"/>
                                  <w:tcBorders>
                                    <w:top w:val="single" w:color="000000" w:sz="4" w:space="0"/>
                                    <w:left w:val="single" w:color="000000" w:sz="4" w:space="0"/>
                                    <w:right w:val="single" w:color="000000" w:sz="4" w:space="0"/>
                                  </w:tcBorders>
                                  <w:noWrap w:val="0"/>
                                  <w:vAlign w:val="top"/>
                                </w:tcPr>
                                <w:p w14:paraId="23A1AEB6">
                                  <w:pPr>
                                    <w:pStyle w:val="56"/>
                                    <w:spacing w:before="4"/>
                                    <w:ind w:left="7"/>
                                    <w:rPr>
                                      <w:rFonts w:ascii="宋体" w:hAnsi="宋体" w:cs="宋体"/>
                                      <w:sz w:val="20"/>
                                      <w:szCs w:val="20"/>
                                      <w:lang w:eastAsia="zh-CN"/>
                                    </w:rPr>
                                  </w:pPr>
                                  <w:r>
                                    <w:rPr>
                                      <w:rFonts w:hint="eastAsia" w:ascii="宋体" w:hAnsi="宋体" w:cs="宋体"/>
                                      <w:w w:val="99"/>
                                      <w:sz w:val="20"/>
                                      <w:szCs w:val="20"/>
                                      <w:lang w:eastAsia="zh-CN"/>
                                    </w:rPr>
                                    <w:t>《单元式空气调节机能效限定值及能源效率等级》（GB19576）《风管送风式空调机组能效限定值及能效等级》（GB37479）</w:t>
                                  </w:r>
                                </w:p>
                              </w:tc>
                            </w:tr>
                            <w:tr w14:paraId="2ABC7289">
                              <w:tblPrEx>
                                <w:tblCellMar>
                                  <w:top w:w="0" w:type="dxa"/>
                                  <w:left w:w="0" w:type="dxa"/>
                                  <w:bottom w:w="0" w:type="dxa"/>
                                  <w:right w:w="0" w:type="dxa"/>
                                </w:tblCellMar>
                              </w:tblPrEx>
                              <w:trPr>
                                <w:trHeight w:val="657" w:hRule="exact"/>
                              </w:trPr>
                              <w:tc>
                                <w:tcPr>
                                  <w:tcW w:w="570" w:type="dxa"/>
                                  <w:vMerge w:val="continue"/>
                                  <w:tcBorders>
                                    <w:top w:val="single" w:color="000000" w:sz="4" w:space="0"/>
                                    <w:left w:val="single" w:color="000000" w:sz="4" w:space="0"/>
                                    <w:bottom w:val="single" w:color="000000" w:sz="4" w:space="0"/>
                                    <w:right w:val="single" w:color="000000" w:sz="4" w:space="0"/>
                                  </w:tcBorders>
                                  <w:noWrap w:val="0"/>
                                  <w:vAlign w:val="center"/>
                                </w:tcPr>
                                <w:p w14:paraId="210A3710">
                                  <w:pPr>
                                    <w:widowControl/>
                                    <w:jc w:val="left"/>
                                    <w:rPr>
                                      <w:rFonts w:ascii="宋体" w:hAnsi="宋体" w:eastAsia="Times New Roman" w:cs="宋体"/>
                                      <w:kern w:val="0"/>
                                      <w:sz w:val="20"/>
                                      <w:szCs w:val="20"/>
                                    </w:rPr>
                                  </w:pPr>
                                </w:p>
                              </w:tc>
                              <w:tc>
                                <w:tcPr>
                                  <w:tcW w:w="1163" w:type="dxa"/>
                                  <w:vMerge w:val="continue"/>
                                  <w:tcBorders>
                                    <w:top w:val="single" w:color="000000" w:sz="4" w:space="0"/>
                                    <w:left w:val="single" w:color="000000" w:sz="4" w:space="0"/>
                                    <w:bottom w:val="single" w:color="000000" w:sz="4" w:space="0"/>
                                    <w:right w:val="single" w:color="000000" w:sz="4" w:space="0"/>
                                  </w:tcBorders>
                                  <w:noWrap w:val="0"/>
                                  <w:vAlign w:val="center"/>
                                </w:tcPr>
                                <w:p w14:paraId="18173FF3">
                                  <w:pPr>
                                    <w:widowControl/>
                                    <w:jc w:val="left"/>
                                    <w:rPr>
                                      <w:rFonts w:ascii="宋体" w:hAnsi="宋体" w:eastAsia="Times New Roman" w:cs="宋体"/>
                                      <w:kern w:val="0"/>
                                      <w:sz w:val="20"/>
                                      <w:szCs w:val="20"/>
                                    </w:rPr>
                                  </w:pPr>
                                </w:p>
                              </w:tc>
                              <w:tc>
                                <w:tcPr>
                                  <w:tcW w:w="1800" w:type="dxa"/>
                                  <w:vMerge w:val="continue"/>
                                  <w:tcBorders>
                                    <w:top w:val="single" w:color="000000" w:sz="4" w:space="0"/>
                                    <w:left w:val="single" w:color="000000" w:sz="4" w:space="0"/>
                                    <w:bottom w:val="single" w:color="000000" w:sz="4" w:space="0"/>
                                    <w:right w:val="single" w:color="000000" w:sz="4" w:space="0"/>
                                  </w:tcBorders>
                                  <w:noWrap w:val="0"/>
                                  <w:vAlign w:val="center"/>
                                </w:tcPr>
                                <w:p w14:paraId="7C91568B">
                                  <w:pPr>
                                    <w:widowControl/>
                                    <w:jc w:val="left"/>
                                    <w:rPr>
                                      <w:rFonts w:ascii="宋体" w:hAnsi="宋体" w:eastAsia="Times New Roman" w:cs="宋体"/>
                                      <w:kern w:val="0"/>
                                      <w:sz w:val="20"/>
                                      <w:szCs w:val="20"/>
                                    </w:rPr>
                                  </w:pPr>
                                </w:p>
                              </w:tc>
                              <w:tc>
                                <w:tcPr>
                                  <w:tcW w:w="1792" w:type="dxa"/>
                                  <w:tcBorders>
                                    <w:top w:val="nil"/>
                                    <w:left w:val="single" w:color="000000" w:sz="4" w:space="0"/>
                                    <w:bottom w:val="single" w:color="000000" w:sz="4" w:space="0"/>
                                    <w:right w:val="single" w:color="000000" w:sz="4" w:space="0"/>
                                  </w:tcBorders>
                                  <w:noWrap w:val="0"/>
                                  <w:vAlign w:val="top"/>
                                </w:tcPr>
                                <w:p w14:paraId="3EA09BD6">
                                  <w:pPr>
                                    <w:pStyle w:val="56"/>
                                    <w:spacing w:line="256" w:lineRule="exact"/>
                                    <w:ind w:left="7"/>
                                    <w:rPr>
                                      <w:rFonts w:ascii="宋体" w:hAnsi="宋体" w:cs="宋体"/>
                                      <w:sz w:val="20"/>
                                      <w:szCs w:val="20"/>
                                    </w:rPr>
                                  </w:pPr>
                                  <w:r>
                                    <w:rPr>
                                      <w:rFonts w:hint="eastAsia" w:ascii="宋体" w:hAnsi="宋体" w:cs="宋体"/>
                                      <w:w w:val="99"/>
                                      <w:sz w:val="20"/>
                                      <w:szCs w:val="20"/>
                                    </w:rPr>
                                    <w:t>（制冷量≤14000W）</w:t>
                                  </w:r>
                                </w:p>
                              </w:tc>
                              <w:tc>
                                <w:tcPr>
                                  <w:tcW w:w="3780" w:type="dxa"/>
                                  <w:vMerge w:val="continue"/>
                                  <w:tcBorders>
                                    <w:left w:val="single" w:color="000000" w:sz="4" w:space="0"/>
                                    <w:right w:val="single" w:color="000000" w:sz="4" w:space="0"/>
                                  </w:tcBorders>
                                  <w:noWrap w:val="0"/>
                                  <w:vAlign w:val="top"/>
                                </w:tcPr>
                                <w:p w14:paraId="3E5FF9EA">
                                  <w:pPr>
                                    <w:pStyle w:val="56"/>
                                    <w:spacing w:line="256" w:lineRule="exact"/>
                                    <w:ind w:left="7"/>
                                    <w:rPr>
                                      <w:rFonts w:ascii="宋体" w:hAnsi="宋体" w:cs="宋体"/>
                                      <w:sz w:val="20"/>
                                      <w:szCs w:val="20"/>
                                      <w:lang w:eastAsia="zh-CN"/>
                                    </w:rPr>
                                  </w:pPr>
                                </w:p>
                              </w:tc>
                            </w:tr>
                            <w:tr w14:paraId="235071D6">
                              <w:tblPrEx>
                                <w:tblCellMar>
                                  <w:top w:w="0" w:type="dxa"/>
                                  <w:left w:w="0" w:type="dxa"/>
                                  <w:bottom w:w="0" w:type="dxa"/>
                                  <w:right w:w="0" w:type="dxa"/>
                                </w:tblCellMar>
                              </w:tblPrEx>
                              <w:trPr>
                                <w:trHeight w:val="653" w:hRule="exact"/>
                              </w:trPr>
                              <w:tc>
                                <w:tcPr>
                                  <w:tcW w:w="570" w:type="dxa"/>
                                  <w:vMerge w:val="continue"/>
                                  <w:tcBorders>
                                    <w:top w:val="single" w:color="000000" w:sz="4" w:space="0"/>
                                    <w:left w:val="single" w:color="000000" w:sz="4" w:space="0"/>
                                    <w:bottom w:val="single" w:color="000000" w:sz="4" w:space="0"/>
                                    <w:right w:val="single" w:color="000000" w:sz="4" w:space="0"/>
                                  </w:tcBorders>
                                  <w:noWrap w:val="0"/>
                                  <w:vAlign w:val="center"/>
                                </w:tcPr>
                                <w:p w14:paraId="0E373C39">
                                  <w:pPr>
                                    <w:widowControl/>
                                    <w:jc w:val="left"/>
                                    <w:rPr>
                                      <w:rFonts w:ascii="宋体" w:hAnsi="宋体" w:eastAsia="Times New Roman" w:cs="宋体"/>
                                      <w:kern w:val="0"/>
                                      <w:sz w:val="20"/>
                                      <w:szCs w:val="20"/>
                                      <w:lang w:eastAsia="en-US"/>
                                    </w:rPr>
                                  </w:pPr>
                                </w:p>
                              </w:tc>
                              <w:tc>
                                <w:tcPr>
                                  <w:tcW w:w="1163" w:type="dxa"/>
                                  <w:vMerge w:val="continue"/>
                                  <w:tcBorders>
                                    <w:top w:val="single" w:color="000000" w:sz="4" w:space="0"/>
                                    <w:left w:val="single" w:color="000000" w:sz="4" w:space="0"/>
                                    <w:bottom w:val="single" w:color="000000" w:sz="4" w:space="0"/>
                                    <w:right w:val="single" w:color="000000" w:sz="4" w:space="0"/>
                                  </w:tcBorders>
                                  <w:noWrap w:val="0"/>
                                  <w:vAlign w:val="center"/>
                                </w:tcPr>
                                <w:p w14:paraId="0C2DC709">
                                  <w:pPr>
                                    <w:widowControl/>
                                    <w:jc w:val="left"/>
                                    <w:rPr>
                                      <w:rFonts w:ascii="宋体" w:hAnsi="宋体" w:eastAsia="Times New Roman" w:cs="宋体"/>
                                      <w:kern w:val="0"/>
                                      <w:sz w:val="20"/>
                                      <w:szCs w:val="20"/>
                                      <w:lang w:eastAsia="en-US"/>
                                    </w:rPr>
                                  </w:pPr>
                                </w:p>
                              </w:tc>
                              <w:tc>
                                <w:tcPr>
                                  <w:tcW w:w="1800" w:type="dxa"/>
                                  <w:tcBorders>
                                    <w:top w:val="single" w:color="000000" w:sz="4" w:space="0"/>
                                    <w:left w:val="single" w:color="000000" w:sz="4" w:space="0"/>
                                    <w:bottom w:val="single" w:color="000000" w:sz="4" w:space="0"/>
                                    <w:right w:val="single" w:color="000000" w:sz="4" w:space="0"/>
                                  </w:tcBorders>
                                  <w:noWrap w:val="0"/>
                                  <w:vAlign w:val="top"/>
                                </w:tcPr>
                                <w:p w14:paraId="115D1BE0">
                                  <w:pPr>
                                    <w:pStyle w:val="56"/>
                                    <w:spacing w:before="162"/>
                                    <w:ind w:left="7"/>
                                    <w:rPr>
                                      <w:rFonts w:ascii="宋体" w:hAnsi="宋体" w:cs="宋体"/>
                                      <w:sz w:val="20"/>
                                      <w:szCs w:val="20"/>
                                    </w:rPr>
                                  </w:pPr>
                                  <w:r>
                                    <w:rPr>
                                      <w:rFonts w:hint="eastAsia" w:ascii="宋体" w:hAnsi="宋体" w:cs="宋体"/>
                                      <w:w w:val="99"/>
                                      <w:sz w:val="20"/>
                                      <w:szCs w:val="20"/>
                                    </w:rPr>
                                    <w:t>A0206180301洗衣机</w:t>
                                  </w:r>
                                </w:p>
                              </w:tc>
                              <w:tc>
                                <w:tcPr>
                                  <w:tcW w:w="1792" w:type="dxa"/>
                                  <w:tcBorders>
                                    <w:top w:val="single" w:color="000000" w:sz="4" w:space="0"/>
                                    <w:left w:val="single" w:color="000000" w:sz="4" w:space="0"/>
                                    <w:bottom w:val="single" w:color="000000" w:sz="4" w:space="0"/>
                                    <w:right w:val="single" w:color="000000" w:sz="4" w:space="0"/>
                                  </w:tcBorders>
                                  <w:noWrap w:val="0"/>
                                  <w:vAlign w:val="top"/>
                                </w:tcPr>
                                <w:p w14:paraId="6BD6E903">
                                  <w:pPr>
                                    <w:rPr>
                                      <w:rFonts w:ascii="Calibri" w:hAnsi="Calibri"/>
                                      <w:sz w:val="22"/>
                                      <w:szCs w:val="22"/>
                                    </w:rPr>
                                  </w:pPr>
                                </w:p>
                              </w:tc>
                              <w:tc>
                                <w:tcPr>
                                  <w:tcW w:w="3780" w:type="dxa"/>
                                  <w:tcBorders>
                                    <w:top w:val="single" w:color="000000" w:sz="4" w:space="0"/>
                                    <w:left w:val="single" w:color="000000" w:sz="4" w:space="0"/>
                                    <w:bottom w:val="single" w:color="000000" w:sz="4" w:space="0"/>
                                    <w:right w:val="single" w:color="000000" w:sz="4" w:space="0"/>
                                  </w:tcBorders>
                                  <w:noWrap w:val="0"/>
                                  <w:vAlign w:val="top"/>
                                </w:tcPr>
                                <w:p w14:paraId="58B2B4A7">
                                  <w:pPr>
                                    <w:pStyle w:val="56"/>
                                    <w:spacing w:before="6" w:line="280" w:lineRule="auto"/>
                                    <w:ind w:left="7" w:right="4"/>
                                    <w:rPr>
                                      <w:rFonts w:ascii="宋体" w:hAnsi="宋体" w:cs="宋体"/>
                                      <w:sz w:val="20"/>
                                      <w:szCs w:val="20"/>
                                      <w:lang w:eastAsia="zh-CN"/>
                                    </w:rPr>
                                  </w:pPr>
                                  <w:r>
                                    <w:rPr>
                                      <w:rFonts w:hint="eastAsia" w:ascii="宋体" w:hAnsi="宋体" w:cs="宋体"/>
                                      <w:w w:val="99"/>
                                      <w:sz w:val="20"/>
                                      <w:szCs w:val="20"/>
                                      <w:lang w:eastAsia="zh-CN"/>
                                    </w:rPr>
                                    <w:t>《电动洗衣机能效水效限定值及等级》（GB12021.4）</w:t>
                                  </w:r>
                                </w:p>
                              </w:tc>
                            </w:tr>
                          </w:tbl>
                          <w:p w14:paraId="76345FA4">
                            <w:pPr>
                              <w:rPr>
                                <w:rFonts w:ascii="Calibri" w:hAnsi="Calibri"/>
                                <w:sz w:val="22"/>
                                <w:szCs w:val="22"/>
                              </w:rPr>
                            </w:pPr>
                          </w:p>
                        </w:txbxContent>
                      </wps:txbx>
                      <wps:bodyPr wrap="square" lIns="0" tIns="0" rIns="0" bIns="0" upright="1"/>
                    </wps:wsp>
                  </a:graphicData>
                </a:graphic>
              </wp:anchor>
            </w:drawing>
          </mc:Choice>
          <mc:Fallback>
            <w:pict>
              <v:shape id="文本框 3" o:spid="_x0000_s1026" o:spt="202" type="#_x0000_t202" style="position:absolute;left:0pt;margin-left:67.45pt;margin-top:3.45pt;height:671.2pt;width:485.5pt;mso-position-horizontal-relative:page;z-index:251660288;mso-width-relative:page;mso-height-relative:page;" filled="f" stroked="f" coordsize="21600,21600" o:gfxdata="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0yP2ztcAAAALAQAADwAAAAAAAAABACAAAAAiAAAAZHJzL2Rvd25y&#10;ZXYueG1sUEsBAhQAFAAAAAgAh07iQInq1F3GAQAAgQMAAA4AAAAAAAAAAQAgAAAAJgEAAGRycy9l&#10;Mm9Eb2MueG1sUEsFBgAAAAAGAAYAWQEAAF4FAAAAAA==&#10;">
                <v:fill on="f" focussize="0,0"/>
                <v:stroke on="f"/>
                <v:imagedata o:title=""/>
                <o:lock v:ext="edit" aspectratio="f"/>
                <v:textbox inset="0mm,0mm,0mm,0mm">
                  <w:txbxContent>
                    <w:tbl>
                      <w:tblPr>
                        <w:tblStyle w:val="24"/>
                        <w:tblW w:w="9105" w:type="dxa"/>
                        <w:tblInd w:w="2" w:type="dxa"/>
                        <w:tblLayout w:type="fixed"/>
                        <w:tblCellMar>
                          <w:top w:w="0" w:type="dxa"/>
                          <w:left w:w="0" w:type="dxa"/>
                          <w:bottom w:w="0" w:type="dxa"/>
                          <w:right w:w="0" w:type="dxa"/>
                        </w:tblCellMar>
                      </w:tblPr>
                      <w:tblGrid>
                        <w:gridCol w:w="570"/>
                        <w:gridCol w:w="1163"/>
                        <w:gridCol w:w="1800"/>
                        <w:gridCol w:w="1792"/>
                        <w:gridCol w:w="3780"/>
                      </w:tblGrid>
                      <w:tr w14:paraId="6CEC0A9A">
                        <w:tblPrEx>
                          <w:tblCellMar>
                            <w:top w:w="0" w:type="dxa"/>
                            <w:left w:w="0" w:type="dxa"/>
                            <w:bottom w:w="0" w:type="dxa"/>
                            <w:right w:w="0" w:type="dxa"/>
                          </w:tblCellMar>
                        </w:tblPrEx>
                        <w:trPr>
                          <w:trHeight w:val="416" w:hRule="exact"/>
                        </w:trPr>
                        <w:tc>
                          <w:tcPr>
                            <w:tcW w:w="570" w:type="dxa"/>
                            <w:vMerge w:val="restart"/>
                            <w:tcBorders>
                              <w:top w:val="single" w:color="000000" w:sz="4" w:space="0"/>
                              <w:left w:val="single" w:color="000000" w:sz="4" w:space="0"/>
                              <w:bottom w:val="single" w:color="000000" w:sz="4" w:space="0"/>
                              <w:right w:val="single" w:color="000000" w:sz="4" w:space="0"/>
                            </w:tcBorders>
                            <w:noWrap w:val="0"/>
                            <w:vAlign w:val="top"/>
                          </w:tcPr>
                          <w:p w14:paraId="262BB2E1">
                            <w:pPr>
                              <w:rPr>
                                <w:rFonts w:ascii="Calibri" w:hAnsi="Calibri"/>
                                <w:sz w:val="22"/>
                                <w:szCs w:val="22"/>
                              </w:rPr>
                            </w:pPr>
                          </w:p>
                        </w:tc>
                        <w:tc>
                          <w:tcPr>
                            <w:tcW w:w="1163" w:type="dxa"/>
                            <w:vMerge w:val="restart"/>
                            <w:tcBorders>
                              <w:top w:val="single" w:color="000000" w:sz="4" w:space="0"/>
                              <w:left w:val="single" w:color="000000" w:sz="4" w:space="0"/>
                              <w:bottom w:val="single" w:color="000000" w:sz="4" w:space="0"/>
                              <w:right w:val="single" w:color="000000" w:sz="4" w:space="0"/>
                            </w:tcBorders>
                            <w:noWrap w:val="0"/>
                            <w:vAlign w:val="top"/>
                          </w:tcPr>
                          <w:p w14:paraId="4A1D437B">
                            <w:pPr>
                              <w:rPr>
                                <w:rFonts w:ascii="Calibri" w:hAnsi="Calibri"/>
                                <w:sz w:val="22"/>
                                <w:szCs w:val="22"/>
                              </w:rPr>
                            </w:pPr>
                          </w:p>
                        </w:tc>
                        <w:tc>
                          <w:tcPr>
                            <w:tcW w:w="1800" w:type="dxa"/>
                            <w:vMerge w:val="restart"/>
                            <w:tcBorders>
                              <w:top w:val="single" w:color="000000" w:sz="4" w:space="0"/>
                              <w:left w:val="single" w:color="000000" w:sz="4" w:space="0"/>
                              <w:bottom w:val="single" w:color="000000" w:sz="4" w:space="0"/>
                              <w:right w:val="single" w:color="000000" w:sz="4" w:space="0"/>
                            </w:tcBorders>
                            <w:noWrap w:val="0"/>
                            <w:vAlign w:val="top"/>
                          </w:tcPr>
                          <w:p w14:paraId="5AA05BD3">
                            <w:pPr>
                              <w:rPr>
                                <w:rFonts w:ascii="Calibri" w:hAnsi="Calibri"/>
                                <w:sz w:val="22"/>
                                <w:szCs w:val="22"/>
                              </w:rPr>
                            </w:pPr>
                          </w:p>
                        </w:tc>
                        <w:tc>
                          <w:tcPr>
                            <w:tcW w:w="1792" w:type="dxa"/>
                            <w:tcBorders>
                              <w:top w:val="single" w:color="000000" w:sz="4" w:space="0"/>
                              <w:left w:val="single" w:color="000000" w:sz="4" w:space="0"/>
                              <w:bottom w:val="nil"/>
                              <w:right w:val="single" w:color="000000" w:sz="4" w:space="0"/>
                            </w:tcBorders>
                            <w:noWrap w:val="0"/>
                            <w:vAlign w:val="top"/>
                          </w:tcPr>
                          <w:p w14:paraId="054F2317">
                            <w:pPr>
                              <w:pStyle w:val="56"/>
                              <w:spacing w:before="93"/>
                              <w:ind w:left="7"/>
                              <w:rPr>
                                <w:rFonts w:ascii="宋体" w:hAnsi="宋体" w:cs="宋体"/>
                                <w:sz w:val="20"/>
                                <w:szCs w:val="20"/>
                              </w:rPr>
                            </w:pPr>
                            <w:r>
                              <w:rPr>
                                <w:rFonts w:hint="eastAsia" w:ascii="宋体" w:hAnsi="宋体" w:cs="宋体"/>
                                <w:w w:val="99"/>
                                <w:sz w:val="20"/>
                                <w:szCs w:val="20"/>
                              </w:rPr>
                              <w:t>溴化锂吸收式冷水机</w:t>
                            </w:r>
                          </w:p>
                        </w:tc>
                        <w:tc>
                          <w:tcPr>
                            <w:tcW w:w="3780" w:type="dxa"/>
                            <w:vMerge w:val="restart"/>
                            <w:tcBorders>
                              <w:top w:val="single" w:color="000000" w:sz="4" w:space="0"/>
                              <w:left w:val="single" w:color="000000" w:sz="4" w:space="0"/>
                              <w:right w:val="single" w:color="000000" w:sz="4" w:space="0"/>
                            </w:tcBorders>
                            <w:noWrap w:val="0"/>
                            <w:vAlign w:val="top"/>
                          </w:tcPr>
                          <w:p w14:paraId="1A4ABC80">
                            <w:pPr>
                              <w:pStyle w:val="56"/>
                              <w:spacing w:before="93"/>
                              <w:ind w:left="7"/>
                              <w:rPr>
                                <w:rFonts w:hint="eastAsia" w:ascii="宋体" w:hAnsi="宋体" w:cs="宋体"/>
                                <w:w w:val="99"/>
                                <w:sz w:val="20"/>
                                <w:szCs w:val="20"/>
                                <w:lang w:eastAsia="zh-CN"/>
                              </w:rPr>
                            </w:pPr>
                            <w:r>
                              <w:rPr>
                                <w:rFonts w:hint="eastAsia" w:ascii="宋体" w:hAnsi="宋体" w:cs="宋体"/>
                                <w:w w:val="99"/>
                                <w:sz w:val="20"/>
                                <w:szCs w:val="20"/>
                                <w:lang w:eastAsia="zh-CN"/>
                              </w:rPr>
                              <w:t>《溴化锂吸收式冷水机组能效限</w:t>
                            </w:r>
                          </w:p>
                          <w:p w14:paraId="373A14CD">
                            <w:pPr>
                              <w:pStyle w:val="56"/>
                              <w:spacing w:line="256" w:lineRule="exact"/>
                              <w:ind w:left="7"/>
                              <w:rPr>
                                <w:rFonts w:ascii="宋体" w:hAnsi="宋体" w:cs="宋体"/>
                                <w:sz w:val="20"/>
                                <w:szCs w:val="20"/>
                                <w:lang w:eastAsia="zh-CN"/>
                              </w:rPr>
                            </w:pPr>
                            <w:r>
                              <w:rPr>
                                <w:rFonts w:hint="eastAsia" w:ascii="宋体" w:hAnsi="宋体" w:cs="宋体"/>
                                <w:w w:val="99"/>
                                <w:sz w:val="20"/>
                                <w:szCs w:val="20"/>
                                <w:lang w:eastAsia="zh-CN"/>
                              </w:rPr>
                              <w:t>定值及能效等级》（GB29540）</w:t>
                            </w:r>
                          </w:p>
                        </w:tc>
                      </w:tr>
                      <w:tr w14:paraId="7DC71712">
                        <w:tblPrEx>
                          <w:tblCellMar>
                            <w:top w:w="0" w:type="dxa"/>
                            <w:left w:w="0" w:type="dxa"/>
                            <w:bottom w:w="0" w:type="dxa"/>
                            <w:right w:w="0" w:type="dxa"/>
                          </w:tblCellMar>
                        </w:tblPrEx>
                        <w:trPr>
                          <w:trHeight w:val="408" w:hRule="exact"/>
                        </w:trPr>
                        <w:tc>
                          <w:tcPr>
                            <w:tcW w:w="570" w:type="dxa"/>
                            <w:vMerge w:val="continue"/>
                            <w:tcBorders>
                              <w:top w:val="single" w:color="000000" w:sz="4" w:space="0"/>
                              <w:left w:val="single" w:color="000000" w:sz="4" w:space="0"/>
                              <w:bottom w:val="single" w:color="000000" w:sz="4" w:space="0"/>
                              <w:right w:val="single" w:color="000000" w:sz="4" w:space="0"/>
                            </w:tcBorders>
                            <w:noWrap w:val="0"/>
                            <w:vAlign w:val="center"/>
                          </w:tcPr>
                          <w:p w14:paraId="1DD2B9E1">
                            <w:pPr>
                              <w:widowControl/>
                              <w:jc w:val="left"/>
                              <w:rPr>
                                <w:rFonts w:ascii="Calibri" w:hAnsi="Calibri" w:eastAsia="Times New Roman"/>
                                <w:sz w:val="22"/>
                                <w:szCs w:val="22"/>
                              </w:rPr>
                            </w:pPr>
                          </w:p>
                        </w:tc>
                        <w:tc>
                          <w:tcPr>
                            <w:tcW w:w="1163" w:type="dxa"/>
                            <w:vMerge w:val="continue"/>
                            <w:tcBorders>
                              <w:top w:val="single" w:color="000000" w:sz="4" w:space="0"/>
                              <w:left w:val="single" w:color="000000" w:sz="4" w:space="0"/>
                              <w:bottom w:val="single" w:color="000000" w:sz="4" w:space="0"/>
                              <w:right w:val="single" w:color="000000" w:sz="4" w:space="0"/>
                            </w:tcBorders>
                            <w:noWrap w:val="0"/>
                            <w:vAlign w:val="center"/>
                          </w:tcPr>
                          <w:p w14:paraId="78928000">
                            <w:pPr>
                              <w:widowControl/>
                              <w:jc w:val="left"/>
                              <w:rPr>
                                <w:rFonts w:ascii="Calibri" w:hAnsi="Calibri" w:eastAsia="Times New Roman"/>
                                <w:sz w:val="22"/>
                                <w:szCs w:val="22"/>
                              </w:rPr>
                            </w:pPr>
                          </w:p>
                        </w:tc>
                        <w:tc>
                          <w:tcPr>
                            <w:tcW w:w="1800" w:type="dxa"/>
                            <w:vMerge w:val="continue"/>
                            <w:tcBorders>
                              <w:top w:val="single" w:color="000000" w:sz="4" w:space="0"/>
                              <w:left w:val="single" w:color="000000" w:sz="4" w:space="0"/>
                              <w:bottom w:val="single" w:color="000000" w:sz="4" w:space="0"/>
                              <w:right w:val="single" w:color="000000" w:sz="4" w:space="0"/>
                            </w:tcBorders>
                            <w:noWrap w:val="0"/>
                            <w:vAlign w:val="center"/>
                          </w:tcPr>
                          <w:p w14:paraId="7942AEA0">
                            <w:pPr>
                              <w:widowControl/>
                              <w:jc w:val="left"/>
                              <w:rPr>
                                <w:rFonts w:ascii="Calibri" w:hAnsi="Calibri" w:eastAsia="Times New Roman"/>
                                <w:sz w:val="22"/>
                                <w:szCs w:val="22"/>
                              </w:rPr>
                            </w:pPr>
                          </w:p>
                        </w:tc>
                        <w:tc>
                          <w:tcPr>
                            <w:tcW w:w="1792" w:type="dxa"/>
                            <w:tcBorders>
                              <w:top w:val="nil"/>
                              <w:left w:val="single" w:color="000000" w:sz="4" w:space="0"/>
                              <w:bottom w:val="single" w:color="000000" w:sz="4" w:space="0"/>
                              <w:right w:val="single" w:color="000000" w:sz="4" w:space="0"/>
                            </w:tcBorders>
                            <w:noWrap w:val="0"/>
                            <w:vAlign w:val="top"/>
                          </w:tcPr>
                          <w:p w14:paraId="7A0E59B9">
                            <w:pPr>
                              <w:pStyle w:val="56"/>
                              <w:spacing w:line="256" w:lineRule="exact"/>
                              <w:ind w:left="7"/>
                              <w:rPr>
                                <w:rFonts w:ascii="宋体" w:hAnsi="宋体" w:cs="宋体"/>
                                <w:sz w:val="20"/>
                                <w:szCs w:val="20"/>
                              </w:rPr>
                            </w:pPr>
                            <w:r>
                              <w:rPr>
                                <w:rFonts w:hint="eastAsia" w:ascii="宋体" w:hAnsi="宋体" w:cs="宋体"/>
                                <w:w w:val="99"/>
                                <w:sz w:val="20"/>
                                <w:szCs w:val="20"/>
                              </w:rPr>
                              <w:t>组</w:t>
                            </w:r>
                          </w:p>
                        </w:tc>
                        <w:tc>
                          <w:tcPr>
                            <w:tcW w:w="3780" w:type="dxa"/>
                            <w:vMerge w:val="continue"/>
                            <w:tcBorders>
                              <w:left w:val="single" w:color="000000" w:sz="4" w:space="0"/>
                              <w:bottom w:val="single" w:color="000000" w:sz="4" w:space="0"/>
                              <w:right w:val="single" w:color="000000" w:sz="4" w:space="0"/>
                            </w:tcBorders>
                            <w:noWrap w:val="0"/>
                            <w:vAlign w:val="top"/>
                          </w:tcPr>
                          <w:p w14:paraId="2282747E">
                            <w:pPr>
                              <w:pStyle w:val="56"/>
                              <w:spacing w:line="256" w:lineRule="exact"/>
                              <w:ind w:left="7"/>
                              <w:rPr>
                                <w:rFonts w:ascii="宋体" w:hAnsi="宋体" w:cs="宋体"/>
                                <w:sz w:val="20"/>
                                <w:szCs w:val="20"/>
                                <w:lang w:eastAsia="zh-CN"/>
                              </w:rPr>
                            </w:pPr>
                          </w:p>
                        </w:tc>
                      </w:tr>
                      <w:tr w14:paraId="179A84D4">
                        <w:tblPrEx>
                          <w:tblCellMar>
                            <w:top w:w="0" w:type="dxa"/>
                            <w:left w:w="0" w:type="dxa"/>
                            <w:bottom w:w="0" w:type="dxa"/>
                            <w:right w:w="0" w:type="dxa"/>
                          </w:tblCellMar>
                        </w:tblPrEx>
                        <w:trPr>
                          <w:trHeight w:val="958" w:hRule="exact"/>
                        </w:trPr>
                        <w:tc>
                          <w:tcPr>
                            <w:tcW w:w="570" w:type="dxa"/>
                            <w:vMerge w:val="continue"/>
                            <w:tcBorders>
                              <w:top w:val="single" w:color="000000" w:sz="4" w:space="0"/>
                              <w:left w:val="single" w:color="000000" w:sz="4" w:space="0"/>
                              <w:bottom w:val="single" w:color="000000" w:sz="4" w:space="0"/>
                              <w:right w:val="single" w:color="000000" w:sz="4" w:space="0"/>
                            </w:tcBorders>
                            <w:noWrap w:val="0"/>
                            <w:vAlign w:val="center"/>
                          </w:tcPr>
                          <w:p w14:paraId="0FC67D82">
                            <w:pPr>
                              <w:widowControl/>
                              <w:jc w:val="left"/>
                              <w:rPr>
                                <w:rFonts w:ascii="Calibri" w:hAnsi="Calibri" w:eastAsia="Times New Roman"/>
                                <w:sz w:val="22"/>
                                <w:szCs w:val="22"/>
                              </w:rPr>
                            </w:pPr>
                          </w:p>
                        </w:tc>
                        <w:tc>
                          <w:tcPr>
                            <w:tcW w:w="1163" w:type="dxa"/>
                            <w:vMerge w:val="continue"/>
                            <w:tcBorders>
                              <w:top w:val="single" w:color="000000" w:sz="4" w:space="0"/>
                              <w:left w:val="single" w:color="000000" w:sz="4" w:space="0"/>
                              <w:bottom w:val="single" w:color="000000" w:sz="4" w:space="0"/>
                              <w:right w:val="single" w:color="000000" w:sz="4" w:space="0"/>
                            </w:tcBorders>
                            <w:noWrap w:val="0"/>
                            <w:vAlign w:val="center"/>
                          </w:tcPr>
                          <w:p w14:paraId="76867912">
                            <w:pPr>
                              <w:widowControl/>
                              <w:jc w:val="left"/>
                              <w:rPr>
                                <w:rFonts w:ascii="Calibri" w:hAnsi="Calibri" w:eastAsia="Times New Roman"/>
                                <w:sz w:val="22"/>
                                <w:szCs w:val="22"/>
                              </w:rPr>
                            </w:pPr>
                          </w:p>
                        </w:tc>
                        <w:tc>
                          <w:tcPr>
                            <w:tcW w:w="1800" w:type="dxa"/>
                            <w:vMerge w:val="restart"/>
                            <w:tcBorders>
                              <w:top w:val="single" w:color="000000" w:sz="4" w:space="0"/>
                              <w:left w:val="single" w:color="000000" w:sz="4" w:space="0"/>
                              <w:bottom w:val="single" w:color="000000" w:sz="4" w:space="0"/>
                              <w:right w:val="single" w:color="000000" w:sz="4" w:space="0"/>
                            </w:tcBorders>
                            <w:noWrap w:val="0"/>
                            <w:vAlign w:val="top"/>
                          </w:tcPr>
                          <w:p w14:paraId="59E68E1F">
                            <w:pPr>
                              <w:pStyle w:val="56"/>
                              <w:rPr>
                                <w:rFonts w:ascii="宋体" w:hAnsi="宋体" w:cs="宋体"/>
                                <w:sz w:val="20"/>
                                <w:szCs w:val="20"/>
                                <w:lang w:eastAsia="zh-CN"/>
                              </w:rPr>
                            </w:pPr>
                          </w:p>
                          <w:p w14:paraId="3CE0819A">
                            <w:pPr>
                              <w:pStyle w:val="56"/>
                              <w:rPr>
                                <w:rFonts w:hint="eastAsia" w:ascii="宋体" w:hAnsi="宋体" w:cs="宋体"/>
                                <w:sz w:val="20"/>
                                <w:szCs w:val="20"/>
                                <w:lang w:eastAsia="zh-CN"/>
                              </w:rPr>
                            </w:pPr>
                          </w:p>
                          <w:p w14:paraId="62750667">
                            <w:pPr>
                              <w:pStyle w:val="56"/>
                              <w:spacing w:before="3"/>
                              <w:rPr>
                                <w:rFonts w:hint="eastAsia" w:ascii="宋体" w:hAnsi="宋体" w:cs="宋体"/>
                                <w:sz w:val="21"/>
                                <w:szCs w:val="21"/>
                                <w:lang w:eastAsia="zh-CN"/>
                              </w:rPr>
                            </w:pPr>
                          </w:p>
                          <w:p w14:paraId="6AF6328D">
                            <w:pPr>
                              <w:pStyle w:val="56"/>
                              <w:spacing w:line="280" w:lineRule="auto"/>
                              <w:ind w:left="7" w:right="5"/>
                              <w:rPr>
                                <w:rFonts w:ascii="宋体" w:hAnsi="宋体" w:cs="宋体"/>
                                <w:sz w:val="20"/>
                                <w:szCs w:val="20"/>
                              </w:rPr>
                            </w:pPr>
                            <w:r>
                              <w:rPr>
                                <w:rFonts w:hint="eastAsia" w:ascii="宋体" w:hAnsi="宋体" w:cs="宋体"/>
                                <w:w w:val="99"/>
                                <w:sz w:val="20"/>
                                <w:szCs w:val="20"/>
                              </w:rPr>
                              <w:t>★A02052305空调机组</w:t>
                            </w:r>
                          </w:p>
                        </w:tc>
                        <w:tc>
                          <w:tcPr>
                            <w:tcW w:w="1792" w:type="dxa"/>
                            <w:tcBorders>
                              <w:top w:val="single" w:color="000000" w:sz="4" w:space="0"/>
                              <w:left w:val="single" w:color="000000" w:sz="4" w:space="0"/>
                              <w:bottom w:val="single" w:color="000000" w:sz="4" w:space="0"/>
                              <w:right w:val="single" w:color="000000" w:sz="4" w:space="0"/>
                            </w:tcBorders>
                            <w:noWrap w:val="0"/>
                            <w:vAlign w:val="top"/>
                          </w:tcPr>
                          <w:p w14:paraId="1374F355">
                            <w:pPr>
                              <w:pStyle w:val="56"/>
                              <w:spacing w:before="4" w:line="280" w:lineRule="auto"/>
                              <w:ind w:left="7" w:right="7"/>
                              <w:jc w:val="both"/>
                              <w:rPr>
                                <w:rFonts w:hint="eastAsia" w:ascii="宋体" w:hAnsi="宋体" w:cs="宋体"/>
                                <w:w w:val="99"/>
                                <w:sz w:val="20"/>
                                <w:szCs w:val="20"/>
                                <w:lang w:eastAsia="zh-CN"/>
                              </w:rPr>
                            </w:pPr>
                            <w:r>
                              <w:rPr>
                                <w:rFonts w:hint="eastAsia" w:ascii="宋体" w:hAnsi="宋体" w:cs="宋体"/>
                                <w:w w:val="99"/>
                                <w:sz w:val="20"/>
                                <w:szCs w:val="20"/>
                                <w:lang w:eastAsia="zh-CN"/>
                              </w:rPr>
                              <w:t>多联式空调（热泵）机组</w:t>
                            </w:r>
                          </w:p>
                          <w:p w14:paraId="1C8BBE55">
                            <w:pPr>
                              <w:pStyle w:val="56"/>
                              <w:spacing w:before="4" w:line="280" w:lineRule="auto"/>
                              <w:ind w:left="7" w:right="7"/>
                              <w:jc w:val="both"/>
                              <w:rPr>
                                <w:rFonts w:ascii="宋体" w:hAnsi="宋体" w:cs="宋体"/>
                                <w:sz w:val="20"/>
                                <w:szCs w:val="20"/>
                                <w:lang w:eastAsia="zh-CN"/>
                              </w:rPr>
                            </w:pPr>
                            <w:r>
                              <w:rPr>
                                <w:rFonts w:hint="eastAsia" w:ascii="宋体" w:hAnsi="宋体" w:cs="宋体"/>
                                <w:w w:val="99"/>
                                <w:sz w:val="20"/>
                                <w:szCs w:val="20"/>
                                <w:lang w:eastAsia="zh-CN"/>
                              </w:rPr>
                              <w:t>（制冷量&gt;14000W）</w:t>
                            </w:r>
                          </w:p>
                        </w:tc>
                        <w:tc>
                          <w:tcPr>
                            <w:tcW w:w="3780" w:type="dxa"/>
                            <w:tcBorders>
                              <w:top w:val="single" w:color="000000" w:sz="4" w:space="0"/>
                              <w:left w:val="single" w:color="000000" w:sz="4" w:space="0"/>
                              <w:bottom w:val="single" w:color="000000" w:sz="4" w:space="0"/>
                              <w:right w:val="single" w:color="000000" w:sz="4" w:space="0"/>
                            </w:tcBorders>
                            <w:noWrap w:val="0"/>
                            <w:vAlign w:val="top"/>
                          </w:tcPr>
                          <w:p w14:paraId="48964EE5">
                            <w:pPr>
                              <w:pStyle w:val="56"/>
                              <w:spacing w:before="160" w:line="280" w:lineRule="auto"/>
                              <w:ind w:left="7" w:right="7"/>
                              <w:rPr>
                                <w:rFonts w:ascii="宋体" w:hAnsi="宋体" w:cs="宋体"/>
                                <w:sz w:val="20"/>
                                <w:szCs w:val="20"/>
                                <w:lang w:eastAsia="zh-CN"/>
                              </w:rPr>
                            </w:pPr>
                            <w:r>
                              <w:rPr>
                                <w:rFonts w:hint="eastAsia" w:ascii="宋体" w:hAnsi="宋体" w:cs="宋体"/>
                                <w:w w:val="99"/>
                                <w:sz w:val="20"/>
                                <w:szCs w:val="20"/>
                                <w:lang w:eastAsia="zh-CN"/>
                              </w:rPr>
                              <w:t>《多联式空调（热泵）机组能效限定值及能源效率等级》（GB21454）</w:t>
                            </w:r>
                          </w:p>
                        </w:tc>
                      </w:tr>
                      <w:tr w14:paraId="27AAB180">
                        <w:tblPrEx>
                          <w:tblCellMar>
                            <w:top w:w="0" w:type="dxa"/>
                            <w:left w:w="0" w:type="dxa"/>
                            <w:bottom w:w="0" w:type="dxa"/>
                            <w:right w:w="0" w:type="dxa"/>
                          </w:tblCellMar>
                        </w:tblPrEx>
                        <w:trPr>
                          <w:trHeight w:val="644" w:hRule="exact"/>
                        </w:trPr>
                        <w:tc>
                          <w:tcPr>
                            <w:tcW w:w="570" w:type="dxa"/>
                            <w:vMerge w:val="continue"/>
                            <w:tcBorders>
                              <w:top w:val="single" w:color="000000" w:sz="4" w:space="0"/>
                              <w:left w:val="single" w:color="000000" w:sz="4" w:space="0"/>
                              <w:bottom w:val="single" w:color="000000" w:sz="4" w:space="0"/>
                              <w:right w:val="single" w:color="000000" w:sz="4" w:space="0"/>
                            </w:tcBorders>
                            <w:noWrap w:val="0"/>
                            <w:vAlign w:val="center"/>
                          </w:tcPr>
                          <w:p w14:paraId="0655CF5E">
                            <w:pPr>
                              <w:widowControl/>
                              <w:jc w:val="left"/>
                              <w:rPr>
                                <w:rFonts w:ascii="Calibri" w:hAnsi="Calibri" w:eastAsia="Times New Roman"/>
                                <w:sz w:val="22"/>
                                <w:szCs w:val="22"/>
                              </w:rPr>
                            </w:pPr>
                          </w:p>
                        </w:tc>
                        <w:tc>
                          <w:tcPr>
                            <w:tcW w:w="1163" w:type="dxa"/>
                            <w:vMerge w:val="continue"/>
                            <w:tcBorders>
                              <w:top w:val="single" w:color="000000" w:sz="4" w:space="0"/>
                              <w:left w:val="single" w:color="000000" w:sz="4" w:space="0"/>
                              <w:bottom w:val="single" w:color="000000" w:sz="4" w:space="0"/>
                              <w:right w:val="single" w:color="000000" w:sz="4" w:space="0"/>
                            </w:tcBorders>
                            <w:noWrap w:val="0"/>
                            <w:vAlign w:val="center"/>
                          </w:tcPr>
                          <w:p w14:paraId="7C40B624">
                            <w:pPr>
                              <w:widowControl/>
                              <w:jc w:val="left"/>
                              <w:rPr>
                                <w:rFonts w:ascii="Calibri" w:hAnsi="Calibri" w:eastAsia="Times New Roman"/>
                                <w:sz w:val="22"/>
                                <w:szCs w:val="22"/>
                              </w:rPr>
                            </w:pPr>
                          </w:p>
                        </w:tc>
                        <w:tc>
                          <w:tcPr>
                            <w:tcW w:w="1800" w:type="dxa"/>
                            <w:vMerge w:val="continue"/>
                            <w:tcBorders>
                              <w:top w:val="single" w:color="000000" w:sz="4" w:space="0"/>
                              <w:left w:val="single" w:color="000000" w:sz="4" w:space="0"/>
                              <w:bottom w:val="single" w:color="000000" w:sz="4" w:space="0"/>
                              <w:right w:val="single" w:color="000000" w:sz="4" w:space="0"/>
                            </w:tcBorders>
                            <w:noWrap w:val="0"/>
                            <w:vAlign w:val="center"/>
                          </w:tcPr>
                          <w:p w14:paraId="72D266F8">
                            <w:pPr>
                              <w:widowControl/>
                              <w:jc w:val="left"/>
                              <w:rPr>
                                <w:rFonts w:ascii="宋体" w:hAnsi="宋体" w:eastAsia="Times New Roman" w:cs="宋体"/>
                                <w:kern w:val="0"/>
                                <w:sz w:val="20"/>
                                <w:szCs w:val="20"/>
                              </w:rPr>
                            </w:pPr>
                          </w:p>
                        </w:tc>
                        <w:tc>
                          <w:tcPr>
                            <w:tcW w:w="1792" w:type="dxa"/>
                            <w:tcBorders>
                              <w:top w:val="single" w:color="000000" w:sz="4" w:space="0"/>
                              <w:left w:val="single" w:color="000000" w:sz="4" w:space="0"/>
                              <w:bottom w:val="nil"/>
                              <w:right w:val="single" w:color="000000" w:sz="4" w:space="0"/>
                            </w:tcBorders>
                            <w:noWrap w:val="0"/>
                            <w:vAlign w:val="top"/>
                          </w:tcPr>
                          <w:p w14:paraId="7BFBB384">
                            <w:pPr>
                              <w:pStyle w:val="56"/>
                              <w:spacing w:before="7"/>
                              <w:rPr>
                                <w:rFonts w:ascii="宋体" w:hAnsi="宋体" w:cs="宋体"/>
                                <w:sz w:val="24"/>
                                <w:szCs w:val="24"/>
                                <w:lang w:eastAsia="zh-CN"/>
                              </w:rPr>
                            </w:pPr>
                          </w:p>
                          <w:p w14:paraId="12751FB2">
                            <w:pPr>
                              <w:pStyle w:val="56"/>
                              <w:ind w:left="7"/>
                              <w:rPr>
                                <w:rFonts w:ascii="宋体" w:hAnsi="宋体" w:cs="宋体"/>
                                <w:sz w:val="20"/>
                                <w:szCs w:val="20"/>
                              </w:rPr>
                            </w:pPr>
                            <w:r>
                              <w:rPr>
                                <w:rFonts w:hint="eastAsia" w:ascii="宋体" w:hAnsi="宋体" w:cs="宋体"/>
                                <w:w w:val="99"/>
                                <w:sz w:val="20"/>
                                <w:szCs w:val="20"/>
                              </w:rPr>
                              <w:t>单元式空气调节机</w:t>
                            </w:r>
                          </w:p>
                        </w:tc>
                        <w:tc>
                          <w:tcPr>
                            <w:tcW w:w="3780" w:type="dxa"/>
                            <w:vMerge w:val="restart"/>
                            <w:tcBorders>
                              <w:top w:val="single" w:color="000000" w:sz="4" w:space="0"/>
                              <w:left w:val="single" w:color="000000" w:sz="4" w:space="0"/>
                              <w:right w:val="single" w:color="000000" w:sz="4" w:space="0"/>
                            </w:tcBorders>
                            <w:noWrap w:val="0"/>
                            <w:vAlign w:val="top"/>
                          </w:tcPr>
                          <w:p w14:paraId="568FCF75">
                            <w:pPr>
                              <w:pStyle w:val="56"/>
                              <w:spacing w:before="9" w:line="280" w:lineRule="auto"/>
                              <w:ind w:left="7" w:right="4"/>
                              <w:rPr>
                                <w:rFonts w:ascii="宋体" w:hAnsi="宋体" w:cs="宋体"/>
                                <w:sz w:val="20"/>
                                <w:szCs w:val="20"/>
                                <w:lang w:eastAsia="zh-CN"/>
                              </w:rPr>
                            </w:pPr>
                            <w:r>
                              <w:rPr>
                                <w:rFonts w:hint="eastAsia" w:ascii="宋体" w:hAnsi="宋体" w:cs="宋体"/>
                                <w:w w:val="99"/>
                                <w:sz w:val="20"/>
                                <w:szCs w:val="20"/>
                                <w:lang w:eastAsia="zh-CN"/>
                              </w:rPr>
                              <w:t>《单元式空气调节机能效限定值及能效等级》（GB19576）《风管送风式空调机组能效限定值及能效等级》（GB37479）</w:t>
                            </w:r>
                          </w:p>
                        </w:tc>
                      </w:tr>
                      <w:tr w14:paraId="4A02AF12">
                        <w:tblPrEx>
                          <w:tblCellMar>
                            <w:top w:w="0" w:type="dxa"/>
                            <w:left w:w="0" w:type="dxa"/>
                            <w:bottom w:w="0" w:type="dxa"/>
                            <w:right w:w="0" w:type="dxa"/>
                          </w:tblCellMar>
                        </w:tblPrEx>
                        <w:trPr>
                          <w:trHeight w:val="402" w:hRule="exact"/>
                        </w:trPr>
                        <w:tc>
                          <w:tcPr>
                            <w:tcW w:w="570" w:type="dxa"/>
                            <w:vMerge w:val="continue"/>
                            <w:tcBorders>
                              <w:top w:val="single" w:color="000000" w:sz="4" w:space="0"/>
                              <w:left w:val="single" w:color="000000" w:sz="4" w:space="0"/>
                              <w:bottom w:val="single" w:color="000000" w:sz="4" w:space="0"/>
                              <w:right w:val="single" w:color="000000" w:sz="4" w:space="0"/>
                            </w:tcBorders>
                            <w:noWrap w:val="0"/>
                            <w:vAlign w:val="center"/>
                          </w:tcPr>
                          <w:p w14:paraId="637BDB1B">
                            <w:pPr>
                              <w:widowControl/>
                              <w:jc w:val="left"/>
                              <w:rPr>
                                <w:rFonts w:ascii="Calibri" w:hAnsi="Calibri" w:eastAsia="Times New Roman"/>
                                <w:sz w:val="22"/>
                                <w:szCs w:val="22"/>
                              </w:rPr>
                            </w:pPr>
                          </w:p>
                        </w:tc>
                        <w:tc>
                          <w:tcPr>
                            <w:tcW w:w="1163" w:type="dxa"/>
                            <w:vMerge w:val="continue"/>
                            <w:tcBorders>
                              <w:top w:val="single" w:color="000000" w:sz="4" w:space="0"/>
                              <w:left w:val="single" w:color="000000" w:sz="4" w:space="0"/>
                              <w:bottom w:val="single" w:color="000000" w:sz="4" w:space="0"/>
                              <w:right w:val="single" w:color="000000" w:sz="4" w:space="0"/>
                            </w:tcBorders>
                            <w:noWrap w:val="0"/>
                            <w:vAlign w:val="center"/>
                          </w:tcPr>
                          <w:p w14:paraId="19A49A0D">
                            <w:pPr>
                              <w:widowControl/>
                              <w:jc w:val="left"/>
                              <w:rPr>
                                <w:rFonts w:ascii="Calibri" w:hAnsi="Calibri" w:eastAsia="Times New Roman"/>
                                <w:sz w:val="22"/>
                                <w:szCs w:val="22"/>
                              </w:rPr>
                            </w:pPr>
                          </w:p>
                        </w:tc>
                        <w:tc>
                          <w:tcPr>
                            <w:tcW w:w="1800" w:type="dxa"/>
                            <w:vMerge w:val="continue"/>
                            <w:tcBorders>
                              <w:top w:val="single" w:color="000000" w:sz="4" w:space="0"/>
                              <w:left w:val="single" w:color="000000" w:sz="4" w:space="0"/>
                              <w:bottom w:val="single" w:color="000000" w:sz="4" w:space="0"/>
                              <w:right w:val="single" w:color="000000" w:sz="4" w:space="0"/>
                            </w:tcBorders>
                            <w:noWrap w:val="0"/>
                            <w:vAlign w:val="center"/>
                          </w:tcPr>
                          <w:p w14:paraId="3C9A6806">
                            <w:pPr>
                              <w:widowControl/>
                              <w:jc w:val="left"/>
                              <w:rPr>
                                <w:rFonts w:ascii="宋体" w:hAnsi="宋体" w:eastAsia="Times New Roman" w:cs="宋体"/>
                                <w:kern w:val="0"/>
                                <w:sz w:val="20"/>
                                <w:szCs w:val="20"/>
                              </w:rPr>
                            </w:pPr>
                          </w:p>
                        </w:tc>
                        <w:tc>
                          <w:tcPr>
                            <w:tcW w:w="1792" w:type="dxa"/>
                            <w:tcBorders>
                              <w:top w:val="nil"/>
                              <w:left w:val="single" w:color="000000" w:sz="4" w:space="0"/>
                              <w:bottom w:val="single" w:color="000000" w:sz="4" w:space="0"/>
                              <w:right w:val="single" w:color="000000" w:sz="4" w:space="0"/>
                            </w:tcBorders>
                            <w:noWrap w:val="0"/>
                            <w:vAlign w:val="top"/>
                          </w:tcPr>
                          <w:p w14:paraId="5720D136">
                            <w:pPr>
                              <w:pStyle w:val="56"/>
                              <w:spacing w:line="256" w:lineRule="exact"/>
                              <w:ind w:left="7"/>
                              <w:rPr>
                                <w:rFonts w:ascii="宋体" w:hAnsi="宋体" w:cs="宋体"/>
                                <w:sz w:val="20"/>
                                <w:szCs w:val="20"/>
                              </w:rPr>
                            </w:pPr>
                            <w:r>
                              <w:rPr>
                                <w:rFonts w:hint="eastAsia" w:ascii="宋体" w:hAnsi="宋体" w:cs="宋体"/>
                                <w:w w:val="99"/>
                                <w:sz w:val="20"/>
                                <w:szCs w:val="20"/>
                              </w:rPr>
                              <w:t>（制冷量&gt;14000W）</w:t>
                            </w:r>
                          </w:p>
                        </w:tc>
                        <w:tc>
                          <w:tcPr>
                            <w:tcW w:w="3780" w:type="dxa"/>
                            <w:vMerge w:val="continue"/>
                            <w:tcBorders>
                              <w:left w:val="single" w:color="000000" w:sz="4" w:space="0"/>
                              <w:right w:val="single" w:color="000000" w:sz="4" w:space="0"/>
                            </w:tcBorders>
                            <w:noWrap w:val="0"/>
                            <w:vAlign w:val="top"/>
                          </w:tcPr>
                          <w:p w14:paraId="66A881FC">
                            <w:pPr>
                              <w:pStyle w:val="56"/>
                              <w:spacing w:line="256" w:lineRule="exact"/>
                              <w:rPr>
                                <w:rFonts w:ascii="宋体" w:hAnsi="宋体" w:cs="宋体"/>
                                <w:sz w:val="20"/>
                                <w:szCs w:val="20"/>
                                <w:lang w:eastAsia="zh-CN"/>
                              </w:rPr>
                            </w:pPr>
                          </w:p>
                        </w:tc>
                      </w:tr>
                      <w:tr w14:paraId="3C796C46">
                        <w:tblPrEx>
                          <w:tblCellMar>
                            <w:top w:w="0" w:type="dxa"/>
                            <w:left w:w="0" w:type="dxa"/>
                            <w:bottom w:w="0" w:type="dxa"/>
                            <w:right w:w="0" w:type="dxa"/>
                          </w:tblCellMar>
                        </w:tblPrEx>
                        <w:trPr>
                          <w:trHeight w:val="405" w:hRule="exact"/>
                        </w:trPr>
                        <w:tc>
                          <w:tcPr>
                            <w:tcW w:w="570" w:type="dxa"/>
                            <w:vMerge w:val="continue"/>
                            <w:tcBorders>
                              <w:top w:val="single" w:color="000000" w:sz="4" w:space="0"/>
                              <w:left w:val="single" w:color="000000" w:sz="4" w:space="0"/>
                              <w:bottom w:val="single" w:color="000000" w:sz="4" w:space="0"/>
                              <w:right w:val="single" w:color="000000" w:sz="4" w:space="0"/>
                            </w:tcBorders>
                            <w:noWrap w:val="0"/>
                            <w:vAlign w:val="center"/>
                          </w:tcPr>
                          <w:p w14:paraId="640BC525">
                            <w:pPr>
                              <w:widowControl/>
                              <w:jc w:val="left"/>
                              <w:rPr>
                                <w:rFonts w:ascii="Calibri" w:hAnsi="Calibri" w:eastAsia="Times New Roman"/>
                                <w:sz w:val="22"/>
                                <w:szCs w:val="22"/>
                                <w:lang w:eastAsia="en-US"/>
                              </w:rPr>
                            </w:pPr>
                          </w:p>
                        </w:tc>
                        <w:tc>
                          <w:tcPr>
                            <w:tcW w:w="1163" w:type="dxa"/>
                            <w:vMerge w:val="continue"/>
                            <w:tcBorders>
                              <w:top w:val="single" w:color="000000" w:sz="4" w:space="0"/>
                              <w:left w:val="single" w:color="000000" w:sz="4" w:space="0"/>
                              <w:bottom w:val="single" w:color="000000" w:sz="4" w:space="0"/>
                              <w:right w:val="single" w:color="000000" w:sz="4" w:space="0"/>
                            </w:tcBorders>
                            <w:noWrap w:val="0"/>
                            <w:vAlign w:val="center"/>
                          </w:tcPr>
                          <w:p w14:paraId="605856CF">
                            <w:pPr>
                              <w:widowControl/>
                              <w:jc w:val="left"/>
                              <w:rPr>
                                <w:rFonts w:ascii="Calibri" w:hAnsi="Calibri" w:eastAsia="Times New Roman"/>
                                <w:sz w:val="22"/>
                                <w:szCs w:val="22"/>
                                <w:lang w:eastAsia="en-US"/>
                              </w:rPr>
                            </w:pPr>
                          </w:p>
                        </w:tc>
                        <w:tc>
                          <w:tcPr>
                            <w:tcW w:w="1800" w:type="dxa"/>
                            <w:tcBorders>
                              <w:top w:val="single" w:color="000000" w:sz="4" w:space="0"/>
                              <w:left w:val="single" w:color="000000" w:sz="4" w:space="0"/>
                              <w:bottom w:val="nil"/>
                              <w:right w:val="single" w:color="000000" w:sz="4" w:space="0"/>
                            </w:tcBorders>
                            <w:noWrap w:val="0"/>
                            <w:vAlign w:val="top"/>
                          </w:tcPr>
                          <w:p w14:paraId="5209C2AD">
                            <w:pPr>
                              <w:pStyle w:val="56"/>
                              <w:spacing w:before="83"/>
                              <w:ind w:left="7"/>
                              <w:rPr>
                                <w:rFonts w:ascii="宋体" w:hAnsi="宋体" w:cs="宋体"/>
                                <w:sz w:val="20"/>
                                <w:szCs w:val="20"/>
                              </w:rPr>
                            </w:pPr>
                            <w:r>
                              <w:rPr>
                                <w:rFonts w:hint="eastAsia" w:ascii="宋体" w:hAnsi="宋体" w:cs="宋体"/>
                                <w:w w:val="99"/>
                                <w:sz w:val="20"/>
                                <w:szCs w:val="20"/>
                              </w:rPr>
                              <w:t>★A02052309专用制</w:t>
                            </w:r>
                          </w:p>
                        </w:tc>
                        <w:tc>
                          <w:tcPr>
                            <w:tcW w:w="1792" w:type="dxa"/>
                            <w:vMerge w:val="restart"/>
                            <w:tcBorders>
                              <w:top w:val="single" w:color="000000" w:sz="4" w:space="0"/>
                              <w:left w:val="single" w:color="000000" w:sz="4" w:space="0"/>
                              <w:bottom w:val="single" w:color="000000" w:sz="4" w:space="0"/>
                              <w:right w:val="single" w:color="000000" w:sz="4" w:space="0"/>
                            </w:tcBorders>
                            <w:noWrap w:val="0"/>
                            <w:vAlign w:val="top"/>
                          </w:tcPr>
                          <w:p w14:paraId="41F1C670">
                            <w:pPr>
                              <w:pStyle w:val="56"/>
                              <w:spacing w:before="1"/>
                              <w:rPr>
                                <w:rFonts w:ascii="宋体" w:hAnsi="宋体" w:cs="宋体"/>
                                <w:sz w:val="18"/>
                                <w:szCs w:val="18"/>
                              </w:rPr>
                            </w:pPr>
                          </w:p>
                          <w:p w14:paraId="5416FD90">
                            <w:pPr>
                              <w:pStyle w:val="56"/>
                              <w:ind w:left="7"/>
                              <w:rPr>
                                <w:rFonts w:ascii="宋体" w:hAnsi="宋体" w:cs="宋体"/>
                                <w:sz w:val="20"/>
                                <w:szCs w:val="20"/>
                              </w:rPr>
                            </w:pPr>
                            <w:r>
                              <w:rPr>
                                <w:rFonts w:hint="eastAsia" w:ascii="宋体" w:hAnsi="宋体" w:cs="宋体"/>
                                <w:w w:val="99"/>
                                <w:sz w:val="20"/>
                                <w:szCs w:val="20"/>
                              </w:rPr>
                              <w:t>机房空调</w:t>
                            </w:r>
                          </w:p>
                        </w:tc>
                        <w:tc>
                          <w:tcPr>
                            <w:tcW w:w="3780" w:type="dxa"/>
                            <w:tcBorders>
                              <w:top w:val="single" w:color="000000" w:sz="4" w:space="0"/>
                              <w:left w:val="single" w:color="000000" w:sz="4" w:space="0"/>
                              <w:bottom w:val="nil"/>
                              <w:right w:val="single" w:color="000000" w:sz="4" w:space="0"/>
                            </w:tcBorders>
                            <w:noWrap w:val="0"/>
                            <w:vAlign w:val="top"/>
                          </w:tcPr>
                          <w:p w14:paraId="23F5C469">
                            <w:pPr>
                              <w:pStyle w:val="56"/>
                              <w:spacing w:before="83"/>
                              <w:ind w:left="7"/>
                              <w:rPr>
                                <w:rFonts w:ascii="宋体" w:hAnsi="宋体" w:cs="宋体"/>
                                <w:sz w:val="20"/>
                                <w:szCs w:val="20"/>
                                <w:lang w:eastAsia="zh-CN"/>
                              </w:rPr>
                            </w:pPr>
                            <w:r>
                              <w:rPr>
                                <w:rFonts w:hint="eastAsia" w:ascii="宋体" w:hAnsi="宋体" w:cs="宋体"/>
                                <w:w w:val="99"/>
                                <w:sz w:val="20"/>
                                <w:szCs w:val="20"/>
                                <w:lang w:eastAsia="zh-CN"/>
                              </w:rPr>
                              <w:t>《单元式空气调节机能效限定值</w:t>
                            </w:r>
                          </w:p>
                        </w:tc>
                      </w:tr>
                      <w:tr w14:paraId="5D428FB7">
                        <w:tblPrEx>
                          <w:tblCellMar>
                            <w:top w:w="0" w:type="dxa"/>
                            <w:left w:w="0" w:type="dxa"/>
                            <w:bottom w:w="0" w:type="dxa"/>
                            <w:right w:w="0" w:type="dxa"/>
                          </w:tblCellMar>
                        </w:tblPrEx>
                        <w:trPr>
                          <w:trHeight w:val="397" w:hRule="exact"/>
                        </w:trPr>
                        <w:tc>
                          <w:tcPr>
                            <w:tcW w:w="570" w:type="dxa"/>
                            <w:vMerge w:val="continue"/>
                            <w:tcBorders>
                              <w:top w:val="single" w:color="000000" w:sz="4" w:space="0"/>
                              <w:left w:val="single" w:color="000000" w:sz="4" w:space="0"/>
                              <w:bottom w:val="single" w:color="000000" w:sz="4" w:space="0"/>
                              <w:right w:val="single" w:color="000000" w:sz="4" w:space="0"/>
                            </w:tcBorders>
                            <w:noWrap w:val="0"/>
                            <w:vAlign w:val="center"/>
                          </w:tcPr>
                          <w:p w14:paraId="474A9B17">
                            <w:pPr>
                              <w:widowControl/>
                              <w:jc w:val="left"/>
                              <w:rPr>
                                <w:rFonts w:ascii="Calibri" w:hAnsi="Calibri" w:eastAsia="Times New Roman"/>
                                <w:sz w:val="22"/>
                                <w:szCs w:val="22"/>
                              </w:rPr>
                            </w:pPr>
                          </w:p>
                        </w:tc>
                        <w:tc>
                          <w:tcPr>
                            <w:tcW w:w="1163" w:type="dxa"/>
                            <w:vMerge w:val="continue"/>
                            <w:tcBorders>
                              <w:top w:val="single" w:color="000000" w:sz="4" w:space="0"/>
                              <w:left w:val="single" w:color="000000" w:sz="4" w:space="0"/>
                              <w:bottom w:val="single" w:color="000000" w:sz="4" w:space="0"/>
                              <w:right w:val="single" w:color="000000" w:sz="4" w:space="0"/>
                            </w:tcBorders>
                            <w:noWrap w:val="0"/>
                            <w:vAlign w:val="center"/>
                          </w:tcPr>
                          <w:p w14:paraId="3435B884">
                            <w:pPr>
                              <w:widowControl/>
                              <w:jc w:val="left"/>
                              <w:rPr>
                                <w:rFonts w:ascii="Calibri" w:hAnsi="Calibri" w:eastAsia="Times New Roman"/>
                                <w:sz w:val="22"/>
                                <w:szCs w:val="22"/>
                              </w:rPr>
                            </w:pPr>
                          </w:p>
                        </w:tc>
                        <w:tc>
                          <w:tcPr>
                            <w:tcW w:w="1800" w:type="dxa"/>
                            <w:tcBorders>
                              <w:top w:val="nil"/>
                              <w:left w:val="single" w:color="000000" w:sz="4" w:space="0"/>
                              <w:bottom w:val="single" w:color="000000" w:sz="4" w:space="0"/>
                              <w:right w:val="single" w:color="000000" w:sz="4" w:space="0"/>
                            </w:tcBorders>
                            <w:noWrap w:val="0"/>
                            <w:vAlign w:val="top"/>
                          </w:tcPr>
                          <w:p w14:paraId="39F71538">
                            <w:pPr>
                              <w:pStyle w:val="56"/>
                              <w:spacing w:line="254" w:lineRule="exact"/>
                              <w:ind w:left="7"/>
                              <w:rPr>
                                <w:rFonts w:ascii="宋体" w:hAnsi="宋体" w:cs="宋体"/>
                                <w:sz w:val="20"/>
                                <w:szCs w:val="20"/>
                              </w:rPr>
                            </w:pPr>
                            <w:r>
                              <w:rPr>
                                <w:rFonts w:hint="eastAsia" w:ascii="宋体" w:hAnsi="宋体" w:cs="宋体"/>
                                <w:w w:val="99"/>
                                <w:sz w:val="20"/>
                                <w:szCs w:val="20"/>
                              </w:rPr>
                              <w:t>冷、空调设备</w:t>
                            </w:r>
                          </w:p>
                        </w:tc>
                        <w:tc>
                          <w:tcPr>
                            <w:tcW w:w="1792" w:type="dxa"/>
                            <w:vMerge w:val="continue"/>
                            <w:tcBorders>
                              <w:top w:val="single" w:color="000000" w:sz="4" w:space="0"/>
                              <w:left w:val="single" w:color="000000" w:sz="4" w:space="0"/>
                              <w:bottom w:val="single" w:color="000000" w:sz="4" w:space="0"/>
                              <w:right w:val="single" w:color="000000" w:sz="4" w:space="0"/>
                            </w:tcBorders>
                            <w:noWrap w:val="0"/>
                            <w:vAlign w:val="center"/>
                          </w:tcPr>
                          <w:p w14:paraId="57A22B92">
                            <w:pPr>
                              <w:widowControl/>
                              <w:jc w:val="left"/>
                              <w:rPr>
                                <w:rFonts w:ascii="宋体" w:hAnsi="宋体" w:eastAsia="Times New Roman" w:cs="宋体"/>
                                <w:kern w:val="0"/>
                                <w:sz w:val="20"/>
                                <w:szCs w:val="20"/>
                                <w:lang w:eastAsia="en-US"/>
                              </w:rPr>
                            </w:pPr>
                          </w:p>
                        </w:tc>
                        <w:tc>
                          <w:tcPr>
                            <w:tcW w:w="3780" w:type="dxa"/>
                            <w:tcBorders>
                              <w:top w:val="nil"/>
                              <w:left w:val="single" w:color="000000" w:sz="4" w:space="0"/>
                              <w:bottom w:val="single" w:color="000000" w:sz="4" w:space="0"/>
                              <w:right w:val="single" w:color="000000" w:sz="4" w:space="0"/>
                            </w:tcBorders>
                            <w:noWrap w:val="0"/>
                            <w:vAlign w:val="top"/>
                          </w:tcPr>
                          <w:p w14:paraId="2FB6ED9C">
                            <w:pPr>
                              <w:pStyle w:val="56"/>
                              <w:spacing w:line="254" w:lineRule="exact"/>
                              <w:ind w:left="7"/>
                              <w:rPr>
                                <w:rFonts w:ascii="宋体" w:hAnsi="宋体" w:cs="宋体"/>
                                <w:sz w:val="20"/>
                                <w:szCs w:val="20"/>
                                <w:lang w:eastAsia="zh-CN"/>
                              </w:rPr>
                            </w:pPr>
                            <w:r>
                              <w:rPr>
                                <w:rFonts w:hint="eastAsia" w:ascii="宋体" w:hAnsi="宋体" w:cs="宋体"/>
                                <w:w w:val="99"/>
                                <w:sz w:val="20"/>
                                <w:szCs w:val="20"/>
                                <w:lang w:eastAsia="zh-CN"/>
                              </w:rPr>
                              <w:t>及能效等级》（GB19576）</w:t>
                            </w:r>
                          </w:p>
                        </w:tc>
                      </w:tr>
                      <w:tr w14:paraId="071CBB53">
                        <w:tblPrEx>
                          <w:tblCellMar>
                            <w:top w:w="0" w:type="dxa"/>
                            <w:left w:w="0" w:type="dxa"/>
                            <w:bottom w:w="0" w:type="dxa"/>
                            <w:right w:w="0" w:type="dxa"/>
                          </w:tblCellMar>
                        </w:tblPrEx>
                        <w:trPr>
                          <w:trHeight w:val="543" w:hRule="exact"/>
                        </w:trPr>
                        <w:tc>
                          <w:tcPr>
                            <w:tcW w:w="570" w:type="dxa"/>
                            <w:vMerge w:val="continue"/>
                            <w:tcBorders>
                              <w:top w:val="single" w:color="000000" w:sz="4" w:space="0"/>
                              <w:left w:val="single" w:color="000000" w:sz="4" w:space="0"/>
                              <w:bottom w:val="single" w:color="000000" w:sz="4" w:space="0"/>
                              <w:right w:val="single" w:color="000000" w:sz="4" w:space="0"/>
                            </w:tcBorders>
                            <w:noWrap w:val="0"/>
                            <w:vAlign w:val="center"/>
                          </w:tcPr>
                          <w:p w14:paraId="77C07F09">
                            <w:pPr>
                              <w:widowControl/>
                              <w:jc w:val="left"/>
                              <w:rPr>
                                <w:rFonts w:ascii="Calibri" w:hAnsi="Calibri" w:eastAsia="Times New Roman"/>
                                <w:sz w:val="22"/>
                                <w:szCs w:val="22"/>
                              </w:rPr>
                            </w:pPr>
                          </w:p>
                        </w:tc>
                        <w:tc>
                          <w:tcPr>
                            <w:tcW w:w="1163" w:type="dxa"/>
                            <w:vMerge w:val="continue"/>
                            <w:tcBorders>
                              <w:top w:val="single" w:color="000000" w:sz="4" w:space="0"/>
                              <w:left w:val="single" w:color="000000" w:sz="4" w:space="0"/>
                              <w:bottom w:val="single" w:color="000000" w:sz="4" w:space="0"/>
                              <w:right w:val="single" w:color="000000" w:sz="4" w:space="0"/>
                            </w:tcBorders>
                            <w:noWrap w:val="0"/>
                            <w:vAlign w:val="center"/>
                          </w:tcPr>
                          <w:p w14:paraId="234C745E">
                            <w:pPr>
                              <w:widowControl/>
                              <w:jc w:val="left"/>
                              <w:rPr>
                                <w:rFonts w:ascii="Calibri" w:hAnsi="Calibri" w:eastAsia="Times New Roman"/>
                                <w:sz w:val="22"/>
                                <w:szCs w:val="22"/>
                              </w:rPr>
                            </w:pPr>
                          </w:p>
                        </w:tc>
                        <w:tc>
                          <w:tcPr>
                            <w:tcW w:w="1800" w:type="dxa"/>
                            <w:tcBorders>
                              <w:top w:val="single" w:color="000000" w:sz="4" w:space="0"/>
                              <w:left w:val="single" w:color="000000" w:sz="4" w:space="0"/>
                              <w:bottom w:val="nil"/>
                              <w:right w:val="single" w:color="000000" w:sz="4" w:space="0"/>
                            </w:tcBorders>
                            <w:noWrap w:val="0"/>
                            <w:vAlign w:val="top"/>
                          </w:tcPr>
                          <w:p w14:paraId="36453A04">
                            <w:pPr>
                              <w:pStyle w:val="56"/>
                              <w:rPr>
                                <w:rFonts w:ascii="宋体" w:hAnsi="宋体" w:cs="宋体"/>
                                <w:sz w:val="20"/>
                                <w:szCs w:val="20"/>
                                <w:lang w:eastAsia="zh-CN"/>
                              </w:rPr>
                            </w:pPr>
                          </w:p>
                          <w:p w14:paraId="5D9B59B6">
                            <w:pPr>
                              <w:pStyle w:val="56"/>
                              <w:spacing w:before="9"/>
                              <w:rPr>
                                <w:rFonts w:hint="eastAsia" w:ascii="宋体" w:hAnsi="宋体" w:cs="宋体"/>
                                <w:sz w:val="20"/>
                                <w:szCs w:val="20"/>
                                <w:lang w:eastAsia="zh-CN"/>
                              </w:rPr>
                            </w:pPr>
                          </w:p>
                          <w:p w14:paraId="61F7338C">
                            <w:pPr>
                              <w:pStyle w:val="56"/>
                              <w:ind w:left="7"/>
                              <w:rPr>
                                <w:rFonts w:ascii="宋体" w:hAnsi="宋体" w:cs="宋体"/>
                                <w:sz w:val="20"/>
                                <w:szCs w:val="20"/>
                              </w:rPr>
                            </w:pPr>
                            <w:r>
                              <w:rPr>
                                <w:rFonts w:hint="eastAsia" w:ascii="宋体" w:hAnsi="宋体" w:cs="宋体"/>
                                <w:w w:val="99"/>
                                <w:sz w:val="20"/>
                                <w:szCs w:val="20"/>
                              </w:rPr>
                              <w:t>A02052399其他制冷</w:t>
                            </w:r>
                          </w:p>
                        </w:tc>
                        <w:tc>
                          <w:tcPr>
                            <w:tcW w:w="1792" w:type="dxa"/>
                            <w:vMerge w:val="restart"/>
                            <w:tcBorders>
                              <w:top w:val="single" w:color="000000" w:sz="4" w:space="0"/>
                              <w:left w:val="single" w:color="000000" w:sz="4" w:space="0"/>
                              <w:bottom w:val="single" w:color="000000" w:sz="4" w:space="0"/>
                              <w:right w:val="single" w:color="000000" w:sz="4" w:space="0"/>
                            </w:tcBorders>
                            <w:noWrap w:val="0"/>
                            <w:vAlign w:val="top"/>
                          </w:tcPr>
                          <w:p w14:paraId="1620D8D4">
                            <w:pPr>
                              <w:pStyle w:val="56"/>
                              <w:rPr>
                                <w:rFonts w:ascii="宋体" w:hAnsi="宋体" w:cs="宋体"/>
                                <w:sz w:val="20"/>
                                <w:szCs w:val="20"/>
                              </w:rPr>
                            </w:pPr>
                          </w:p>
                          <w:p w14:paraId="3C233B8B">
                            <w:pPr>
                              <w:pStyle w:val="56"/>
                              <w:rPr>
                                <w:rFonts w:hint="eastAsia" w:ascii="宋体" w:hAnsi="宋体" w:cs="宋体"/>
                                <w:sz w:val="20"/>
                                <w:szCs w:val="20"/>
                              </w:rPr>
                            </w:pPr>
                          </w:p>
                          <w:p w14:paraId="05669D12">
                            <w:pPr>
                              <w:pStyle w:val="56"/>
                              <w:spacing w:before="164"/>
                              <w:ind w:left="7"/>
                              <w:rPr>
                                <w:rFonts w:ascii="宋体" w:hAnsi="宋体" w:cs="宋体"/>
                                <w:sz w:val="20"/>
                                <w:szCs w:val="20"/>
                              </w:rPr>
                            </w:pPr>
                            <w:r>
                              <w:rPr>
                                <w:rFonts w:hint="eastAsia" w:ascii="宋体" w:hAnsi="宋体" w:cs="宋体"/>
                                <w:w w:val="99"/>
                                <w:sz w:val="20"/>
                                <w:szCs w:val="20"/>
                              </w:rPr>
                              <w:t>冷却塔</w:t>
                            </w:r>
                          </w:p>
                        </w:tc>
                        <w:tc>
                          <w:tcPr>
                            <w:tcW w:w="3780" w:type="dxa"/>
                            <w:vMerge w:val="restart"/>
                            <w:tcBorders>
                              <w:top w:val="single" w:color="000000" w:sz="4" w:space="0"/>
                              <w:left w:val="single" w:color="000000" w:sz="4" w:space="0"/>
                              <w:right w:val="single" w:color="000000" w:sz="4" w:space="0"/>
                            </w:tcBorders>
                            <w:noWrap w:val="0"/>
                            <w:vAlign w:val="top"/>
                          </w:tcPr>
                          <w:p w14:paraId="26F28B58">
                            <w:pPr>
                              <w:pStyle w:val="56"/>
                              <w:spacing w:before="11"/>
                              <w:rPr>
                                <w:rFonts w:ascii="宋体" w:hAnsi="宋体" w:cs="宋体"/>
                                <w:sz w:val="16"/>
                                <w:szCs w:val="16"/>
                                <w:lang w:eastAsia="zh-CN"/>
                              </w:rPr>
                            </w:pPr>
                          </w:p>
                          <w:p w14:paraId="02B9F353">
                            <w:pPr>
                              <w:pStyle w:val="56"/>
                              <w:ind w:left="7"/>
                              <w:rPr>
                                <w:rFonts w:ascii="宋体" w:hAnsi="宋体" w:cs="宋体"/>
                                <w:sz w:val="20"/>
                                <w:szCs w:val="20"/>
                                <w:lang w:eastAsia="zh-CN"/>
                              </w:rPr>
                            </w:pPr>
                            <w:r>
                              <w:rPr>
                                <w:rFonts w:hint="eastAsia" w:ascii="宋体" w:hAnsi="宋体" w:cs="宋体"/>
                                <w:w w:val="99"/>
                                <w:sz w:val="20"/>
                                <w:szCs w:val="20"/>
                                <w:lang w:eastAsia="zh-CN"/>
                              </w:rPr>
                              <w:t>《机械通风冷却塔第1部分：中小型开式冷却塔》（GB/T7190.1）</w:t>
                            </w:r>
                          </w:p>
                          <w:p w14:paraId="0D975F76">
                            <w:pPr>
                              <w:pStyle w:val="56"/>
                              <w:spacing w:line="256" w:lineRule="exact"/>
                              <w:rPr>
                                <w:rFonts w:ascii="宋体" w:hAnsi="宋体" w:cs="宋体"/>
                                <w:sz w:val="20"/>
                                <w:szCs w:val="20"/>
                                <w:lang w:eastAsia="zh-CN"/>
                              </w:rPr>
                            </w:pPr>
                            <w:r>
                              <w:rPr>
                                <w:rFonts w:hint="eastAsia" w:ascii="宋体" w:hAnsi="宋体" w:cs="宋体"/>
                                <w:w w:val="99"/>
                                <w:sz w:val="20"/>
                                <w:szCs w:val="20"/>
                                <w:lang w:eastAsia="zh-CN"/>
                              </w:rPr>
                              <w:t>《机械通风冷却塔第2部分：大型开式冷却塔》（GB/T7190.2）</w:t>
                            </w:r>
                          </w:p>
                        </w:tc>
                      </w:tr>
                      <w:tr w14:paraId="196CC08D">
                        <w:tblPrEx>
                          <w:tblCellMar>
                            <w:top w:w="0" w:type="dxa"/>
                            <w:left w:w="0" w:type="dxa"/>
                            <w:bottom w:w="0" w:type="dxa"/>
                            <w:right w:w="0" w:type="dxa"/>
                          </w:tblCellMar>
                        </w:tblPrEx>
                        <w:trPr>
                          <w:trHeight w:val="717" w:hRule="exact"/>
                        </w:trPr>
                        <w:tc>
                          <w:tcPr>
                            <w:tcW w:w="570" w:type="dxa"/>
                            <w:vMerge w:val="continue"/>
                            <w:tcBorders>
                              <w:top w:val="single" w:color="000000" w:sz="4" w:space="0"/>
                              <w:left w:val="single" w:color="000000" w:sz="4" w:space="0"/>
                              <w:bottom w:val="single" w:color="000000" w:sz="4" w:space="0"/>
                              <w:right w:val="single" w:color="000000" w:sz="4" w:space="0"/>
                            </w:tcBorders>
                            <w:noWrap w:val="0"/>
                            <w:vAlign w:val="center"/>
                          </w:tcPr>
                          <w:p w14:paraId="215696B6">
                            <w:pPr>
                              <w:widowControl/>
                              <w:jc w:val="left"/>
                              <w:rPr>
                                <w:rFonts w:ascii="Calibri" w:hAnsi="Calibri" w:eastAsia="Times New Roman"/>
                                <w:sz w:val="22"/>
                                <w:szCs w:val="22"/>
                              </w:rPr>
                            </w:pPr>
                          </w:p>
                        </w:tc>
                        <w:tc>
                          <w:tcPr>
                            <w:tcW w:w="1163" w:type="dxa"/>
                            <w:vMerge w:val="continue"/>
                            <w:tcBorders>
                              <w:top w:val="single" w:color="000000" w:sz="4" w:space="0"/>
                              <w:left w:val="single" w:color="000000" w:sz="4" w:space="0"/>
                              <w:bottom w:val="single" w:color="000000" w:sz="4" w:space="0"/>
                              <w:right w:val="single" w:color="000000" w:sz="4" w:space="0"/>
                            </w:tcBorders>
                            <w:noWrap w:val="0"/>
                            <w:vAlign w:val="center"/>
                          </w:tcPr>
                          <w:p w14:paraId="27974BEA">
                            <w:pPr>
                              <w:widowControl/>
                              <w:jc w:val="left"/>
                              <w:rPr>
                                <w:rFonts w:ascii="Calibri" w:hAnsi="Calibri" w:eastAsia="Times New Roman"/>
                                <w:sz w:val="22"/>
                                <w:szCs w:val="22"/>
                              </w:rPr>
                            </w:pPr>
                          </w:p>
                        </w:tc>
                        <w:tc>
                          <w:tcPr>
                            <w:tcW w:w="1800" w:type="dxa"/>
                            <w:tcBorders>
                              <w:top w:val="nil"/>
                              <w:left w:val="single" w:color="000000" w:sz="4" w:space="0"/>
                              <w:bottom w:val="single" w:color="000000" w:sz="4" w:space="0"/>
                              <w:right w:val="single" w:color="000000" w:sz="4" w:space="0"/>
                            </w:tcBorders>
                            <w:noWrap w:val="0"/>
                            <w:vAlign w:val="top"/>
                          </w:tcPr>
                          <w:p w14:paraId="5463BD7E">
                            <w:pPr>
                              <w:pStyle w:val="56"/>
                              <w:spacing w:line="256" w:lineRule="exact"/>
                              <w:ind w:left="7"/>
                              <w:rPr>
                                <w:rFonts w:ascii="宋体" w:hAnsi="宋体" w:cs="宋体"/>
                                <w:sz w:val="20"/>
                                <w:szCs w:val="20"/>
                              </w:rPr>
                            </w:pPr>
                            <w:r>
                              <w:rPr>
                                <w:rFonts w:hint="eastAsia" w:ascii="宋体" w:hAnsi="宋体" w:cs="宋体"/>
                                <w:w w:val="99"/>
                                <w:sz w:val="20"/>
                                <w:szCs w:val="20"/>
                              </w:rPr>
                              <w:t>空调设备</w:t>
                            </w:r>
                          </w:p>
                        </w:tc>
                        <w:tc>
                          <w:tcPr>
                            <w:tcW w:w="1792" w:type="dxa"/>
                            <w:vMerge w:val="continue"/>
                            <w:tcBorders>
                              <w:top w:val="single" w:color="000000" w:sz="4" w:space="0"/>
                              <w:left w:val="single" w:color="000000" w:sz="4" w:space="0"/>
                              <w:bottom w:val="single" w:color="000000" w:sz="4" w:space="0"/>
                              <w:right w:val="single" w:color="000000" w:sz="4" w:space="0"/>
                            </w:tcBorders>
                            <w:noWrap w:val="0"/>
                            <w:vAlign w:val="center"/>
                          </w:tcPr>
                          <w:p w14:paraId="7018B41E">
                            <w:pPr>
                              <w:widowControl/>
                              <w:jc w:val="left"/>
                              <w:rPr>
                                <w:rFonts w:ascii="宋体" w:hAnsi="宋体" w:eastAsia="Times New Roman" w:cs="宋体"/>
                                <w:kern w:val="0"/>
                                <w:sz w:val="20"/>
                                <w:szCs w:val="20"/>
                                <w:lang w:eastAsia="en-US"/>
                              </w:rPr>
                            </w:pPr>
                          </w:p>
                        </w:tc>
                        <w:tc>
                          <w:tcPr>
                            <w:tcW w:w="3780" w:type="dxa"/>
                            <w:vMerge w:val="continue"/>
                            <w:tcBorders>
                              <w:left w:val="single" w:color="000000" w:sz="4" w:space="0"/>
                              <w:right w:val="single" w:color="000000" w:sz="4" w:space="0"/>
                            </w:tcBorders>
                            <w:noWrap w:val="0"/>
                            <w:vAlign w:val="top"/>
                          </w:tcPr>
                          <w:p w14:paraId="44DF8821">
                            <w:pPr>
                              <w:pStyle w:val="56"/>
                              <w:spacing w:line="256" w:lineRule="exact"/>
                              <w:ind w:left="7"/>
                              <w:rPr>
                                <w:rFonts w:ascii="宋体" w:hAnsi="宋体" w:cs="宋体"/>
                                <w:sz w:val="20"/>
                                <w:szCs w:val="20"/>
                                <w:lang w:eastAsia="zh-CN"/>
                              </w:rPr>
                            </w:pPr>
                          </w:p>
                        </w:tc>
                      </w:tr>
                      <w:tr w14:paraId="2CEDA70B">
                        <w:tblPrEx>
                          <w:tblCellMar>
                            <w:top w:w="0" w:type="dxa"/>
                            <w:left w:w="0" w:type="dxa"/>
                            <w:bottom w:w="0" w:type="dxa"/>
                            <w:right w:w="0" w:type="dxa"/>
                          </w:tblCellMar>
                        </w:tblPrEx>
                        <w:trPr>
                          <w:trHeight w:val="742" w:hRule="exact"/>
                        </w:trPr>
                        <w:tc>
                          <w:tcPr>
                            <w:tcW w:w="570" w:type="dxa"/>
                            <w:tcBorders>
                              <w:top w:val="single" w:color="000000" w:sz="4" w:space="0"/>
                              <w:left w:val="single" w:color="000000" w:sz="4" w:space="0"/>
                              <w:bottom w:val="single" w:color="000000" w:sz="4" w:space="0"/>
                              <w:right w:val="single" w:color="000000" w:sz="4" w:space="0"/>
                            </w:tcBorders>
                            <w:noWrap w:val="0"/>
                            <w:vAlign w:val="top"/>
                          </w:tcPr>
                          <w:p w14:paraId="420D9468">
                            <w:pPr>
                              <w:pStyle w:val="56"/>
                              <w:spacing w:before="12"/>
                              <w:rPr>
                                <w:rFonts w:ascii="宋体" w:hAnsi="宋体" w:cs="宋体"/>
                                <w:sz w:val="15"/>
                                <w:szCs w:val="15"/>
                                <w:lang w:eastAsia="zh-CN"/>
                              </w:rPr>
                            </w:pPr>
                          </w:p>
                          <w:p w14:paraId="72275597">
                            <w:pPr>
                              <w:pStyle w:val="56"/>
                              <w:ind w:right="1"/>
                              <w:jc w:val="center"/>
                              <w:rPr>
                                <w:rFonts w:ascii="宋体" w:hAnsi="宋体" w:cs="宋体"/>
                                <w:sz w:val="20"/>
                                <w:szCs w:val="20"/>
                              </w:rPr>
                            </w:pPr>
                            <w:r>
                              <w:rPr>
                                <w:rFonts w:hint="eastAsia" w:ascii="宋体"/>
                                <w:w w:val="99"/>
                                <w:sz w:val="20"/>
                              </w:rPr>
                              <w:t>7</w:t>
                            </w:r>
                          </w:p>
                        </w:tc>
                        <w:tc>
                          <w:tcPr>
                            <w:tcW w:w="1163" w:type="dxa"/>
                            <w:tcBorders>
                              <w:top w:val="single" w:color="000000" w:sz="4" w:space="0"/>
                              <w:left w:val="single" w:color="000000" w:sz="4" w:space="0"/>
                              <w:bottom w:val="single" w:color="000000" w:sz="4" w:space="0"/>
                              <w:right w:val="single" w:color="000000" w:sz="4" w:space="0"/>
                            </w:tcBorders>
                            <w:noWrap w:val="0"/>
                            <w:vAlign w:val="top"/>
                          </w:tcPr>
                          <w:p w14:paraId="1F90C350">
                            <w:pPr>
                              <w:pStyle w:val="56"/>
                              <w:spacing w:before="12"/>
                              <w:rPr>
                                <w:rFonts w:ascii="宋体" w:hAnsi="宋体" w:cs="宋体"/>
                                <w:sz w:val="15"/>
                                <w:szCs w:val="15"/>
                              </w:rPr>
                            </w:pPr>
                          </w:p>
                          <w:p w14:paraId="52175217">
                            <w:pPr>
                              <w:pStyle w:val="56"/>
                              <w:ind w:left="7"/>
                              <w:rPr>
                                <w:rFonts w:ascii="宋体" w:hAnsi="宋体" w:cs="宋体"/>
                                <w:sz w:val="20"/>
                                <w:szCs w:val="20"/>
                              </w:rPr>
                            </w:pPr>
                            <w:r>
                              <w:rPr>
                                <w:rFonts w:hint="eastAsia" w:ascii="宋体" w:hAnsi="宋体" w:cs="宋体"/>
                                <w:w w:val="99"/>
                                <w:sz w:val="20"/>
                                <w:szCs w:val="20"/>
                              </w:rPr>
                              <w:t>A020601电机</w:t>
                            </w:r>
                          </w:p>
                        </w:tc>
                        <w:tc>
                          <w:tcPr>
                            <w:tcW w:w="1800" w:type="dxa"/>
                            <w:tcBorders>
                              <w:top w:val="single" w:color="000000" w:sz="4" w:space="0"/>
                              <w:left w:val="single" w:color="000000" w:sz="4" w:space="0"/>
                              <w:bottom w:val="single" w:color="000000" w:sz="4" w:space="0"/>
                              <w:right w:val="single" w:color="000000" w:sz="4" w:space="0"/>
                            </w:tcBorders>
                            <w:noWrap w:val="0"/>
                            <w:vAlign w:val="top"/>
                          </w:tcPr>
                          <w:p w14:paraId="70AA807F">
                            <w:pPr>
                              <w:rPr>
                                <w:rFonts w:ascii="Calibri" w:hAnsi="Calibri"/>
                                <w:sz w:val="22"/>
                                <w:szCs w:val="22"/>
                              </w:rPr>
                            </w:pPr>
                          </w:p>
                        </w:tc>
                        <w:tc>
                          <w:tcPr>
                            <w:tcW w:w="1792" w:type="dxa"/>
                            <w:tcBorders>
                              <w:top w:val="single" w:color="000000" w:sz="4" w:space="0"/>
                              <w:left w:val="single" w:color="000000" w:sz="4" w:space="0"/>
                              <w:bottom w:val="single" w:color="000000" w:sz="4" w:space="0"/>
                              <w:right w:val="single" w:color="000000" w:sz="4" w:space="0"/>
                            </w:tcBorders>
                            <w:noWrap w:val="0"/>
                            <w:vAlign w:val="top"/>
                          </w:tcPr>
                          <w:p w14:paraId="584E6225">
                            <w:pPr>
                              <w:rPr>
                                <w:rFonts w:ascii="Calibri" w:hAnsi="Calibri"/>
                                <w:sz w:val="22"/>
                                <w:szCs w:val="22"/>
                              </w:rPr>
                            </w:pPr>
                          </w:p>
                        </w:tc>
                        <w:tc>
                          <w:tcPr>
                            <w:tcW w:w="3780" w:type="dxa"/>
                            <w:tcBorders>
                              <w:top w:val="single" w:color="000000" w:sz="4" w:space="0"/>
                              <w:left w:val="single" w:color="000000" w:sz="4" w:space="0"/>
                              <w:bottom w:val="single" w:color="000000" w:sz="4" w:space="0"/>
                              <w:right w:val="single" w:color="000000" w:sz="4" w:space="0"/>
                            </w:tcBorders>
                            <w:noWrap w:val="0"/>
                            <w:vAlign w:val="top"/>
                          </w:tcPr>
                          <w:p w14:paraId="474CE17A">
                            <w:pPr>
                              <w:pStyle w:val="56"/>
                              <w:spacing w:before="52" w:line="280" w:lineRule="auto"/>
                              <w:ind w:left="7" w:right="4"/>
                              <w:rPr>
                                <w:rFonts w:ascii="宋体" w:hAnsi="宋体" w:cs="宋体"/>
                                <w:sz w:val="20"/>
                                <w:szCs w:val="20"/>
                                <w:lang w:eastAsia="zh-CN"/>
                              </w:rPr>
                            </w:pPr>
                            <w:r>
                              <w:rPr>
                                <w:rFonts w:hint="eastAsia" w:ascii="宋体" w:hAnsi="宋体" w:cs="宋体"/>
                                <w:w w:val="99"/>
                                <w:sz w:val="20"/>
                                <w:szCs w:val="20"/>
                                <w:lang w:eastAsia="zh-CN"/>
                              </w:rPr>
                              <w:t>《中小型三相异步电动机能效限定值及能效等级》（GB18613）</w:t>
                            </w:r>
                          </w:p>
                        </w:tc>
                      </w:tr>
                      <w:tr w14:paraId="7A4B9A78">
                        <w:tblPrEx>
                          <w:tblCellMar>
                            <w:top w:w="0" w:type="dxa"/>
                            <w:left w:w="0" w:type="dxa"/>
                            <w:bottom w:w="0" w:type="dxa"/>
                            <w:right w:w="0" w:type="dxa"/>
                          </w:tblCellMar>
                        </w:tblPrEx>
                        <w:trPr>
                          <w:trHeight w:val="353" w:hRule="exact"/>
                        </w:trPr>
                        <w:tc>
                          <w:tcPr>
                            <w:tcW w:w="570" w:type="dxa"/>
                            <w:vMerge w:val="restart"/>
                            <w:tcBorders>
                              <w:top w:val="single" w:color="000000" w:sz="4" w:space="0"/>
                              <w:left w:val="single" w:color="000000" w:sz="4" w:space="0"/>
                              <w:bottom w:val="single" w:color="000000" w:sz="4" w:space="0"/>
                              <w:right w:val="single" w:color="000000" w:sz="4" w:space="0"/>
                            </w:tcBorders>
                            <w:noWrap w:val="0"/>
                            <w:vAlign w:val="top"/>
                          </w:tcPr>
                          <w:p w14:paraId="1BB81F4E">
                            <w:pPr>
                              <w:pStyle w:val="56"/>
                              <w:spacing w:before="3"/>
                              <w:rPr>
                                <w:rFonts w:ascii="宋体" w:hAnsi="宋体" w:cs="宋体"/>
                                <w:sz w:val="14"/>
                                <w:szCs w:val="14"/>
                                <w:lang w:eastAsia="zh-CN"/>
                              </w:rPr>
                            </w:pPr>
                          </w:p>
                          <w:p w14:paraId="5725A127">
                            <w:pPr>
                              <w:pStyle w:val="56"/>
                              <w:ind w:right="1"/>
                              <w:jc w:val="center"/>
                              <w:rPr>
                                <w:rFonts w:ascii="宋体" w:hAnsi="宋体" w:cs="宋体"/>
                                <w:sz w:val="20"/>
                                <w:szCs w:val="20"/>
                              </w:rPr>
                            </w:pPr>
                            <w:r>
                              <w:rPr>
                                <w:rFonts w:hint="eastAsia" w:ascii="宋体"/>
                                <w:w w:val="99"/>
                                <w:sz w:val="20"/>
                              </w:rPr>
                              <w:t>8</w:t>
                            </w:r>
                          </w:p>
                        </w:tc>
                        <w:tc>
                          <w:tcPr>
                            <w:tcW w:w="1163" w:type="dxa"/>
                            <w:tcBorders>
                              <w:top w:val="single" w:color="000000" w:sz="4" w:space="0"/>
                              <w:left w:val="single" w:color="000000" w:sz="4" w:space="0"/>
                              <w:bottom w:val="nil"/>
                              <w:right w:val="single" w:color="000000" w:sz="4" w:space="0"/>
                            </w:tcBorders>
                            <w:noWrap w:val="0"/>
                            <w:vAlign w:val="top"/>
                          </w:tcPr>
                          <w:p w14:paraId="301709D2">
                            <w:pPr>
                              <w:pStyle w:val="56"/>
                              <w:spacing w:before="30"/>
                              <w:ind w:left="7"/>
                              <w:rPr>
                                <w:rFonts w:ascii="宋体" w:hAnsi="宋体" w:cs="宋体"/>
                                <w:sz w:val="20"/>
                                <w:szCs w:val="20"/>
                              </w:rPr>
                            </w:pPr>
                            <w:r>
                              <w:rPr>
                                <w:rFonts w:hint="eastAsia" w:ascii="宋体" w:hAnsi="宋体" w:cs="宋体"/>
                                <w:w w:val="99"/>
                                <w:sz w:val="20"/>
                                <w:szCs w:val="20"/>
                              </w:rPr>
                              <w:t>A020602变压</w:t>
                            </w:r>
                          </w:p>
                        </w:tc>
                        <w:tc>
                          <w:tcPr>
                            <w:tcW w:w="1800" w:type="dxa"/>
                            <w:vMerge w:val="restart"/>
                            <w:tcBorders>
                              <w:top w:val="single" w:color="000000" w:sz="4" w:space="0"/>
                              <w:left w:val="single" w:color="000000" w:sz="4" w:space="0"/>
                              <w:bottom w:val="single" w:color="000000" w:sz="4" w:space="0"/>
                              <w:right w:val="single" w:color="000000" w:sz="4" w:space="0"/>
                            </w:tcBorders>
                            <w:noWrap w:val="0"/>
                            <w:vAlign w:val="top"/>
                          </w:tcPr>
                          <w:p w14:paraId="1D863C38">
                            <w:pPr>
                              <w:pStyle w:val="56"/>
                              <w:spacing w:before="3"/>
                              <w:rPr>
                                <w:rFonts w:ascii="宋体" w:hAnsi="宋体" w:cs="宋体"/>
                                <w:sz w:val="14"/>
                                <w:szCs w:val="14"/>
                              </w:rPr>
                            </w:pPr>
                          </w:p>
                          <w:p w14:paraId="3860FA29">
                            <w:pPr>
                              <w:pStyle w:val="56"/>
                              <w:ind w:left="7"/>
                              <w:rPr>
                                <w:rFonts w:ascii="宋体" w:hAnsi="宋体" w:cs="宋体"/>
                                <w:sz w:val="20"/>
                                <w:szCs w:val="20"/>
                              </w:rPr>
                            </w:pPr>
                            <w:r>
                              <w:rPr>
                                <w:rFonts w:hint="eastAsia" w:ascii="宋体" w:hAnsi="宋体" w:cs="宋体"/>
                                <w:w w:val="99"/>
                                <w:sz w:val="20"/>
                                <w:szCs w:val="20"/>
                              </w:rPr>
                              <w:t>配电变压器</w:t>
                            </w:r>
                          </w:p>
                        </w:tc>
                        <w:tc>
                          <w:tcPr>
                            <w:tcW w:w="1792" w:type="dxa"/>
                            <w:vMerge w:val="restart"/>
                            <w:tcBorders>
                              <w:top w:val="single" w:color="000000" w:sz="4" w:space="0"/>
                              <w:left w:val="single" w:color="000000" w:sz="4" w:space="0"/>
                              <w:bottom w:val="single" w:color="000000" w:sz="4" w:space="0"/>
                              <w:right w:val="single" w:color="000000" w:sz="4" w:space="0"/>
                            </w:tcBorders>
                            <w:noWrap w:val="0"/>
                            <w:vAlign w:val="top"/>
                          </w:tcPr>
                          <w:p w14:paraId="55EBE65F">
                            <w:pPr>
                              <w:rPr>
                                <w:rFonts w:ascii="Calibri" w:hAnsi="Calibri"/>
                                <w:sz w:val="22"/>
                                <w:szCs w:val="22"/>
                              </w:rPr>
                            </w:pPr>
                          </w:p>
                        </w:tc>
                        <w:tc>
                          <w:tcPr>
                            <w:tcW w:w="3780" w:type="dxa"/>
                            <w:tcBorders>
                              <w:top w:val="single" w:color="000000" w:sz="4" w:space="0"/>
                              <w:left w:val="single" w:color="000000" w:sz="4" w:space="0"/>
                              <w:bottom w:val="nil"/>
                              <w:right w:val="single" w:color="000000" w:sz="4" w:space="0"/>
                            </w:tcBorders>
                            <w:noWrap w:val="0"/>
                            <w:vAlign w:val="top"/>
                          </w:tcPr>
                          <w:p w14:paraId="5224E836">
                            <w:pPr>
                              <w:pStyle w:val="56"/>
                              <w:spacing w:before="30"/>
                              <w:ind w:left="7"/>
                              <w:rPr>
                                <w:rFonts w:ascii="宋体" w:hAnsi="宋体" w:cs="宋体"/>
                                <w:sz w:val="20"/>
                                <w:szCs w:val="20"/>
                                <w:lang w:eastAsia="zh-CN"/>
                              </w:rPr>
                            </w:pPr>
                            <w:r>
                              <w:rPr>
                                <w:rFonts w:hint="eastAsia" w:ascii="宋体" w:hAnsi="宋体" w:cs="宋体"/>
                                <w:w w:val="99"/>
                                <w:sz w:val="20"/>
                                <w:szCs w:val="20"/>
                                <w:lang w:eastAsia="zh-CN"/>
                              </w:rPr>
                              <w:t>《三相配电变压器能效限定值及</w:t>
                            </w:r>
                          </w:p>
                        </w:tc>
                      </w:tr>
                      <w:tr w14:paraId="22AB9D5E">
                        <w:tblPrEx>
                          <w:tblCellMar>
                            <w:top w:w="0" w:type="dxa"/>
                            <w:left w:w="0" w:type="dxa"/>
                            <w:bottom w:w="0" w:type="dxa"/>
                            <w:right w:w="0" w:type="dxa"/>
                          </w:tblCellMar>
                        </w:tblPrEx>
                        <w:trPr>
                          <w:trHeight w:val="345" w:hRule="exact"/>
                        </w:trPr>
                        <w:tc>
                          <w:tcPr>
                            <w:tcW w:w="570" w:type="dxa"/>
                            <w:vMerge w:val="continue"/>
                            <w:tcBorders>
                              <w:top w:val="single" w:color="000000" w:sz="4" w:space="0"/>
                              <w:left w:val="single" w:color="000000" w:sz="4" w:space="0"/>
                              <w:bottom w:val="single" w:color="000000" w:sz="4" w:space="0"/>
                              <w:right w:val="single" w:color="000000" w:sz="4" w:space="0"/>
                            </w:tcBorders>
                            <w:noWrap w:val="0"/>
                            <w:vAlign w:val="center"/>
                          </w:tcPr>
                          <w:p w14:paraId="41D9B022">
                            <w:pPr>
                              <w:widowControl/>
                              <w:jc w:val="left"/>
                              <w:rPr>
                                <w:rFonts w:ascii="宋体" w:hAnsi="宋体" w:eastAsia="Times New Roman" w:cs="宋体"/>
                                <w:kern w:val="0"/>
                                <w:sz w:val="20"/>
                                <w:szCs w:val="20"/>
                              </w:rPr>
                            </w:pPr>
                          </w:p>
                        </w:tc>
                        <w:tc>
                          <w:tcPr>
                            <w:tcW w:w="1163" w:type="dxa"/>
                            <w:tcBorders>
                              <w:top w:val="nil"/>
                              <w:left w:val="single" w:color="000000" w:sz="4" w:space="0"/>
                              <w:bottom w:val="single" w:color="000000" w:sz="4" w:space="0"/>
                              <w:right w:val="single" w:color="000000" w:sz="4" w:space="0"/>
                            </w:tcBorders>
                            <w:noWrap w:val="0"/>
                            <w:vAlign w:val="top"/>
                          </w:tcPr>
                          <w:p w14:paraId="27130C81">
                            <w:pPr>
                              <w:pStyle w:val="56"/>
                              <w:spacing w:line="256" w:lineRule="exact"/>
                              <w:ind w:left="7"/>
                              <w:rPr>
                                <w:rFonts w:ascii="宋体" w:hAnsi="宋体" w:cs="宋体"/>
                                <w:sz w:val="20"/>
                                <w:szCs w:val="20"/>
                              </w:rPr>
                            </w:pPr>
                            <w:r>
                              <w:rPr>
                                <w:rFonts w:hint="eastAsia" w:ascii="宋体" w:hAnsi="宋体" w:cs="宋体"/>
                                <w:w w:val="99"/>
                                <w:sz w:val="20"/>
                                <w:szCs w:val="20"/>
                              </w:rPr>
                              <w:t>器</w:t>
                            </w:r>
                          </w:p>
                        </w:tc>
                        <w:tc>
                          <w:tcPr>
                            <w:tcW w:w="1800" w:type="dxa"/>
                            <w:vMerge w:val="continue"/>
                            <w:tcBorders>
                              <w:top w:val="single" w:color="000000" w:sz="4" w:space="0"/>
                              <w:left w:val="single" w:color="000000" w:sz="4" w:space="0"/>
                              <w:bottom w:val="single" w:color="000000" w:sz="4" w:space="0"/>
                              <w:right w:val="single" w:color="000000" w:sz="4" w:space="0"/>
                            </w:tcBorders>
                            <w:noWrap w:val="0"/>
                            <w:vAlign w:val="center"/>
                          </w:tcPr>
                          <w:p w14:paraId="6F94628A">
                            <w:pPr>
                              <w:widowControl/>
                              <w:jc w:val="left"/>
                              <w:rPr>
                                <w:rFonts w:ascii="宋体" w:hAnsi="宋体" w:eastAsia="Times New Roman" w:cs="宋体"/>
                                <w:kern w:val="0"/>
                                <w:sz w:val="20"/>
                                <w:szCs w:val="20"/>
                                <w:lang w:eastAsia="en-US"/>
                              </w:rPr>
                            </w:pPr>
                          </w:p>
                        </w:tc>
                        <w:tc>
                          <w:tcPr>
                            <w:tcW w:w="1792" w:type="dxa"/>
                            <w:vMerge w:val="continue"/>
                            <w:tcBorders>
                              <w:top w:val="single" w:color="000000" w:sz="4" w:space="0"/>
                              <w:left w:val="single" w:color="000000" w:sz="4" w:space="0"/>
                              <w:bottom w:val="single" w:color="000000" w:sz="4" w:space="0"/>
                              <w:right w:val="single" w:color="000000" w:sz="4" w:space="0"/>
                            </w:tcBorders>
                            <w:noWrap w:val="0"/>
                            <w:vAlign w:val="center"/>
                          </w:tcPr>
                          <w:p w14:paraId="6FC08DAA">
                            <w:pPr>
                              <w:widowControl/>
                              <w:jc w:val="left"/>
                              <w:rPr>
                                <w:rFonts w:ascii="Calibri" w:hAnsi="Calibri" w:eastAsia="Times New Roman"/>
                                <w:sz w:val="22"/>
                                <w:szCs w:val="22"/>
                                <w:lang w:eastAsia="en-US"/>
                              </w:rPr>
                            </w:pPr>
                          </w:p>
                        </w:tc>
                        <w:tc>
                          <w:tcPr>
                            <w:tcW w:w="3780" w:type="dxa"/>
                            <w:tcBorders>
                              <w:top w:val="nil"/>
                              <w:left w:val="single" w:color="000000" w:sz="4" w:space="0"/>
                              <w:bottom w:val="single" w:color="000000" w:sz="4" w:space="0"/>
                              <w:right w:val="single" w:color="000000" w:sz="4" w:space="0"/>
                            </w:tcBorders>
                            <w:noWrap w:val="0"/>
                            <w:vAlign w:val="top"/>
                          </w:tcPr>
                          <w:p w14:paraId="72D7E192">
                            <w:pPr>
                              <w:pStyle w:val="56"/>
                              <w:spacing w:line="256" w:lineRule="exact"/>
                              <w:ind w:left="7"/>
                              <w:rPr>
                                <w:rFonts w:ascii="宋体" w:hAnsi="宋体" w:cs="宋体"/>
                                <w:sz w:val="20"/>
                                <w:szCs w:val="20"/>
                              </w:rPr>
                            </w:pPr>
                            <w:r>
                              <w:rPr>
                                <w:rFonts w:hint="eastAsia" w:ascii="宋体" w:hAnsi="宋体" w:cs="宋体"/>
                                <w:w w:val="99"/>
                                <w:sz w:val="20"/>
                                <w:szCs w:val="20"/>
                              </w:rPr>
                              <w:t>能效等级》（GB20052）</w:t>
                            </w:r>
                          </w:p>
                        </w:tc>
                      </w:tr>
                      <w:tr w14:paraId="74E67665">
                        <w:tblPrEx>
                          <w:tblCellMar>
                            <w:top w:w="0" w:type="dxa"/>
                            <w:left w:w="0" w:type="dxa"/>
                            <w:bottom w:w="0" w:type="dxa"/>
                            <w:right w:w="0" w:type="dxa"/>
                          </w:tblCellMar>
                        </w:tblPrEx>
                        <w:trPr>
                          <w:trHeight w:val="449" w:hRule="exact"/>
                        </w:trPr>
                        <w:tc>
                          <w:tcPr>
                            <w:tcW w:w="570" w:type="dxa"/>
                            <w:vMerge w:val="restart"/>
                            <w:tcBorders>
                              <w:top w:val="single" w:color="000000" w:sz="4" w:space="0"/>
                              <w:left w:val="single" w:color="000000" w:sz="4" w:space="0"/>
                              <w:bottom w:val="single" w:color="000000" w:sz="4" w:space="0"/>
                              <w:right w:val="single" w:color="000000" w:sz="4" w:space="0"/>
                            </w:tcBorders>
                            <w:noWrap w:val="0"/>
                            <w:vAlign w:val="top"/>
                          </w:tcPr>
                          <w:p w14:paraId="216782C9">
                            <w:pPr>
                              <w:pStyle w:val="56"/>
                              <w:spacing w:before="8"/>
                              <w:rPr>
                                <w:rFonts w:ascii="宋体" w:hAnsi="宋体" w:cs="宋体"/>
                                <w:sz w:val="21"/>
                                <w:szCs w:val="21"/>
                              </w:rPr>
                            </w:pPr>
                          </w:p>
                          <w:p w14:paraId="2AC9838D">
                            <w:pPr>
                              <w:pStyle w:val="56"/>
                              <w:ind w:right="1"/>
                              <w:jc w:val="center"/>
                              <w:rPr>
                                <w:rFonts w:ascii="宋体" w:hAnsi="宋体" w:cs="宋体"/>
                                <w:sz w:val="20"/>
                                <w:szCs w:val="20"/>
                              </w:rPr>
                            </w:pPr>
                            <w:r>
                              <w:rPr>
                                <w:rFonts w:hint="eastAsia" w:ascii="宋体"/>
                                <w:w w:val="99"/>
                                <w:sz w:val="20"/>
                              </w:rPr>
                              <w:t>9</w:t>
                            </w:r>
                          </w:p>
                        </w:tc>
                        <w:tc>
                          <w:tcPr>
                            <w:tcW w:w="1163" w:type="dxa"/>
                            <w:tcBorders>
                              <w:top w:val="single" w:color="000000" w:sz="4" w:space="0"/>
                              <w:left w:val="single" w:color="000000" w:sz="4" w:space="0"/>
                              <w:bottom w:val="nil"/>
                              <w:right w:val="single" w:color="000000" w:sz="4" w:space="0"/>
                            </w:tcBorders>
                            <w:noWrap w:val="0"/>
                            <w:vAlign w:val="top"/>
                          </w:tcPr>
                          <w:p w14:paraId="0B3592D0">
                            <w:pPr>
                              <w:pStyle w:val="56"/>
                              <w:spacing w:before="126"/>
                              <w:ind w:left="7"/>
                              <w:rPr>
                                <w:rFonts w:ascii="宋体" w:hAnsi="宋体" w:cs="宋体"/>
                                <w:sz w:val="20"/>
                                <w:szCs w:val="20"/>
                              </w:rPr>
                            </w:pPr>
                            <w:r>
                              <w:rPr>
                                <w:rFonts w:hint="eastAsia" w:ascii="宋体" w:hAnsi="宋体" w:cs="宋体"/>
                                <w:w w:val="99"/>
                                <w:sz w:val="20"/>
                                <w:szCs w:val="20"/>
                              </w:rPr>
                              <w:t>★A020609镇</w:t>
                            </w:r>
                          </w:p>
                        </w:tc>
                        <w:tc>
                          <w:tcPr>
                            <w:tcW w:w="1800" w:type="dxa"/>
                            <w:vMerge w:val="restart"/>
                            <w:tcBorders>
                              <w:top w:val="single" w:color="000000" w:sz="4" w:space="0"/>
                              <w:left w:val="single" w:color="000000" w:sz="4" w:space="0"/>
                              <w:bottom w:val="single" w:color="000000" w:sz="4" w:space="0"/>
                              <w:right w:val="single" w:color="000000" w:sz="4" w:space="0"/>
                            </w:tcBorders>
                            <w:noWrap w:val="0"/>
                            <w:vAlign w:val="top"/>
                          </w:tcPr>
                          <w:p w14:paraId="408456A0">
                            <w:pPr>
                              <w:pStyle w:val="56"/>
                              <w:spacing w:before="8"/>
                              <w:rPr>
                                <w:rFonts w:ascii="宋体" w:hAnsi="宋体" w:cs="宋体"/>
                                <w:sz w:val="21"/>
                                <w:szCs w:val="21"/>
                              </w:rPr>
                            </w:pPr>
                          </w:p>
                          <w:p w14:paraId="5B9C340F">
                            <w:pPr>
                              <w:pStyle w:val="56"/>
                              <w:ind w:left="7"/>
                              <w:rPr>
                                <w:rFonts w:ascii="宋体" w:hAnsi="宋体" w:cs="宋体"/>
                                <w:sz w:val="20"/>
                                <w:szCs w:val="20"/>
                              </w:rPr>
                            </w:pPr>
                            <w:r>
                              <w:rPr>
                                <w:rFonts w:hint="eastAsia" w:ascii="宋体" w:hAnsi="宋体" w:cs="宋体"/>
                                <w:w w:val="99"/>
                                <w:sz w:val="20"/>
                                <w:szCs w:val="20"/>
                              </w:rPr>
                              <w:t>管型荧光灯镇流器</w:t>
                            </w:r>
                          </w:p>
                        </w:tc>
                        <w:tc>
                          <w:tcPr>
                            <w:tcW w:w="1792" w:type="dxa"/>
                            <w:vMerge w:val="restart"/>
                            <w:tcBorders>
                              <w:top w:val="single" w:color="000000" w:sz="4" w:space="0"/>
                              <w:left w:val="single" w:color="000000" w:sz="4" w:space="0"/>
                              <w:bottom w:val="single" w:color="000000" w:sz="4" w:space="0"/>
                              <w:right w:val="single" w:color="000000" w:sz="4" w:space="0"/>
                            </w:tcBorders>
                            <w:noWrap w:val="0"/>
                            <w:vAlign w:val="top"/>
                          </w:tcPr>
                          <w:p w14:paraId="2D7E9CDF">
                            <w:pPr>
                              <w:rPr>
                                <w:rFonts w:ascii="Calibri" w:hAnsi="Calibri"/>
                                <w:sz w:val="22"/>
                                <w:szCs w:val="22"/>
                              </w:rPr>
                            </w:pPr>
                          </w:p>
                        </w:tc>
                        <w:tc>
                          <w:tcPr>
                            <w:tcW w:w="3780" w:type="dxa"/>
                            <w:vMerge w:val="restart"/>
                            <w:tcBorders>
                              <w:top w:val="single" w:color="000000" w:sz="4" w:space="0"/>
                              <w:left w:val="single" w:color="000000" w:sz="4" w:space="0"/>
                              <w:right w:val="single" w:color="000000" w:sz="4" w:space="0"/>
                            </w:tcBorders>
                            <w:noWrap w:val="0"/>
                            <w:vAlign w:val="top"/>
                          </w:tcPr>
                          <w:p w14:paraId="5F2E1C45">
                            <w:pPr>
                              <w:pStyle w:val="56"/>
                              <w:spacing w:before="126"/>
                              <w:ind w:left="7"/>
                              <w:rPr>
                                <w:rFonts w:ascii="宋体" w:hAnsi="宋体" w:cs="宋体"/>
                                <w:sz w:val="20"/>
                                <w:szCs w:val="20"/>
                                <w:lang w:eastAsia="zh-CN"/>
                              </w:rPr>
                            </w:pPr>
                            <w:r>
                              <w:rPr>
                                <w:rFonts w:hint="eastAsia" w:ascii="宋体" w:hAnsi="宋体" w:cs="宋体"/>
                                <w:w w:val="99"/>
                                <w:sz w:val="20"/>
                                <w:szCs w:val="20"/>
                                <w:lang w:eastAsia="zh-CN"/>
                              </w:rPr>
                              <w:t>《管形荧光灯镇流器能效限定值及能效等级》（GB17896）</w:t>
                            </w:r>
                          </w:p>
                        </w:tc>
                      </w:tr>
                      <w:tr w14:paraId="69B00A8F">
                        <w:tblPrEx>
                          <w:tblCellMar>
                            <w:top w:w="0" w:type="dxa"/>
                            <w:left w:w="0" w:type="dxa"/>
                            <w:bottom w:w="0" w:type="dxa"/>
                            <w:right w:w="0" w:type="dxa"/>
                          </w:tblCellMar>
                        </w:tblPrEx>
                        <w:trPr>
                          <w:trHeight w:val="441" w:hRule="exact"/>
                        </w:trPr>
                        <w:tc>
                          <w:tcPr>
                            <w:tcW w:w="570" w:type="dxa"/>
                            <w:vMerge w:val="continue"/>
                            <w:tcBorders>
                              <w:top w:val="single" w:color="000000" w:sz="4" w:space="0"/>
                              <w:left w:val="single" w:color="000000" w:sz="4" w:space="0"/>
                              <w:bottom w:val="single" w:color="000000" w:sz="4" w:space="0"/>
                              <w:right w:val="single" w:color="000000" w:sz="4" w:space="0"/>
                            </w:tcBorders>
                            <w:noWrap w:val="0"/>
                            <w:vAlign w:val="center"/>
                          </w:tcPr>
                          <w:p w14:paraId="7234CE0C">
                            <w:pPr>
                              <w:widowControl/>
                              <w:jc w:val="left"/>
                              <w:rPr>
                                <w:rFonts w:ascii="宋体" w:hAnsi="宋体" w:eastAsia="Times New Roman" w:cs="宋体"/>
                                <w:kern w:val="0"/>
                                <w:sz w:val="20"/>
                                <w:szCs w:val="20"/>
                              </w:rPr>
                            </w:pPr>
                          </w:p>
                        </w:tc>
                        <w:tc>
                          <w:tcPr>
                            <w:tcW w:w="1163" w:type="dxa"/>
                            <w:tcBorders>
                              <w:top w:val="nil"/>
                              <w:left w:val="single" w:color="000000" w:sz="4" w:space="0"/>
                              <w:bottom w:val="single" w:color="000000" w:sz="4" w:space="0"/>
                              <w:right w:val="single" w:color="000000" w:sz="4" w:space="0"/>
                            </w:tcBorders>
                            <w:noWrap w:val="0"/>
                            <w:vAlign w:val="top"/>
                          </w:tcPr>
                          <w:p w14:paraId="3D3CCC0B">
                            <w:pPr>
                              <w:pStyle w:val="56"/>
                              <w:spacing w:line="256" w:lineRule="exact"/>
                              <w:ind w:left="7"/>
                              <w:rPr>
                                <w:rFonts w:ascii="宋体" w:hAnsi="宋体" w:cs="宋体"/>
                                <w:sz w:val="20"/>
                                <w:szCs w:val="20"/>
                              </w:rPr>
                            </w:pPr>
                            <w:r>
                              <w:rPr>
                                <w:rFonts w:hint="eastAsia" w:ascii="宋体" w:hAnsi="宋体" w:cs="宋体"/>
                                <w:w w:val="99"/>
                                <w:sz w:val="20"/>
                                <w:szCs w:val="20"/>
                              </w:rPr>
                              <w:t>流器</w:t>
                            </w:r>
                          </w:p>
                        </w:tc>
                        <w:tc>
                          <w:tcPr>
                            <w:tcW w:w="1800" w:type="dxa"/>
                            <w:vMerge w:val="continue"/>
                            <w:tcBorders>
                              <w:top w:val="single" w:color="000000" w:sz="4" w:space="0"/>
                              <w:left w:val="single" w:color="000000" w:sz="4" w:space="0"/>
                              <w:bottom w:val="single" w:color="000000" w:sz="4" w:space="0"/>
                              <w:right w:val="single" w:color="000000" w:sz="4" w:space="0"/>
                            </w:tcBorders>
                            <w:noWrap w:val="0"/>
                            <w:vAlign w:val="center"/>
                          </w:tcPr>
                          <w:p w14:paraId="5606AC46">
                            <w:pPr>
                              <w:widowControl/>
                              <w:jc w:val="left"/>
                              <w:rPr>
                                <w:rFonts w:ascii="宋体" w:hAnsi="宋体" w:eastAsia="Times New Roman" w:cs="宋体"/>
                                <w:kern w:val="0"/>
                                <w:sz w:val="20"/>
                                <w:szCs w:val="20"/>
                                <w:lang w:eastAsia="en-US"/>
                              </w:rPr>
                            </w:pPr>
                          </w:p>
                        </w:tc>
                        <w:tc>
                          <w:tcPr>
                            <w:tcW w:w="1792" w:type="dxa"/>
                            <w:vMerge w:val="continue"/>
                            <w:tcBorders>
                              <w:top w:val="single" w:color="000000" w:sz="4" w:space="0"/>
                              <w:left w:val="single" w:color="000000" w:sz="4" w:space="0"/>
                              <w:bottom w:val="single" w:color="000000" w:sz="4" w:space="0"/>
                              <w:right w:val="single" w:color="000000" w:sz="4" w:space="0"/>
                            </w:tcBorders>
                            <w:noWrap w:val="0"/>
                            <w:vAlign w:val="center"/>
                          </w:tcPr>
                          <w:p w14:paraId="598BD134">
                            <w:pPr>
                              <w:widowControl/>
                              <w:jc w:val="left"/>
                              <w:rPr>
                                <w:rFonts w:ascii="Calibri" w:hAnsi="Calibri" w:eastAsia="Times New Roman"/>
                                <w:sz w:val="22"/>
                                <w:szCs w:val="22"/>
                                <w:lang w:eastAsia="en-US"/>
                              </w:rPr>
                            </w:pPr>
                          </w:p>
                        </w:tc>
                        <w:tc>
                          <w:tcPr>
                            <w:tcW w:w="3780" w:type="dxa"/>
                            <w:vMerge w:val="continue"/>
                            <w:tcBorders>
                              <w:left w:val="single" w:color="000000" w:sz="4" w:space="0"/>
                              <w:bottom w:val="single" w:color="000000" w:sz="4" w:space="0"/>
                              <w:right w:val="single" w:color="000000" w:sz="4" w:space="0"/>
                            </w:tcBorders>
                            <w:noWrap w:val="0"/>
                            <w:vAlign w:val="top"/>
                          </w:tcPr>
                          <w:p w14:paraId="59DB6204">
                            <w:pPr>
                              <w:pStyle w:val="56"/>
                              <w:spacing w:line="256" w:lineRule="exact"/>
                              <w:ind w:left="7"/>
                              <w:rPr>
                                <w:rFonts w:ascii="宋体" w:hAnsi="宋体" w:cs="宋体"/>
                                <w:sz w:val="20"/>
                                <w:szCs w:val="20"/>
                                <w:lang w:eastAsia="zh-CN"/>
                              </w:rPr>
                            </w:pPr>
                          </w:p>
                        </w:tc>
                      </w:tr>
                      <w:tr w14:paraId="352EAC72">
                        <w:tblPrEx>
                          <w:tblCellMar>
                            <w:top w:w="0" w:type="dxa"/>
                            <w:left w:w="0" w:type="dxa"/>
                            <w:bottom w:w="0" w:type="dxa"/>
                            <w:right w:w="0" w:type="dxa"/>
                          </w:tblCellMar>
                        </w:tblPrEx>
                        <w:trPr>
                          <w:trHeight w:val="752" w:hRule="exact"/>
                        </w:trPr>
                        <w:tc>
                          <w:tcPr>
                            <w:tcW w:w="570" w:type="dxa"/>
                            <w:vMerge w:val="restart"/>
                            <w:tcBorders>
                              <w:top w:val="single" w:color="000000" w:sz="4" w:space="0"/>
                              <w:left w:val="single" w:color="000000" w:sz="4" w:space="0"/>
                              <w:bottom w:val="single" w:color="000000" w:sz="4" w:space="0"/>
                              <w:right w:val="single" w:color="000000" w:sz="4" w:space="0"/>
                            </w:tcBorders>
                            <w:noWrap w:val="0"/>
                            <w:vAlign w:val="top"/>
                          </w:tcPr>
                          <w:p w14:paraId="5C538FDA">
                            <w:pPr>
                              <w:pStyle w:val="56"/>
                              <w:rPr>
                                <w:rFonts w:ascii="宋体" w:hAnsi="宋体" w:cs="宋体"/>
                                <w:sz w:val="20"/>
                                <w:szCs w:val="20"/>
                                <w:lang w:eastAsia="zh-CN"/>
                              </w:rPr>
                            </w:pPr>
                          </w:p>
                          <w:p w14:paraId="0877A128">
                            <w:pPr>
                              <w:pStyle w:val="56"/>
                              <w:rPr>
                                <w:rFonts w:hint="eastAsia" w:ascii="宋体" w:hAnsi="宋体" w:cs="宋体"/>
                                <w:sz w:val="20"/>
                                <w:szCs w:val="20"/>
                                <w:lang w:eastAsia="zh-CN"/>
                              </w:rPr>
                            </w:pPr>
                          </w:p>
                          <w:p w14:paraId="74459CAE">
                            <w:pPr>
                              <w:pStyle w:val="56"/>
                              <w:rPr>
                                <w:rFonts w:hint="eastAsia" w:ascii="宋体" w:hAnsi="宋体" w:cs="宋体"/>
                                <w:sz w:val="20"/>
                                <w:szCs w:val="20"/>
                                <w:lang w:eastAsia="zh-CN"/>
                              </w:rPr>
                            </w:pPr>
                          </w:p>
                          <w:p w14:paraId="44E3E6B8">
                            <w:pPr>
                              <w:pStyle w:val="56"/>
                              <w:rPr>
                                <w:rFonts w:hint="eastAsia" w:ascii="宋体" w:hAnsi="宋体" w:cs="宋体"/>
                                <w:sz w:val="20"/>
                                <w:szCs w:val="20"/>
                                <w:lang w:eastAsia="zh-CN"/>
                              </w:rPr>
                            </w:pPr>
                          </w:p>
                          <w:p w14:paraId="7A0EBC35">
                            <w:pPr>
                              <w:pStyle w:val="56"/>
                              <w:rPr>
                                <w:rFonts w:hint="eastAsia" w:ascii="宋体" w:hAnsi="宋体" w:cs="宋体"/>
                                <w:sz w:val="20"/>
                                <w:szCs w:val="20"/>
                                <w:lang w:eastAsia="zh-CN"/>
                              </w:rPr>
                            </w:pPr>
                          </w:p>
                          <w:p w14:paraId="5E919CB4">
                            <w:pPr>
                              <w:pStyle w:val="56"/>
                              <w:rPr>
                                <w:rFonts w:hint="eastAsia" w:ascii="宋体" w:hAnsi="宋体" w:cs="宋体"/>
                                <w:sz w:val="20"/>
                                <w:szCs w:val="20"/>
                                <w:lang w:eastAsia="zh-CN"/>
                              </w:rPr>
                            </w:pPr>
                          </w:p>
                          <w:p w14:paraId="6A15B5F4">
                            <w:pPr>
                              <w:pStyle w:val="56"/>
                              <w:rPr>
                                <w:rFonts w:hint="eastAsia" w:ascii="宋体" w:hAnsi="宋体" w:cs="宋体"/>
                                <w:sz w:val="20"/>
                                <w:szCs w:val="20"/>
                                <w:lang w:eastAsia="zh-CN"/>
                              </w:rPr>
                            </w:pPr>
                          </w:p>
                          <w:p w14:paraId="151049B2">
                            <w:pPr>
                              <w:pStyle w:val="56"/>
                              <w:rPr>
                                <w:rFonts w:hint="eastAsia" w:ascii="宋体" w:hAnsi="宋体" w:cs="宋体"/>
                                <w:sz w:val="20"/>
                                <w:szCs w:val="20"/>
                                <w:lang w:eastAsia="zh-CN"/>
                              </w:rPr>
                            </w:pPr>
                          </w:p>
                          <w:p w14:paraId="4B2CCF8B">
                            <w:pPr>
                              <w:pStyle w:val="56"/>
                              <w:rPr>
                                <w:rFonts w:hint="eastAsia" w:ascii="宋体" w:hAnsi="宋体" w:cs="宋体"/>
                                <w:sz w:val="20"/>
                                <w:szCs w:val="20"/>
                                <w:lang w:eastAsia="zh-CN"/>
                              </w:rPr>
                            </w:pPr>
                          </w:p>
                          <w:p w14:paraId="7E822766">
                            <w:pPr>
                              <w:pStyle w:val="56"/>
                              <w:spacing w:before="5"/>
                              <w:rPr>
                                <w:rFonts w:hint="eastAsia" w:ascii="宋体" w:hAnsi="宋体" w:cs="宋体"/>
                                <w:sz w:val="18"/>
                                <w:szCs w:val="18"/>
                                <w:lang w:eastAsia="zh-CN"/>
                              </w:rPr>
                            </w:pPr>
                          </w:p>
                          <w:p w14:paraId="4D7D9494">
                            <w:pPr>
                              <w:pStyle w:val="56"/>
                              <w:ind w:left="182"/>
                              <w:rPr>
                                <w:rFonts w:ascii="宋体" w:hAnsi="宋体" w:cs="宋体"/>
                                <w:sz w:val="20"/>
                                <w:szCs w:val="20"/>
                              </w:rPr>
                            </w:pPr>
                            <w:r>
                              <w:rPr>
                                <w:rFonts w:hint="eastAsia" w:ascii="宋体"/>
                                <w:w w:val="99"/>
                                <w:sz w:val="20"/>
                              </w:rPr>
                              <w:t>10</w:t>
                            </w:r>
                          </w:p>
                        </w:tc>
                        <w:tc>
                          <w:tcPr>
                            <w:tcW w:w="1163" w:type="dxa"/>
                            <w:vMerge w:val="restart"/>
                            <w:tcBorders>
                              <w:top w:val="single" w:color="000000" w:sz="4" w:space="0"/>
                              <w:left w:val="single" w:color="000000" w:sz="4" w:space="0"/>
                              <w:bottom w:val="single" w:color="000000" w:sz="4" w:space="0"/>
                              <w:right w:val="single" w:color="000000" w:sz="4" w:space="0"/>
                            </w:tcBorders>
                            <w:noWrap w:val="0"/>
                            <w:vAlign w:val="top"/>
                          </w:tcPr>
                          <w:p w14:paraId="45B404EC">
                            <w:pPr>
                              <w:pStyle w:val="56"/>
                              <w:rPr>
                                <w:rFonts w:ascii="宋体" w:hAnsi="宋体" w:cs="宋体"/>
                                <w:sz w:val="20"/>
                                <w:szCs w:val="20"/>
                              </w:rPr>
                            </w:pPr>
                          </w:p>
                          <w:p w14:paraId="3C3358FD">
                            <w:pPr>
                              <w:pStyle w:val="56"/>
                              <w:rPr>
                                <w:rFonts w:hint="eastAsia" w:ascii="宋体" w:hAnsi="宋体" w:cs="宋体"/>
                                <w:sz w:val="20"/>
                                <w:szCs w:val="20"/>
                              </w:rPr>
                            </w:pPr>
                          </w:p>
                          <w:p w14:paraId="22936EE5">
                            <w:pPr>
                              <w:pStyle w:val="56"/>
                              <w:rPr>
                                <w:rFonts w:hint="eastAsia" w:ascii="宋体" w:hAnsi="宋体" w:cs="宋体"/>
                                <w:sz w:val="20"/>
                                <w:szCs w:val="20"/>
                              </w:rPr>
                            </w:pPr>
                          </w:p>
                          <w:p w14:paraId="60D4D50E">
                            <w:pPr>
                              <w:pStyle w:val="56"/>
                              <w:rPr>
                                <w:rFonts w:hint="eastAsia" w:ascii="宋体" w:hAnsi="宋体" w:cs="宋体"/>
                                <w:sz w:val="20"/>
                                <w:szCs w:val="20"/>
                              </w:rPr>
                            </w:pPr>
                          </w:p>
                          <w:p w14:paraId="1A08731D">
                            <w:pPr>
                              <w:pStyle w:val="56"/>
                              <w:rPr>
                                <w:rFonts w:hint="eastAsia" w:ascii="宋体" w:hAnsi="宋体" w:cs="宋体"/>
                                <w:sz w:val="20"/>
                                <w:szCs w:val="20"/>
                              </w:rPr>
                            </w:pPr>
                          </w:p>
                          <w:p w14:paraId="57EBC784">
                            <w:pPr>
                              <w:pStyle w:val="56"/>
                              <w:rPr>
                                <w:rFonts w:hint="eastAsia" w:ascii="宋体" w:hAnsi="宋体" w:cs="宋体"/>
                                <w:sz w:val="20"/>
                                <w:szCs w:val="20"/>
                              </w:rPr>
                            </w:pPr>
                          </w:p>
                          <w:p w14:paraId="40CD6DAC">
                            <w:pPr>
                              <w:pStyle w:val="56"/>
                              <w:rPr>
                                <w:rFonts w:hint="eastAsia" w:ascii="宋体" w:hAnsi="宋体" w:cs="宋体"/>
                                <w:sz w:val="20"/>
                                <w:szCs w:val="20"/>
                              </w:rPr>
                            </w:pPr>
                          </w:p>
                          <w:p w14:paraId="069FA23D">
                            <w:pPr>
                              <w:pStyle w:val="56"/>
                              <w:rPr>
                                <w:rFonts w:hint="eastAsia" w:ascii="宋体" w:hAnsi="宋体" w:cs="宋体"/>
                                <w:sz w:val="20"/>
                                <w:szCs w:val="20"/>
                              </w:rPr>
                            </w:pPr>
                          </w:p>
                          <w:p w14:paraId="1DA87795">
                            <w:pPr>
                              <w:pStyle w:val="56"/>
                              <w:spacing w:before="6"/>
                              <w:rPr>
                                <w:rFonts w:hint="eastAsia" w:ascii="宋体" w:hAnsi="宋体" w:cs="宋体"/>
                                <w:sz w:val="26"/>
                                <w:szCs w:val="26"/>
                              </w:rPr>
                            </w:pPr>
                          </w:p>
                          <w:p w14:paraId="0FFFB272">
                            <w:pPr>
                              <w:pStyle w:val="56"/>
                              <w:ind w:left="7"/>
                              <w:rPr>
                                <w:rFonts w:hint="eastAsia" w:ascii="宋体" w:hAnsi="宋体" w:cs="宋体"/>
                                <w:sz w:val="20"/>
                                <w:szCs w:val="20"/>
                              </w:rPr>
                            </w:pPr>
                            <w:r>
                              <w:rPr>
                                <w:rFonts w:hint="eastAsia" w:ascii="宋体" w:hAnsi="宋体" w:cs="宋体"/>
                                <w:w w:val="99"/>
                                <w:sz w:val="20"/>
                                <w:szCs w:val="20"/>
                              </w:rPr>
                              <w:t>A020618生活</w:t>
                            </w:r>
                          </w:p>
                          <w:p w14:paraId="2C14BF1A">
                            <w:pPr>
                              <w:pStyle w:val="56"/>
                              <w:spacing w:before="50"/>
                              <w:ind w:left="7"/>
                              <w:rPr>
                                <w:rFonts w:ascii="宋体" w:hAnsi="宋体" w:cs="宋体"/>
                                <w:sz w:val="20"/>
                                <w:szCs w:val="20"/>
                              </w:rPr>
                            </w:pPr>
                            <w:r>
                              <w:rPr>
                                <w:rFonts w:hint="eastAsia" w:ascii="宋体" w:hAnsi="宋体" w:cs="宋体"/>
                                <w:w w:val="99"/>
                                <w:sz w:val="20"/>
                                <w:szCs w:val="20"/>
                              </w:rPr>
                              <w:t>用电器</w:t>
                            </w:r>
                          </w:p>
                        </w:tc>
                        <w:tc>
                          <w:tcPr>
                            <w:tcW w:w="1800" w:type="dxa"/>
                            <w:vMerge w:val="restart"/>
                            <w:tcBorders>
                              <w:top w:val="single" w:color="000000" w:sz="4" w:space="0"/>
                              <w:left w:val="single" w:color="000000" w:sz="4" w:space="0"/>
                              <w:bottom w:val="single" w:color="000000" w:sz="4" w:space="0"/>
                              <w:right w:val="single" w:color="000000" w:sz="4" w:space="0"/>
                            </w:tcBorders>
                            <w:noWrap w:val="0"/>
                            <w:vAlign w:val="top"/>
                          </w:tcPr>
                          <w:p w14:paraId="637B5468">
                            <w:pPr>
                              <w:pStyle w:val="56"/>
                              <w:spacing w:before="1"/>
                              <w:rPr>
                                <w:rFonts w:ascii="宋体" w:hAnsi="宋体" w:cs="宋体"/>
                                <w:sz w:val="16"/>
                                <w:szCs w:val="16"/>
                              </w:rPr>
                            </w:pPr>
                          </w:p>
                          <w:p w14:paraId="2320C5F4">
                            <w:pPr>
                              <w:pStyle w:val="56"/>
                              <w:ind w:left="7"/>
                              <w:rPr>
                                <w:rFonts w:ascii="宋体" w:hAnsi="宋体" w:cs="宋体"/>
                                <w:sz w:val="20"/>
                                <w:szCs w:val="20"/>
                              </w:rPr>
                            </w:pPr>
                            <w:r>
                              <w:rPr>
                                <w:rFonts w:hint="eastAsia" w:ascii="宋体" w:hAnsi="宋体" w:cs="宋体"/>
                                <w:w w:val="99"/>
                                <w:sz w:val="20"/>
                                <w:szCs w:val="20"/>
                              </w:rPr>
                              <w:t>A0206180101电冰箱</w:t>
                            </w:r>
                          </w:p>
                        </w:tc>
                        <w:tc>
                          <w:tcPr>
                            <w:tcW w:w="1792" w:type="dxa"/>
                            <w:vMerge w:val="restart"/>
                            <w:tcBorders>
                              <w:top w:val="single" w:color="000000" w:sz="4" w:space="0"/>
                              <w:left w:val="single" w:color="000000" w:sz="4" w:space="0"/>
                              <w:bottom w:val="single" w:color="000000" w:sz="4" w:space="0"/>
                              <w:right w:val="single" w:color="000000" w:sz="4" w:space="0"/>
                            </w:tcBorders>
                            <w:noWrap w:val="0"/>
                            <w:vAlign w:val="top"/>
                          </w:tcPr>
                          <w:p w14:paraId="40A8C4D3">
                            <w:pPr>
                              <w:rPr>
                                <w:rFonts w:ascii="Calibri" w:hAnsi="Calibri"/>
                                <w:sz w:val="22"/>
                                <w:szCs w:val="22"/>
                              </w:rPr>
                            </w:pPr>
                          </w:p>
                        </w:tc>
                        <w:tc>
                          <w:tcPr>
                            <w:tcW w:w="3780" w:type="dxa"/>
                            <w:tcBorders>
                              <w:top w:val="single" w:color="000000" w:sz="4" w:space="0"/>
                              <w:left w:val="single" w:color="000000" w:sz="4" w:space="0"/>
                              <w:bottom w:val="single" w:color="000000" w:sz="4" w:space="0"/>
                              <w:right w:val="single" w:color="000000" w:sz="4" w:space="0"/>
                            </w:tcBorders>
                            <w:noWrap w:val="0"/>
                            <w:vAlign w:val="top"/>
                          </w:tcPr>
                          <w:p w14:paraId="65449AC6">
                            <w:pPr>
                              <w:pStyle w:val="56"/>
                              <w:spacing w:before="126"/>
                              <w:ind w:left="7"/>
                              <w:rPr>
                                <w:rFonts w:hint="eastAsia" w:ascii="宋体" w:hAnsi="宋体" w:cs="宋体"/>
                                <w:w w:val="99"/>
                                <w:sz w:val="20"/>
                                <w:szCs w:val="20"/>
                                <w:lang w:eastAsia="zh-CN"/>
                              </w:rPr>
                            </w:pPr>
                            <w:r>
                              <w:rPr>
                                <w:rFonts w:hint="eastAsia" w:ascii="宋体" w:hAnsi="宋体" w:cs="宋体"/>
                                <w:w w:val="99"/>
                                <w:sz w:val="20"/>
                                <w:szCs w:val="20"/>
                                <w:lang w:eastAsia="zh-CN"/>
                              </w:rPr>
                              <w:t>《家用电冰箱耗电量限定值及能效等级》（GB12021.2）</w:t>
                            </w:r>
                          </w:p>
                        </w:tc>
                      </w:tr>
                      <w:tr w14:paraId="543A282A">
                        <w:tblPrEx>
                          <w:tblCellMar>
                            <w:top w:w="0" w:type="dxa"/>
                            <w:left w:w="0" w:type="dxa"/>
                            <w:bottom w:w="0" w:type="dxa"/>
                            <w:right w:w="0" w:type="dxa"/>
                          </w:tblCellMar>
                        </w:tblPrEx>
                        <w:trPr>
                          <w:trHeight w:val="1299" w:hRule="exact"/>
                        </w:trPr>
                        <w:tc>
                          <w:tcPr>
                            <w:tcW w:w="570" w:type="dxa"/>
                            <w:vMerge w:val="continue"/>
                            <w:tcBorders>
                              <w:top w:val="single" w:color="000000" w:sz="4" w:space="0"/>
                              <w:left w:val="single" w:color="000000" w:sz="4" w:space="0"/>
                              <w:bottom w:val="single" w:color="000000" w:sz="4" w:space="0"/>
                              <w:right w:val="single" w:color="000000" w:sz="4" w:space="0"/>
                            </w:tcBorders>
                            <w:noWrap w:val="0"/>
                            <w:vAlign w:val="center"/>
                          </w:tcPr>
                          <w:p w14:paraId="3C6FA463">
                            <w:pPr>
                              <w:widowControl/>
                              <w:jc w:val="left"/>
                              <w:rPr>
                                <w:rFonts w:ascii="宋体" w:hAnsi="宋体" w:eastAsia="Times New Roman" w:cs="宋体"/>
                                <w:kern w:val="0"/>
                                <w:sz w:val="20"/>
                                <w:szCs w:val="20"/>
                              </w:rPr>
                            </w:pPr>
                          </w:p>
                        </w:tc>
                        <w:tc>
                          <w:tcPr>
                            <w:tcW w:w="1163" w:type="dxa"/>
                            <w:vMerge w:val="continue"/>
                            <w:tcBorders>
                              <w:top w:val="single" w:color="000000" w:sz="4" w:space="0"/>
                              <w:left w:val="single" w:color="000000" w:sz="4" w:space="0"/>
                              <w:bottom w:val="single" w:color="000000" w:sz="4" w:space="0"/>
                              <w:right w:val="single" w:color="000000" w:sz="4" w:space="0"/>
                            </w:tcBorders>
                            <w:noWrap w:val="0"/>
                            <w:vAlign w:val="center"/>
                          </w:tcPr>
                          <w:p w14:paraId="693BDDF8">
                            <w:pPr>
                              <w:widowControl/>
                              <w:jc w:val="left"/>
                              <w:rPr>
                                <w:rFonts w:ascii="宋体" w:hAnsi="宋体" w:eastAsia="Times New Roman" w:cs="宋体"/>
                                <w:kern w:val="0"/>
                                <w:sz w:val="20"/>
                                <w:szCs w:val="20"/>
                              </w:rPr>
                            </w:pPr>
                          </w:p>
                        </w:tc>
                        <w:tc>
                          <w:tcPr>
                            <w:tcW w:w="1800" w:type="dxa"/>
                            <w:vMerge w:val="restart"/>
                            <w:tcBorders>
                              <w:top w:val="single" w:color="000000" w:sz="4" w:space="0"/>
                              <w:left w:val="single" w:color="000000" w:sz="4" w:space="0"/>
                              <w:bottom w:val="single" w:color="000000" w:sz="4" w:space="0"/>
                              <w:right w:val="single" w:color="000000" w:sz="4" w:space="0"/>
                            </w:tcBorders>
                            <w:noWrap w:val="0"/>
                            <w:vAlign w:val="top"/>
                          </w:tcPr>
                          <w:p w14:paraId="39D80DB8">
                            <w:pPr>
                              <w:pStyle w:val="56"/>
                              <w:rPr>
                                <w:rFonts w:ascii="宋体" w:hAnsi="宋体" w:cs="宋体"/>
                                <w:sz w:val="20"/>
                                <w:szCs w:val="20"/>
                                <w:lang w:eastAsia="zh-CN"/>
                              </w:rPr>
                            </w:pPr>
                          </w:p>
                          <w:p w14:paraId="1A36FFBC">
                            <w:pPr>
                              <w:pStyle w:val="56"/>
                              <w:rPr>
                                <w:rFonts w:hint="eastAsia" w:ascii="宋体" w:hAnsi="宋体" w:cs="宋体"/>
                                <w:sz w:val="20"/>
                                <w:szCs w:val="20"/>
                                <w:lang w:eastAsia="zh-CN"/>
                              </w:rPr>
                            </w:pPr>
                          </w:p>
                          <w:p w14:paraId="6A2ADA2A">
                            <w:pPr>
                              <w:pStyle w:val="56"/>
                              <w:rPr>
                                <w:rFonts w:hint="eastAsia" w:ascii="宋体" w:hAnsi="宋体" w:cs="宋体"/>
                                <w:sz w:val="20"/>
                                <w:szCs w:val="20"/>
                                <w:lang w:eastAsia="zh-CN"/>
                              </w:rPr>
                            </w:pPr>
                          </w:p>
                          <w:p w14:paraId="0BFB2A0C">
                            <w:pPr>
                              <w:pStyle w:val="56"/>
                              <w:rPr>
                                <w:rFonts w:hint="eastAsia" w:ascii="宋体" w:hAnsi="宋体" w:cs="宋体"/>
                                <w:sz w:val="20"/>
                                <w:szCs w:val="20"/>
                                <w:lang w:eastAsia="zh-CN"/>
                              </w:rPr>
                            </w:pPr>
                          </w:p>
                          <w:p w14:paraId="715BD9C9">
                            <w:pPr>
                              <w:pStyle w:val="56"/>
                              <w:rPr>
                                <w:rFonts w:hint="eastAsia" w:ascii="宋体" w:hAnsi="宋体" w:cs="宋体"/>
                                <w:sz w:val="20"/>
                                <w:szCs w:val="20"/>
                                <w:lang w:eastAsia="zh-CN"/>
                              </w:rPr>
                            </w:pPr>
                          </w:p>
                          <w:p w14:paraId="2E93729A">
                            <w:pPr>
                              <w:pStyle w:val="56"/>
                              <w:rPr>
                                <w:rFonts w:hint="eastAsia" w:ascii="宋体" w:hAnsi="宋体" w:cs="宋体"/>
                                <w:sz w:val="20"/>
                                <w:szCs w:val="20"/>
                                <w:lang w:eastAsia="zh-CN"/>
                              </w:rPr>
                            </w:pPr>
                          </w:p>
                          <w:p w14:paraId="17487089">
                            <w:pPr>
                              <w:pStyle w:val="56"/>
                              <w:spacing w:before="171"/>
                              <w:ind w:left="7"/>
                              <w:rPr>
                                <w:rFonts w:hint="eastAsia" w:ascii="宋体" w:hAnsi="宋体" w:cs="宋体"/>
                                <w:sz w:val="20"/>
                                <w:szCs w:val="20"/>
                              </w:rPr>
                            </w:pPr>
                            <w:r>
                              <w:rPr>
                                <w:rFonts w:hint="eastAsia" w:ascii="宋体" w:hAnsi="宋体" w:cs="宋体"/>
                                <w:w w:val="99"/>
                                <w:sz w:val="20"/>
                                <w:szCs w:val="20"/>
                              </w:rPr>
                              <w:t>★A0206180203空调</w:t>
                            </w:r>
                          </w:p>
                          <w:p w14:paraId="4AFAED5A">
                            <w:pPr>
                              <w:pStyle w:val="56"/>
                              <w:spacing w:before="50"/>
                              <w:ind w:left="7"/>
                              <w:rPr>
                                <w:rFonts w:ascii="宋体" w:hAnsi="宋体" w:cs="宋体"/>
                                <w:sz w:val="20"/>
                                <w:szCs w:val="20"/>
                              </w:rPr>
                            </w:pPr>
                            <w:r>
                              <w:rPr>
                                <w:rFonts w:hint="eastAsia" w:ascii="宋体" w:hAnsi="宋体" w:cs="宋体"/>
                                <w:w w:val="99"/>
                                <w:sz w:val="20"/>
                                <w:szCs w:val="20"/>
                              </w:rPr>
                              <w:t>机</w:t>
                            </w:r>
                          </w:p>
                        </w:tc>
                        <w:tc>
                          <w:tcPr>
                            <w:tcW w:w="1792" w:type="dxa"/>
                            <w:tcBorders>
                              <w:top w:val="single" w:color="000000" w:sz="4" w:space="0"/>
                              <w:left w:val="single" w:color="000000" w:sz="4" w:space="0"/>
                              <w:bottom w:val="single" w:color="000000" w:sz="4" w:space="0"/>
                              <w:right w:val="single" w:color="000000" w:sz="4" w:space="0"/>
                            </w:tcBorders>
                            <w:noWrap w:val="0"/>
                            <w:vAlign w:val="top"/>
                          </w:tcPr>
                          <w:p w14:paraId="67D47560">
                            <w:pPr>
                              <w:pStyle w:val="56"/>
                              <w:rPr>
                                <w:rFonts w:ascii="宋体" w:hAnsi="宋体" w:cs="宋体"/>
                                <w:sz w:val="20"/>
                                <w:szCs w:val="20"/>
                              </w:rPr>
                            </w:pPr>
                          </w:p>
                          <w:p w14:paraId="1B6FD4F1">
                            <w:pPr>
                              <w:pStyle w:val="56"/>
                              <w:rPr>
                                <w:rFonts w:hint="eastAsia" w:ascii="宋体" w:hAnsi="宋体" w:cs="宋体"/>
                                <w:sz w:val="20"/>
                                <w:szCs w:val="20"/>
                              </w:rPr>
                            </w:pPr>
                          </w:p>
                          <w:p w14:paraId="7287BBFF">
                            <w:pPr>
                              <w:pStyle w:val="56"/>
                              <w:spacing w:before="12"/>
                              <w:rPr>
                                <w:rFonts w:hint="eastAsia" w:ascii="宋体" w:hAnsi="宋体" w:cs="宋体"/>
                                <w:sz w:val="19"/>
                                <w:szCs w:val="19"/>
                              </w:rPr>
                            </w:pPr>
                          </w:p>
                          <w:p w14:paraId="44580188">
                            <w:pPr>
                              <w:pStyle w:val="56"/>
                              <w:ind w:left="7"/>
                              <w:rPr>
                                <w:rFonts w:ascii="宋体" w:hAnsi="宋体" w:cs="宋体"/>
                                <w:sz w:val="20"/>
                                <w:szCs w:val="20"/>
                              </w:rPr>
                            </w:pPr>
                            <w:r>
                              <w:rPr>
                                <w:rFonts w:hint="eastAsia" w:ascii="宋体" w:hAnsi="宋体" w:cs="宋体"/>
                                <w:w w:val="99"/>
                                <w:sz w:val="20"/>
                                <w:szCs w:val="20"/>
                              </w:rPr>
                              <w:t>房间空气调节器</w:t>
                            </w:r>
                          </w:p>
                        </w:tc>
                        <w:tc>
                          <w:tcPr>
                            <w:tcW w:w="3780" w:type="dxa"/>
                            <w:tcBorders>
                              <w:top w:val="single" w:color="000000" w:sz="4" w:space="0"/>
                              <w:left w:val="single" w:color="000000" w:sz="4" w:space="0"/>
                              <w:bottom w:val="single" w:color="000000" w:sz="4" w:space="0"/>
                              <w:right w:val="single" w:color="000000" w:sz="4" w:space="0"/>
                            </w:tcBorders>
                            <w:noWrap w:val="0"/>
                            <w:vAlign w:val="top"/>
                          </w:tcPr>
                          <w:p w14:paraId="121B6456">
                            <w:pPr>
                              <w:pStyle w:val="56"/>
                              <w:spacing w:before="4"/>
                              <w:ind w:left="7"/>
                              <w:rPr>
                                <w:rFonts w:hint="eastAsia" w:ascii="宋体" w:hAnsi="宋体" w:cs="宋体"/>
                                <w:w w:val="99"/>
                                <w:sz w:val="20"/>
                                <w:szCs w:val="20"/>
                                <w:lang w:eastAsia="zh-CN"/>
                              </w:rPr>
                            </w:pPr>
                            <w:r>
                              <w:rPr>
                                <w:rFonts w:hint="eastAsia" w:ascii="宋体" w:hAnsi="宋体" w:cs="宋体"/>
                                <w:w w:val="99"/>
                                <w:sz w:val="20"/>
                                <w:szCs w:val="20"/>
                                <w:lang w:eastAsia="zh-CN"/>
                              </w:rPr>
                              <w:t>《转速可控型房间空气调节器能</w:t>
                            </w:r>
                          </w:p>
                          <w:p w14:paraId="07ACD716">
                            <w:pPr>
                              <w:pStyle w:val="56"/>
                              <w:spacing w:line="256" w:lineRule="exact"/>
                              <w:ind w:left="7"/>
                              <w:rPr>
                                <w:rFonts w:ascii="宋体" w:hAnsi="宋体" w:cs="宋体"/>
                                <w:sz w:val="20"/>
                                <w:szCs w:val="20"/>
                                <w:lang w:eastAsia="zh-CN"/>
                              </w:rPr>
                            </w:pPr>
                            <w:r>
                              <w:rPr>
                                <w:rFonts w:hint="eastAsia" w:ascii="宋体" w:hAnsi="宋体" w:cs="宋体"/>
                                <w:w w:val="99"/>
                                <w:sz w:val="20"/>
                                <w:szCs w:val="20"/>
                                <w:lang w:eastAsia="zh-CN"/>
                              </w:rPr>
                              <w:t>效限定值及能效等级》（GB21455-2013），待2019年修订发布后，按《房间空气调节器能效限定值及能效等级》（GB21455-2019）</w:t>
                            </w:r>
                          </w:p>
                          <w:p w14:paraId="1357B3CB">
                            <w:pPr>
                              <w:pStyle w:val="56"/>
                              <w:spacing w:line="256" w:lineRule="exact"/>
                              <w:ind w:left="7"/>
                              <w:rPr>
                                <w:rFonts w:ascii="宋体" w:hAnsi="宋体" w:cs="宋体"/>
                                <w:sz w:val="20"/>
                                <w:szCs w:val="20"/>
                              </w:rPr>
                            </w:pPr>
                            <w:r>
                              <w:rPr>
                                <w:rFonts w:hint="eastAsia" w:ascii="宋体" w:hAnsi="宋体" w:cs="宋体"/>
                                <w:w w:val="99"/>
                                <w:sz w:val="20"/>
                                <w:szCs w:val="20"/>
                              </w:rPr>
                              <w:t>实施。</w:t>
                            </w:r>
                          </w:p>
                        </w:tc>
                      </w:tr>
                      <w:tr w14:paraId="3D94965A">
                        <w:tblPrEx>
                          <w:tblCellMar>
                            <w:top w:w="0" w:type="dxa"/>
                            <w:left w:w="0" w:type="dxa"/>
                            <w:bottom w:w="0" w:type="dxa"/>
                            <w:right w:w="0" w:type="dxa"/>
                          </w:tblCellMar>
                        </w:tblPrEx>
                        <w:trPr>
                          <w:trHeight w:val="958" w:hRule="exact"/>
                        </w:trPr>
                        <w:tc>
                          <w:tcPr>
                            <w:tcW w:w="570" w:type="dxa"/>
                            <w:vMerge w:val="continue"/>
                            <w:tcBorders>
                              <w:top w:val="single" w:color="000000" w:sz="4" w:space="0"/>
                              <w:left w:val="single" w:color="000000" w:sz="4" w:space="0"/>
                              <w:bottom w:val="single" w:color="000000" w:sz="4" w:space="0"/>
                              <w:right w:val="single" w:color="000000" w:sz="4" w:space="0"/>
                            </w:tcBorders>
                            <w:noWrap w:val="0"/>
                            <w:vAlign w:val="center"/>
                          </w:tcPr>
                          <w:p w14:paraId="54E8C094">
                            <w:pPr>
                              <w:widowControl/>
                              <w:jc w:val="left"/>
                              <w:rPr>
                                <w:rFonts w:ascii="宋体" w:hAnsi="宋体" w:eastAsia="Times New Roman" w:cs="宋体"/>
                                <w:kern w:val="0"/>
                                <w:sz w:val="20"/>
                                <w:szCs w:val="20"/>
                                <w:lang w:eastAsia="en-US"/>
                              </w:rPr>
                            </w:pPr>
                          </w:p>
                        </w:tc>
                        <w:tc>
                          <w:tcPr>
                            <w:tcW w:w="1163" w:type="dxa"/>
                            <w:vMerge w:val="continue"/>
                            <w:tcBorders>
                              <w:top w:val="single" w:color="000000" w:sz="4" w:space="0"/>
                              <w:left w:val="single" w:color="000000" w:sz="4" w:space="0"/>
                              <w:bottom w:val="single" w:color="000000" w:sz="4" w:space="0"/>
                              <w:right w:val="single" w:color="000000" w:sz="4" w:space="0"/>
                            </w:tcBorders>
                            <w:noWrap w:val="0"/>
                            <w:vAlign w:val="center"/>
                          </w:tcPr>
                          <w:p w14:paraId="5DB2463E">
                            <w:pPr>
                              <w:widowControl/>
                              <w:jc w:val="left"/>
                              <w:rPr>
                                <w:rFonts w:ascii="宋体" w:hAnsi="宋体" w:eastAsia="Times New Roman" w:cs="宋体"/>
                                <w:kern w:val="0"/>
                                <w:sz w:val="20"/>
                                <w:szCs w:val="20"/>
                                <w:lang w:eastAsia="en-US"/>
                              </w:rPr>
                            </w:pPr>
                          </w:p>
                        </w:tc>
                        <w:tc>
                          <w:tcPr>
                            <w:tcW w:w="1800" w:type="dxa"/>
                            <w:vMerge w:val="continue"/>
                            <w:tcBorders>
                              <w:top w:val="single" w:color="000000" w:sz="4" w:space="0"/>
                              <w:left w:val="single" w:color="000000" w:sz="4" w:space="0"/>
                              <w:bottom w:val="single" w:color="000000" w:sz="4" w:space="0"/>
                              <w:right w:val="single" w:color="000000" w:sz="4" w:space="0"/>
                            </w:tcBorders>
                            <w:noWrap w:val="0"/>
                            <w:vAlign w:val="center"/>
                          </w:tcPr>
                          <w:p w14:paraId="6EE0AA35">
                            <w:pPr>
                              <w:widowControl/>
                              <w:jc w:val="left"/>
                              <w:rPr>
                                <w:rFonts w:ascii="宋体" w:hAnsi="宋体" w:eastAsia="Times New Roman" w:cs="宋体"/>
                                <w:kern w:val="0"/>
                                <w:sz w:val="20"/>
                                <w:szCs w:val="20"/>
                                <w:lang w:eastAsia="en-US"/>
                              </w:rPr>
                            </w:pPr>
                          </w:p>
                        </w:tc>
                        <w:tc>
                          <w:tcPr>
                            <w:tcW w:w="1792" w:type="dxa"/>
                            <w:tcBorders>
                              <w:top w:val="single" w:color="000000" w:sz="4" w:space="0"/>
                              <w:left w:val="single" w:color="000000" w:sz="4" w:space="0"/>
                              <w:bottom w:val="single" w:color="000000" w:sz="4" w:space="0"/>
                              <w:right w:val="single" w:color="000000" w:sz="4" w:space="0"/>
                            </w:tcBorders>
                            <w:noWrap w:val="0"/>
                            <w:vAlign w:val="top"/>
                          </w:tcPr>
                          <w:p w14:paraId="51D97CFD">
                            <w:pPr>
                              <w:pStyle w:val="56"/>
                              <w:spacing w:before="4" w:line="280" w:lineRule="auto"/>
                              <w:ind w:left="7" w:right="7"/>
                              <w:jc w:val="both"/>
                              <w:rPr>
                                <w:rFonts w:ascii="宋体" w:hAnsi="宋体" w:cs="宋体"/>
                                <w:sz w:val="20"/>
                                <w:szCs w:val="20"/>
                                <w:lang w:eastAsia="zh-CN"/>
                              </w:rPr>
                            </w:pPr>
                            <w:r>
                              <w:rPr>
                                <w:rFonts w:hint="eastAsia" w:ascii="宋体" w:hAnsi="宋体" w:cs="宋体"/>
                                <w:w w:val="99"/>
                                <w:sz w:val="20"/>
                                <w:szCs w:val="20"/>
                                <w:lang w:eastAsia="zh-CN"/>
                              </w:rPr>
                              <w:t>多联式空调（热泵）机组（制冷量≤ 14000W）</w:t>
                            </w:r>
                          </w:p>
                        </w:tc>
                        <w:tc>
                          <w:tcPr>
                            <w:tcW w:w="3780" w:type="dxa"/>
                            <w:tcBorders>
                              <w:top w:val="single" w:color="000000" w:sz="4" w:space="0"/>
                              <w:left w:val="single" w:color="000000" w:sz="4" w:space="0"/>
                              <w:bottom w:val="single" w:color="000000" w:sz="4" w:space="0"/>
                              <w:right w:val="single" w:color="000000" w:sz="4" w:space="0"/>
                            </w:tcBorders>
                            <w:noWrap w:val="0"/>
                            <w:vAlign w:val="top"/>
                          </w:tcPr>
                          <w:p w14:paraId="393C2B34">
                            <w:pPr>
                              <w:pStyle w:val="56"/>
                              <w:spacing w:before="160" w:line="280" w:lineRule="auto"/>
                              <w:ind w:left="7" w:right="7"/>
                              <w:rPr>
                                <w:rFonts w:ascii="宋体" w:hAnsi="宋体" w:cs="宋体"/>
                                <w:sz w:val="20"/>
                                <w:szCs w:val="20"/>
                                <w:lang w:eastAsia="zh-CN"/>
                              </w:rPr>
                            </w:pPr>
                            <w:r>
                              <w:rPr>
                                <w:rFonts w:hint="eastAsia" w:ascii="宋体" w:hAnsi="宋体" w:cs="宋体"/>
                                <w:w w:val="99"/>
                                <w:sz w:val="20"/>
                                <w:szCs w:val="20"/>
                                <w:lang w:eastAsia="zh-CN"/>
                              </w:rPr>
                              <w:t>《多联式空调（热泵）机组能效限定值及能源效率等级》（GB21454</w:t>
                            </w:r>
                          </w:p>
                        </w:tc>
                      </w:tr>
                      <w:tr w14:paraId="5E9E9216">
                        <w:tblPrEx>
                          <w:tblCellMar>
                            <w:top w:w="0" w:type="dxa"/>
                            <w:left w:w="0" w:type="dxa"/>
                            <w:bottom w:w="0" w:type="dxa"/>
                            <w:right w:w="0" w:type="dxa"/>
                          </w:tblCellMar>
                        </w:tblPrEx>
                        <w:trPr>
                          <w:trHeight w:val="327" w:hRule="exact"/>
                        </w:trPr>
                        <w:tc>
                          <w:tcPr>
                            <w:tcW w:w="570" w:type="dxa"/>
                            <w:vMerge w:val="continue"/>
                            <w:tcBorders>
                              <w:top w:val="single" w:color="000000" w:sz="4" w:space="0"/>
                              <w:left w:val="single" w:color="000000" w:sz="4" w:space="0"/>
                              <w:bottom w:val="single" w:color="000000" w:sz="4" w:space="0"/>
                              <w:right w:val="single" w:color="000000" w:sz="4" w:space="0"/>
                            </w:tcBorders>
                            <w:noWrap w:val="0"/>
                            <w:vAlign w:val="center"/>
                          </w:tcPr>
                          <w:p w14:paraId="392774B7">
                            <w:pPr>
                              <w:widowControl/>
                              <w:jc w:val="left"/>
                              <w:rPr>
                                <w:rFonts w:ascii="宋体" w:hAnsi="宋体" w:eastAsia="Times New Roman" w:cs="宋体"/>
                                <w:kern w:val="0"/>
                                <w:sz w:val="20"/>
                                <w:szCs w:val="20"/>
                              </w:rPr>
                            </w:pPr>
                          </w:p>
                        </w:tc>
                        <w:tc>
                          <w:tcPr>
                            <w:tcW w:w="1163" w:type="dxa"/>
                            <w:vMerge w:val="continue"/>
                            <w:tcBorders>
                              <w:top w:val="single" w:color="000000" w:sz="4" w:space="0"/>
                              <w:left w:val="single" w:color="000000" w:sz="4" w:space="0"/>
                              <w:bottom w:val="single" w:color="000000" w:sz="4" w:space="0"/>
                              <w:right w:val="single" w:color="000000" w:sz="4" w:space="0"/>
                            </w:tcBorders>
                            <w:noWrap w:val="0"/>
                            <w:vAlign w:val="center"/>
                          </w:tcPr>
                          <w:p w14:paraId="5755C93D">
                            <w:pPr>
                              <w:widowControl/>
                              <w:jc w:val="left"/>
                              <w:rPr>
                                <w:rFonts w:ascii="宋体" w:hAnsi="宋体" w:eastAsia="Times New Roman" w:cs="宋体"/>
                                <w:kern w:val="0"/>
                                <w:sz w:val="20"/>
                                <w:szCs w:val="20"/>
                              </w:rPr>
                            </w:pPr>
                          </w:p>
                        </w:tc>
                        <w:tc>
                          <w:tcPr>
                            <w:tcW w:w="1800" w:type="dxa"/>
                            <w:vMerge w:val="continue"/>
                            <w:tcBorders>
                              <w:top w:val="single" w:color="000000" w:sz="4" w:space="0"/>
                              <w:left w:val="single" w:color="000000" w:sz="4" w:space="0"/>
                              <w:bottom w:val="single" w:color="000000" w:sz="4" w:space="0"/>
                              <w:right w:val="single" w:color="000000" w:sz="4" w:space="0"/>
                            </w:tcBorders>
                            <w:noWrap w:val="0"/>
                            <w:vAlign w:val="center"/>
                          </w:tcPr>
                          <w:p w14:paraId="75E988AE">
                            <w:pPr>
                              <w:widowControl/>
                              <w:jc w:val="left"/>
                              <w:rPr>
                                <w:rFonts w:ascii="宋体" w:hAnsi="宋体" w:eastAsia="Times New Roman" w:cs="宋体"/>
                                <w:kern w:val="0"/>
                                <w:sz w:val="20"/>
                                <w:szCs w:val="20"/>
                              </w:rPr>
                            </w:pPr>
                          </w:p>
                        </w:tc>
                        <w:tc>
                          <w:tcPr>
                            <w:tcW w:w="1792" w:type="dxa"/>
                            <w:vMerge w:val="restart"/>
                            <w:tcBorders>
                              <w:top w:val="single" w:color="000000" w:sz="4" w:space="0"/>
                              <w:left w:val="single" w:color="000000" w:sz="4" w:space="0"/>
                              <w:bottom w:val="nil"/>
                              <w:right w:val="single" w:color="000000" w:sz="4" w:space="0"/>
                            </w:tcBorders>
                            <w:noWrap w:val="0"/>
                            <w:vAlign w:val="top"/>
                          </w:tcPr>
                          <w:p w14:paraId="7174E04D">
                            <w:pPr>
                              <w:pStyle w:val="56"/>
                              <w:spacing w:before="2"/>
                              <w:rPr>
                                <w:rFonts w:ascii="宋体" w:hAnsi="宋体" w:cs="宋体"/>
                                <w:sz w:val="24"/>
                                <w:szCs w:val="24"/>
                                <w:lang w:eastAsia="zh-CN"/>
                              </w:rPr>
                            </w:pPr>
                          </w:p>
                          <w:p w14:paraId="0A164D50">
                            <w:pPr>
                              <w:pStyle w:val="56"/>
                              <w:ind w:left="7"/>
                              <w:rPr>
                                <w:rFonts w:ascii="宋体" w:hAnsi="宋体" w:cs="宋体"/>
                                <w:sz w:val="20"/>
                                <w:szCs w:val="20"/>
                              </w:rPr>
                            </w:pPr>
                            <w:r>
                              <w:rPr>
                                <w:rFonts w:hint="eastAsia" w:ascii="宋体" w:hAnsi="宋体" w:cs="宋体"/>
                                <w:w w:val="99"/>
                                <w:sz w:val="20"/>
                                <w:szCs w:val="20"/>
                              </w:rPr>
                              <w:t>单元式空气调节机</w:t>
                            </w:r>
                          </w:p>
                        </w:tc>
                        <w:tc>
                          <w:tcPr>
                            <w:tcW w:w="3780" w:type="dxa"/>
                            <w:vMerge w:val="restart"/>
                            <w:tcBorders>
                              <w:top w:val="single" w:color="000000" w:sz="4" w:space="0"/>
                              <w:left w:val="single" w:color="000000" w:sz="4" w:space="0"/>
                              <w:right w:val="single" w:color="000000" w:sz="4" w:space="0"/>
                            </w:tcBorders>
                            <w:noWrap w:val="0"/>
                            <w:vAlign w:val="top"/>
                          </w:tcPr>
                          <w:p w14:paraId="23A1AEB6">
                            <w:pPr>
                              <w:pStyle w:val="56"/>
                              <w:spacing w:before="4"/>
                              <w:ind w:left="7"/>
                              <w:rPr>
                                <w:rFonts w:ascii="宋体" w:hAnsi="宋体" w:cs="宋体"/>
                                <w:sz w:val="20"/>
                                <w:szCs w:val="20"/>
                                <w:lang w:eastAsia="zh-CN"/>
                              </w:rPr>
                            </w:pPr>
                            <w:r>
                              <w:rPr>
                                <w:rFonts w:hint="eastAsia" w:ascii="宋体" w:hAnsi="宋体" w:cs="宋体"/>
                                <w:w w:val="99"/>
                                <w:sz w:val="20"/>
                                <w:szCs w:val="20"/>
                                <w:lang w:eastAsia="zh-CN"/>
                              </w:rPr>
                              <w:t>《单元式空气调节机能效限定值及能源效率等级》（GB19576）《风管送风式空调机组能效限定值及能效等级》（GB37479）</w:t>
                            </w:r>
                          </w:p>
                        </w:tc>
                      </w:tr>
                      <w:tr w14:paraId="2ABC7289">
                        <w:tblPrEx>
                          <w:tblCellMar>
                            <w:top w:w="0" w:type="dxa"/>
                            <w:left w:w="0" w:type="dxa"/>
                            <w:bottom w:w="0" w:type="dxa"/>
                            <w:right w:w="0" w:type="dxa"/>
                          </w:tblCellMar>
                        </w:tblPrEx>
                        <w:trPr>
                          <w:trHeight w:val="657" w:hRule="exact"/>
                        </w:trPr>
                        <w:tc>
                          <w:tcPr>
                            <w:tcW w:w="570" w:type="dxa"/>
                            <w:vMerge w:val="continue"/>
                            <w:tcBorders>
                              <w:top w:val="single" w:color="000000" w:sz="4" w:space="0"/>
                              <w:left w:val="single" w:color="000000" w:sz="4" w:space="0"/>
                              <w:bottom w:val="single" w:color="000000" w:sz="4" w:space="0"/>
                              <w:right w:val="single" w:color="000000" w:sz="4" w:space="0"/>
                            </w:tcBorders>
                            <w:noWrap w:val="0"/>
                            <w:vAlign w:val="center"/>
                          </w:tcPr>
                          <w:p w14:paraId="210A3710">
                            <w:pPr>
                              <w:widowControl/>
                              <w:jc w:val="left"/>
                              <w:rPr>
                                <w:rFonts w:ascii="宋体" w:hAnsi="宋体" w:eastAsia="Times New Roman" w:cs="宋体"/>
                                <w:kern w:val="0"/>
                                <w:sz w:val="20"/>
                                <w:szCs w:val="20"/>
                              </w:rPr>
                            </w:pPr>
                          </w:p>
                        </w:tc>
                        <w:tc>
                          <w:tcPr>
                            <w:tcW w:w="1163" w:type="dxa"/>
                            <w:vMerge w:val="continue"/>
                            <w:tcBorders>
                              <w:top w:val="single" w:color="000000" w:sz="4" w:space="0"/>
                              <w:left w:val="single" w:color="000000" w:sz="4" w:space="0"/>
                              <w:bottom w:val="single" w:color="000000" w:sz="4" w:space="0"/>
                              <w:right w:val="single" w:color="000000" w:sz="4" w:space="0"/>
                            </w:tcBorders>
                            <w:noWrap w:val="0"/>
                            <w:vAlign w:val="center"/>
                          </w:tcPr>
                          <w:p w14:paraId="18173FF3">
                            <w:pPr>
                              <w:widowControl/>
                              <w:jc w:val="left"/>
                              <w:rPr>
                                <w:rFonts w:ascii="宋体" w:hAnsi="宋体" w:eastAsia="Times New Roman" w:cs="宋体"/>
                                <w:kern w:val="0"/>
                                <w:sz w:val="20"/>
                                <w:szCs w:val="20"/>
                              </w:rPr>
                            </w:pPr>
                          </w:p>
                        </w:tc>
                        <w:tc>
                          <w:tcPr>
                            <w:tcW w:w="1800" w:type="dxa"/>
                            <w:vMerge w:val="continue"/>
                            <w:tcBorders>
                              <w:top w:val="single" w:color="000000" w:sz="4" w:space="0"/>
                              <w:left w:val="single" w:color="000000" w:sz="4" w:space="0"/>
                              <w:bottom w:val="single" w:color="000000" w:sz="4" w:space="0"/>
                              <w:right w:val="single" w:color="000000" w:sz="4" w:space="0"/>
                            </w:tcBorders>
                            <w:noWrap w:val="0"/>
                            <w:vAlign w:val="center"/>
                          </w:tcPr>
                          <w:p w14:paraId="7C91568B">
                            <w:pPr>
                              <w:widowControl/>
                              <w:jc w:val="left"/>
                              <w:rPr>
                                <w:rFonts w:ascii="宋体" w:hAnsi="宋体" w:eastAsia="Times New Roman" w:cs="宋体"/>
                                <w:kern w:val="0"/>
                                <w:sz w:val="20"/>
                                <w:szCs w:val="20"/>
                              </w:rPr>
                            </w:pPr>
                          </w:p>
                        </w:tc>
                        <w:tc>
                          <w:tcPr>
                            <w:tcW w:w="1792" w:type="dxa"/>
                            <w:tcBorders>
                              <w:top w:val="nil"/>
                              <w:left w:val="single" w:color="000000" w:sz="4" w:space="0"/>
                              <w:bottom w:val="single" w:color="000000" w:sz="4" w:space="0"/>
                              <w:right w:val="single" w:color="000000" w:sz="4" w:space="0"/>
                            </w:tcBorders>
                            <w:noWrap w:val="0"/>
                            <w:vAlign w:val="top"/>
                          </w:tcPr>
                          <w:p w14:paraId="3EA09BD6">
                            <w:pPr>
                              <w:pStyle w:val="56"/>
                              <w:spacing w:line="256" w:lineRule="exact"/>
                              <w:ind w:left="7"/>
                              <w:rPr>
                                <w:rFonts w:ascii="宋体" w:hAnsi="宋体" w:cs="宋体"/>
                                <w:sz w:val="20"/>
                                <w:szCs w:val="20"/>
                              </w:rPr>
                            </w:pPr>
                            <w:r>
                              <w:rPr>
                                <w:rFonts w:hint="eastAsia" w:ascii="宋体" w:hAnsi="宋体" w:cs="宋体"/>
                                <w:w w:val="99"/>
                                <w:sz w:val="20"/>
                                <w:szCs w:val="20"/>
                              </w:rPr>
                              <w:t>（制冷量≤14000W）</w:t>
                            </w:r>
                          </w:p>
                        </w:tc>
                        <w:tc>
                          <w:tcPr>
                            <w:tcW w:w="3780" w:type="dxa"/>
                            <w:vMerge w:val="continue"/>
                            <w:tcBorders>
                              <w:left w:val="single" w:color="000000" w:sz="4" w:space="0"/>
                              <w:right w:val="single" w:color="000000" w:sz="4" w:space="0"/>
                            </w:tcBorders>
                            <w:noWrap w:val="0"/>
                            <w:vAlign w:val="top"/>
                          </w:tcPr>
                          <w:p w14:paraId="3E5FF9EA">
                            <w:pPr>
                              <w:pStyle w:val="56"/>
                              <w:spacing w:line="256" w:lineRule="exact"/>
                              <w:ind w:left="7"/>
                              <w:rPr>
                                <w:rFonts w:ascii="宋体" w:hAnsi="宋体" w:cs="宋体"/>
                                <w:sz w:val="20"/>
                                <w:szCs w:val="20"/>
                                <w:lang w:eastAsia="zh-CN"/>
                              </w:rPr>
                            </w:pPr>
                          </w:p>
                        </w:tc>
                      </w:tr>
                      <w:tr w14:paraId="235071D6">
                        <w:tblPrEx>
                          <w:tblCellMar>
                            <w:top w:w="0" w:type="dxa"/>
                            <w:left w:w="0" w:type="dxa"/>
                            <w:bottom w:w="0" w:type="dxa"/>
                            <w:right w:w="0" w:type="dxa"/>
                          </w:tblCellMar>
                        </w:tblPrEx>
                        <w:trPr>
                          <w:trHeight w:val="653" w:hRule="exact"/>
                        </w:trPr>
                        <w:tc>
                          <w:tcPr>
                            <w:tcW w:w="570" w:type="dxa"/>
                            <w:vMerge w:val="continue"/>
                            <w:tcBorders>
                              <w:top w:val="single" w:color="000000" w:sz="4" w:space="0"/>
                              <w:left w:val="single" w:color="000000" w:sz="4" w:space="0"/>
                              <w:bottom w:val="single" w:color="000000" w:sz="4" w:space="0"/>
                              <w:right w:val="single" w:color="000000" w:sz="4" w:space="0"/>
                            </w:tcBorders>
                            <w:noWrap w:val="0"/>
                            <w:vAlign w:val="center"/>
                          </w:tcPr>
                          <w:p w14:paraId="0E373C39">
                            <w:pPr>
                              <w:widowControl/>
                              <w:jc w:val="left"/>
                              <w:rPr>
                                <w:rFonts w:ascii="宋体" w:hAnsi="宋体" w:eastAsia="Times New Roman" w:cs="宋体"/>
                                <w:kern w:val="0"/>
                                <w:sz w:val="20"/>
                                <w:szCs w:val="20"/>
                                <w:lang w:eastAsia="en-US"/>
                              </w:rPr>
                            </w:pPr>
                          </w:p>
                        </w:tc>
                        <w:tc>
                          <w:tcPr>
                            <w:tcW w:w="1163" w:type="dxa"/>
                            <w:vMerge w:val="continue"/>
                            <w:tcBorders>
                              <w:top w:val="single" w:color="000000" w:sz="4" w:space="0"/>
                              <w:left w:val="single" w:color="000000" w:sz="4" w:space="0"/>
                              <w:bottom w:val="single" w:color="000000" w:sz="4" w:space="0"/>
                              <w:right w:val="single" w:color="000000" w:sz="4" w:space="0"/>
                            </w:tcBorders>
                            <w:noWrap w:val="0"/>
                            <w:vAlign w:val="center"/>
                          </w:tcPr>
                          <w:p w14:paraId="0C2DC709">
                            <w:pPr>
                              <w:widowControl/>
                              <w:jc w:val="left"/>
                              <w:rPr>
                                <w:rFonts w:ascii="宋体" w:hAnsi="宋体" w:eastAsia="Times New Roman" w:cs="宋体"/>
                                <w:kern w:val="0"/>
                                <w:sz w:val="20"/>
                                <w:szCs w:val="20"/>
                                <w:lang w:eastAsia="en-US"/>
                              </w:rPr>
                            </w:pPr>
                          </w:p>
                        </w:tc>
                        <w:tc>
                          <w:tcPr>
                            <w:tcW w:w="1800" w:type="dxa"/>
                            <w:tcBorders>
                              <w:top w:val="single" w:color="000000" w:sz="4" w:space="0"/>
                              <w:left w:val="single" w:color="000000" w:sz="4" w:space="0"/>
                              <w:bottom w:val="single" w:color="000000" w:sz="4" w:space="0"/>
                              <w:right w:val="single" w:color="000000" w:sz="4" w:space="0"/>
                            </w:tcBorders>
                            <w:noWrap w:val="0"/>
                            <w:vAlign w:val="top"/>
                          </w:tcPr>
                          <w:p w14:paraId="115D1BE0">
                            <w:pPr>
                              <w:pStyle w:val="56"/>
                              <w:spacing w:before="162"/>
                              <w:ind w:left="7"/>
                              <w:rPr>
                                <w:rFonts w:ascii="宋体" w:hAnsi="宋体" w:cs="宋体"/>
                                <w:sz w:val="20"/>
                                <w:szCs w:val="20"/>
                              </w:rPr>
                            </w:pPr>
                            <w:r>
                              <w:rPr>
                                <w:rFonts w:hint="eastAsia" w:ascii="宋体" w:hAnsi="宋体" w:cs="宋体"/>
                                <w:w w:val="99"/>
                                <w:sz w:val="20"/>
                                <w:szCs w:val="20"/>
                              </w:rPr>
                              <w:t>A0206180301洗衣机</w:t>
                            </w:r>
                          </w:p>
                        </w:tc>
                        <w:tc>
                          <w:tcPr>
                            <w:tcW w:w="1792" w:type="dxa"/>
                            <w:tcBorders>
                              <w:top w:val="single" w:color="000000" w:sz="4" w:space="0"/>
                              <w:left w:val="single" w:color="000000" w:sz="4" w:space="0"/>
                              <w:bottom w:val="single" w:color="000000" w:sz="4" w:space="0"/>
                              <w:right w:val="single" w:color="000000" w:sz="4" w:space="0"/>
                            </w:tcBorders>
                            <w:noWrap w:val="0"/>
                            <w:vAlign w:val="top"/>
                          </w:tcPr>
                          <w:p w14:paraId="6BD6E903">
                            <w:pPr>
                              <w:rPr>
                                <w:rFonts w:ascii="Calibri" w:hAnsi="Calibri"/>
                                <w:sz w:val="22"/>
                                <w:szCs w:val="22"/>
                              </w:rPr>
                            </w:pPr>
                          </w:p>
                        </w:tc>
                        <w:tc>
                          <w:tcPr>
                            <w:tcW w:w="3780" w:type="dxa"/>
                            <w:tcBorders>
                              <w:top w:val="single" w:color="000000" w:sz="4" w:space="0"/>
                              <w:left w:val="single" w:color="000000" w:sz="4" w:space="0"/>
                              <w:bottom w:val="single" w:color="000000" w:sz="4" w:space="0"/>
                              <w:right w:val="single" w:color="000000" w:sz="4" w:space="0"/>
                            </w:tcBorders>
                            <w:noWrap w:val="0"/>
                            <w:vAlign w:val="top"/>
                          </w:tcPr>
                          <w:p w14:paraId="58B2B4A7">
                            <w:pPr>
                              <w:pStyle w:val="56"/>
                              <w:spacing w:before="6" w:line="280" w:lineRule="auto"/>
                              <w:ind w:left="7" w:right="4"/>
                              <w:rPr>
                                <w:rFonts w:ascii="宋体" w:hAnsi="宋体" w:cs="宋体"/>
                                <w:sz w:val="20"/>
                                <w:szCs w:val="20"/>
                                <w:lang w:eastAsia="zh-CN"/>
                              </w:rPr>
                            </w:pPr>
                            <w:r>
                              <w:rPr>
                                <w:rFonts w:hint="eastAsia" w:ascii="宋体" w:hAnsi="宋体" w:cs="宋体"/>
                                <w:w w:val="99"/>
                                <w:sz w:val="20"/>
                                <w:szCs w:val="20"/>
                                <w:lang w:eastAsia="zh-CN"/>
                              </w:rPr>
                              <w:t>《电动洗衣机能效水效限定值及等级》（GB12021.4）</w:t>
                            </w:r>
                          </w:p>
                        </w:tc>
                      </w:tr>
                    </w:tbl>
                    <w:p w14:paraId="76345FA4">
                      <w:pPr>
                        <w:rPr>
                          <w:rFonts w:ascii="Calibri" w:hAnsi="Calibri"/>
                          <w:sz w:val="22"/>
                          <w:szCs w:val="22"/>
                        </w:rPr>
                      </w:pPr>
                    </w:p>
                  </w:txbxContent>
                </v:textbox>
              </v:shape>
            </w:pict>
          </mc:Fallback>
        </mc:AlternateContent>
      </w:r>
    </w:p>
    <w:p w14:paraId="0E2BBE7F">
      <w:pPr>
        <w:rPr>
          <w:rFonts w:hint="eastAsia" w:ascii="宋体" w:hAnsi="宋体" w:cs="宋体"/>
          <w:color w:val="auto"/>
          <w:sz w:val="20"/>
          <w:szCs w:val="20"/>
          <w:highlight w:val="none"/>
        </w:rPr>
      </w:pPr>
    </w:p>
    <w:p w14:paraId="123A2E97">
      <w:pPr>
        <w:rPr>
          <w:rFonts w:hint="eastAsia" w:ascii="宋体" w:hAnsi="宋体" w:cs="宋体"/>
          <w:color w:val="auto"/>
          <w:sz w:val="20"/>
          <w:szCs w:val="20"/>
          <w:highlight w:val="none"/>
        </w:rPr>
      </w:pPr>
    </w:p>
    <w:p w14:paraId="077193E3">
      <w:pPr>
        <w:rPr>
          <w:rFonts w:hint="eastAsia" w:ascii="宋体" w:hAnsi="宋体" w:cs="宋体"/>
          <w:color w:val="auto"/>
          <w:sz w:val="20"/>
          <w:szCs w:val="20"/>
          <w:highlight w:val="none"/>
        </w:rPr>
      </w:pPr>
    </w:p>
    <w:p w14:paraId="3922C031">
      <w:pPr>
        <w:spacing w:before="2"/>
        <w:rPr>
          <w:rFonts w:hint="eastAsia" w:ascii="宋体" w:hAnsi="宋体" w:cs="宋体"/>
          <w:color w:val="auto"/>
          <w:sz w:val="23"/>
          <w:szCs w:val="23"/>
          <w:highlight w:val="none"/>
        </w:rPr>
      </w:pPr>
    </w:p>
    <w:p w14:paraId="037043D8">
      <w:pPr>
        <w:rPr>
          <w:rFonts w:hint="eastAsia" w:ascii="宋体" w:hAnsi="宋体" w:cs="宋体"/>
          <w:color w:val="auto"/>
          <w:sz w:val="20"/>
          <w:szCs w:val="20"/>
          <w:highlight w:val="none"/>
        </w:rPr>
      </w:pPr>
    </w:p>
    <w:p w14:paraId="587354D1">
      <w:pPr>
        <w:rPr>
          <w:rFonts w:hint="eastAsia" w:ascii="宋体" w:hAnsi="宋体" w:cs="宋体"/>
          <w:color w:val="auto"/>
          <w:sz w:val="20"/>
          <w:szCs w:val="20"/>
          <w:highlight w:val="none"/>
        </w:rPr>
      </w:pPr>
    </w:p>
    <w:p w14:paraId="1BAAA119">
      <w:pPr>
        <w:rPr>
          <w:rFonts w:hint="eastAsia" w:ascii="宋体" w:hAnsi="宋体" w:cs="宋体"/>
          <w:color w:val="auto"/>
          <w:sz w:val="20"/>
          <w:szCs w:val="20"/>
          <w:highlight w:val="none"/>
        </w:rPr>
      </w:pPr>
    </w:p>
    <w:p w14:paraId="01774593">
      <w:pPr>
        <w:rPr>
          <w:rFonts w:hint="eastAsia" w:ascii="宋体" w:hAnsi="宋体" w:cs="宋体"/>
          <w:color w:val="auto"/>
          <w:sz w:val="20"/>
          <w:szCs w:val="20"/>
          <w:highlight w:val="none"/>
        </w:rPr>
      </w:pPr>
    </w:p>
    <w:p w14:paraId="0B691306">
      <w:pPr>
        <w:rPr>
          <w:rFonts w:hint="eastAsia" w:ascii="宋体" w:hAnsi="宋体" w:cs="宋体"/>
          <w:color w:val="auto"/>
          <w:sz w:val="20"/>
          <w:szCs w:val="20"/>
          <w:highlight w:val="none"/>
        </w:rPr>
      </w:pPr>
    </w:p>
    <w:p w14:paraId="6669AE10">
      <w:pPr>
        <w:rPr>
          <w:rFonts w:hint="eastAsia" w:ascii="宋体" w:hAnsi="宋体" w:cs="宋体"/>
          <w:color w:val="auto"/>
          <w:sz w:val="20"/>
          <w:szCs w:val="20"/>
          <w:highlight w:val="none"/>
        </w:rPr>
      </w:pPr>
    </w:p>
    <w:p w14:paraId="57B4F528">
      <w:pPr>
        <w:rPr>
          <w:rFonts w:hint="eastAsia" w:ascii="宋体" w:hAnsi="宋体" w:cs="宋体"/>
          <w:color w:val="auto"/>
          <w:sz w:val="20"/>
          <w:szCs w:val="20"/>
          <w:highlight w:val="none"/>
        </w:rPr>
      </w:pPr>
    </w:p>
    <w:p w14:paraId="332E8E76">
      <w:pPr>
        <w:rPr>
          <w:rFonts w:hint="eastAsia" w:ascii="宋体" w:hAnsi="宋体" w:cs="宋体"/>
          <w:color w:val="auto"/>
          <w:sz w:val="20"/>
          <w:szCs w:val="20"/>
          <w:highlight w:val="none"/>
        </w:rPr>
      </w:pPr>
    </w:p>
    <w:p w14:paraId="08F57280">
      <w:pPr>
        <w:rPr>
          <w:rFonts w:hint="eastAsia" w:ascii="宋体" w:hAnsi="宋体" w:cs="宋体"/>
          <w:color w:val="auto"/>
          <w:sz w:val="20"/>
          <w:szCs w:val="20"/>
          <w:highlight w:val="none"/>
        </w:rPr>
      </w:pPr>
    </w:p>
    <w:p w14:paraId="4B2D4FD3">
      <w:pPr>
        <w:rPr>
          <w:rFonts w:hint="eastAsia" w:ascii="宋体" w:hAnsi="宋体" w:cs="宋体"/>
          <w:color w:val="auto"/>
          <w:sz w:val="20"/>
          <w:szCs w:val="20"/>
          <w:highlight w:val="none"/>
        </w:rPr>
      </w:pPr>
    </w:p>
    <w:p w14:paraId="44F51168">
      <w:pPr>
        <w:rPr>
          <w:rFonts w:hint="eastAsia" w:ascii="宋体" w:hAnsi="宋体" w:cs="宋体"/>
          <w:color w:val="auto"/>
          <w:sz w:val="20"/>
          <w:szCs w:val="20"/>
          <w:highlight w:val="none"/>
        </w:rPr>
      </w:pPr>
    </w:p>
    <w:p w14:paraId="05769A37">
      <w:pPr>
        <w:rPr>
          <w:rFonts w:hint="eastAsia" w:ascii="宋体" w:hAnsi="宋体" w:cs="宋体"/>
          <w:color w:val="auto"/>
          <w:sz w:val="20"/>
          <w:szCs w:val="20"/>
          <w:highlight w:val="none"/>
        </w:rPr>
      </w:pPr>
    </w:p>
    <w:p w14:paraId="04C2D4EE">
      <w:pPr>
        <w:rPr>
          <w:rFonts w:hint="eastAsia" w:ascii="宋体" w:hAnsi="宋体" w:cs="宋体"/>
          <w:color w:val="auto"/>
          <w:sz w:val="20"/>
          <w:szCs w:val="20"/>
          <w:highlight w:val="none"/>
        </w:rPr>
      </w:pPr>
    </w:p>
    <w:p w14:paraId="154CD18C">
      <w:pPr>
        <w:rPr>
          <w:rFonts w:hint="eastAsia" w:ascii="宋体" w:hAnsi="宋体" w:cs="宋体"/>
          <w:color w:val="auto"/>
          <w:sz w:val="20"/>
          <w:szCs w:val="20"/>
          <w:highlight w:val="none"/>
        </w:rPr>
      </w:pPr>
    </w:p>
    <w:p w14:paraId="116E5E28">
      <w:pPr>
        <w:rPr>
          <w:rFonts w:hint="eastAsia" w:ascii="宋体" w:hAnsi="宋体" w:cs="宋体"/>
          <w:color w:val="auto"/>
          <w:sz w:val="20"/>
          <w:szCs w:val="20"/>
          <w:highlight w:val="none"/>
        </w:rPr>
      </w:pPr>
    </w:p>
    <w:p w14:paraId="423C4B39">
      <w:pPr>
        <w:rPr>
          <w:rFonts w:hint="eastAsia" w:ascii="宋体" w:hAnsi="宋体" w:cs="宋体"/>
          <w:color w:val="auto"/>
          <w:sz w:val="20"/>
          <w:szCs w:val="20"/>
          <w:highlight w:val="none"/>
        </w:rPr>
      </w:pPr>
    </w:p>
    <w:p w14:paraId="043BB5D6">
      <w:pPr>
        <w:spacing w:before="6"/>
        <w:rPr>
          <w:rFonts w:hint="eastAsia" w:ascii="宋体" w:hAnsi="宋体" w:cs="宋体"/>
          <w:color w:val="auto"/>
          <w:sz w:val="29"/>
          <w:szCs w:val="29"/>
          <w:highlight w:val="none"/>
        </w:rPr>
      </w:pPr>
    </w:p>
    <w:p w14:paraId="3C6E3A73">
      <w:pPr>
        <w:rPr>
          <w:rFonts w:hint="eastAsia" w:ascii="宋体" w:hAnsi="宋体" w:cs="宋体"/>
          <w:color w:val="auto"/>
          <w:sz w:val="20"/>
          <w:szCs w:val="20"/>
          <w:highlight w:val="none"/>
        </w:rPr>
      </w:pPr>
    </w:p>
    <w:p w14:paraId="3663F582">
      <w:pPr>
        <w:rPr>
          <w:rFonts w:hint="eastAsia" w:ascii="宋体" w:hAnsi="宋体" w:cs="宋体"/>
          <w:color w:val="auto"/>
          <w:sz w:val="20"/>
          <w:szCs w:val="20"/>
          <w:highlight w:val="none"/>
        </w:rPr>
      </w:pPr>
    </w:p>
    <w:p w14:paraId="4285428B">
      <w:pPr>
        <w:spacing w:before="3"/>
        <w:rPr>
          <w:rFonts w:hint="eastAsia" w:ascii="宋体" w:hAnsi="宋体" w:cs="宋体"/>
          <w:color w:val="auto"/>
          <w:sz w:val="22"/>
          <w:szCs w:val="22"/>
          <w:highlight w:val="none"/>
        </w:rPr>
      </w:pPr>
    </w:p>
    <w:p w14:paraId="74228911">
      <w:pPr>
        <w:widowControl/>
        <w:jc w:val="left"/>
        <w:rPr>
          <w:rFonts w:ascii="宋体" w:hAnsi="宋体" w:cs="宋体"/>
          <w:color w:val="auto"/>
          <w:sz w:val="20"/>
          <w:szCs w:val="20"/>
          <w:highlight w:val="none"/>
        </w:rPr>
        <w:sectPr>
          <w:pgSz w:w="11910" w:h="16840"/>
          <w:pgMar w:top="1340" w:right="1500" w:bottom="280" w:left="1680" w:header="720" w:footer="720" w:gutter="0"/>
          <w:pgNumType w:fmt="decimal"/>
          <w:cols w:space="720" w:num="1"/>
        </w:sectPr>
      </w:pPr>
    </w:p>
    <w:p w14:paraId="52EAD59B">
      <w:pPr>
        <w:rPr>
          <w:rFonts w:hint="eastAsia" w:ascii="宋体" w:hAnsi="宋体" w:cs="宋体"/>
          <w:color w:val="auto"/>
          <w:sz w:val="20"/>
          <w:szCs w:val="20"/>
          <w:highlight w:val="none"/>
        </w:rPr>
      </w:pPr>
    </w:p>
    <w:p w14:paraId="7D7F8E5C">
      <w:pPr>
        <w:rPr>
          <w:rFonts w:hint="eastAsia" w:ascii="宋体" w:hAnsi="宋体" w:cs="宋体"/>
          <w:color w:val="auto"/>
          <w:sz w:val="20"/>
          <w:szCs w:val="20"/>
          <w:highlight w:val="none"/>
        </w:rPr>
      </w:pPr>
      <w:r>
        <w:rPr>
          <w:rFonts w:hint="eastAsia"/>
          <w:color w:val="auto"/>
          <w:highlight w:val="none"/>
        </w:rPr>
        <mc:AlternateContent>
          <mc:Choice Requires="wps">
            <w:drawing>
              <wp:anchor distT="0" distB="0" distL="114300" distR="114300" simplePos="0" relativeHeight="251661312" behindDoc="0" locked="0" layoutInCell="1" allowOverlap="1">
                <wp:simplePos x="0" y="0"/>
                <wp:positionH relativeFrom="page">
                  <wp:posOffset>827405</wp:posOffset>
                </wp:positionH>
                <wp:positionV relativeFrom="paragraph">
                  <wp:posOffset>45720</wp:posOffset>
                </wp:positionV>
                <wp:extent cx="5994400" cy="8275320"/>
                <wp:effectExtent l="0" t="0" r="0" b="0"/>
                <wp:wrapNone/>
                <wp:docPr id="3" name="文本框 4"/>
                <wp:cNvGraphicFramePr/>
                <a:graphic xmlns:a="http://schemas.openxmlformats.org/drawingml/2006/main">
                  <a:graphicData uri="http://schemas.microsoft.com/office/word/2010/wordprocessingShape">
                    <wps:wsp>
                      <wps:cNvSpPr txBox="1"/>
                      <wps:spPr>
                        <a:xfrm>
                          <a:off x="0" y="0"/>
                          <a:ext cx="5994400" cy="8275320"/>
                        </a:xfrm>
                        <a:prstGeom prst="rect">
                          <a:avLst/>
                        </a:prstGeom>
                        <a:noFill/>
                        <a:ln>
                          <a:noFill/>
                        </a:ln>
                      </wps:spPr>
                      <wps:txbx>
                        <w:txbxContent>
                          <w:tbl>
                            <w:tblPr>
                              <w:tblStyle w:val="24"/>
                              <w:tblW w:w="0" w:type="auto"/>
                              <w:tblInd w:w="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85"/>
                              <w:gridCol w:w="1305"/>
                              <w:gridCol w:w="1665"/>
                              <w:gridCol w:w="1770"/>
                              <w:gridCol w:w="3765"/>
                            </w:tblGrid>
                            <w:tr w14:paraId="12153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42" w:hRule="exact"/>
                              </w:trPr>
                              <w:tc>
                                <w:tcPr>
                                  <w:tcW w:w="585" w:type="dxa"/>
                                  <w:vMerge w:val="restart"/>
                                  <w:tcBorders>
                                    <w:top w:val="single" w:color="auto" w:sz="4" w:space="0"/>
                                    <w:left w:val="single" w:color="auto" w:sz="4" w:space="0"/>
                                    <w:bottom w:val="single" w:color="auto" w:sz="4" w:space="0"/>
                                    <w:right w:val="single" w:color="auto" w:sz="4" w:space="0"/>
                                  </w:tcBorders>
                                  <w:noWrap w:val="0"/>
                                  <w:vAlign w:val="top"/>
                                </w:tcPr>
                                <w:p w14:paraId="20581000">
                                  <w:pPr>
                                    <w:rPr>
                                      <w:rFonts w:ascii="Calibri" w:hAnsi="Calibri"/>
                                      <w:sz w:val="22"/>
                                      <w:szCs w:val="22"/>
                                    </w:rPr>
                                  </w:pPr>
                                </w:p>
                              </w:tc>
                              <w:tc>
                                <w:tcPr>
                                  <w:tcW w:w="1305" w:type="dxa"/>
                                  <w:vMerge w:val="restart"/>
                                  <w:tcBorders>
                                    <w:top w:val="single" w:color="auto" w:sz="4" w:space="0"/>
                                    <w:left w:val="single" w:color="auto" w:sz="4" w:space="0"/>
                                    <w:bottom w:val="single" w:color="auto" w:sz="4" w:space="0"/>
                                    <w:right w:val="single" w:color="auto" w:sz="4" w:space="0"/>
                                  </w:tcBorders>
                                  <w:noWrap w:val="0"/>
                                  <w:vAlign w:val="top"/>
                                </w:tcPr>
                                <w:p w14:paraId="6DF51383">
                                  <w:pPr>
                                    <w:rPr>
                                      <w:rFonts w:ascii="Calibri" w:hAnsi="Calibri"/>
                                      <w:sz w:val="22"/>
                                      <w:szCs w:val="22"/>
                                    </w:rPr>
                                  </w:pPr>
                                </w:p>
                              </w:tc>
                              <w:tc>
                                <w:tcPr>
                                  <w:tcW w:w="1665" w:type="dxa"/>
                                  <w:vMerge w:val="restart"/>
                                  <w:tcBorders>
                                    <w:top w:val="single" w:color="auto" w:sz="4" w:space="0"/>
                                    <w:left w:val="single" w:color="auto" w:sz="4" w:space="0"/>
                                    <w:bottom w:val="single" w:color="auto" w:sz="4" w:space="0"/>
                                    <w:right w:val="single" w:color="auto" w:sz="4" w:space="0"/>
                                  </w:tcBorders>
                                  <w:noWrap w:val="0"/>
                                  <w:vAlign w:val="top"/>
                                </w:tcPr>
                                <w:p w14:paraId="7163B138">
                                  <w:pPr>
                                    <w:pStyle w:val="56"/>
                                    <w:rPr>
                                      <w:rFonts w:ascii="宋体" w:hAnsi="宋体" w:cs="宋体"/>
                                      <w:sz w:val="20"/>
                                      <w:szCs w:val="20"/>
                                    </w:rPr>
                                  </w:pPr>
                                </w:p>
                                <w:p w14:paraId="26D6D872">
                                  <w:pPr>
                                    <w:pStyle w:val="56"/>
                                    <w:rPr>
                                      <w:rFonts w:hint="eastAsia" w:ascii="宋体" w:hAnsi="宋体" w:cs="宋体"/>
                                      <w:sz w:val="20"/>
                                      <w:szCs w:val="20"/>
                                    </w:rPr>
                                  </w:pPr>
                                </w:p>
                                <w:p w14:paraId="426375A0">
                                  <w:pPr>
                                    <w:pStyle w:val="56"/>
                                    <w:rPr>
                                      <w:rFonts w:hint="eastAsia" w:ascii="宋体" w:hAnsi="宋体" w:cs="宋体"/>
                                      <w:sz w:val="20"/>
                                      <w:szCs w:val="20"/>
                                    </w:rPr>
                                  </w:pPr>
                                </w:p>
                                <w:p w14:paraId="3404993D">
                                  <w:pPr>
                                    <w:pStyle w:val="56"/>
                                    <w:rPr>
                                      <w:rFonts w:hint="eastAsia" w:ascii="宋体" w:hAnsi="宋体" w:cs="宋体"/>
                                      <w:sz w:val="20"/>
                                      <w:szCs w:val="20"/>
                                    </w:rPr>
                                  </w:pPr>
                                </w:p>
                                <w:p w14:paraId="26639467">
                                  <w:pPr>
                                    <w:pStyle w:val="56"/>
                                    <w:rPr>
                                      <w:rFonts w:hint="eastAsia" w:ascii="宋体" w:hAnsi="宋体" w:cs="宋体"/>
                                      <w:sz w:val="20"/>
                                      <w:szCs w:val="20"/>
                                    </w:rPr>
                                  </w:pPr>
                                </w:p>
                                <w:p w14:paraId="121060EE">
                                  <w:pPr>
                                    <w:pStyle w:val="56"/>
                                    <w:spacing w:before="161"/>
                                    <w:ind w:left="7"/>
                                    <w:rPr>
                                      <w:rFonts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06</w:t>
                                  </w:r>
                                  <w:r>
                                    <w:rPr>
                                      <w:rFonts w:hint="eastAsia" w:ascii="宋体" w:hAnsi="宋体" w:cs="宋体"/>
                                      <w:spacing w:val="1"/>
                                      <w:w w:val="99"/>
                                      <w:sz w:val="20"/>
                                      <w:szCs w:val="20"/>
                                    </w:rPr>
                                    <w:t>1</w:t>
                                  </w:r>
                                  <w:r>
                                    <w:rPr>
                                      <w:rFonts w:hint="eastAsia" w:ascii="宋体" w:hAnsi="宋体" w:cs="宋体"/>
                                      <w:w w:val="99"/>
                                      <w:sz w:val="20"/>
                                      <w:szCs w:val="20"/>
                                    </w:rPr>
                                    <w:t>808热水器</w:t>
                                  </w:r>
                                </w:p>
                              </w:tc>
                              <w:tc>
                                <w:tcPr>
                                  <w:tcW w:w="1770" w:type="dxa"/>
                                  <w:tcBorders>
                                    <w:top w:val="single" w:color="auto" w:sz="4" w:space="0"/>
                                    <w:left w:val="single" w:color="auto" w:sz="4" w:space="0"/>
                                    <w:bottom w:val="single" w:color="auto" w:sz="4" w:space="0"/>
                                    <w:right w:val="single" w:color="auto" w:sz="4" w:space="0"/>
                                  </w:tcBorders>
                                  <w:noWrap w:val="0"/>
                                  <w:vAlign w:val="top"/>
                                </w:tcPr>
                                <w:p w14:paraId="6E7508C3">
                                  <w:pPr>
                                    <w:pStyle w:val="56"/>
                                    <w:spacing w:before="12"/>
                                    <w:rPr>
                                      <w:rFonts w:ascii="宋体" w:hAnsi="宋体" w:cs="宋体"/>
                                      <w:sz w:val="15"/>
                                      <w:szCs w:val="15"/>
                                    </w:rPr>
                                  </w:pPr>
                                </w:p>
                                <w:p w14:paraId="43D5932E">
                                  <w:pPr>
                                    <w:pStyle w:val="56"/>
                                    <w:ind w:left="7"/>
                                    <w:rPr>
                                      <w:rFonts w:ascii="宋体" w:hAnsi="宋体" w:cs="宋体"/>
                                      <w:sz w:val="20"/>
                                      <w:szCs w:val="20"/>
                                    </w:rPr>
                                  </w:pPr>
                                  <w:r>
                                    <w:rPr>
                                      <w:rFonts w:hint="eastAsia" w:ascii="宋体" w:hAnsi="宋体" w:cs="宋体"/>
                                      <w:w w:val="99"/>
                                      <w:sz w:val="20"/>
                                      <w:szCs w:val="20"/>
                                    </w:rPr>
                                    <w:t>★电热</w:t>
                                  </w:r>
                                  <w:r>
                                    <w:rPr>
                                      <w:rFonts w:hint="eastAsia" w:ascii="宋体" w:hAnsi="宋体" w:cs="宋体"/>
                                      <w:spacing w:val="2"/>
                                      <w:w w:val="99"/>
                                      <w:sz w:val="20"/>
                                      <w:szCs w:val="20"/>
                                    </w:rPr>
                                    <w:t>水</w:t>
                                  </w:r>
                                  <w:r>
                                    <w:rPr>
                                      <w:rFonts w:hint="eastAsia" w:ascii="宋体" w:hAnsi="宋体" w:cs="宋体"/>
                                      <w:w w:val="99"/>
                                      <w:sz w:val="20"/>
                                      <w:szCs w:val="20"/>
                                    </w:rPr>
                                    <w:t>器</w:t>
                                  </w:r>
                                </w:p>
                              </w:tc>
                              <w:tc>
                                <w:tcPr>
                                  <w:tcW w:w="3765" w:type="dxa"/>
                                  <w:tcBorders>
                                    <w:top w:val="single" w:color="auto" w:sz="4" w:space="0"/>
                                    <w:left w:val="single" w:color="auto" w:sz="4" w:space="0"/>
                                    <w:bottom w:val="single" w:color="auto" w:sz="4" w:space="0"/>
                                    <w:right w:val="single" w:color="auto" w:sz="4" w:space="0"/>
                                  </w:tcBorders>
                                  <w:noWrap w:val="0"/>
                                  <w:vAlign w:val="top"/>
                                </w:tcPr>
                                <w:p w14:paraId="1B887A52">
                                  <w:pPr>
                                    <w:pStyle w:val="56"/>
                                    <w:tabs>
                                      <w:tab w:val="left" w:pos="1608"/>
                                    </w:tabs>
                                    <w:spacing w:before="52" w:line="280" w:lineRule="auto"/>
                                    <w:ind w:left="7" w:right="4"/>
                                    <w:rPr>
                                      <w:rFonts w:ascii="宋体" w:hAnsi="宋体" w:cs="宋体"/>
                                      <w:sz w:val="20"/>
                                      <w:szCs w:val="20"/>
                                      <w:lang w:eastAsia="zh-CN"/>
                                    </w:rPr>
                                  </w:pPr>
                                  <w:r>
                                    <w:rPr>
                                      <w:rFonts w:hint="eastAsia" w:ascii="宋体" w:hAnsi="宋体" w:cs="宋体"/>
                                      <w:spacing w:val="12"/>
                                      <w:w w:val="99"/>
                                      <w:sz w:val="20"/>
                                      <w:szCs w:val="20"/>
                                      <w:lang w:eastAsia="zh-CN"/>
                                    </w:rPr>
                                    <w:t>《储水式电热水器能效</w:t>
                                  </w:r>
                                  <w:r>
                                    <w:rPr>
                                      <w:rFonts w:hint="eastAsia" w:ascii="宋体" w:hAnsi="宋体" w:cs="宋体"/>
                                      <w:spacing w:val="9"/>
                                      <w:w w:val="99"/>
                                      <w:sz w:val="20"/>
                                      <w:szCs w:val="20"/>
                                      <w:lang w:eastAsia="zh-CN"/>
                                    </w:rPr>
                                    <w:t>限</w:t>
                                  </w:r>
                                  <w:r>
                                    <w:rPr>
                                      <w:rFonts w:hint="eastAsia" w:ascii="宋体" w:hAnsi="宋体" w:cs="宋体"/>
                                      <w:spacing w:val="12"/>
                                      <w:w w:val="99"/>
                                      <w:sz w:val="20"/>
                                      <w:szCs w:val="20"/>
                                      <w:lang w:eastAsia="zh-CN"/>
                                    </w:rPr>
                                    <w:t>定值</w:t>
                                  </w:r>
                                  <w:r>
                                    <w:rPr>
                                      <w:rFonts w:hint="eastAsia" w:ascii="宋体" w:hAnsi="宋体" w:cs="宋体"/>
                                      <w:w w:val="99"/>
                                      <w:sz w:val="20"/>
                                      <w:szCs w:val="20"/>
                                      <w:lang w:eastAsia="zh-CN"/>
                                    </w:rPr>
                                    <w:t>及能效等</w:t>
                                  </w:r>
                                  <w:r>
                                    <w:rPr>
                                      <w:rFonts w:hint="eastAsia" w:ascii="宋体" w:hAnsi="宋体" w:cs="宋体"/>
                                      <w:spacing w:val="2"/>
                                      <w:w w:val="99"/>
                                      <w:sz w:val="20"/>
                                      <w:szCs w:val="20"/>
                                      <w:lang w:eastAsia="zh-CN"/>
                                    </w:rPr>
                                    <w:t>级</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21</w:t>
                                  </w:r>
                                  <w:r>
                                    <w:rPr>
                                      <w:rFonts w:hint="eastAsia" w:ascii="宋体" w:hAnsi="宋体" w:cs="宋体"/>
                                      <w:w w:val="99"/>
                                      <w:sz w:val="20"/>
                                      <w:szCs w:val="20"/>
                                      <w:lang w:eastAsia="zh-CN"/>
                                    </w:rPr>
                                    <w:t>51</w:t>
                                  </w:r>
                                  <w:r>
                                    <w:rPr>
                                      <w:rFonts w:hint="eastAsia" w:ascii="宋体" w:hAnsi="宋体" w:cs="宋体"/>
                                      <w:spacing w:val="1"/>
                                      <w:w w:val="99"/>
                                      <w:sz w:val="20"/>
                                      <w:szCs w:val="20"/>
                                      <w:lang w:eastAsia="zh-CN"/>
                                    </w:rPr>
                                    <w:t>9</w:t>
                                  </w:r>
                                  <w:r>
                                    <w:rPr>
                                      <w:rFonts w:hint="eastAsia" w:ascii="宋体" w:hAnsi="宋体" w:cs="宋体"/>
                                      <w:w w:val="99"/>
                                      <w:sz w:val="20"/>
                                      <w:szCs w:val="20"/>
                                      <w:lang w:eastAsia="zh-CN"/>
                                    </w:rPr>
                                    <w:t>）</w:t>
                                  </w:r>
                                </w:p>
                              </w:tc>
                            </w:tr>
                            <w:tr w14:paraId="4DD7C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58" w:hRule="exact"/>
                              </w:trPr>
                              <w:tc>
                                <w:tcPr>
                                  <w:tcW w:w="585" w:type="dxa"/>
                                  <w:vMerge w:val="continue"/>
                                  <w:tcBorders>
                                    <w:top w:val="single" w:color="auto" w:sz="4" w:space="0"/>
                                    <w:left w:val="single" w:color="auto" w:sz="4" w:space="0"/>
                                    <w:bottom w:val="single" w:color="auto" w:sz="4" w:space="0"/>
                                    <w:right w:val="single" w:color="auto" w:sz="4" w:space="0"/>
                                  </w:tcBorders>
                                  <w:noWrap w:val="0"/>
                                  <w:vAlign w:val="center"/>
                                </w:tcPr>
                                <w:p w14:paraId="5618397D">
                                  <w:pPr>
                                    <w:widowControl/>
                                    <w:jc w:val="left"/>
                                    <w:rPr>
                                      <w:rFonts w:ascii="Calibri" w:hAnsi="Calibri" w:eastAsia="Times New Roman"/>
                                      <w:sz w:val="22"/>
                                      <w:szCs w:val="22"/>
                                    </w:rPr>
                                  </w:pPr>
                                </w:p>
                              </w:tc>
                              <w:tc>
                                <w:tcPr>
                                  <w:tcW w:w="1305" w:type="dxa"/>
                                  <w:vMerge w:val="continue"/>
                                  <w:tcBorders>
                                    <w:top w:val="single" w:color="auto" w:sz="4" w:space="0"/>
                                    <w:left w:val="single" w:color="auto" w:sz="4" w:space="0"/>
                                    <w:bottom w:val="single" w:color="auto" w:sz="4" w:space="0"/>
                                    <w:right w:val="single" w:color="auto" w:sz="4" w:space="0"/>
                                  </w:tcBorders>
                                  <w:noWrap w:val="0"/>
                                  <w:vAlign w:val="center"/>
                                </w:tcPr>
                                <w:p w14:paraId="193EC033">
                                  <w:pPr>
                                    <w:widowControl/>
                                    <w:jc w:val="left"/>
                                    <w:rPr>
                                      <w:rFonts w:ascii="Calibri" w:hAnsi="Calibri" w:eastAsia="Times New Roman"/>
                                      <w:sz w:val="22"/>
                                      <w:szCs w:val="22"/>
                                    </w:rPr>
                                  </w:pPr>
                                </w:p>
                              </w:tc>
                              <w:tc>
                                <w:tcPr>
                                  <w:tcW w:w="1665" w:type="dxa"/>
                                  <w:vMerge w:val="continue"/>
                                  <w:tcBorders>
                                    <w:top w:val="single" w:color="auto" w:sz="4" w:space="0"/>
                                    <w:left w:val="single" w:color="auto" w:sz="4" w:space="0"/>
                                    <w:bottom w:val="single" w:color="auto" w:sz="4" w:space="0"/>
                                    <w:right w:val="single" w:color="auto" w:sz="4" w:space="0"/>
                                  </w:tcBorders>
                                  <w:noWrap w:val="0"/>
                                  <w:vAlign w:val="center"/>
                                </w:tcPr>
                                <w:p w14:paraId="15530012">
                                  <w:pPr>
                                    <w:widowControl/>
                                    <w:jc w:val="left"/>
                                    <w:rPr>
                                      <w:rFonts w:ascii="宋体" w:hAnsi="宋体" w:eastAsia="Times New Roman" w:cs="宋体"/>
                                      <w:kern w:val="0"/>
                                      <w:sz w:val="20"/>
                                      <w:szCs w:val="20"/>
                                    </w:rPr>
                                  </w:pPr>
                                </w:p>
                              </w:tc>
                              <w:tc>
                                <w:tcPr>
                                  <w:tcW w:w="1770" w:type="dxa"/>
                                  <w:tcBorders>
                                    <w:top w:val="single" w:color="auto" w:sz="4" w:space="0"/>
                                    <w:left w:val="single" w:color="auto" w:sz="4" w:space="0"/>
                                    <w:bottom w:val="single" w:color="auto" w:sz="4" w:space="0"/>
                                    <w:right w:val="single" w:color="auto" w:sz="4" w:space="0"/>
                                  </w:tcBorders>
                                  <w:noWrap w:val="0"/>
                                  <w:vAlign w:val="top"/>
                                </w:tcPr>
                                <w:p w14:paraId="77E9A963">
                                  <w:pPr>
                                    <w:pStyle w:val="56"/>
                                    <w:spacing w:before="2"/>
                                    <w:rPr>
                                      <w:rFonts w:ascii="宋体" w:hAnsi="宋体" w:cs="宋体"/>
                                      <w:sz w:val="24"/>
                                      <w:szCs w:val="24"/>
                                      <w:lang w:eastAsia="zh-CN"/>
                                    </w:rPr>
                                  </w:pPr>
                                </w:p>
                                <w:p w14:paraId="426E3223">
                                  <w:pPr>
                                    <w:pStyle w:val="56"/>
                                    <w:ind w:left="7"/>
                                    <w:rPr>
                                      <w:rFonts w:ascii="宋体" w:hAnsi="宋体" w:cs="宋体"/>
                                      <w:sz w:val="20"/>
                                      <w:szCs w:val="20"/>
                                    </w:rPr>
                                  </w:pPr>
                                  <w:r>
                                    <w:rPr>
                                      <w:rFonts w:hint="eastAsia" w:ascii="宋体" w:hAnsi="宋体" w:cs="宋体"/>
                                      <w:w w:val="99"/>
                                      <w:sz w:val="20"/>
                                      <w:szCs w:val="20"/>
                                    </w:rPr>
                                    <w:t>燃气热</w:t>
                                  </w:r>
                                  <w:r>
                                    <w:rPr>
                                      <w:rFonts w:hint="eastAsia" w:ascii="宋体" w:hAnsi="宋体" w:cs="宋体"/>
                                      <w:spacing w:val="2"/>
                                      <w:w w:val="99"/>
                                      <w:sz w:val="20"/>
                                      <w:szCs w:val="20"/>
                                    </w:rPr>
                                    <w:t>水</w:t>
                                  </w:r>
                                  <w:r>
                                    <w:rPr>
                                      <w:rFonts w:hint="eastAsia" w:ascii="宋体" w:hAnsi="宋体" w:cs="宋体"/>
                                      <w:w w:val="99"/>
                                      <w:sz w:val="20"/>
                                      <w:szCs w:val="20"/>
                                    </w:rPr>
                                    <w:t>器</w:t>
                                  </w:r>
                                </w:p>
                              </w:tc>
                              <w:tc>
                                <w:tcPr>
                                  <w:tcW w:w="3765" w:type="dxa"/>
                                  <w:tcBorders>
                                    <w:top w:val="single" w:color="auto" w:sz="4" w:space="0"/>
                                    <w:left w:val="single" w:color="auto" w:sz="4" w:space="0"/>
                                    <w:bottom w:val="single" w:color="auto" w:sz="4" w:space="0"/>
                                    <w:right w:val="single" w:color="auto" w:sz="4" w:space="0"/>
                                  </w:tcBorders>
                                  <w:noWrap w:val="0"/>
                                  <w:vAlign w:val="top"/>
                                </w:tcPr>
                                <w:p w14:paraId="1C0E9428">
                                  <w:pPr>
                                    <w:pStyle w:val="56"/>
                                    <w:spacing w:before="4" w:line="280" w:lineRule="auto"/>
                                    <w:ind w:left="7" w:right="4"/>
                                    <w:rPr>
                                      <w:rFonts w:hint="eastAsia" w:ascii="宋体" w:hAnsi="宋体" w:cs="宋体"/>
                                      <w:sz w:val="20"/>
                                      <w:szCs w:val="20"/>
                                      <w:lang w:eastAsia="zh-CN"/>
                                    </w:rPr>
                                  </w:pPr>
                                  <w:r>
                                    <w:rPr>
                                      <w:rFonts w:hint="eastAsia" w:ascii="宋体" w:hAnsi="宋体" w:cs="宋体"/>
                                      <w:spacing w:val="12"/>
                                      <w:w w:val="99"/>
                                      <w:sz w:val="20"/>
                                      <w:szCs w:val="20"/>
                                      <w:lang w:eastAsia="zh-CN"/>
                                    </w:rPr>
                                    <w:t>《家用燃气快速热水器</w:t>
                                  </w:r>
                                  <w:r>
                                    <w:rPr>
                                      <w:rFonts w:hint="eastAsia" w:ascii="宋体" w:hAnsi="宋体" w:cs="宋体"/>
                                      <w:spacing w:val="9"/>
                                      <w:w w:val="99"/>
                                      <w:sz w:val="20"/>
                                      <w:szCs w:val="20"/>
                                      <w:lang w:eastAsia="zh-CN"/>
                                    </w:rPr>
                                    <w:t>和</w:t>
                                  </w:r>
                                  <w:r>
                                    <w:rPr>
                                      <w:rFonts w:hint="eastAsia" w:ascii="宋体" w:hAnsi="宋体" w:cs="宋体"/>
                                      <w:spacing w:val="12"/>
                                      <w:w w:val="99"/>
                                      <w:sz w:val="20"/>
                                      <w:szCs w:val="20"/>
                                      <w:lang w:eastAsia="zh-CN"/>
                                    </w:rPr>
                                    <w:t>燃气</w:t>
                                  </w:r>
                                  <w:r>
                                    <w:rPr>
                                      <w:rFonts w:hint="eastAsia" w:ascii="宋体" w:hAnsi="宋体" w:cs="宋体"/>
                                      <w:w w:val="99"/>
                                      <w:sz w:val="20"/>
                                      <w:szCs w:val="20"/>
                                      <w:lang w:eastAsia="zh-CN"/>
                                    </w:rPr>
                                    <w:t>采暖热水</w:t>
                                  </w:r>
                                  <w:r>
                                    <w:rPr>
                                      <w:rFonts w:hint="eastAsia" w:ascii="宋体" w:hAnsi="宋体" w:cs="宋体"/>
                                      <w:spacing w:val="2"/>
                                      <w:w w:val="99"/>
                                      <w:sz w:val="20"/>
                                      <w:szCs w:val="20"/>
                                      <w:lang w:eastAsia="zh-CN"/>
                                    </w:rPr>
                                    <w:t>炉</w:t>
                                  </w:r>
                                  <w:r>
                                    <w:rPr>
                                      <w:rFonts w:hint="eastAsia" w:ascii="宋体" w:hAnsi="宋体" w:cs="宋体"/>
                                      <w:w w:val="99"/>
                                      <w:sz w:val="20"/>
                                      <w:szCs w:val="20"/>
                                      <w:lang w:eastAsia="zh-CN"/>
                                    </w:rPr>
                                    <w:t>能效</w:t>
                                  </w:r>
                                  <w:r>
                                    <w:rPr>
                                      <w:rFonts w:hint="eastAsia" w:ascii="宋体" w:hAnsi="宋体" w:cs="宋体"/>
                                      <w:spacing w:val="2"/>
                                      <w:w w:val="99"/>
                                      <w:sz w:val="20"/>
                                      <w:szCs w:val="20"/>
                                      <w:lang w:eastAsia="zh-CN"/>
                                    </w:rPr>
                                    <w:t>限</w:t>
                                  </w:r>
                                  <w:r>
                                    <w:rPr>
                                      <w:rFonts w:hint="eastAsia" w:ascii="宋体" w:hAnsi="宋体" w:cs="宋体"/>
                                      <w:w w:val="99"/>
                                      <w:sz w:val="20"/>
                                      <w:szCs w:val="20"/>
                                      <w:lang w:eastAsia="zh-CN"/>
                                    </w:rPr>
                                    <w:t>定值</w:t>
                                  </w:r>
                                  <w:r>
                                    <w:rPr>
                                      <w:rFonts w:hint="eastAsia" w:ascii="宋体" w:hAnsi="宋体" w:cs="宋体"/>
                                      <w:spacing w:val="2"/>
                                      <w:w w:val="99"/>
                                      <w:sz w:val="20"/>
                                      <w:szCs w:val="20"/>
                                      <w:lang w:eastAsia="zh-CN"/>
                                    </w:rPr>
                                    <w:t>及</w:t>
                                  </w:r>
                                  <w:r>
                                    <w:rPr>
                                      <w:rFonts w:hint="eastAsia" w:ascii="宋体" w:hAnsi="宋体" w:cs="宋体"/>
                                      <w:w w:val="99"/>
                                      <w:sz w:val="20"/>
                                      <w:szCs w:val="20"/>
                                      <w:lang w:eastAsia="zh-CN"/>
                                    </w:rPr>
                                    <w:t>能</w:t>
                                  </w:r>
                                  <w:r>
                                    <w:rPr>
                                      <w:rFonts w:hint="eastAsia" w:ascii="宋体" w:hAnsi="宋体" w:cs="宋体"/>
                                      <w:spacing w:val="2"/>
                                      <w:w w:val="99"/>
                                      <w:sz w:val="20"/>
                                      <w:szCs w:val="20"/>
                                      <w:lang w:eastAsia="zh-CN"/>
                                    </w:rPr>
                                    <w:t>效</w:t>
                                  </w:r>
                                  <w:r>
                                    <w:rPr>
                                      <w:rFonts w:hint="eastAsia" w:ascii="宋体" w:hAnsi="宋体" w:cs="宋体"/>
                                      <w:w w:val="99"/>
                                      <w:sz w:val="20"/>
                                      <w:szCs w:val="20"/>
                                      <w:lang w:eastAsia="zh-CN"/>
                                    </w:rPr>
                                    <w:t>等级》（</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w:t>
                                  </w:r>
                                  <w:r>
                                    <w:rPr>
                                      <w:rFonts w:hint="eastAsia" w:ascii="宋体" w:hAnsi="宋体" w:cs="宋体"/>
                                      <w:w w:val="99"/>
                                      <w:sz w:val="20"/>
                                      <w:szCs w:val="20"/>
                                      <w:lang w:eastAsia="zh-CN"/>
                                    </w:rPr>
                                    <w:t>06</w:t>
                                  </w:r>
                                  <w:r>
                                    <w:rPr>
                                      <w:rFonts w:hint="eastAsia" w:ascii="宋体" w:hAnsi="宋体" w:cs="宋体"/>
                                      <w:spacing w:val="1"/>
                                      <w:w w:val="99"/>
                                      <w:sz w:val="20"/>
                                      <w:szCs w:val="20"/>
                                      <w:lang w:eastAsia="zh-CN"/>
                                    </w:rPr>
                                    <w:t>65</w:t>
                                  </w:r>
                                  <w:r>
                                    <w:rPr>
                                      <w:rFonts w:hint="eastAsia" w:ascii="宋体" w:hAnsi="宋体" w:cs="宋体"/>
                                      <w:w w:val="99"/>
                                      <w:sz w:val="20"/>
                                      <w:szCs w:val="20"/>
                                      <w:lang w:eastAsia="zh-CN"/>
                                    </w:rPr>
                                    <w:t>）</w:t>
                                  </w:r>
                                </w:p>
                              </w:tc>
                            </w:tr>
                            <w:tr w14:paraId="26ED2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23" w:hRule="exact"/>
                              </w:trPr>
                              <w:tc>
                                <w:tcPr>
                                  <w:tcW w:w="585" w:type="dxa"/>
                                  <w:vMerge w:val="continue"/>
                                  <w:tcBorders>
                                    <w:top w:val="single" w:color="auto" w:sz="4" w:space="0"/>
                                    <w:left w:val="single" w:color="auto" w:sz="4" w:space="0"/>
                                    <w:bottom w:val="single" w:color="auto" w:sz="4" w:space="0"/>
                                    <w:right w:val="single" w:color="auto" w:sz="4" w:space="0"/>
                                  </w:tcBorders>
                                  <w:noWrap w:val="0"/>
                                  <w:vAlign w:val="center"/>
                                </w:tcPr>
                                <w:p w14:paraId="0C889D72">
                                  <w:pPr>
                                    <w:widowControl/>
                                    <w:jc w:val="left"/>
                                    <w:rPr>
                                      <w:rFonts w:ascii="Calibri" w:hAnsi="Calibri" w:eastAsia="Times New Roman"/>
                                      <w:sz w:val="22"/>
                                      <w:szCs w:val="22"/>
                                    </w:rPr>
                                  </w:pPr>
                                </w:p>
                              </w:tc>
                              <w:tc>
                                <w:tcPr>
                                  <w:tcW w:w="1305" w:type="dxa"/>
                                  <w:vMerge w:val="continue"/>
                                  <w:tcBorders>
                                    <w:top w:val="single" w:color="auto" w:sz="4" w:space="0"/>
                                    <w:left w:val="single" w:color="auto" w:sz="4" w:space="0"/>
                                    <w:bottom w:val="single" w:color="auto" w:sz="4" w:space="0"/>
                                    <w:right w:val="single" w:color="auto" w:sz="4" w:space="0"/>
                                  </w:tcBorders>
                                  <w:noWrap w:val="0"/>
                                  <w:vAlign w:val="center"/>
                                </w:tcPr>
                                <w:p w14:paraId="33438A3B">
                                  <w:pPr>
                                    <w:widowControl/>
                                    <w:jc w:val="left"/>
                                    <w:rPr>
                                      <w:rFonts w:ascii="Calibri" w:hAnsi="Calibri" w:eastAsia="Times New Roman"/>
                                      <w:sz w:val="22"/>
                                      <w:szCs w:val="22"/>
                                    </w:rPr>
                                  </w:pPr>
                                </w:p>
                              </w:tc>
                              <w:tc>
                                <w:tcPr>
                                  <w:tcW w:w="1665" w:type="dxa"/>
                                  <w:vMerge w:val="continue"/>
                                  <w:tcBorders>
                                    <w:top w:val="single" w:color="auto" w:sz="4" w:space="0"/>
                                    <w:left w:val="single" w:color="auto" w:sz="4" w:space="0"/>
                                    <w:bottom w:val="single" w:color="auto" w:sz="4" w:space="0"/>
                                    <w:right w:val="single" w:color="auto" w:sz="4" w:space="0"/>
                                  </w:tcBorders>
                                  <w:noWrap w:val="0"/>
                                  <w:vAlign w:val="center"/>
                                </w:tcPr>
                                <w:p w14:paraId="3A21E8F4">
                                  <w:pPr>
                                    <w:widowControl/>
                                    <w:jc w:val="left"/>
                                    <w:rPr>
                                      <w:rFonts w:ascii="宋体" w:hAnsi="宋体" w:eastAsia="Times New Roman" w:cs="宋体"/>
                                      <w:kern w:val="0"/>
                                      <w:sz w:val="20"/>
                                      <w:szCs w:val="20"/>
                                    </w:rPr>
                                  </w:pPr>
                                </w:p>
                              </w:tc>
                              <w:tc>
                                <w:tcPr>
                                  <w:tcW w:w="1770" w:type="dxa"/>
                                  <w:tcBorders>
                                    <w:top w:val="single" w:color="auto" w:sz="4" w:space="0"/>
                                    <w:left w:val="single" w:color="auto" w:sz="4" w:space="0"/>
                                    <w:bottom w:val="single" w:color="auto" w:sz="4" w:space="0"/>
                                    <w:right w:val="single" w:color="auto" w:sz="4" w:space="0"/>
                                  </w:tcBorders>
                                  <w:noWrap w:val="0"/>
                                  <w:vAlign w:val="top"/>
                                </w:tcPr>
                                <w:p w14:paraId="49F5BF90">
                                  <w:pPr>
                                    <w:pStyle w:val="56"/>
                                    <w:rPr>
                                      <w:rFonts w:ascii="宋体" w:hAnsi="宋体" w:cs="宋体"/>
                                      <w:sz w:val="19"/>
                                      <w:szCs w:val="19"/>
                                      <w:lang w:eastAsia="zh-CN"/>
                                    </w:rPr>
                                  </w:pPr>
                                </w:p>
                                <w:p w14:paraId="397C7BB4">
                                  <w:pPr>
                                    <w:pStyle w:val="56"/>
                                    <w:ind w:left="7"/>
                                    <w:rPr>
                                      <w:rFonts w:ascii="宋体" w:hAnsi="宋体" w:cs="宋体"/>
                                      <w:sz w:val="20"/>
                                      <w:szCs w:val="20"/>
                                    </w:rPr>
                                  </w:pPr>
                                  <w:r>
                                    <w:rPr>
                                      <w:rFonts w:hint="eastAsia" w:ascii="宋体" w:hAnsi="宋体" w:cs="宋体"/>
                                      <w:w w:val="99"/>
                                      <w:sz w:val="20"/>
                                      <w:szCs w:val="20"/>
                                    </w:rPr>
                                    <w:t>热泵热</w:t>
                                  </w:r>
                                  <w:r>
                                    <w:rPr>
                                      <w:rFonts w:hint="eastAsia" w:ascii="宋体" w:hAnsi="宋体" w:cs="宋体"/>
                                      <w:spacing w:val="2"/>
                                      <w:w w:val="99"/>
                                      <w:sz w:val="20"/>
                                      <w:szCs w:val="20"/>
                                    </w:rPr>
                                    <w:t>水</w:t>
                                  </w:r>
                                  <w:r>
                                    <w:rPr>
                                      <w:rFonts w:hint="eastAsia" w:ascii="宋体" w:hAnsi="宋体" w:cs="宋体"/>
                                      <w:w w:val="99"/>
                                      <w:sz w:val="20"/>
                                      <w:szCs w:val="20"/>
                                    </w:rPr>
                                    <w:t>器</w:t>
                                  </w:r>
                                </w:p>
                              </w:tc>
                              <w:tc>
                                <w:tcPr>
                                  <w:tcW w:w="3765" w:type="dxa"/>
                                  <w:tcBorders>
                                    <w:top w:val="single" w:color="auto" w:sz="4" w:space="0"/>
                                    <w:left w:val="single" w:color="auto" w:sz="4" w:space="0"/>
                                    <w:bottom w:val="single" w:color="auto" w:sz="4" w:space="0"/>
                                    <w:right w:val="single" w:color="auto" w:sz="4" w:space="0"/>
                                  </w:tcBorders>
                                  <w:noWrap w:val="0"/>
                                  <w:vAlign w:val="top"/>
                                </w:tcPr>
                                <w:p w14:paraId="07E19482">
                                  <w:pPr>
                                    <w:pStyle w:val="56"/>
                                    <w:spacing w:before="93" w:line="280" w:lineRule="auto"/>
                                    <w:ind w:left="7" w:right="7"/>
                                    <w:rPr>
                                      <w:rFonts w:ascii="宋体" w:hAnsi="宋体" w:cs="宋体"/>
                                      <w:sz w:val="20"/>
                                      <w:szCs w:val="20"/>
                                      <w:lang w:eastAsia="zh-CN"/>
                                    </w:rPr>
                                  </w:pPr>
                                  <w:r>
                                    <w:rPr>
                                      <w:rFonts w:hint="eastAsia" w:ascii="宋体" w:hAnsi="宋体" w:cs="宋体"/>
                                      <w:w w:val="99"/>
                                      <w:sz w:val="20"/>
                                      <w:szCs w:val="20"/>
                                      <w:lang w:eastAsia="zh-CN"/>
                                    </w:rPr>
                                    <w:t>《热泵</w:t>
                                  </w:r>
                                  <w:r>
                                    <w:rPr>
                                      <w:rFonts w:hint="eastAsia" w:ascii="宋体" w:hAnsi="宋体" w:cs="宋体"/>
                                      <w:spacing w:val="2"/>
                                      <w:w w:val="99"/>
                                      <w:sz w:val="20"/>
                                      <w:szCs w:val="20"/>
                                      <w:lang w:eastAsia="zh-CN"/>
                                    </w:rPr>
                                    <w:t>热</w:t>
                                  </w:r>
                                  <w:r>
                                    <w:rPr>
                                      <w:rFonts w:hint="eastAsia" w:ascii="宋体" w:hAnsi="宋体" w:cs="宋体"/>
                                      <w:w w:val="99"/>
                                      <w:sz w:val="20"/>
                                      <w:szCs w:val="20"/>
                                      <w:lang w:eastAsia="zh-CN"/>
                                    </w:rPr>
                                    <w:t>水</w:t>
                                  </w:r>
                                  <w:r>
                                    <w:rPr>
                                      <w:rFonts w:hint="eastAsia" w:ascii="宋体" w:hAnsi="宋体" w:cs="宋体"/>
                                      <w:spacing w:val="-27"/>
                                      <w:w w:val="99"/>
                                      <w:sz w:val="20"/>
                                      <w:szCs w:val="20"/>
                                      <w:lang w:eastAsia="zh-CN"/>
                                    </w:rPr>
                                    <w:t>机</w:t>
                                  </w:r>
                                  <w:r>
                                    <w:rPr>
                                      <w:rFonts w:hint="eastAsia" w:ascii="宋体" w:hAnsi="宋体" w:cs="宋体"/>
                                      <w:w w:val="99"/>
                                      <w:sz w:val="20"/>
                                      <w:szCs w:val="20"/>
                                      <w:lang w:eastAsia="zh-CN"/>
                                    </w:rPr>
                                    <w:t>（器</w:t>
                                  </w:r>
                                  <w:r>
                                    <w:rPr>
                                      <w:rFonts w:hint="eastAsia" w:ascii="宋体" w:hAnsi="宋体" w:cs="宋体"/>
                                      <w:spacing w:val="-27"/>
                                      <w:w w:val="99"/>
                                      <w:sz w:val="20"/>
                                      <w:szCs w:val="20"/>
                                      <w:lang w:eastAsia="zh-CN"/>
                                    </w:rPr>
                                    <w:t>）</w:t>
                                  </w:r>
                                  <w:r>
                                    <w:rPr>
                                      <w:rFonts w:hint="eastAsia" w:ascii="宋体" w:hAnsi="宋体" w:cs="宋体"/>
                                      <w:w w:val="99"/>
                                      <w:sz w:val="20"/>
                                      <w:szCs w:val="20"/>
                                      <w:lang w:eastAsia="zh-CN"/>
                                    </w:rPr>
                                    <w:t>能效</w:t>
                                  </w:r>
                                  <w:r>
                                    <w:rPr>
                                      <w:rFonts w:hint="eastAsia" w:ascii="宋体" w:hAnsi="宋体" w:cs="宋体"/>
                                      <w:spacing w:val="2"/>
                                      <w:w w:val="99"/>
                                      <w:sz w:val="20"/>
                                      <w:szCs w:val="20"/>
                                      <w:lang w:eastAsia="zh-CN"/>
                                    </w:rPr>
                                    <w:t>限</w:t>
                                  </w:r>
                                  <w:r>
                                    <w:rPr>
                                      <w:rFonts w:hint="eastAsia" w:ascii="宋体" w:hAnsi="宋体" w:cs="宋体"/>
                                      <w:w w:val="99"/>
                                      <w:sz w:val="20"/>
                                      <w:szCs w:val="20"/>
                                      <w:lang w:eastAsia="zh-CN"/>
                                    </w:rPr>
                                    <w:t>定值及能效等</w:t>
                                  </w:r>
                                  <w:r>
                                    <w:rPr>
                                      <w:rFonts w:hint="eastAsia" w:ascii="宋体" w:hAnsi="宋体" w:cs="宋体"/>
                                      <w:spacing w:val="2"/>
                                      <w:w w:val="99"/>
                                      <w:sz w:val="20"/>
                                      <w:szCs w:val="20"/>
                                      <w:lang w:eastAsia="zh-CN"/>
                                    </w:rPr>
                                    <w:t>级</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295</w:t>
                                  </w:r>
                                  <w:r>
                                    <w:rPr>
                                      <w:rFonts w:hint="eastAsia" w:ascii="宋体" w:hAnsi="宋体" w:cs="宋体"/>
                                      <w:w w:val="99"/>
                                      <w:sz w:val="20"/>
                                      <w:szCs w:val="20"/>
                                      <w:lang w:eastAsia="zh-CN"/>
                                    </w:rPr>
                                    <w:t>4</w:t>
                                  </w:r>
                                  <w:r>
                                    <w:rPr>
                                      <w:rFonts w:hint="eastAsia" w:ascii="宋体" w:hAnsi="宋体" w:cs="宋体"/>
                                      <w:spacing w:val="-1"/>
                                      <w:w w:val="99"/>
                                      <w:sz w:val="20"/>
                                      <w:szCs w:val="20"/>
                                      <w:lang w:eastAsia="zh-CN"/>
                                    </w:rPr>
                                    <w:t>1</w:t>
                                  </w:r>
                                  <w:r>
                                    <w:rPr>
                                      <w:rFonts w:hint="eastAsia" w:ascii="宋体" w:hAnsi="宋体" w:cs="宋体"/>
                                      <w:w w:val="99"/>
                                      <w:sz w:val="20"/>
                                      <w:szCs w:val="20"/>
                                      <w:lang w:eastAsia="zh-CN"/>
                                    </w:rPr>
                                    <w:t>）</w:t>
                                  </w:r>
                                </w:p>
                              </w:tc>
                            </w:tr>
                            <w:tr w14:paraId="43DC5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42" w:hRule="exact"/>
                              </w:trPr>
                              <w:tc>
                                <w:tcPr>
                                  <w:tcW w:w="585" w:type="dxa"/>
                                  <w:vMerge w:val="continue"/>
                                  <w:tcBorders>
                                    <w:top w:val="single" w:color="auto" w:sz="4" w:space="0"/>
                                    <w:left w:val="single" w:color="auto" w:sz="4" w:space="0"/>
                                    <w:bottom w:val="single" w:color="auto" w:sz="4" w:space="0"/>
                                    <w:right w:val="single" w:color="auto" w:sz="4" w:space="0"/>
                                  </w:tcBorders>
                                  <w:noWrap w:val="0"/>
                                  <w:vAlign w:val="center"/>
                                </w:tcPr>
                                <w:p w14:paraId="30E82264">
                                  <w:pPr>
                                    <w:widowControl/>
                                    <w:jc w:val="left"/>
                                    <w:rPr>
                                      <w:rFonts w:ascii="Calibri" w:hAnsi="Calibri" w:eastAsia="Times New Roman"/>
                                      <w:sz w:val="22"/>
                                      <w:szCs w:val="22"/>
                                    </w:rPr>
                                  </w:pPr>
                                </w:p>
                              </w:tc>
                              <w:tc>
                                <w:tcPr>
                                  <w:tcW w:w="1305" w:type="dxa"/>
                                  <w:vMerge w:val="continue"/>
                                  <w:tcBorders>
                                    <w:top w:val="single" w:color="auto" w:sz="4" w:space="0"/>
                                    <w:left w:val="single" w:color="auto" w:sz="4" w:space="0"/>
                                    <w:bottom w:val="single" w:color="auto" w:sz="4" w:space="0"/>
                                    <w:right w:val="single" w:color="auto" w:sz="4" w:space="0"/>
                                  </w:tcBorders>
                                  <w:noWrap w:val="0"/>
                                  <w:vAlign w:val="center"/>
                                </w:tcPr>
                                <w:p w14:paraId="2117A0F7">
                                  <w:pPr>
                                    <w:widowControl/>
                                    <w:jc w:val="left"/>
                                    <w:rPr>
                                      <w:rFonts w:ascii="Calibri" w:hAnsi="Calibri" w:eastAsia="Times New Roman"/>
                                      <w:sz w:val="22"/>
                                      <w:szCs w:val="22"/>
                                    </w:rPr>
                                  </w:pPr>
                                </w:p>
                              </w:tc>
                              <w:tc>
                                <w:tcPr>
                                  <w:tcW w:w="1665" w:type="dxa"/>
                                  <w:vMerge w:val="continue"/>
                                  <w:tcBorders>
                                    <w:top w:val="single" w:color="auto" w:sz="4" w:space="0"/>
                                    <w:left w:val="single" w:color="auto" w:sz="4" w:space="0"/>
                                    <w:bottom w:val="single" w:color="auto" w:sz="4" w:space="0"/>
                                    <w:right w:val="single" w:color="auto" w:sz="4" w:space="0"/>
                                  </w:tcBorders>
                                  <w:noWrap w:val="0"/>
                                  <w:vAlign w:val="center"/>
                                </w:tcPr>
                                <w:p w14:paraId="1F4B78FA">
                                  <w:pPr>
                                    <w:widowControl/>
                                    <w:jc w:val="left"/>
                                    <w:rPr>
                                      <w:rFonts w:ascii="宋体" w:hAnsi="宋体" w:eastAsia="Times New Roman" w:cs="宋体"/>
                                      <w:kern w:val="0"/>
                                      <w:sz w:val="20"/>
                                      <w:szCs w:val="20"/>
                                    </w:rPr>
                                  </w:pPr>
                                </w:p>
                              </w:tc>
                              <w:tc>
                                <w:tcPr>
                                  <w:tcW w:w="1770" w:type="dxa"/>
                                  <w:tcBorders>
                                    <w:top w:val="single" w:color="auto" w:sz="4" w:space="0"/>
                                    <w:left w:val="single" w:color="auto" w:sz="4" w:space="0"/>
                                    <w:bottom w:val="single" w:color="auto" w:sz="4" w:space="0"/>
                                    <w:right w:val="single" w:color="auto" w:sz="4" w:space="0"/>
                                  </w:tcBorders>
                                  <w:noWrap w:val="0"/>
                                  <w:vAlign w:val="top"/>
                                </w:tcPr>
                                <w:p w14:paraId="738420AF">
                                  <w:pPr>
                                    <w:pStyle w:val="56"/>
                                    <w:spacing w:before="12"/>
                                    <w:rPr>
                                      <w:rFonts w:ascii="宋体" w:hAnsi="宋体" w:cs="宋体"/>
                                      <w:sz w:val="15"/>
                                      <w:szCs w:val="15"/>
                                      <w:lang w:eastAsia="zh-CN"/>
                                    </w:rPr>
                                  </w:pPr>
                                </w:p>
                                <w:p w14:paraId="2A030E14">
                                  <w:pPr>
                                    <w:pStyle w:val="56"/>
                                    <w:ind w:left="7"/>
                                    <w:rPr>
                                      <w:rFonts w:ascii="宋体" w:hAnsi="宋体" w:cs="宋体"/>
                                      <w:sz w:val="20"/>
                                      <w:szCs w:val="20"/>
                                    </w:rPr>
                                  </w:pPr>
                                  <w:r>
                                    <w:rPr>
                                      <w:rFonts w:hint="eastAsia" w:ascii="宋体" w:hAnsi="宋体" w:cs="宋体"/>
                                      <w:w w:val="99"/>
                                      <w:sz w:val="20"/>
                                      <w:szCs w:val="20"/>
                                    </w:rPr>
                                    <w:t>太阳能</w:t>
                                  </w:r>
                                  <w:r>
                                    <w:rPr>
                                      <w:rFonts w:hint="eastAsia" w:ascii="宋体" w:hAnsi="宋体" w:cs="宋体"/>
                                      <w:spacing w:val="2"/>
                                      <w:w w:val="99"/>
                                      <w:sz w:val="20"/>
                                      <w:szCs w:val="20"/>
                                    </w:rPr>
                                    <w:t>热</w:t>
                                  </w:r>
                                  <w:r>
                                    <w:rPr>
                                      <w:rFonts w:hint="eastAsia" w:ascii="宋体" w:hAnsi="宋体" w:cs="宋体"/>
                                      <w:w w:val="99"/>
                                      <w:sz w:val="20"/>
                                      <w:szCs w:val="20"/>
                                    </w:rPr>
                                    <w:t>水系统</w:t>
                                  </w:r>
                                </w:p>
                              </w:tc>
                              <w:tc>
                                <w:tcPr>
                                  <w:tcW w:w="3765" w:type="dxa"/>
                                  <w:tcBorders>
                                    <w:top w:val="single" w:color="auto" w:sz="4" w:space="0"/>
                                    <w:left w:val="single" w:color="auto" w:sz="4" w:space="0"/>
                                    <w:bottom w:val="single" w:color="auto" w:sz="4" w:space="0"/>
                                    <w:right w:val="single" w:color="auto" w:sz="4" w:space="0"/>
                                  </w:tcBorders>
                                  <w:noWrap w:val="0"/>
                                  <w:vAlign w:val="top"/>
                                </w:tcPr>
                                <w:p w14:paraId="66524307">
                                  <w:pPr>
                                    <w:pStyle w:val="56"/>
                                    <w:spacing w:before="52" w:line="280" w:lineRule="auto"/>
                                    <w:ind w:left="7" w:right="4"/>
                                    <w:rPr>
                                      <w:rFonts w:ascii="宋体" w:hAnsi="宋体" w:cs="宋体"/>
                                      <w:sz w:val="20"/>
                                      <w:szCs w:val="20"/>
                                      <w:lang w:eastAsia="zh-CN"/>
                                    </w:rPr>
                                  </w:pPr>
                                  <w:r>
                                    <w:rPr>
                                      <w:rFonts w:hint="eastAsia" w:ascii="宋体" w:hAnsi="宋体" w:cs="宋体"/>
                                      <w:spacing w:val="12"/>
                                      <w:w w:val="99"/>
                                      <w:sz w:val="20"/>
                                      <w:szCs w:val="20"/>
                                      <w:lang w:eastAsia="zh-CN"/>
                                    </w:rPr>
                                    <w:t>《家用太阳能热水系统</w:t>
                                  </w:r>
                                  <w:r>
                                    <w:rPr>
                                      <w:rFonts w:hint="eastAsia" w:ascii="宋体" w:hAnsi="宋体" w:cs="宋体"/>
                                      <w:spacing w:val="9"/>
                                      <w:w w:val="99"/>
                                      <w:sz w:val="20"/>
                                      <w:szCs w:val="20"/>
                                      <w:lang w:eastAsia="zh-CN"/>
                                    </w:rPr>
                                    <w:t>能</w:t>
                                  </w:r>
                                  <w:r>
                                    <w:rPr>
                                      <w:rFonts w:hint="eastAsia" w:ascii="宋体" w:hAnsi="宋体" w:cs="宋体"/>
                                      <w:spacing w:val="12"/>
                                      <w:w w:val="99"/>
                                      <w:sz w:val="20"/>
                                      <w:szCs w:val="20"/>
                                      <w:lang w:eastAsia="zh-CN"/>
                                    </w:rPr>
                                    <w:t>效限</w:t>
                                  </w:r>
                                  <w:r>
                                    <w:rPr>
                                      <w:rFonts w:hint="eastAsia" w:ascii="宋体" w:hAnsi="宋体" w:cs="宋体"/>
                                      <w:w w:val="99"/>
                                      <w:sz w:val="20"/>
                                      <w:szCs w:val="20"/>
                                      <w:lang w:eastAsia="zh-CN"/>
                                    </w:rPr>
                                    <w:t>定值及能</w:t>
                                  </w:r>
                                  <w:r>
                                    <w:rPr>
                                      <w:rFonts w:hint="eastAsia" w:ascii="宋体" w:hAnsi="宋体" w:cs="宋体"/>
                                      <w:spacing w:val="2"/>
                                      <w:w w:val="99"/>
                                      <w:sz w:val="20"/>
                                      <w:szCs w:val="20"/>
                                      <w:lang w:eastAsia="zh-CN"/>
                                    </w:rPr>
                                    <w:t>效</w:t>
                                  </w:r>
                                  <w:r>
                                    <w:rPr>
                                      <w:rFonts w:hint="eastAsia" w:ascii="宋体" w:hAnsi="宋体" w:cs="宋体"/>
                                      <w:w w:val="99"/>
                                      <w:sz w:val="20"/>
                                      <w:szCs w:val="20"/>
                                      <w:lang w:eastAsia="zh-CN"/>
                                    </w:rPr>
                                    <w:t>等级</w:t>
                                  </w:r>
                                  <w:r>
                                    <w:rPr>
                                      <w:rFonts w:hint="eastAsia" w:ascii="宋体" w:hAnsi="宋体" w:cs="宋体"/>
                                      <w:spacing w:val="2"/>
                                      <w:w w:val="99"/>
                                      <w:sz w:val="20"/>
                                      <w:szCs w:val="20"/>
                                      <w:lang w:eastAsia="zh-CN"/>
                                    </w:rPr>
                                    <w:t>》</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26</w:t>
                                  </w:r>
                                  <w:r>
                                    <w:rPr>
                                      <w:rFonts w:hint="eastAsia" w:ascii="宋体" w:hAnsi="宋体" w:cs="宋体"/>
                                      <w:w w:val="99"/>
                                      <w:sz w:val="20"/>
                                      <w:szCs w:val="20"/>
                                      <w:lang w:eastAsia="zh-CN"/>
                                    </w:rPr>
                                    <w:t>96</w:t>
                                  </w:r>
                                  <w:r>
                                    <w:rPr>
                                      <w:rFonts w:hint="eastAsia" w:ascii="宋体" w:hAnsi="宋体" w:cs="宋体"/>
                                      <w:spacing w:val="-2"/>
                                      <w:w w:val="99"/>
                                      <w:sz w:val="20"/>
                                      <w:szCs w:val="20"/>
                                      <w:lang w:eastAsia="zh-CN"/>
                                    </w:rPr>
                                    <w:t>9</w:t>
                                  </w:r>
                                  <w:r>
                                    <w:rPr>
                                      <w:rFonts w:hint="eastAsia" w:ascii="宋体" w:hAnsi="宋体" w:cs="宋体"/>
                                      <w:w w:val="99"/>
                                      <w:sz w:val="20"/>
                                      <w:szCs w:val="20"/>
                                      <w:lang w:eastAsia="zh-CN"/>
                                    </w:rPr>
                                    <w:t>）</w:t>
                                  </w:r>
                                </w:p>
                              </w:tc>
                            </w:tr>
                            <w:tr w14:paraId="1AD17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2" w:hRule="exact"/>
                              </w:trPr>
                              <w:tc>
                                <w:tcPr>
                                  <w:tcW w:w="585" w:type="dxa"/>
                                  <w:vMerge w:val="restart"/>
                                  <w:tcBorders>
                                    <w:top w:val="single" w:color="auto" w:sz="4" w:space="0"/>
                                    <w:left w:val="single" w:color="auto" w:sz="4" w:space="0"/>
                                    <w:bottom w:val="single" w:color="auto" w:sz="4" w:space="0"/>
                                    <w:right w:val="single" w:color="auto" w:sz="4" w:space="0"/>
                                  </w:tcBorders>
                                  <w:noWrap w:val="0"/>
                                  <w:vAlign w:val="top"/>
                                </w:tcPr>
                                <w:p w14:paraId="36919F72">
                                  <w:pPr>
                                    <w:pStyle w:val="56"/>
                                    <w:rPr>
                                      <w:rFonts w:ascii="宋体" w:hAnsi="宋体" w:cs="宋体"/>
                                      <w:sz w:val="20"/>
                                      <w:szCs w:val="20"/>
                                      <w:lang w:eastAsia="zh-CN"/>
                                    </w:rPr>
                                  </w:pPr>
                                </w:p>
                                <w:p w14:paraId="7215A398">
                                  <w:pPr>
                                    <w:pStyle w:val="56"/>
                                    <w:rPr>
                                      <w:rFonts w:hint="eastAsia" w:ascii="宋体" w:hAnsi="宋体" w:cs="宋体"/>
                                      <w:sz w:val="20"/>
                                      <w:szCs w:val="20"/>
                                      <w:lang w:eastAsia="zh-CN"/>
                                    </w:rPr>
                                  </w:pPr>
                                </w:p>
                                <w:p w14:paraId="013EC567">
                                  <w:pPr>
                                    <w:pStyle w:val="56"/>
                                    <w:rPr>
                                      <w:rFonts w:hint="eastAsia" w:ascii="宋体" w:hAnsi="宋体" w:cs="宋体"/>
                                      <w:sz w:val="20"/>
                                      <w:szCs w:val="20"/>
                                      <w:lang w:eastAsia="zh-CN"/>
                                    </w:rPr>
                                  </w:pPr>
                                </w:p>
                                <w:p w14:paraId="12C5336F">
                                  <w:pPr>
                                    <w:pStyle w:val="56"/>
                                    <w:rPr>
                                      <w:rFonts w:hint="eastAsia" w:ascii="宋体" w:hAnsi="宋体" w:cs="宋体"/>
                                      <w:sz w:val="20"/>
                                      <w:szCs w:val="20"/>
                                      <w:lang w:eastAsia="zh-CN"/>
                                    </w:rPr>
                                  </w:pPr>
                                </w:p>
                                <w:p w14:paraId="70BC16B1">
                                  <w:pPr>
                                    <w:pStyle w:val="56"/>
                                    <w:rPr>
                                      <w:rFonts w:hint="eastAsia" w:ascii="宋体" w:hAnsi="宋体" w:cs="宋体"/>
                                      <w:sz w:val="20"/>
                                      <w:szCs w:val="20"/>
                                      <w:lang w:eastAsia="zh-CN"/>
                                    </w:rPr>
                                  </w:pPr>
                                </w:p>
                                <w:p w14:paraId="59F7EFFF">
                                  <w:pPr>
                                    <w:pStyle w:val="56"/>
                                    <w:spacing w:before="12"/>
                                    <w:rPr>
                                      <w:rFonts w:hint="eastAsia" w:ascii="宋体" w:hAnsi="宋体" w:cs="宋体"/>
                                      <w:sz w:val="23"/>
                                      <w:szCs w:val="23"/>
                                      <w:lang w:eastAsia="zh-CN"/>
                                    </w:rPr>
                                  </w:pPr>
                                </w:p>
                                <w:p w14:paraId="7F966EFB">
                                  <w:pPr>
                                    <w:pStyle w:val="56"/>
                                    <w:ind w:left="182"/>
                                    <w:rPr>
                                      <w:rFonts w:ascii="宋体" w:hAnsi="宋体" w:cs="宋体"/>
                                      <w:sz w:val="20"/>
                                      <w:szCs w:val="20"/>
                                    </w:rPr>
                                  </w:pPr>
                                  <w:r>
                                    <w:rPr>
                                      <w:rFonts w:hint="eastAsia" w:ascii="宋体"/>
                                      <w:spacing w:val="1"/>
                                      <w:w w:val="99"/>
                                      <w:sz w:val="20"/>
                                    </w:rPr>
                                    <w:t>1</w:t>
                                  </w:r>
                                  <w:r>
                                    <w:rPr>
                                      <w:rFonts w:hint="eastAsia" w:ascii="宋体"/>
                                      <w:w w:val="99"/>
                                      <w:sz w:val="20"/>
                                    </w:rPr>
                                    <w:t>1</w:t>
                                  </w:r>
                                </w:p>
                              </w:tc>
                              <w:tc>
                                <w:tcPr>
                                  <w:tcW w:w="1305" w:type="dxa"/>
                                  <w:vMerge w:val="restart"/>
                                  <w:tcBorders>
                                    <w:top w:val="single" w:color="auto" w:sz="4" w:space="0"/>
                                    <w:left w:val="single" w:color="auto" w:sz="4" w:space="0"/>
                                    <w:bottom w:val="single" w:color="auto" w:sz="4" w:space="0"/>
                                    <w:right w:val="single" w:color="auto" w:sz="4" w:space="0"/>
                                  </w:tcBorders>
                                  <w:noWrap w:val="0"/>
                                  <w:vAlign w:val="top"/>
                                </w:tcPr>
                                <w:p w14:paraId="75356FBE">
                                  <w:pPr>
                                    <w:pStyle w:val="56"/>
                                    <w:rPr>
                                      <w:rFonts w:ascii="宋体" w:hAnsi="宋体" w:cs="宋体"/>
                                      <w:sz w:val="20"/>
                                      <w:szCs w:val="20"/>
                                    </w:rPr>
                                  </w:pPr>
                                </w:p>
                                <w:p w14:paraId="262B1D01">
                                  <w:pPr>
                                    <w:pStyle w:val="56"/>
                                    <w:rPr>
                                      <w:rFonts w:hint="eastAsia" w:ascii="宋体" w:hAnsi="宋体" w:cs="宋体"/>
                                      <w:sz w:val="20"/>
                                      <w:szCs w:val="20"/>
                                    </w:rPr>
                                  </w:pPr>
                                </w:p>
                                <w:p w14:paraId="15E4352B">
                                  <w:pPr>
                                    <w:pStyle w:val="56"/>
                                    <w:rPr>
                                      <w:rFonts w:hint="eastAsia" w:ascii="宋体" w:hAnsi="宋体" w:cs="宋体"/>
                                      <w:sz w:val="20"/>
                                      <w:szCs w:val="20"/>
                                    </w:rPr>
                                  </w:pPr>
                                </w:p>
                                <w:p w14:paraId="07A6D93B">
                                  <w:pPr>
                                    <w:pStyle w:val="56"/>
                                    <w:rPr>
                                      <w:rFonts w:hint="eastAsia" w:ascii="宋体" w:hAnsi="宋体" w:cs="宋体"/>
                                      <w:sz w:val="20"/>
                                      <w:szCs w:val="20"/>
                                    </w:rPr>
                                  </w:pPr>
                                </w:p>
                                <w:p w14:paraId="05E099B0">
                                  <w:pPr>
                                    <w:pStyle w:val="56"/>
                                    <w:rPr>
                                      <w:rFonts w:hint="eastAsia" w:ascii="宋体" w:hAnsi="宋体" w:cs="宋体"/>
                                      <w:sz w:val="20"/>
                                      <w:szCs w:val="20"/>
                                    </w:rPr>
                                  </w:pPr>
                                </w:p>
                                <w:p w14:paraId="0A893FB6">
                                  <w:pPr>
                                    <w:pStyle w:val="56"/>
                                    <w:spacing w:before="157"/>
                                    <w:ind w:left="7"/>
                                    <w:rPr>
                                      <w:rFonts w:hint="eastAsia"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06</w:t>
                                  </w:r>
                                  <w:r>
                                    <w:rPr>
                                      <w:rFonts w:hint="eastAsia" w:ascii="宋体" w:hAnsi="宋体" w:cs="宋体"/>
                                      <w:spacing w:val="1"/>
                                      <w:w w:val="99"/>
                                      <w:sz w:val="20"/>
                                      <w:szCs w:val="20"/>
                                    </w:rPr>
                                    <w:t>1</w:t>
                                  </w:r>
                                  <w:r>
                                    <w:rPr>
                                      <w:rFonts w:hint="eastAsia" w:ascii="宋体" w:hAnsi="宋体" w:cs="宋体"/>
                                      <w:w w:val="99"/>
                                      <w:sz w:val="20"/>
                                      <w:szCs w:val="20"/>
                                    </w:rPr>
                                    <w:t>9照明</w:t>
                                  </w:r>
                                </w:p>
                                <w:p w14:paraId="0EFDCEB9">
                                  <w:pPr>
                                    <w:pStyle w:val="56"/>
                                    <w:spacing w:before="50"/>
                                    <w:ind w:left="7"/>
                                    <w:rPr>
                                      <w:rFonts w:ascii="宋体" w:hAnsi="宋体" w:cs="宋体"/>
                                      <w:sz w:val="20"/>
                                      <w:szCs w:val="20"/>
                                    </w:rPr>
                                  </w:pPr>
                                  <w:r>
                                    <w:rPr>
                                      <w:rFonts w:hint="eastAsia" w:ascii="宋体" w:hAnsi="宋体" w:cs="宋体"/>
                                      <w:w w:val="99"/>
                                      <w:sz w:val="20"/>
                                      <w:szCs w:val="20"/>
                                    </w:rPr>
                                    <w:t>设备</w:t>
                                  </w:r>
                                </w:p>
                              </w:tc>
                              <w:tc>
                                <w:tcPr>
                                  <w:tcW w:w="1665" w:type="dxa"/>
                                  <w:tcBorders>
                                    <w:top w:val="single" w:color="auto" w:sz="4" w:space="0"/>
                                    <w:left w:val="single" w:color="auto" w:sz="4" w:space="0"/>
                                    <w:bottom w:val="single" w:color="auto" w:sz="4" w:space="0"/>
                                    <w:right w:val="single" w:color="auto" w:sz="4" w:space="0"/>
                                  </w:tcBorders>
                                  <w:noWrap w:val="0"/>
                                  <w:vAlign w:val="top"/>
                                </w:tcPr>
                                <w:p w14:paraId="35EC31DE">
                                  <w:pPr>
                                    <w:pStyle w:val="56"/>
                                    <w:spacing w:before="133" w:line="280" w:lineRule="auto"/>
                                    <w:ind w:left="7" w:right="7"/>
                                    <w:rPr>
                                      <w:rFonts w:ascii="宋体" w:hAnsi="宋体" w:cs="宋体"/>
                                      <w:sz w:val="20"/>
                                      <w:szCs w:val="20"/>
                                      <w:lang w:eastAsia="zh-CN"/>
                                    </w:rPr>
                                  </w:pPr>
                                  <w:r>
                                    <w:rPr>
                                      <w:rFonts w:hint="eastAsia" w:ascii="宋体" w:hAnsi="宋体" w:cs="宋体"/>
                                      <w:w w:val="99"/>
                                      <w:sz w:val="20"/>
                                      <w:szCs w:val="20"/>
                                      <w:lang w:eastAsia="zh-CN"/>
                                    </w:rPr>
                                    <w:t>★</w:t>
                                  </w:r>
                                  <w:r>
                                    <w:rPr>
                                      <w:rFonts w:hint="eastAsia" w:ascii="宋体" w:hAnsi="宋体" w:cs="宋体"/>
                                      <w:spacing w:val="24"/>
                                      <w:w w:val="99"/>
                                      <w:sz w:val="20"/>
                                      <w:szCs w:val="20"/>
                                      <w:lang w:eastAsia="zh-CN"/>
                                    </w:rPr>
                                    <w:t>普</w:t>
                                  </w:r>
                                  <w:r>
                                    <w:rPr>
                                      <w:rFonts w:hint="eastAsia" w:ascii="宋体" w:hAnsi="宋体" w:cs="宋体"/>
                                      <w:w w:val="99"/>
                                      <w:sz w:val="20"/>
                                      <w:szCs w:val="20"/>
                                      <w:lang w:eastAsia="zh-CN"/>
                                    </w:rPr>
                                    <w:t>通照明用</w:t>
                                  </w:r>
                                  <w:r>
                                    <w:rPr>
                                      <w:rFonts w:hint="eastAsia" w:ascii="宋体" w:hAnsi="宋体" w:cs="宋体"/>
                                      <w:spacing w:val="24"/>
                                      <w:w w:val="99"/>
                                      <w:sz w:val="20"/>
                                      <w:szCs w:val="20"/>
                                      <w:lang w:eastAsia="zh-CN"/>
                                    </w:rPr>
                                    <w:t>双</w:t>
                                  </w:r>
                                  <w:r>
                                    <w:rPr>
                                      <w:rFonts w:hint="eastAsia" w:ascii="宋体" w:hAnsi="宋体" w:cs="宋体"/>
                                      <w:w w:val="99"/>
                                      <w:sz w:val="20"/>
                                      <w:szCs w:val="20"/>
                                      <w:lang w:eastAsia="zh-CN"/>
                                    </w:rPr>
                                    <w:t>端荧光灯</w:t>
                                  </w:r>
                                </w:p>
                              </w:tc>
                              <w:tc>
                                <w:tcPr>
                                  <w:tcW w:w="1770" w:type="dxa"/>
                                  <w:tcBorders>
                                    <w:top w:val="single" w:color="auto" w:sz="4" w:space="0"/>
                                    <w:left w:val="single" w:color="auto" w:sz="4" w:space="0"/>
                                    <w:bottom w:val="single" w:color="auto" w:sz="4" w:space="0"/>
                                    <w:right w:val="single" w:color="auto" w:sz="4" w:space="0"/>
                                  </w:tcBorders>
                                  <w:noWrap w:val="0"/>
                                  <w:vAlign w:val="top"/>
                                </w:tcPr>
                                <w:p w14:paraId="5FAFB314">
                                  <w:pPr>
                                    <w:rPr>
                                      <w:rFonts w:ascii="Calibri" w:hAnsi="Calibri"/>
                                      <w:sz w:val="22"/>
                                      <w:szCs w:val="22"/>
                                    </w:rPr>
                                  </w:pPr>
                                </w:p>
                              </w:tc>
                              <w:tc>
                                <w:tcPr>
                                  <w:tcW w:w="3765" w:type="dxa"/>
                                  <w:tcBorders>
                                    <w:top w:val="single" w:color="auto" w:sz="4" w:space="0"/>
                                    <w:left w:val="single" w:color="auto" w:sz="4" w:space="0"/>
                                    <w:bottom w:val="single" w:color="auto" w:sz="4" w:space="0"/>
                                    <w:right w:val="single" w:color="auto" w:sz="4" w:space="0"/>
                                  </w:tcBorders>
                                  <w:noWrap w:val="0"/>
                                  <w:vAlign w:val="top"/>
                                </w:tcPr>
                                <w:p w14:paraId="434D8598">
                                  <w:pPr>
                                    <w:pStyle w:val="56"/>
                                    <w:spacing w:before="133" w:line="280" w:lineRule="auto"/>
                                    <w:ind w:left="7" w:right="4"/>
                                    <w:rPr>
                                      <w:rFonts w:ascii="宋体" w:hAnsi="宋体" w:cs="宋体"/>
                                      <w:sz w:val="20"/>
                                      <w:szCs w:val="20"/>
                                      <w:lang w:eastAsia="zh-CN"/>
                                    </w:rPr>
                                  </w:pPr>
                                  <w:r>
                                    <w:rPr>
                                      <w:rFonts w:hint="eastAsia" w:ascii="宋体" w:hAnsi="宋体" w:cs="宋体"/>
                                      <w:spacing w:val="12"/>
                                      <w:w w:val="99"/>
                                      <w:sz w:val="20"/>
                                      <w:szCs w:val="20"/>
                                      <w:lang w:eastAsia="zh-CN"/>
                                    </w:rPr>
                                    <w:t>《普通照明用双端荧光</w:t>
                                  </w:r>
                                  <w:r>
                                    <w:rPr>
                                      <w:rFonts w:hint="eastAsia" w:ascii="宋体" w:hAnsi="宋体" w:cs="宋体"/>
                                      <w:spacing w:val="9"/>
                                      <w:w w:val="99"/>
                                      <w:sz w:val="20"/>
                                      <w:szCs w:val="20"/>
                                      <w:lang w:eastAsia="zh-CN"/>
                                    </w:rPr>
                                    <w:t>灯</w:t>
                                  </w:r>
                                  <w:r>
                                    <w:rPr>
                                      <w:rFonts w:hint="eastAsia" w:ascii="宋体" w:hAnsi="宋体" w:cs="宋体"/>
                                      <w:spacing w:val="12"/>
                                      <w:w w:val="99"/>
                                      <w:sz w:val="20"/>
                                      <w:szCs w:val="20"/>
                                      <w:lang w:eastAsia="zh-CN"/>
                                    </w:rPr>
                                    <w:t>能效</w:t>
                                  </w:r>
                                  <w:r>
                                    <w:rPr>
                                      <w:rFonts w:hint="eastAsia" w:ascii="宋体" w:hAnsi="宋体" w:cs="宋体"/>
                                      <w:w w:val="99"/>
                                      <w:sz w:val="20"/>
                                      <w:szCs w:val="20"/>
                                      <w:lang w:eastAsia="zh-CN"/>
                                    </w:rPr>
                                    <w:t>限定值及</w:t>
                                  </w:r>
                                  <w:r>
                                    <w:rPr>
                                      <w:rFonts w:hint="eastAsia" w:ascii="宋体" w:hAnsi="宋体" w:cs="宋体"/>
                                      <w:spacing w:val="2"/>
                                      <w:w w:val="99"/>
                                      <w:sz w:val="20"/>
                                      <w:szCs w:val="20"/>
                                      <w:lang w:eastAsia="zh-CN"/>
                                    </w:rPr>
                                    <w:t>能</w:t>
                                  </w:r>
                                  <w:r>
                                    <w:rPr>
                                      <w:rFonts w:hint="eastAsia" w:ascii="宋体" w:hAnsi="宋体" w:cs="宋体"/>
                                      <w:w w:val="99"/>
                                      <w:sz w:val="20"/>
                                      <w:szCs w:val="20"/>
                                      <w:lang w:eastAsia="zh-CN"/>
                                    </w:rPr>
                                    <w:t>效等</w:t>
                                  </w:r>
                                  <w:r>
                                    <w:rPr>
                                      <w:rFonts w:hint="eastAsia" w:ascii="宋体" w:hAnsi="宋体" w:cs="宋体"/>
                                      <w:spacing w:val="2"/>
                                      <w:w w:val="99"/>
                                      <w:sz w:val="20"/>
                                      <w:szCs w:val="20"/>
                                      <w:lang w:eastAsia="zh-CN"/>
                                    </w:rPr>
                                    <w:t>级</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19</w:t>
                                  </w:r>
                                  <w:r>
                                    <w:rPr>
                                      <w:rFonts w:hint="eastAsia" w:ascii="宋体" w:hAnsi="宋体" w:cs="宋体"/>
                                      <w:w w:val="99"/>
                                      <w:sz w:val="20"/>
                                      <w:szCs w:val="20"/>
                                      <w:lang w:eastAsia="zh-CN"/>
                                    </w:rPr>
                                    <w:t>04</w:t>
                                  </w:r>
                                  <w:r>
                                    <w:rPr>
                                      <w:rFonts w:hint="eastAsia" w:ascii="宋体" w:hAnsi="宋体" w:cs="宋体"/>
                                      <w:spacing w:val="1"/>
                                      <w:w w:val="99"/>
                                      <w:sz w:val="20"/>
                                      <w:szCs w:val="20"/>
                                      <w:lang w:eastAsia="zh-CN"/>
                                    </w:rPr>
                                    <w:t>3</w:t>
                                  </w:r>
                                  <w:r>
                                    <w:rPr>
                                      <w:rFonts w:hint="eastAsia" w:ascii="宋体" w:hAnsi="宋体" w:cs="宋体"/>
                                      <w:w w:val="99"/>
                                      <w:sz w:val="20"/>
                                      <w:szCs w:val="20"/>
                                      <w:lang w:eastAsia="zh-CN"/>
                                    </w:rPr>
                                    <w:t>）</w:t>
                                  </w:r>
                                </w:p>
                              </w:tc>
                            </w:tr>
                            <w:tr w14:paraId="3F97B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21" w:hRule="exact"/>
                              </w:trPr>
                              <w:tc>
                                <w:tcPr>
                                  <w:tcW w:w="585" w:type="dxa"/>
                                  <w:vMerge w:val="continue"/>
                                  <w:tcBorders>
                                    <w:top w:val="single" w:color="auto" w:sz="4" w:space="0"/>
                                    <w:left w:val="single" w:color="auto" w:sz="4" w:space="0"/>
                                    <w:bottom w:val="single" w:color="auto" w:sz="4" w:space="0"/>
                                    <w:right w:val="single" w:color="auto" w:sz="4" w:space="0"/>
                                  </w:tcBorders>
                                  <w:noWrap w:val="0"/>
                                  <w:vAlign w:val="center"/>
                                </w:tcPr>
                                <w:p w14:paraId="4C8A0592">
                                  <w:pPr>
                                    <w:widowControl/>
                                    <w:jc w:val="left"/>
                                    <w:rPr>
                                      <w:rFonts w:ascii="宋体" w:hAnsi="宋体" w:eastAsia="Times New Roman" w:cs="宋体"/>
                                      <w:kern w:val="0"/>
                                      <w:sz w:val="20"/>
                                      <w:szCs w:val="20"/>
                                    </w:rPr>
                                  </w:pPr>
                                </w:p>
                              </w:tc>
                              <w:tc>
                                <w:tcPr>
                                  <w:tcW w:w="1305" w:type="dxa"/>
                                  <w:vMerge w:val="continue"/>
                                  <w:tcBorders>
                                    <w:top w:val="single" w:color="auto" w:sz="4" w:space="0"/>
                                    <w:left w:val="single" w:color="auto" w:sz="4" w:space="0"/>
                                    <w:bottom w:val="single" w:color="auto" w:sz="4" w:space="0"/>
                                    <w:right w:val="single" w:color="auto" w:sz="4" w:space="0"/>
                                  </w:tcBorders>
                                  <w:noWrap w:val="0"/>
                                  <w:vAlign w:val="center"/>
                                </w:tcPr>
                                <w:p w14:paraId="02F0BD7C">
                                  <w:pPr>
                                    <w:widowControl/>
                                    <w:jc w:val="left"/>
                                    <w:rPr>
                                      <w:rFonts w:ascii="宋体" w:hAnsi="宋体" w:eastAsia="Times New Roman" w:cs="宋体"/>
                                      <w:kern w:val="0"/>
                                      <w:sz w:val="20"/>
                                      <w:szCs w:val="20"/>
                                    </w:rPr>
                                  </w:pPr>
                                </w:p>
                              </w:tc>
                              <w:tc>
                                <w:tcPr>
                                  <w:tcW w:w="1665" w:type="dxa"/>
                                  <w:tcBorders>
                                    <w:top w:val="single" w:color="auto" w:sz="4" w:space="0"/>
                                    <w:left w:val="single" w:color="auto" w:sz="4" w:space="0"/>
                                    <w:bottom w:val="single" w:color="auto" w:sz="4" w:space="0"/>
                                    <w:right w:val="single" w:color="auto" w:sz="4" w:space="0"/>
                                  </w:tcBorders>
                                  <w:noWrap w:val="0"/>
                                  <w:vAlign w:val="top"/>
                                </w:tcPr>
                                <w:p w14:paraId="12F7203C">
                                  <w:pPr>
                                    <w:pStyle w:val="56"/>
                                    <w:spacing w:before="92" w:line="280" w:lineRule="auto"/>
                                    <w:ind w:left="7" w:right="2"/>
                                    <w:rPr>
                                      <w:rFonts w:ascii="宋体" w:hAnsi="宋体" w:cs="宋体"/>
                                      <w:sz w:val="20"/>
                                      <w:szCs w:val="20"/>
                                    </w:rPr>
                                  </w:pPr>
                                  <w:r>
                                    <w:rPr>
                                      <w:rFonts w:hint="eastAsia" w:ascii="宋体" w:hAnsi="宋体" w:cs="宋体"/>
                                      <w:spacing w:val="1"/>
                                      <w:w w:val="99"/>
                                      <w:sz w:val="20"/>
                                      <w:szCs w:val="20"/>
                                    </w:rPr>
                                    <w:t>LE</w:t>
                                  </w:r>
                                  <w:r>
                                    <w:rPr>
                                      <w:rFonts w:hint="eastAsia" w:ascii="宋体" w:hAnsi="宋体" w:cs="宋体"/>
                                      <w:w w:val="99"/>
                                      <w:sz w:val="20"/>
                                      <w:szCs w:val="20"/>
                                    </w:rPr>
                                    <w:t>D</w:t>
                                  </w:r>
                                  <w:r>
                                    <w:rPr>
                                      <w:rFonts w:hint="eastAsia" w:ascii="宋体" w:hAnsi="宋体" w:cs="宋体"/>
                                      <w:spacing w:val="12"/>
                                      <w:w w:val="99"/>
                                      <w:sz w:val="20"/>
                                      <w:szCs w:val="20"/>
                                    </w:rPr>
                                    <w:t>道</w:t>
                                  </w:r>
                                  <w:r>
                                    <w:rPr>
                                      <w:rFonts w:hint="eastAsia" w:ascii="宋体" w:hAnsi="宋体" w:cs="宋体"/>
                                      <w:spacing w:val="9"/>
                                      <w:w w:val="99"/>
                                      <w:sz w:val="20"/>
                                      <w:szCs w:val="20"/>
                                    </w:rPr>
                                    <w:t>路</w:t>
                                  </w:r>
                                  <w:r>
                                    <w:rPr>
                                      <w:rFonts w:hint="eastAsia" w:ascii="宋体" w:hAnsi="宋体" w:cs="宋体"/>
                                      <w:spacing w:val="13"/>
                                      <w:w w:val="99"/>
                                      <w:sz w:val="20"/>
                                      <w:szCs w:val="20"/>
                                    </w:rPr>
                                    <w:t>/</w:t>
                                  </w:r>
                                  <w:r>
                                    <w:rPr>
                                      <w:rFonts w:hint="eastAsia" w:ascii="宋体" w:hAnsi="宋体" w:cs="宋体"/>
                                      <w:spacing w:val="12"/>
                                      <w:w w:val="99"/>
                                      <w:sz w:val="20"/>
                                      <w:szCs w:val="20"/>
                                    </w:rPr>
                                    <w:t>隧道照</w:t>
                                  </w:r>
                                  <w:r>
                                    <w:rPr>
                                      <w:rFonts w:hint="eastAsia" w:ascii="宋体" w:hAnsi="宋体" w:cs="宋体"/>
                                      <w:w w:val="99"/>
                                      <w:sz w:val="20"/>
                                      <w:szCs w:val="20"/>
                                    </w:rPr>
                                    <w:t>明产品</w:t>
                                  </w:r>
                                </w:p>
                              </w:tc>
                              <w:tc>
                                <w:tcPr>
                                  <w:tcW w:w="1770" w:type="dxa"/>
                                  <w:tcBorders>
                                    <w:top w:val="single" w:color="auto" w:sz="4" w:space="0"/>
                                    <w:left w:val="single" w:color="auto" w:sz="4" w:space="0"/>
                                    <w:bottom w:val="single" w:color="auto" w:sz="4" w:space="0"/>
                                    <w:right w:val="single" w:color="auto" w:sz="4" w:space="0"/>
                                  </w:tcBorders>
                                  <w:noWrap w:val="0"/>
                                  <w:vAlign w:val="top"/>
                                </w:tcPr>
                                <w:p w14:paraId="7BF31183">
                                  <w:pPr>
                                    <w:rPr>
                                      <w:rFonts w:ascii="Calibri" w:hAnsi="Calibri"/>
                                      <w:sz w:val="22"/>
                                      <w:szCs w:val="22"/>
                                    </w:rPr>
                                  </w:pPr>
                                </w:p>
                              </w:tc>
                              <w:tc>
                                <w:tcPr>
                                  <w:tcW w:w="3765" w:type="dxa"/>
                                  <w:tcBorders>
                                    <w:top w:val="single" w:color="auto" w:sz="4" w:space="0"/>
                                    <w:left w:val="single" w:color="auto" w:sz="4" w:space="0"/>
                                    <w:bottom w:val="single" w:color="auto" w:sz="4" w:space="0"/>
                                    <w:right w:val="single" w:color="auto" w:sz="4" w:space="0"/>
                                  </w:tcBorders>
                                  <w:noWrap w:val="0"/>
                                  <w:vAlign w:val="top"/>
                                </w:tcPr>
                                <w:p w14:paraId="7FB9E58B">
                                  <w:pPr>
                                    <w:pStyle w:val="56"/>
                                    <w:spacing w:before="92" w:line="280" w:lineRule="auto"/>
                                    <w:ind w:left="7" w:right="7"/>
                                    <w:rPr>
                                      <w:rFonts w:ascii="宋体" w:hAnsi="宋体" w:cs="宋体"/>
                                      <w:sz w:val="20"/>
                                      <w:szCs w:val="20"/>
                                      <w:lang w:eastAsia="zh-CN"/>
                                    </w:rPr>
                                  </w:pPr>
                                  <w:r>
                                    <w:rPr>
                                      <w:rFonts w:hint="eastAsia" w:ascii="宋体" w:hAnsi="宋体" w:cs="宋体"/>
                                      <w:spacing w:val="4"/>
                                      <w:w w:val="99"/>
                                      <w:sz w:val="20"/>
                                      <w:szCs w:val="20"/>
                                      <w:lang w:eastAsia="zh-CN"/>
                                    </w:rPr>
                                    <w:t>《</w:t>
                                  </w:r>
                                  <w:r>
                                    <w:rPr>
                                      <w:rFonts w:hint="eastAsia" w:ascii="宋体" w:hAnsi="宋体" w:cs="宋体"/>
                                      <w:spacing w:val="2"/>
                                      <w:w w:val="99"/>
                                      <w:sz w:val="20"/>
                                      <w:szCs w:val="20"/>
                                      <w:lang w:eastAsia="zh-CN"/>
                                    </w:rPr>
                                    <w:t>道</w:t>
                                  </w:r>
                                  <w:r>
                                    <w:rPr>
                                      <w:rFonts w:hint="eastAsia" w:ascii="宋体" w:hAnsi="宋体" w:cs="宋体"/>
                                      <w:spacing w:val="4"/>
                                      <w:w w:val="99"/>
                                      <w:sz w:val="20"/>
                                      <w:szCs w:val="20"/>
                                      <w:lang w:eastAsia="zh-CN"/>
                                    </w:rPr>
                                    <w:t>路和隧道照</w:t>
                                  </w:r>
                                  <w:r>
                                    <w:rPr>
                                      <w:rFonts w:hint="eastAsia" w:ascii="宋体" w:hAnsi="宋体" w:cs="宋体"/>
                                      <w:spacing w:val="2"/>
                                      <w:w w:val="99"/>
                                      <w:sz w:val="20"/>
                                      <w:szCs w:val="20"/>
                                      <w:lang w:eastAsia="zh-CN"/>
                                    </w:rPr>
                                    <w:t>明</w:t>
                                  </w:r>
                                  <w:r>
                                    <w:rPr>
                                      <w:rFonts w:hint="eastAsia" w:ascii="宋体" w:hAnsi="宋体" w:cs="宋体"/>
                                      <w:w w:val="99"/>
                                      <w:sz w:val="20"/>
                                      <w:szCs w:val="20"/>
                                      <w:lang w:eastAsia="zh-CN"/>
                                    </w:rPr>
                                    <w:t>用</w:t>
                                  </w:r>
                                  <w:r>
                                    <w:rPr>
                                      <w:rFonts w:hint="eastAsia" w:ascii="宋体" w:hAnsi="宋体" w:cs="宋体"/>
                                      <w:spacing w:val="1"/>
                                      <w:w w:val="99"/>
                                      <w:sz w:val="20"/>
                                      <w:szCs w:val="20"/>
                                      <w:lang w:eastAsia="zh-CN"/>
                                    </w:rPr>
                                    <w:t>LE</w:t>
                                  </w:r>
                                  <w:r>
                                    <w:rPr>
                                      <w:rFonts w:hint="eastAsia" w:ascii="宋体" w:hAnsi="宋体" w:cs="宋体"/>
                                      <w:w w:val="99"/>
                                      <w:sz w:val="20"/>
                                      <w:szCs w:val="20"/>
                                      <w:lang w:eastAsia="zh-CN"/>
                                    </w:rPr>
                                    <w:t>D</w:t>
                                  </w:r>
                                  <w:r>
                                    <w:rPr>
                                      <w:rFonts w:hint="eastAsia" w:ascii="宋体" w:hAnsi="宋体" w:cs="宋体"/>
                                      <w:spacing w:val="4"/>
                                      <w:w w:val="99"/>
                                      <w:sz w:val="20"/>
                                      <w:szCs w:val="20"/>
                                      <w:lang w:eastAsia="zh-CN"/>
                                    </w:rPr>
                                    <w:t>灯</w:t>
                                  </w:r>
                                  <w:r>
                                    <w:rPr>
                                      <w:rFonts w:hint="eastAsia" w:ascii="宋体" w:hAnsi="宋体" w:cs="宋体"/>
                                      <w:spacing w:val="2"/>
                                      <w:w w:val="99"/>
                                      <w:sz w:val="20"/>
                                      <w:szCs w:val="20"/>
                                      <w:lang w:eastAsia="zh-CN"/>
                                    </w:rPr>
                                    <w:t>具</w:t>
                                  </w:r>
                                  <w:r>
                                    <w:rPr>
                                      <w:rFonts w:hint="eastAsia" w:ascii="宋体" w:hAnsi="宋体" w:cs="宋体"/>
                                      <w:w w:val="99"/>
                                      <w:sz w:val="20"/>
                                      <w:szCs w:val="20"/>
                                      <w:lang w:eastAsia="zh-CN"/>
                                    </w:rPr>
                                    <w:t>能效限定</w:t>
                                  </w:r>
                                  <w:r>
                                    <w:rPr>
                                      <w:rFonts w:hint="eastAsia" w:ascii="宋体" w:hAnsi="宋体" w:cs="宋体"/>
                                      <w:spacing w:val="2"/>
                                      <w:w w:val="99"/>
                                      <w:sz w:val="20"/>
                                      <w:szCs w:val="20"/>
                                      <w:lang w:eastAsia="zh-CN"/>
                                    </w:rPr>
                                    <w:t>值</w:t>
                                  </w:r>
                                  <w:r>
                                    <w:rPr>
                                      <w:rFonts w:hint="eastAsia" w:ascii="宋体" w:hAnsi="宋体" w:cs="宋体"/>
                                      <w:w w:val="99"/>
                                      <w:sz w:val="20"/>
                                      <w:szCs w:val="20"/>
                                      <w:lang w:eastAsia="zh-CN"/>
                                    </w:rPr>
                                    <w:t>及能</w:t>
                                  </w:r>
                                  <w:r>
                                    <w:rPr>
                                      <w:rFonts w:hint="eastAsia" w:ascii="宋体" w:hAnsi="宋体" w:cs="宋体"/>
                                      <w:spacing w:val="2"/>
                                      <w:w w:val="99"/>
                                      <w:sz w:val="20"/>
                                      <w:szCs w:val="20"/>
                                      <w:lang w:eastAsia="zh-CN"/>
                                    </w:rPr>
                                    <w:t>效</w:t>
                                  </w:r>
                                  <w:r>
                                    <w:rPr>
                                      <w:rFonts w:hint="eastAsia" w:ascii="宋体" w:hAnsi="宋体" w:cs="宋体"/>
                                      <w:w w:val="99"/>
                                      <w:sz w:val="20"/>
                                      <w:szCs w:val="20"/>
                                      <w:lang w:eastAsia="zh-CN"/>
                                    </w:rPr>
                                    <w:t>等级</w:t>
                                  </w:r>
                                  <w:r>
                                    <w:rPr>
                                      <w:rFonts w:hint="eastAsia" w:ascii="宋体" w:hAnsi="宋体" w:cs="宋体"/>
                                      <w:spacing w:val="-106"/>
                                      <w:w w:val="99"/>
                                      <w:sz w:val="20"/>
                                      <w:szCs w:val="20"/>
                                      <w:lang w:eastAsia="zh-CN"/>
                                    </w:rPr>
                                    <w:t>》</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3747</w:t>
                                  </w:r>
                                  <w:r>
                                    <w:rPr>
                                      <w:rFonts w:hint="eastAsia" w:ascii="宋体" w:hAnsi="宋体" w:cs="宋体"/>
                                      <w:w w:val="99"/>
                                      <w:sz w:val="20"/>
                                      <w:szCs w:val="20"/>
                                      <w:lang w:eastAsia="zh-CN"/>
                                    </w:rPr>
                                    <w:t>8</w:t>
                                  </w:r>
                                </w:p>
                              </w:tc>
                            </w:tr>
                            <w:tr w14:paraId="03267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04" w:hRule="exact"/>
                              </w:trPr>
                              <w:tc>
                                <w:tcPr>
                                  <w:tcW w:w="585" w:type="dxa"/>
                                  <w:vMerge w:val="continue"/>
                                  <w:tcBorders>
                                    <w:top w:val="single" w:color="auto" w:sz="4" w:space="0"/>
                                    <w:left w:val="single" w:color="auto" w:sz="4" w:space="0"/>
                                    <w:bottom w:val="single" w:color="auto" w:sz="4" w:space="0"/>
                                    <w:right w:val="single" w:color="auto" w:sz="4" w:space="0"/>
                                  </w:tcBorders>
                                  <w:noWrap w:val="0"/>
                                  <w:vAlign w:val="center"/>
                                </w:tcPr>
                                <w:p w14:paraId="3B11F340">
                                  <w:pPr>
                                    <w:widowControl/>
                                    <w:jc w:val="left"/>
                                    <w:rPr>
                                      <w:rFonts w:ascii="宋体" w:hAnsi="宋体" w:eastAsia="Times New Roman" w:cs="宋体"/>
                                      <w:kern w:val="0"/>
                                      <w:sz w:val="20"/>
                                      <w:szCs w:val="20"/>
                                    </w:rPr>
                                  </w:pPr>
                                </w:p>
                              </w:tc>
                              <w:tc>
                                <w:tcPr>
                                  <w:tcW w:w="1305" w:type="dxa"/>
                                  <w:vMerge w:val="continue"/>
                                  <w:tcBorders>
                                    <w:top w:val="single" w:color="auto" w:sz="4" w:space="0"/>
                                    <w:left w:val="single" w:color="auto" w:sz="4" w:space="0"/>
                                    <w:bottom w:val="single" w:color="auto" w:sz="4" w:space="0"/>
                                    <w:right w:val="single" w:color="auto" w:sz="4" w:space="0"/>
                                  </w:tcBorders>
                                  <w:noWrap w:val="0"/>
                                  <w:vAlign w:val="center"/>
                                </w:tcPr>
                                <w:p w14:paraId="05843B4F">
                                  <w:pPr>
                                    <w:widowControl/>
                                    <w:jc w:val="left"/>
                                    <w:rPr>
                                      <w:rFonts w:ascii="宋体" w:hAnsi="宋体" w:eastAsia="Times New Roman" w:cs="宋体"/>
                                      <w:kern w:val="0"/>
                                      <w:sz w:val="20"/>
                                      <w:szCs w:val="20"/>
                                    </w:rPr>
                                  </w:pPr>
                                </w:p>
                              </w:tc>
                              <w:tc>
                                <w:tcPr>
                                  <w:tcW w:w="1665" w:type="dxa"/>
                                  <w:tcBorders>
                                    <w:top w:val="single" w:color="auto" w:sz="4" w:space="0"/>
                                    <w:left w:val="single" w:color="auto" w:sz="4" w:space="0"/>
                                    <w:bottom w:val="single" w:color="auto" w:sz="4" w:space="0"/>
                                    <w:right w:val="single" w:color="auto" w:sz="4" w:space="0"/>
                                  </w:tcBorders>
                                  <w:noWrap w:val="0"/>
                                  <w:vAlign w:val="top"/>
                                </w:tcPr>
                                <w:p w14:paraId="19FB6DE2">
                                  <w:pPr>
                                    <w:pStyle w:val="56"/>
                                    <w:spacing w:before="4"/>
                                    <w:rPr>
                                      <w:rFonts w:ascii="宋体" w:hAnsi="宋体" w:cs="宋体"/>
                                      <w:sz w:val="18"/>
                                      <w:szCs w:val="18"/>
                                      <w:lang w:eastAsia="zh-CN"/>
                                    </w:rPr>
                                  </w:pPr>
                                </w:p>
                                <w:p w14:paraId="718B5C08">
                                  <w:pPr>
                                    <w:pStyle w:val="56"/>
                                    <w:ind w:left="7"/>
                                    <w:rPr>
                                      <w:rFonts w:ascii="宋体" w:hAnsi="宋体" w:cs="宋体"/>
                                      <w:sz w:val="20"/>
                                      <w:szCs w:val="20"/>
                                    </w:rPr>
                                  </w:pPr>
                                  <w:r>
                                    <w:rPr>
                                      <w:rFonts w:hint="eastAsia" w:ascii="宋体" w:hAnsi="宋体" w:cs="宋体"/>
                                      <w:spacing w:val="1"/>
                                      <w:w w:val="99"/>
                                      <w:sz w:val="20"/>
                                      <w:szCs w:val="20"/>
                                    </w:rPr>
                                    <w:t>LE</w:t>
                                  </w:r>
                                  <w:r>
                                    <w:rPr>
                                      <w:rFonts w:hint="eastAsia" w:ascii="宋体" w:hAnsi="宋体" w:cs="宋体"/>
                                      <w:w w:val="99"/>
                                      <w:sz w:val="20"/>
                                      <w:szCs w:val="20"/>
                                    </w:rPr>
                                    <w:t>D筒灯</w:t>
                                  </w:r>
                                </w:p>
                              </w:tc>
                              <w:tc>
                                <w:tcPr>
                                  <w:tcW w:w="1770" w:type="dxa"/>
                                  <w:tcBorders>
                                    <w:top w:val="single" w:color="auto" w:sz="4" w:space="0"/>
                                    <w:left w:val="single" w:color="auto" w:sz="4" w:space="0"/>
                                    <w:bottom w:val="single" w:color="auto" w:sz="4" w:space="0"/>
                                    <w:right w:val="single" w:color="auto" w:sz="4" w:space="0"/>
                                  </w:tcBorders>
                                  <w:noWrap w:val="0"/>
                                  <w:vAlign w:val="top"/>
                                </w:tcPr>
                                <w:p w14:paraId="007651A6">
                                  <w:pPr>
                                    <w:rPr>
                                      <w:rFonts w:ascii="Calibri" w:hAnsi="Calibri"/>
                                      <w:sz w:val="22"/>
                                      <w:szCs w:val="22"/>
                                    </w:rPr>
                                  </w:pPr>
                                </w:p>
                              </w:tc>
                              <w:tc>
                                <w:tcPr>
                                  <w:tcW w:w="3765" w:type="dxa"/>
                                  <w:tcBorders>
                                    <w:top w:val="single" w:color="auto" w:sz="4" w:space="0"/>
                                    <w:left w:val="single" w:color="auto" w:sz="4" w:space="0"/>
                                    <w:bottom w:val="single" w:color="auto" w:sz="4" w:space="0"/>
                                    <w:right w:val="single" w:color="auto" w:sz="4" w:space="0"/>
                                  </w:tcBorders>
                                  <w:noWrap w:val="0"/>
                                  <w:vAlign w:val="top"/>
                                </w:tcPr>
                                <w:p w14:paraId="49BB3615">
                                  <w:pPr>
                                    <w:pStyle w:val="56"/>
                                    <w:spacing w:before="83" w:line="280" w:lineRule="auto"/>
                                    <w:ind w:left="7" w:right="7"/>
                                    <w:rPr>
                                      <w:rFonts w:ascii="宋体" w:hAnsi="宋体" w:cs="宋体"/>
                                      <w:sz w:val="20"/>
                                      <w:szCs w:val="20"/>
                                      <w:lang w:eastAsia="zh-CN"/>
                                    </w:rPr>
                                  </w:pPr>
                                  <w:r>
                                    <w:rPr>
                                      <w:rFonts w:hint="eastAsia" w:ascii="宋体" w:hAnsi="宋体" w:cs="宋体"/>
                                      <w:spacing w:val="4"/>
                                      <w:w w:val="99"/>
                                      <w:sz w:val="20"/>
                                      <w:szCs w:val="20"/>
                                      <w:lang w:eastAsia="zh-CN"/>
                                    </w:rPr>
                                    <w:t>《</w:t>
                                  </w:r>
                                  <w:r>
                                    <w:rPr>
                                      <w:rFonts w:hint="eastAsia" w:ascii="宋体" w:hAnsi="宋体" w:cs="宋体"/>
                                      <w:spacing w:val="2"/>
                                      <w:w w:val="99"/>
                                      <w:sz w:val="20"/>
                                      <w:szCs w:val="20"/>
                                      <w:lang w:eastAsia="zh-CN"/>
                                    </w:rPr>
                                    <w:t>室</w:t>
                                  </w:r>
                                  <w:r>
                                    <w:rPr>
                                      <w:rFonts w:hint="eastAsia" w:ascii="宋体" w:hAnsi="宋体" w:cs="宋体"/>
                                      <w:spacing w:val="4"/>
                                      <w:w w:val="99"/>
                                      <w:sz w:val="20"/>
                                      <w:szCs w:val="20"/>
                                      <w:lang w:eastAsia="zh-CN"/>
                                    </w:rPr>
                                    <w:t>内照明</w:t>
                                  </w:r>
                                  <w:r>
                                    <w:rPr>
                                      <w:rFonts w:hint="eastAsia" w:ascii="宋体" w:hAnsi="宋体" w:cs="宋体"/>
                                      <w:w w:val="99"/>
                                      <w:sz w:val="20"/>
                                      <w:szCs w:val="20"/>
                                      <w:lang w:eastAsia="zh-CN"/>
                                    </w:rPr>
                                    <w:t>用</w:t>
                                  </w:r>
                                  <w:r>
                                    <w:rPr>
                                      <w:rFonts w:hint="eastAsia" w:ascii="宋体" w:hAnsi="宋体" w:cs="宋体"/>
                                      <w:spacing w:val="1"/>
                                      <w:w w:val="99"/>
                                      <w:sz w:val="20"/>
                                      <w:szCs w:val="20"/>
                                      <w:lang w:eastAsia="zh-CN"/>
                                    </w:rPr>
                                    <w:t>LE</w:t>
                                  </w:r>
                                  <w:r>
                                    <w:rPr>
                                      <w:rFonts w:hint="eastAsia" w:ascii="宋体" w:hAnsi="宋体" w:cs="宋体"/>
                                      <w:w w:val="99"/>
                                      <w:sz w:val="20"/>
                                      <w:szCs w:val="20"/>
                                      <w:lang w:eastAsia="zh-CN"/>
                                    </w:rPr>
                                    <w:t>D</w:t>
                                  </w:r>
                                  <w:r>
                                    <w:rPr>
                                      <w:rFonts w:hint="eastAsia" w:ascii="宋体" w:hAnsi="宋体" w:cs="宋体"/>
                                      <w:spacing w:val="4"/>
                                      <w:w w:val="99"/>
                                      <w:sz w:val="20"/>
                                      <w:szCs w:val="20"/>
                                      <w:lang w:eastAsia="zh-CN"/>
                                    </w:rPr>
                                    <w:t>产</w:t>
                                  </w:r>
                                  <w:r>
                                    <w:rPr>
                                      <w:rFonts w:hint="eastAsia" w:ascii="宋体" w:hAnsi="宋体" w:cs="宋体"/>
                                      <w:spacing w:val="2"/>
                                      <w:w w:val="99"/>
                                      <w:sz w:val="20"/>
                                      <w:szCs w:val="20"/>
                                      <w:lang w:eastAsia="zh-CN"/>
                                    </w:rPr>
                                    <w:t>品</w:t>
                                  </w:r>
                                  <w:r>
                                    <w:rPr>
                                      <w:rFonts w:hint="eastAsia" w:ascii="宋体" w:hAnsi="宋体" w:cs="宋体"/>
                                      <w:spacing w:val="4"/>
                                      <w:w w:val="99"/>
                                      <w:sz w:val="20"/>
                                      <w:szCs w:val="20"/>
                                      <w:lang w:eastAsia="zh-CN"/>
                                    </w:rPr>
                                    <w:t>能效</w:t>
                                  </w:r>
                                  <w:r>
                                    <w:rPr>
                                      <w:rFonts w:hint="eastAsia" w:ascii="宋体" w:hAnsi="宋体" w:cs="宋体"/>
                                      <w:spacing w:val="2"/>
                                      <w:w w:val="99"/>
                                      <w:sz w:val="20"/>
                                      <w:szCs w:val="20"/>
                                      <w:lang w:eastAsia="zh-CN"/>
                                    </w:rPr>
                                    <w:t>限</w:t>
                                  </w:r>
                                  <w:r>
                                    <w:rPr>
                                      <w:rFonts w:hint="eastAsia" w:ascii="宋体" w:hAnsi="宋体" w:cs="宋体"/>
                                      <w:w w:val="99"/>
                                      <w:sz w:val="20"/>
                                      <w:szCs w:val="20"/>
                                      <w:lang w:eastAsia="zh-CN"/>
                                    </w:rPr>
                                    <w:t>定值及能</w:t>
                                  </w:r>
                                  <w:r>
                                    <w:rPr>
                                      <w:rFonts w:hint="eastAsia" w:ascii="宋体" w:hAnsi="宋体" w:cs="宋体"/>
                                      <w:spacing w:val="2"/>
                                      <w:w w:val="99"/>
                                      <w:sz w:val="20"/>
                                      <w:szCs w:val="20"/>
                                      <w:lang w:eastAsia="zh-CN"/>
                                    </w:rPr>
                                    <w:t>效</w:t>
                                  </w:r>
                                  <w:r>
                                    <w:rPr>
                                      <w:rFonts w:hint="eastAsia" w:ascii="宋体" w:hAnsi="宋体" w:cs="宋体"/>
                                      <w:w w:val="99"/>
                                      <w:sz w:val="20"/>
                                      <w:szCs w:val="20"/>
                                      <w:lang w:eastAsia="zh-CN"/>
                                    </w:rPr>
                                    <w:t>等级</w:t>
                                  </w:r>
                                  <w:r>
                                    <w:rPr>
                                      <w:rFonts w:hint="eastAsia" w:ascii="宋体" w:hAnsi="宋体" w:cs="宋体"/>
                                      <w:spacing w:val="2"/>
                                      <w:w w:val="99"/>
                                      <w:sz w:val="20"/>
                                      <w:szCs w:val="20"/>
                                      <w:lang w:eastAsia="zh-CN"/>
                                    </w:rPr>
                                    <w:t>》</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30</w:t>
                                  </w:r>
                                  <w:r>
                                    <w:rPr>
                                      <w:rFonts w:hint="eastAsia" w:ascii="宋体" w:hAnsi="宋体" w:cs="宋体"/>
                                      <w:w w:val="99"/>
                                      <w:sz w:val="20"/>
                                      <w:szCs w:val="20"/>
                                      <w:lang w:eastAsia="zh-CN"/>
                                    </w:rPr>
                                    <w:t>25</w:t>
                                  </w:r>
                                  <w:r>
                                    <w:rPr>
                                      <w:rFonts w:hint="eastAsia" w:ascii="宋体" w:hAnsi="宋体" w:cs="宋体"/>
                                      <w:spacing w:val="-2"/>
                                      <w:w w:val="99"/>
                                      <w:sz w:val="20"/>
                                      <w:szCs w:val="20"/>
                                      <w:lang w:eastAsia="zh-CN"/>
                                    </w:rPr>
                                    <w:t>5</w:t>
                                  </w:r>
                                  <w:r>
                                    <w:rPr>
                                      <w:rFonts w:hint="eastAsia" w:ascii="宋体" w:hAnsi="宋体" w:cs="宋体"/>
                                      <w:w w:val="99"/>
                                      <w:sz w:val="20"/>
                                      <w:szCs w:val="20"/>
                                      <w:lang w:eastAsia="zh-CN"/>
                                    </w:rPr>
                                    <w:t>）</w:t>
                                  </w:r>
                                </w:p>
                              </w:tc>
                            </w:tr>
                            <w:tr w14:paraId="15DBA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42" w:hRule="exact"/>
                              </w:trPr>
                              <w:tc>
                                <w:tcPr>
                                  <w:tcW w:w="585" w:type="dxa"/>
                                  <w:vMerge w:val="continue"/>
                                  <w:tcBorders>
                                    <w:top w:val="single" w:color="auto" w:sz="4" w:space="0"/>
                                    <w:left w:val="single" w:color="auto" w:sz="4" w:space="0"/>
                                    <w:bottom w:val="single" w:color="auto" w:sz="4" w:space="0"/>
                                    <w:right w:val="single" w:color="auto" w:sz="4" w:space="0"/>
                                  </w:tcBorders>
                                  <w:noWrap w:val="0"/>
                                  <w:vAlign w:val="center"/>
                                </w:tcPr>
                                <w:p w14:paraId="6448A9BB">
                                  <w:pPr>
                                    <w:widowControl/>
                                    <w:jc w:val="left"/>
                                    <w:rPr>
                                      <w:rFonts w:ascii="宋体" w:hAnsi="宋体" w:eastAsia="Times New Roman" w:cs="宋体"/>
                                      <w:kern w:val="0"/>
                                      <w:sz w:val="20"/>
                                      <w:szCs w:val="20"/>
                                    </w:rPr>
                                  </w:pPr>
                                </w:p>
                              </w:tc>
                              <w:tc>
                                <w:tcPr>
                                  <w:tcW w:w="1305" w:type="dxa"/>
                                  <w:vMerge w:val="continue"/>
                                  <w:tcBorders>
                                    <w:top w:val="single" w:color="auto" w:sz="4" w:space="0"/>
                                    <w:left w:val="single" w:color="auto" w:sz="4" w:space="0"/>
                                    <w:bottom w:val="single" w:color="auto" w:sz="4" w:space="0"/>
                                    <w:right w:val="single" w:color="auto" w:sz="4" w:space="0"/>
                                  </w:tcBorders>
                                  <w:noWrap w:val="0"/>
                                  <w:vAlign w:val="center"/>
                                </w:tcPr>
                                <w:p w14:paraId="58B6DE57">
                                  <w:pPr>
                                    <w:widowControl/>
                                    <w:jc w:val="left"/>
                                    <w:rPr>
                                      <w:rFonts w:ascii="宋体" w:hAnsi="宋体" w:eastAsia="Times New Roman" w:cs="宋体"/>
                                      <w:kern w:val="0"/>
                                      <w:sz w:val="20"/>
                                      <w:szCs w:val="20"/>
                                    </w:rPr>
                                  </w:pPr>
                                </w:p>
                              </w:tc>
                              <w:tc>
                                <w:tcPr>
                                  <w:tcW w:w="1665" w:type="dxa"/>
                                  <w:tcBorders>
                                    <w:top w:val="single" w:color="auto" w:sz="4" w:space="0"/>
                                    <w:left w:val="single" w:color="auto" w:sz="4" w:space="0"/>
                                    <w:bottom w:val="single" w:color="auto" w:sz="4" w:space="0"/>
                                    <w:right w:val="single" w:color="auto" w:sz="4" w:space="0"/>
                                  </w:tcBorders>
                                  <w:noWrap w:val="0"/>
                                  <w:vAlign w:val="top"/>
                                </w:tcPr>
                                <w:p w14:paraId="4C8D32F5">
                                  <w:pPr>
                                    <w:pStyle w:val="56"/>
                                    <w:spacing w:before="5"/>
                                    <w:rPr>
                                      <w:rFonts w:ascii="宋体" w:hAnsi="宋体" w:cs="宋体"/>
                                      <w:sz w:val="15"/>
                                      <w:szCs w:val="15"/>
                                      <w:lang w:eastAsia="zh-CN"/>
                                    </w:rPr>
                                  </w:pPr>
                                </w:p>
                                <w:p w14:paraId="2EC56E2D">
                                  <w:pPr>
                                    <w:pStyle w:val="56"/>
                                    <w:spacing w:line="280" w:lineRule="auto"/>
                                    <w:ind w:left="7" w:right="7"/>
                                    <w:rPr>
                                      <w:rFonts w:ascii="宋体" w:hAnsi="宋体" w:cs="宋体"/>
                                      <w:sz w:val="20"/>
                                      <w:szCs w:val="20"/>
                                      <w:lang w:eastAsia="zh-CN"/>
                                    </w:rPr>
                                  </w:pPr>
                                  <w:r>
                                    <w:rPr>
                                      <w:rFonts w:hint="eastAsia" w:ascii="宋体" w:hAnsi="宋体" w:cs="宋体"/>
                                      <w:w w:val="99"/>
                                      <w:sz w:val="20"/>
                                      <w:szCs w:val="20"/>
                                      <w:lang w:eastAsia="zh-CN"/>
                                    </w:rPr>
                                    <w:t>普</w:t>
                                  </w:r>
                                  <w:r>
                                    <w:rPr>
                                      <w:rFonts w:hint="eastAsia" w:ascii="宋体" w:hAnsi="宋体" w:cs="宋体"/>
                                      <w:spacing w:val="24"/>
                                      <w:w w:val="99"/>
                                      <w:sz w:val="20"/>
                                      <w:szCs w:val="20"/>
                                      <w:lang w:eastAsia="zh-CN"/>
                                    </w:rPr>
                                    <w:t>通</w:t>
                                  </w:r>
                                  <w:r>
                                    <w:rPr>
                                      <w:rFonts w:hint="eastAsia" w:ascii="宋体" w:hAnsi="宋体" w:cs="宋体"/>
                                      <w:w w:val="99"/>
                                      <w:sz w:val="20"/>
                                      <w:szCs w:val="20"/>
                                      <w:lang w:eastAsia="zh-CN"/>
                                    </w:rPr>
                                    <w:t>照明用非</w:t>
                                  </w:r>
                                  <w:r>
                                    <w:rPr>
                                      <w:rFonts w:hint="eastAsia" w:ascii="宋体" w:hAnsi="宋体" w:cs="宋体"/>
                                      <w:spacing w:val="24"/>
                                      <w:w w:val="99"/>
                                      <w:sz w:val="20"/>
                                      <w:szCs w:val="20"/>
                                      <w:lang w:eastAsia="zh-CN"/>
                                    </w:rPr>
                                    <w:t>定</w:t>
                                  </w:r>
                                  <w:r>
                                    <w:rPr>
                                      <w:rFonts w:hint="eastAsia" w:ascii="宋体" w:hAnsi="宋体" w:cs="宋体"/>
                                      <w:w w:val="99"/>
                                      <w:sz w:val="20"/>
                                      <w:szCs w:val="20"/>
                                      <w:lang w:eastAsia="zh-CN"/>
                                    </w:rPr>
                                    <w:t>向自镇流</w:t>
                                  </w:r>
                                  <w:r>
                                    <w:rPr>
                                      <w:rFonts w:hint="eastAsia" w:ascii="宋体" w:hAnsi="宋体" w:cs="宋体"/>
                                      <w:spacing w:val="1"/>
                                      <w:w w:val="99"/>
                                      <w:sz w:val="20"/>
                                      <w:szCs w:val="20"/>
                                      <w:lang w:eastAsia="zh-CN"/>
                                    </w:rPr>
                                    <w:t>LE</w:t>
                                  </w:r>
                                  <w:r>
                                    <w:rPr>
                                      <w:rFonts w:hint="eastAsia" w:ascii="宋体" w:hAnsi="宋体" w:cs="宋体"/>
                                      <w:w w:val="99"/>
                                      <w:sz w:val="20"/>
                                      <w:szCs w:val="20"/>
                                      <w:lang w:eastAsia="zh-CN"/>
                                    </w:rPr>
                                    <w:t>D灯</w:t>
                                  </w:r>
                                </w:p>
                              </w:tc>
                              <w:tc>
                                <w:tcPr>
                                  <w:tcW w:w="1770" w:type="dxa"/>
                                  <w:tcBorders>
                                    <w:top w:val="single" w:color="auto" w:sz="4" w:space="0"/>
                                    <w:left w:val="single" w:color="auto" w:sz="4" w:space="0"/>
                                    <w:bottom w:val="single" w:color="auto" w:sz="4" w:space="0"/>
                                    <w:right w:val="single" w:color="auto" w:sz="4" w:space="0"/>
                                  </w:tcBorders>
                                  <w:noWrap w:val="0"/>
                                  <w:vAlign w:val="top"/>
                                </w:tcPr>
                                <w:p w14:paraId="76D1DAE1">
                                  <w:pPr>
                                    <w:rPr>
                                      <w:rFonts w:ascii="Calibri" w:hAnsi="Calibri"/>
                                      <w:sz w:val="22"/>
                                      <w:szCs w:val="22"/>
                                    </w:rPr>
                                  </w:pPr>
                                </w:p>
                              </w:tc>
                              <w:tc>
                                <w:tcPr>
                                  <w:tcW w:w="3765" w:type="dxa"/>
                                  <w:tcBorders>
                                    <w:top w:val="single" w:color="auto" w:sz="4" w:space="0"/>
                                    <w:left w:val="single" w:color="auto" w:sz="4" w:space="0"/>
                                    <w:bottom w:val="single" w:color="auto" w:sz="4" w:space="0"/>
                                    <w:right w:val="single" w:color="auto" w:sz="4" w:space="0"/>
                                  </w:tcBorders>
                                  <w:noWrap w:val="0"/>
                                  <w:vAlign w:val="top"/>
                                </w:tcPr>
                                <w:p w14:paraId="2ED8AF6E">
                                  <w:pPr>
                                    <w:pStyle w:val="56"/>
                                    <w:spacing w:before="5"/>
                                    <w:rPr>
                                      <w:rFonts w:ascii="宋体" w:hAnsi="宋体" w:cs="宋体"/>
                                      <w:sz w:val="15"/>
                                      <w:szCs w:val="15"/>
                                      <w:lang w:eastAsia="zh-CN"/>
                                    </w:rPr>
                                  </w:pPr>
                                </w:p>
                                <w:p w14:paraId="2BFF0CAC">
                                  <w:pPr>
                                    <w:pStyle w:val="56"/>
                                    <w:spacing w:line="280" w:lineRule="auto"/>
                                    <w:ind w:left="7" w:right="7"/>
                                    <w:rPr>
                                      <w:rFonts w:ascii="宋体" w:hAnsi="宋体" w:cs="宋体"/>
                                      <w:sz w:val="20"/>
                                      <w:szCs w:val="20"/>
                                      <w:lang w:eastAsia="zh-CN"/>
                                    </w:rPr>
                                  </w:pPr>
                                  <w:r>
                                    <w:rPr>
                                      <w:rFonts w:hint="eastAsia" w:ascii="宋体" w:hAnsi="宋体" w:cs="宋体"/>
                                      <w:spacing w:val="4"/>
                                      <w:w w:val="99"/>
                                      <w:sz w:val="20"/>
                                      <w:szCs w:val="20"/>
                                      <w:lang w:eastAsia="zh-CN"/>
                                    </w:rPr>
                                    <w:t>《</w:t>
                                  </w:r>
                                  <w:r>
                                    <w:rPr>
                                      <w:rFonts w:hint="eastAsia" w:ascii="宋体" w:hAnsi="宋体" w:cs="宋体"/>
                                      <w:spacing w:val="2"/>
                                      <w:w w:val="99"/>
                                      <w:sz w:val="20"/>
                                      <w:szCs w:val="20"/>
                                      <w:lang w:eastAsia="zh-CN"/>
                                    </w:rPr>
                                    <w:t>室</w:t>
                                  </w:r>
                                  <w:r>
                                    <w:rPr>
                                      <w:rFonts w:hint="eastAsia" w:ascii="宋体" w:hAnsi="宋体" w:cs="宋体"/>
                                      <w:spacing w:val="4"/>
                                      <w:w w:val="99"/>
                                      <w:sz w:val="20"/>
                                      <w:szCs w:val="20"/>
                                      <w:lang w:eastAsia="zh-CN"/>
                                    </w:rPr>
                                    <w:t>内照明</w:t>
                                  </w:r>
                                  <w:r>
                                    <w:rPr>
                                      <w:rFonts w:hint="eastAsia" w:ascii="宋体" w:hAnsi="宋体" w:cs="宋体"/>
                                      <w:w w:val="99"/>
                                      <w:sz w:val="20"/>
                                      <w:szCs w:val="20"/>
                                      <w:lang w:eastAsia="zh-CN"/>
                                    </w:rPr>
                                    <w:t>用</w:t>
                                  </w:r>
                                  <w:r>
                                    <w:rPr>
                                      <w:rFonts w:hint="eastAsia" w:ascii="宋体" w:hAnsi="宋体" w:cs="宋体"/>
                                      <w:spacing w:val="1"/>
                                      <w:w w:val="99"/>
                                      <w:sz w:val="20"/>
                                      <w:szCs w:val="20"/>
                                      <w:lang w:eastAsia="zh-CN"/>
                                    </w:rPr>
                                    <w:t>LE</w:t>
                                  </w:r>
                                  <w:r>
                                    <w:rPr>
                                      <w:rFonts w:hint="eastAsia" w:ascii="宋体" w:hAnsi="宋体" w:cs="宋体"/>
                                      <w:w w:val="99"/>
                                      <w:sz w:val="20"/>
                                      <w:szCs w:val="20"/>
                                      <w:lang w:eastAsia="zh-CN"/>
                                    </w:rPr>
                                    <w:t>D</w:t>
                                  </w:r>
                                  <w:r>
                                    <w:rPr>
                                      <w:rFonts w:hint="eastAsia" w:ascii="宋体" w:hAnsi="宋体" w:cs="宋体"/>
                                      <w:spacing w:val="4"/>
                                      <w:w w:val="99"/>
                                      <w:sz w:val="20"/>
                                      <w:szCs w:val="20"/>
                                      <w:lang w:eastAsia="zh-CN"/>
                                    </w:rPr>
                                    <w:t>产</w:t>
                                  </w:r>
                                  <w:r>
                                    <w:rPr>
                                      <w:rFonts w:hint="eastAsia" w:ascii="宋体" w:hAnsi="宋体" w:cs="宋体"/>
                                      <w:spacing w:val="2"/>
                                      <w:w w:val="99"/>
                                      <w:sz w:val="20"/>
                                      <w:szCs w:val="20"/>
                                      <w:lang w:eastAsia="zh-CN"/>
                                    </w:rPr>
                                    <w:t>品</w:t>
                                  </w:r>
                                  <w:r>
                                    <w:rPr>
                                      <w:rFonts w:hint="eastAsia" w:ascii="宋体" w:hAnsi="宋体" w:cs="宋体"/>
                                      <w:spacing w:val="4"/>
                                      <w:w w:val="99"/>
                                      <w:sz w:val="20"/>
                                      <w:szCs w:val="20"/>
                                      <w:lang w:eastAsia="zh-CN"/>
                                    </w:rPr>
                                    <w:t>能效</w:t>
                                  </w:r>
                                  <w:r>
                                    <w:rPr>
                                      <w:rFonts w:hint="eastAsia" w:ascii="宋体" w:hAnsi="宋体" w:cs="宋体"/>
                                      <w:spacing w:val="2"/>
                                      <w:w w:val="99"/>
                                      <w:sz w:val="20"/>
                                      <w:szCs w:val="20"/>
                                      <w:lang w:eastAsia="zh-CN"/>
                                    </w:rPr>
                                    <w:t>限</w:t>
                                  </w:r>
                                  <w:r>
                                    <w:rPr>
                                      <w:rFonts w:hint="eastAsia" w:ascii="宋体" w:hAnsi="宋体" w:cs="宋体"/>
                                      <w:w w:val="99"/>
                                      <w:sz w:val="20"/>
                                      <w:szCs w:val="20"/>
                                      <w:lang w:eastAsia="zh-CN"/>
                                    </w:rPr>
                                    <w:t>定值及能</w:t>
                                  </w:r>
                                  <w:r>
                                    <w:rPr>
                                      <w:rFonts w:hint="eastAsia" w:ascii="宋体" w:hAnsi="宋体" w:cs="宋体"/>
                                      <w:spacing w:val="2"/>
                                      <w:w w:val="99"/>
                                      <w:sz w:val="20"/>
                                      <w:szCs w:val="20"/>
                                      <w:lang w:eastAsia="zh-CN"/>
                                    </w:rPr>
                                    <w:t>效</w:t>
                                  </w:r>
                                  <w:r>
                                    <w:rPr>
                                      <w:rFonts w:hint="eastAsia" w:ascii="宋体" w:hAnsi="宋体" w:cs="宋体"/>
                                      <w:w w:val="99"/>
                                      <w:sz w:val="20"/>
                                      <w:szCs w:val="20"/>
                                      <w:lang w:eastAsia="zh-CN"/>
                                    </w:rPr>
                                    <w:t>等级</w:t>
                                  </w:r>
                                  <w:r>
                                    <w:rPr>
                                      <w:rFonts w:hint="eastAsia" w:ascii="宋体" w:hAnsi="宋体" w:cs="宋体"/>
                                      <w:spacing w:val="2"/>
                                      <w:w w:val="99"/>
                                      <w:sz w:val="20"/>
                                      <w:szCs w:val="20"/>
                                      <w:lang w:eastAsia="zh-CN"/>
                                    </w:rPr>
                                    <w:t>》</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30</w:t>
                                  </w:r>
                                  <w:r>
                                    <w:rPr>
                                      <w:rFonts w:hint="eastAsia" w:ascii="宋体" w:hAnsi="宋体" w:cs="宋体"/>
                                      <w:w w:val="99"/>
                                      <w:sz w:val="20"/>
                                      <w:szCs w:val="20"/>
                                      <w:lang w:eastAsia="zh-CN"/>
                                    </w:rPr>
                                    <w:t>25</w:t>
                                  </w:r>
                                  <w:r>
                                    <w:rPr>
                                      <w:rFonts w:hint="eastAsia" w:ascii="宋体" w:hAnsi="宋体" w:cs="宋体"/>
                                      <w:spacing w:val="-2"/>
                                      <w:w w:val="99"/>
                                      <w:sz w:val="20"/>
                                      <w:szCs w:val="20"/>
                                      <w:lang w:eastAsia="zh-CN"/>
                                    </w:rPr>
                                    <w:t>5</w:t>
                                  </w:r>
                                  <w:r>
                                    <w:rPr>
                                      <w:rFonts w:hint="eastAsia" w:ascii="宋体" w:hAnsi="宋体" w:cs="宋体"/>
                                      <w:w w:val="99"/>
                                      <w:sz w:val="20"/>
                                      <w:szCs w:val="20"/>
                                      <w:lang w:eastAsia="zh-CN"/>
                                    </w:rPr>
                                    <w:t>）</w:t>
                                  </w:r>
                                </w:p>
                              </w:tc>
                            </w:tr>
                            <w:tr w14:paraId="260CB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02" w:hRule="exact"/>
                              </w:trPr>
                              <w:tc>
                                <w:tcPr>
                                  <w:tcW w:w="585" w:type="dxa"/>
                                  <w:tcBorders>
                                    <w:top w:val="single" w:color="auto" w:sz="4" w:space="0"/>
                                    <w:left w:val="single" w:color="auto" w:sz="4" w:space="0"/>
                                    <w:bottom w:val="single" w:color="auto" w:sz="4" w:space="0"/>
                                    <w:right w:val="single" w:color="auto" w:sz="4" w:space="0"/>
                                  </w:tcBorders>
                                  <w:noWrap w:val="0"/>
                                  <w:vAlign w:val="top"/>
                                </w:tcPr>
                                <w:p w14:paraId="4EDB51BB">
                                  <w:pPr>
                                    <w:pStyle w:val="56"/>
                                    <w:spacing w:before="1"/>
                                    <w:rPr>
                                      <w:rFonts w:ascii="宋体" w:hAnsi="宋体" w:cs="宋体"/>
                                      <w:sz w:val="18"/>
                                      <w:szCs w:val="18"/>
                                      <w:lang w:eastAsia="zh-CN"/>
                                    </w:rPr>
                                  </w:pPr>
                                </w:p>
                                <w:p w14:paraId="16489AF7">
                                  <w:pPr>
                                    <w:pStyle w:val="56"/>
                                    <w:ind w:left="182"/>
                                    <w:rPr>
                                      <w:rFonts w:ascii="宋体" w:hAnsi="宋体" w:cs="宋体"/>
                                      <w:sz w:val="20"/>
                                      <w:szCs w:val="20"/>
                                    </w:rPr>
                                  </w:pPr>
                                  <w:r>
                                    <w:rPr>
                                      <w:rFonts w:hint="eastAsia" w:ascii="宋体"/>
                                      <w:spacing w:val="1"/>
                                      <w:w w:val="99"/>
                                      <w:sz w:val="20"/>
                                    </w:rPr>
                                    <w:t>1</w:t>
                                  </w:r>
                                  <w:r>
                                    <w:rPr>
                                      <w:rFonts w:hint="eastAsia" w:ascii="宋体"/>
                                      <w:w w:val="99"/>
                                      <w:sz w:val="20"/>
                                    </w:rPr>
                                    <w:t>2</w:t>
                                  </w:r>
                                </w:p>
                              </w:tc>
                              <w:tc>
                                <w:tcPr>
                                  <w:tcW w:w="1305" w:type="dxa"/>
                                  <w:tcBorders>
                                    <w:top w:val="single" w:color="auto" w:sz="4" w:space="0"/>
                                    <w:left w:val="single" w:color="auto" w:sz="4" w:space="0"/>
                                    <w:bottom w:val="single" w:color="auto" w:sz="4" w:space="0"/>
                                    <w:right w:val="single" w:color="auto" w:sz="4" w:space="0"/>
                                  </w:tcBorders>
                                  <w:noWrap w:val="0"/>
                                  <w:vAlign w:val="top"/>
                                </w:tcPr>
                                <w:p w14:paraId="23447054">
                                  <w:pPr>
                                    <w:pStyle w:val="56"/>
                                    <w:spacing w:before="81"/>
                                    <w:ind w:left="7"/>
                                    <w:rPr>
                                      <w:rFonts w:ascii="宋体" w:hAnsi="宋体" w:cs="宋体"/>
                                      <w:sz w:val="20"/>
                                      <w:szCs w:val="20"/>
                                    </w:rPr>
                                  </w:pPr>
                                  <w:r>
                                    <w:rPr>
                                      <w:rFonts w:hint="eastAsia" w:ascii="宋体" w:hAnsi="宋体" w:cs="宋体"/>
                                      <w:w w:val="99"/>
                                      <w:sz w:val="20"/>
                                      <w:szCs w:val="20"/>
                                    </w:rPr>
                                    <w:t>★</w:t>
                                  </w:r>
                                  <w:r>
                                    <w:rPr>
                                      <w:rFonts w:hint="eastAsia" w:ascii="宋体" w:hAnsi="宋体" w:cs="宋体"/>
                                      <w:spacing w:val="1"/>
                                      <w:w w:val="99"/>
                                      <w:sz w:val="20"/>
                                      <w:szCs w:val="20"/>
                                    </w:rPr>
                                    <w:t>A020</w:t>
                                  </w:r>
                                  <w:r>
                                    <w:rPr>
                                      <w:rFonts w:hint="eastAsia" w:ascii="宋体" w:hAnsi="宋体" w:cs="宋体"/>
                                      <w:w w:val="99"/>
                                      <w:sz w:val="20"/>
                                      <w:szCs w:val="20"/>
                                    </w:rPr>
                                    <w:t>910电</w:t>
                                  </w:r>
                                </w:p>
                                <w:p w14:paraId="64DB277B">
                                  <w:pPr>
                                    <w:pStyle w:val="56"/>
                                    <w:spacing w:before="50"/>
                                    <w:ind w:left="7"/>
                                    <w:rPr>
                                      <w:rFonts w:ascii="宋体" w:hAnsi="宋体" w:cs="宋体"/>
                                      <w:sz w:val="20"/>
                                      <w:szCs w:val="20"/>
                                    </w:rPr>
                                  </w:pPr>
                                  <w:r>
                                    <w:rPr>
                                      <w:rFonts w:hint="eastAsia" w:ascii="宋体" w:hAnsi="宋体" w:cs="宋体"/>
                                      <w:w w:val="99"/>
                                      <w:sz w:val="20"/>
                                      <w:szCs w:val="20"/>
                                    </w:rPr>
                                    <w:t>视设备</w:t>
                                  </w:r>
                                </w:p>
                              </w:tc>
                              <w:tc>
                                <w:tcPr>
                                  <w:tcW w:w="1665" w:type="dxa"/>
                                  <w:tcBorders>
                                    <w:top w:val="single" w:color="auto" w:sz="4" w:space="0"/>
                                    <w:left w:val="single" w:color="auto" w:sz="4" w:space="0"/>
                                    <w:bottom w:val="single" w:color="auto" w:sz="4" w:space="0"/>
                                    <w:right w:val="single" w:color="auto" w:sz="4" w:space="0"/>
                                  </w:tcBorders>
                                  <w:noWrap w:val="0"/>
                                  <w:vAlign w:val="top"/>
                                </w:tcPr>
                                <w:p w14:paraId="125D298D">
                                  <w:pPr>
                                    <w:pStyle w:val="56"/>
                                    <w:spacing w:before="81" w:line="280" w:lineRule="auto"/>
                                    <w:ind w:left="7" w:right="5"/>
                                    <w:rPr>
                                      <w:rFonts w:ascii="宋体" w:hAnsi="宋体" w:cs="宋体"/>
                                      <w:sz w:val="20"/>
                                      <w:szCs w:val="20"/>
                                      <w:lang w:eastAsia="zh-CN"/>
                                    </w:rPr>
                                  </w:pPr>
                                  <w:r>
                                    <w:rPr>
                                      <w:rFonts w:hint="eastAsia" w:ascii="宋体" w:hAnsi="宋体" w:cs="宋体"/>
                                      <w:spacing w:val="1"/>
                                      <w:w w:val="99"/>
                                      <w:sz w:val="20"/>
                                      <w:szCs w:val="20"/>
                                      <w:lang w:eastAsia="zh-CN"/>
                                    </w:rPr>
                                    <w:t>A02</w:t>
                                  </w:r>
                                  <w:r>
                                    <w:rPr>
                                      <w:rFonts w:hint="eastAsia" w:ascii="宋体" w:hAnsi="宋体" w:cs="宋体"/>
                                      <w:w w:val="99"/>
                                      <w:sz w:val="20"/>
                                      <w:szCs w:val="20"/>
                                      <w:lang w:eastAsia="zh-CN"/>
                                    </w:rPr>
                                    <w:t>09</w:t>
                                  </w:r>
                                  <w:r>
                                    <w:rPr>
                                      <w:rFonts w:hint="eastAsia" w:ascii="宋体" w:hAnsi="宋体" w:cs="宋体"/>
                                      <w:spacing w:val="1"/>
                                      <w:w w:val="99"/>
                                      <w:sz w:val="20"/>
                                      <w:szCs w:val="20"/>
                                      <w:lang w:eastAsia="zh-CN"/>
                                    </w:rPr>
                                    <w:t>1</w:t>
                                  </w:r>
                                  <w:r>
                                    <w:rPr>
                                      <w:rFonts w:hint="eastAsia" w:ascii="宋体" w:hAnsi="宋体" w:cs="宋体"/>
                                      <w:w w:val="99"/>
                                      <w:sz w:val="20"/>
                                      <w:szCs w:val="20"/>
                                      <w:lang w:eastAsia="zh-CN"/>
                                    </w:rPr>
                                    <w:t>001普通电视设备（</w:t>
                                  </w:r>
                                  <w:r>
                                    <w:rPr>
                                      <w:rFonts w:hint="eastAsia" w:ascii="宋体" w:hAnsi="宋体" w:cs="宋体"/>
                                      <w:spacing w:val="2"/>
                                      <w:w w:val="99"/>
                                      <w:sz w:val="20"/>
                                      <w:szCs w:val="20"/>
                                      <w:lang w:eastAsia="zh-CN"/>
                                    </w:rPr>
                                    <w:t>电</w:t>
                                  </w:r>
                                  <w:r>
                                    <w:rPr>
                                      <w:rFonts w:hint="eastAsia" w:ascii="宋体" w:hAnsi="宋体" w:cs="宋体"/>
                                      <w:w w:val="99"/>
                                      <w:sz w:val="20"/>
                                      <w:szCs w:val="20"/>
                                      <w:lang w:eastAsia="zh-CN"/>
                                    </w:rPr>
                                    <w:t>视机）</w:t>
                                  </w:r>
                                </w:p>
                              </w:tc>
                              <w:tc>
                                <w:tcPr>
                                  <w:tcW w:w="1770" w:type="dxa"/>
                                  <w:tcBorders>
                                    <w:top w:val="single" w:color="auto" w:sz="4" w:space="0"/>
                                    <w:left w:val="single" w:color="auto" w:sz="4" w:space="0"/>
                                    <w:bottom w:val="single" w:color="auto" w:sz="4" w:space="0"/>
                                    <w:right w:val="single" w:color="auto" w:sz="4" w:space="0"/>
                                  </w:tcBorders>
                                  <w:noWrap w:val="0"/>
                                  <w:vAlign w:val="top"/>
                                </w:tcPr>
                                <w:p w14:paraId="49F6411D">
                                  <w:pPr>
                                    <w:rPr>
                                      <w:rFonts w:ascii="Calibri" w:hAnsi="Calibri"/>
                                      <w:sz w:val="22"/>
                                      <w:szCs w:val="22"/>
                                    </w:rPr>
                                  </w:pPr>
                                </w:p>
                              </w:tc>
                              <w:tc>
                                <w:tcPr>
                                  <w:tcW w:w="3765" w:type="dxa"/>
                                  <w:tcBorders>
                                    <w:top w:val="single" w:color="auto" w:sz="4" w:space="0"/>
                                    <w:left w:val="single" w:color="auto" w:sz="4" w:space="0"/>
                                    <w:bottom w:val="single" w:color="auto" w:sz="4" w:space="0"/>
                                    <w:right w:val="single" w:color="auto" w:sz="4" w:space="0"/>
                                  </w:tcBorders>
                                  <w:noWrap w:val="0"/>
                                  <w:vAlign w:val="top"/>
                                </w:tcPr>
                                <w:p w14:paraId="3468C4A9">
                                  <w:pPr>
                                    <w:pStyle w:val="56"/>
                                    <w:spacing w:before="81" w:line="280" w:lineRule="auto"/>
                                    <w:ind w:left="7" w:right="4"/>
                                    <w:rPr>
                                      <w:rFonts w:ascii="宋体" w:hAnsi="宋体" w:cs="宋体"/>
                                      <w:sz w:val="20"/>
                                      <w:szCs w:val="20"/>
                                      <w:lang w:eastAsia="zh-CN"/>
                                    </w:rPr>
                                  </w:pPr>
                                  <w:r>
                                    <w:rPr>
                                      <w:rFonts w:hint="eastAsia" w:ascii="宋体" w:hAnsi="宋体" w:cs="宋体"/>
                                      <w:spacing w:val="12"/>
                                      <w:w w:val="99"/>
                                      <w:sz w:val="20"/>
                                      <w:szCs w:val="20"/>
                                      <w:lang w:eastAsia="zh-CN"/>
                                    </w:rPr>
                                    <w:t>《平板电视能效限定值</w:t>
                                  </w:r>
                                  <w:r>
                                    <w:rPr>
                                      <w:rFonts w:hint="eastAsia" w:ascii="宋体" w:hAnsi="宋体" w:cs="宋体"/>
                                      <w:spacing w:val="9"/>
                                      <w:w w:val="99"/>
                                      <w:sz w:val="20"/>
                                      <w:szCs w:val="20"/>
                                      <w:lang w:eastAsia="zh-CN"/>
                                    </w:rPr>
                                    <w:t>及</w:t>
                                  </w:r>
                                  <w:r>
                                    <w:rPr>
                                      <w:rFonts w:hint="eastAsia" w:ascii="宋体" w:hAnsi="宋体" w:cs="宋体"/>
                                      <w:spacing w:val="12"/>
                                      <w:w w:val="99"/>
                                      <w:sz w:val="20"/>
                                      <w:szCs w:val="20"/>
                                      <w:lang w:eastAsia="zh-CN"/>
                                    </w:rPr>
                                    <w:t>能效</w:t>
                                  </w:r>
                                  <w:r>
                                    <w:rPr>
                                      <w:rFonts w:hint="eastAsia" w:ascii="宋体" w:hAnsi="宋体" w:cs="宋体"/>
                                      <w:w w:val="99"/>
                                      <w:sz w:val="20"/>
                                      <w:szCs w:val="20"/>
                                      <w:lang w:eastAsia="zh-CN"/>
                                    </w:rPr>
                                    <w:t>等级》（</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248</w:t>
                                  </w:r>
                                  <w:r>
                                    <w:rPr>
                                      <w:rFonts w:hint="eastAsia" w:ascii="宋体" w:hAnsi="宋体" w:cs="宋体"/>
                                      <w:w w:val="99"/>
                                      <w:sz w:val="20"/>
                                      <w:szCs w:val="20"/>
                                      <w:lang w:eastAsia="zh-CN"/>
                                    </w:rPr>
                                    <w:t>50）</w:t>
                                  </w:r>
                                </w:p>
                              </w:tc>
                            </w:tr>
                            <w:tr w14:paraId="4FFE0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42" w:hRule="exact"/>
                              </w:trPr>
                              <w:tc>
                                <w:tcPr>
                                  <w:tcW w:w="585" w:type="dxa"/>
                                  <w:tcBorders>
                                    <w:top w:val="single" w:color="auto" w:sz="4" w:space="0"/>
                                    <w:left w:val="single" w:color="auto" w:sz="4" w:space="0"/>
                                    <w:bottom w:val="single" w:color="auto" w:sz="4" w:space="0"/>
                                    <w:right w:val="single" w:color="auto" w:sz="4" w:space="0"/>
                                  </w:tcBorders>
                                  <w:noWrap w:val="0"/>
                                  <w:vAlign w:val="top"/>
                                </w:tcPr>
                                <w:p w14:paraId="1B11292D">
                                  <w:pPr>
                                    <w:pStyle w:val="56"/>
                                    <w:rPr>
                                      <w:rFonts w:ascii="宋体" w:hAnsi="宋体" w:cs="宋体"/>
                                      <w:sz w:val="20"/>
                                      <w:szCs w:val="20"/>
                                      <w:lang w:eastAsia="zh-CN"/>
                                    </w:rPr>
                                  </w:pPr>
                                </w:p>
                                <w:p w14:paraId="73B93119">
                                  <w:pPr>
                                    <w:pStyle w:val="56"/>
                                    <w:rPr>
                                      <w:rFonts w:hint="eastAsia" w:ascii="宋体" w:hAnsi="宋体" w:cs="宋体"/>
                                      <w:sz w:val="20"/>
                                      <w:szCs w:val="20"/>
                                      <w:lang w:eastAsia="zh-CN"/>
                                    </w:rPr>
                                  </w:pPr>
                                </w:p>
                                <w:p w14:paraId="1596AC53">
                                  <w:pPr>
                                    <w:pStyle w:val="56"/>
                                    <w:spacing w:before="10"/>
                                    <w:rPr>
                                      <w:rFonts w:hint="eastAsia" w:ascii="宋体" w:hAnsi="宋体" w:cs="宋体"/>
                                      <w:sz w:val="21"/>
                                      <w:szCs w:val="21"/>
                                      <w:lang w:eastAsia="zh-CN"/>
                                    </w:rPr>
                                  </w:pPr>
                                </w:p>
                                <w:p w14:paraId="3BAA6266">
                                  <w:pPr>
                                    <w:pStyle w:val="56"/>
                                    <w:ind w:left="182"/>
                                    <w:rPr>
                                      <w:rFonts w:ascii="宋体" w:hAnsi="宋体" w:cs="宋体"/>
                                      <w:sz w:val="20"/>
                                      <w:szCs w:val="20"/>
                                    </w:rPr>
                                  </w:pPr>
                                  <w:r>
                                    <w:rPr>
                                      <w:rFonts w:hint="eastAsia" w:ascii="宋体"/>
                                      <w:spacing w:val="1"/>
                                      <w:w w:val="99"/>
                                      <w:sz w:val="20"/>
                                    </w:rPr>
                                    <w:t>1</w:t>
                                  </w:r>
                                  <w:r>
                                    <w:rPr>
                                      <w:rFonts w:hint="eastAsia" w:ascii="宋体"/>
                                      <w:w w:val="99"/>
                                      <w:sz w:val="20"/>
                                    </w:rPr>
                                    <w:t>3</w:t>
                                  </w:r>
                                </w:p>
                              </w:tc>
                              <w:tc>
                                <w:tcPr>
                                  <w:tcW w:w="1305" w:type="dxa"/>
                                  <w:tcBorders>
                                    <w:top w:val="single" w:color="auto" w:sz="4" w:space="0"/>
                                    <w:left w:val="single" w:color="auto" w:sz="4" w:space="0"/>
                                    <w:bottom w:val="single" w:color="auto" w:sz="4" w:space="0"/>
                                    <w:right w:val="single" w:color="auto" w:sz="4" w:space="0"/>
                                  </w:tcBorders>
                                  <w:noWrap w:val="0"/>
                                  <w:vAlign w:val="top"/>
                                </w:tcPr>
                                <w:p w14:paraId="22C2FF3B">
                                  <w:pPr>
                                    <w:pStyle w:val="56"/>
                                    <w:rPr>
                                      <w:rFonts w:ascii="宋体" w:hAnsi="宋体" w:cs="宋体"/>
                                      <w:sz w:val="20"/>
                                      <w:szCs w:val="20"/>
                                    </w:rPr>
                                  </w:pPr>
                                </w:p>
                                <w:p w14:paraId="06366B83">
                                  <w:pPr>
                                    <w:pStyle w:val="56"/>
                                    <w:spacing w:before="11"/>
                                    <w:rPr>
                                      <w:rFonts w:hint="eastAsia" w:ascii="宋体" w:hAnsi="宋体" w:cs="宋体"/>
                                      <w:sz w:val="29"/>
                                      <w:szCs w:val="29"/>
                                    </w:rPr>
                                  </w:pPr>
                                </w:p>
                                <w:p w14:paraId="4D463994">
                                  <w:pPr>
                                    <w:pStyle w:val="56"/>
                                    <w:ind w:left="7"/>
                                    <w:rPr>
                                      <w:rFonts w:hint="eastAsia" w:ascii="宋体" w:hAnsi="宋体" w:cs="宋体"/>
                                      <w:sz w:val="20"/>
                                      <w:szCs w:val="20"/>
                                    </w:rPr>
                                  </w:pPr>
                                  <w:r>
                                    <w:rPr>
                                      <w:rFonts w:hint="eastAsia" w:ascii="宋体" w:hAnsi="宋体" w:cs="宋体"/>
                                      <w:w w:val="99"/>
                                      <w:sz w:val="20"/>
                                      <w:szCs w:val="20"/>
                                    </w:rPr>
                                    <w:t>★</w:t>
                                  </w:r>
                                  <w:r>
                                    <w:rPr>
                                      <w:rFonts w:hint="eastAsia" w:ascii="宋体" w:hAnsi="宋体" w:cs="宋体"/>
                                      <w:spacing w:val="1"/>
                                      <w:w w:val="99"/>
                                      <w:sz w:val="20"/>
                                      <w:szCs w:val="20"/>
                                    </w:rPr>
                                    <w:t>A020</w:t>
                                  </w:r>
                                  <w:r>
                                    <w:rPr>
                                      <w:rFonts w:hint="eastAsia" w:ascii="宋体" w:hAnsi="宋体" w:cs="宋体"/>
                                      <w:w w:val="99"/>
                                      <w:sz w:val="20"/>
                                      <w:szCs w:val="20"/>
                                    </w:rPr>
                                    <w:t>911视</w:t>
                                  </w:r>
                                </w:p>
                                <w:p w14:paraId="73410674">
                                  <w:pPr>
                                    <w:pStyle w:val="56"/>
                                    <w:spacing w:before="50"/>
                                    <w:ind w:left="7"/>
                                    <w:rPr>
                                      <w:rFonts w:ascii="宋体" w:hAnsi="宋体" w:cs="宋体"/>
                                      <w:sz w:val="20"/>
                                      <w:szCs w:val="20"/>
                                    </w:rPr>
                                  </w:pPr>
                                  <w:r>
                                    <w:rPr>
                                      <w:rFonts w:hint="eastAsia" w:ascii="宋体" w:hAnsi="宋体" w:cs="宋体"/>
                                      <w:w w:val="99"/>
                                      <w:sz w:val="20"/>
                                      <w:szCs w:val="20"/>
                                    </w:rPr>
                                    <w:t>频设备</w:t>
                                  </w:r>
                                </w:p>
                              </w:tc>
                              <w:tc>
                                <w:tcPr>
                                  <w:tcW w:w="1665" w:type="dxa"/>
                                  <w:tcBorders>
                                    <w:top w:val="single" w:color="auto" w:sz="4" w:space="0"/>
                                    <w:left w:val="single" w:color="auto" w:sz="4" w:space="0"/>
                                    <w:bottom w:val="single" w:color="auto" w:sz="4" w:space="0"/>
                                    <w:right w:val="single" w:color="auto" w:sz="4" w:space="0"/>
                                  </w:tcBorders>
                                  <w:noWrap w:val="0"/>
                                  <w:vAlign w:val="top"/>
                                </w:tcPr>
                                <w:p w14:paraId="476BBACC">
                                  <w:pPr>
                                    <w:pStyle w:val="56"/>
                                    <w:rPr>
                                      <w:rFonts w:ascii="宋体" w:hAnsi="宋体" w:cs="宋体"/>
                                      <w:sz w:val="20"/>
                                      <w:szCs w:val="20"/>
                                    </w:rPr>
                                  </w:pPr>
                                </w:p>
                                <w:p w14:paraId="15A15C50">
                                  <w:pPr>
                                    <w:pStyle w:val="56"/>
                                    <w:spacing w:before="11"/>
                                    <w:rPr>
                                      <w:rFonts w:hint="eastAsia" w:ascii="宋体" w:hAnsi="宋体" w:cs="宋体"/>
                                      <w:sz w:val="29"/>
                                      <w:szCs w:val="29"/>
                                    </w:rPr>
                                  </w:pPr>
                                </w:p>
                                <w:p w14:paraId="21AA8F41">
                                  <w:pPr>
                                    <w:pStyle w:val="56"/>
                                    <w:spacing w:line="280" w:lineRule="auto"/>
                                    <w:ind w:left="7" w:right="5"/>
                                    <w:rPr>
                                      <w:rFonts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09</w:t>
                                  </w:r>
                                  <w:r>
                                    <w:rPr>
                                      <w:rFonts w:hint="eastAsia" w:ascii="宋体" w:hAnsi="宋体" w:cs="宋体"/>
                                      <w:spacing w:val="1"/>
                                      <w:w w:val="99"/>
                                      <w:sz w:val="20"/>
                                      <w:szCs w:val="20"/>
                                    </w:rPr>
                                    <w:t>1</w:t>
                                  </w:r>
                                  <w:r>
                                    <w:rPr>
                                      <w:rFonts w:hint="eastAsia" w:ascii="宋体" w:hAnsi="宋体" w:cs="宋体"/>
                                      <w:w w:val="99"/>
                                      <w:sz w:val="20"/>
                                      <w:szCs w:val="20"/>
                                    </w:rPr>
                                    <w:t>107视频监控设备</w:t>
                                  </w:r>
                                </w:p>
                              </w:tc>
                              <w:tc>
                                <w:tcPr>
                                  <w:tcW w:w="1770" w:type="dxa"/>
                                  <w:tcBorders>
                                    <w:top w:val="single" w:color="auto" w:sz="4" w:space="0"/>
                                    <w:left w:val="single" w:color="auto" w:sz="4" w:space="0"/>
                                    <w:bottom w:val="single" w:color="auto" w:sz="4" w:space="0"/>
                                    <w:right w:val="single" w:color="auto" w:sz="4" w:space="0"/>
                                  </w:tcBorders>
                                  <w:noWrap w:val="0"/>
                                  <w:vAlign w:val="top"/>
                                </w:tcPr>
                                <w:p w14:paraId="7BB59260">
                                  <w:pPr>
                                    <w:pStyle w:val="56"/>
                                    <w:rPr>
                                      <w:rFonts w:ascii="宋体" w:hAnsi="宋体" w:cs="宋体"/>
                                      <w:sz w:val="20"/>
                                      <w:szCs w:val="20"/>
                                    </w:rPr>
                                  </w:pPr>
                                </w:p>
                                <w:p w14:paraId="5F7DAC89">
                                  <w:pPr>
                                    <w:pStyle w:val="56"/>
                                    <w:rPr>
                                      <w:rFonts w:hint="eastAsia" w:ascii="宋体" w:hAnsi="宋体" w:cs="宋体"/>
                                      <w:sz w:val="20"/>
                                      <w:szCs w:val="20"/>
                                    </w:rPr>
                                  </w:pPr>
                                </w:p>
                                <w:p w14:paraId="480BB365">
                                  <w:pPr>
                                    <w:pStyle w:val="56"/>
                                    <w:spacing w:before="10"/>
                                    <w:rPr>
                                      <w:rFonts w:hint="eastAsia" w:ascii="宋体" w:hAnsi="宋体" w:cs="宋体"/>
                                      <w:sz w:val="21"/>
                                      <w:szCs w:val="21"/>
                                    </w:rPr>
                                  </w:pPr>
                                </w:p>
                                <w:p w14:paraId="7096E4FB">
                                  <w:pPr>
                                    <w:pStyle w:val="56"/>
                                    <w:ind w:left="7"/>
                                    <w:rPr>
                                      <w:rFonts w:ascii="宋体" w:hAnsi="宋体" w:cs="宋体"/>
                                      <w:sz w:val="20"/>
                                      <w:szCs w:val="20"/>
                                    </w:rPr>
                                  </w:pPr>
                                  <w:r>
                                    <w:rPr>
                                      <w:rFonts w:hint="eastAsia" w:ascii="宋体" w:hAnsi="宋体" w:cs="宋体"/>
                                      <w:w w:val="99"/>
                                      <w:sz w:val="20"/>
                                      <w:szCs w:val="20"/>
                                    </w:rPr>
                                    <w:t>监视器</w:t>
                                  </w:r>
                                </w:p>
                              </w:tc>
                              <w:tc>
                                <w:tcPr>
                                  <w:tcW w:w="3765" w:type="dxa"/>
                                  <w:tcBorders>
                                    <w:top w:val="single" w:color="auto" w:sz="4" w:space="0"/>
                                    <w:left w:val="single" w:color="auto" w:sz="4" w:space="0"/>
                                    <w:bottom w:val="single" w:color="auto" w:sz="4" w:space="0"/>
                                    <w:right w:val="single" w:color="auto" w:sz="4" w:space="0"/>
                                  </w:tcBorders>
                                  <w:noWrap w:val="0"/>
                                  <w:vAlign w:val="top"/>
                                </w:tcPr>
                                <w:p w14:paraId="0C8A0BD8">
                                  <w:pPr>
                                    <w:pStyle w:val="56"/>
                                    <w:spacing w:before="28" w:line="280" w:lineRule="auto"/>
                                    <w:ind w:left="7" w:right="5"/>
                                    <w:rPr>
                                      <w:rFonts w:ascii="宋体" w:hAnsi="宋体" w:cs="宋体"/>
                                      <w:sz w:val="20"/>
                                      <w:szCs w:val="20"/>
                                      <w:lang w:eastAsia="zh-CN"/>
                                    </w:rPr>
                                  </w:pPr>
                                  <w:r>
                                    <w:rPr>
                                      <w:rFonts w:hint="eastAsia" w:ascii="宋体" w:hAnsi="宋体" w:cs="宋体"/>
                                      <w:spacing w:val="12"/>
                                      <w:w w:val="99"/>
                                      <w:sz w:val="20"/>
                                      <w:szCs w:val="20"/>
                                      <w:lang w:eastAsia="zh-CN"/>
                                    </w:rPr>
                                    <w:t>以射频信号为主要信号</w:t>
                                  </w:r>
                                  <w:r>
                                    <w:rPr>
                                      <w:rFonts w:hint="eastAsia" w:ascii="宋体" w:hAnsi="宋体" w:cs="宋体"/>
                                      <w:spacing w:val="9"/>
                                      <w:w w:val="99"/>
                                      <w:sz w:val="20"/>
                                      <w:szCs w:val="20"/>
                                      <w:lang w:eastAsia="zh-CN"/>
                                    </w:rPr>
                                    <w:t>输</w:t>
                                  </w:r>
                                  <w:r>
                                    <w:rPr>
                                      <w:rFonts w:hint="eastAsia" w:ascii="宋体" w:hAnsi="宋体" w:cs="宋体"/>
                                      <w:spacing w:val="12"/>
                                      <w:w w:val="99"/>
                                      <w:sz w:val="20"/>
                                      <w:szCs w:val="20"/>
                                      <w:lang w:eastAsia="zh-CN"/>
                                    </w:rPr>
                                    <w:t>入的</w:t>
                                  </w:r>
                                  <w:r>
                                    <w:rPr>
                                      <w:rFonts w:hint="eastAsia" w:ascii="宋体" w:hAnsi="宋体" w:cs="宋体"/>
                                      <w:w w:val="99"/>
                                      <w:sz w:val="20"/>
                                      <w:szCs w:val="20"/>
                                      <w:lang w:eastAsia="zh-CN"/>
                                    </w:rPr>
                                    <w:t>监视器应</w:t>
                                  </w:r>
                                  <w:r>
                                    <w:rPr>
                                      <w:rFonts w:hint="eastAsia" w:ascii="宋体" w:hAnsi="宋体" w:cs="宋体"/>
                                      <w:spacing w:val="2"/>
                                      <w:w w:val="99"/>
                                      <w:sz w:val="20"/>
                                      <w:szCs w:val="20"/>
                                      <w:lang w:eastAsia="zh-CN"/>
                                    </w:rPr>
                                    <w:t>符</w:t>
                                  </w:r>
                                  <w:r>
                                    <w:rPr>
                                      <w:rFonts w:hint="eastAsia" w:ascii="宋体" w:hAnsi="宋体" w:cs="宋体"/>
                                      <w:spacing w:val="-58"/>
                                      <w:w w:val="99"/>
                                      <w:sz w:val="20"/>
                                      <w:szCs w:val="20"/>
                                      <w:lang w:eastAsia="zh-CN"/>
                                    </w:rPr>
                                    <w:t>合</w:t>
                                  </w:r>
                                  <w:r>
                                    <w:rPr>
                                      <w:rFonts w:hint="eastAsia" w:ascii="宋体" w:hAnsi="宋体" w:cs="宋体"/>
                                      <w:spacing w:val="2"/>
                                      <w:w w:val="99"/>
                                      <w:sz w:val="20"/>
                                      <w:szCs w:val="20"/>
                                      <w:lang w:eastAsia="zh-CN"/>
                                    </w:rPr>
                                    <w:t>《</w:t>
                                  </w:r>
                                  <w:r>
                                    <w:rPr>
                                      <w:rFonts w:hint="eastAsia" w:ascii="宋体" w:hAnsi="宋体" w:cs="宋体"/>
                                      <w:w w:val="99"/>
                                      <w:sz w:val="20"/>
                                      <w:szCs w:val="20"/>
                                      <w:lang w:eastAsia="zh-CN"/>
                                    </w:rPr>
                                    <w:t>平板</w:t>
                                  </w:r>
                                  <w:r>
                                    <w:rPr>
                                      <w:rFonts w:hint="eastAsia" w:ascii="宋体" w:hAnsi="宋体" w:cs="宋体"/>
                                      <w:spacing w:val="2"/>
                                      <w:w w:val="99"/>
                                      <w:sz w:val="20"/>
                                      <w:szCs w:val="20"/>
                                      <w:lang w:eastAsia="zh-CN"/>
                                    </w:rPr>
                                    <w:t>电</w:t>
                                  </w:r>
                                  <w:r>
                                    <w:rPr>
                                      <w:rFonts w:hint="eastAsia" w:ascii="宋体" w:hAnsi="宋体" w:cs="宋体"/>
                                      <w:w w:val="99"/>
                                      <w:sz w:val="20"/>
                                      <w:szCs w:val="20"/>
                                      <w:lang w:eastAsia="zh-CN"/>
                                    </w:rPr>
                                    <w:t>视能</w:t>
                                  </w:r>
                                  <w:r>
                                    <w:rPr>
                                      <w:rFonts w:hint="eastAsia" w:ascii="宋体" w:hAnsi="宋体" w:cs="宋体"/>
                                      <w:spacing w:val="2"/>
                                      <w:w w:val="99"/>
                                      <w:sz w:val="20"/>
                                      <w:szCs w:val="20"/>
                                      <w:lang w:eastAsia="zh-CN"/>
                                    </w:rPr>
                                    <w:t>效</w:t>
                                  </w:r>
                                  <w:r>
                                    <w:rPr>
                                      <w:rFonts w:hint="eastAsia" w:ascii="宋体" w:hAnsi="宋体" w:cs="宋体"/>
                                      <w:w w:val="99"/>
                                      <w:sz w:val="20"/>
                                      <w:szCs w:val="20"/>
                                      <w:lang w:eastAsia="zh-CN"/>
                                    </w:rPr>
                                    <w:t>限定值及能效</w:t>
                                  </w:r>
                                  <w:r>
                                    <w:rPr>
                                      <w:rFonts w:hint="eastAsia" w:ascii="宋体" w:hAnsi="宋体" w:cs="宋体"/>
                                      <w:spacing w:val="2"/>
                                      <w:w w:val="99"/>
                                      <w:sz w:val="20"/>
                                      <w:szCs w:val="20"/>
                                      <w:lang w:eastAsia="zh-CN"/>
                                    </w:rPr>
                                    <w:t>等</w:t>
                                  </w:r>
                                  <w:r>
                                    <w:rPr>
                                      <w:rFonts w:hint="eastAsia" w:ascii="宋体" w:hAnsi="宋体" w:cs="宋体"/>
                                      <w:w w:val="99"/>
                                      <w:sz w:val="20"/>
                                      <w:szCs w:val="20"/>
                                      <w:lang w:eastAsia="zh-CN"/>
                                    </w:rPr>
                                    <w:t>级》（</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24850</w:t>
                                  </w:r>
                                  <w:r>
                                    <w:rPr>
                                      <w:rFonts w:hint="eastAsia" w:ascii="宋体" w:hAnsi="宋体" w:cs="宋体"/>
                                      <w:spacing w:val="-3"/>
                                      <w:w w:val="99"/>
                                      <w:sz w:val="20"/>
                                      <w:szCs w:val="20"/>
                                      <w:lang w:eastAsia="zh-CN"/>
                                    </w:rPr>
                                    <w:t>）</w:t>
                                  </w:r>
                                  <w:r>
                                    <w:rPr>
                                      <w:rFonts w:hint="eastAsia" w:ascii="宋体" w:hAnsi="宋体" w:cs="宋体"/>
                                      <w:w w:val="99"/>
                                      <w:sz w:val="20"/>
                                      <w:szCs w:val="20"/>
                                      <w:lang w:eastAsia="zh-CN"/>
                                    </w:rPr>
                                    <w:t>，</w:t>
                                  </w:r>
                                  <w:r>
                                    <w:rPr>
                                      <w:rFonts w:hint="eastAsia" w:ascii="宋体" w:hAnsi="宋体" w:cs="宋体"/>
                                      <w:spacing w:val="12"/>
                                      <w:w w:val="99"/>
                                      <w:sz w:val="20"/>
                                      <w:szCs w:val="20"/>
                                      <w:lang w:eastAsia="zh-CN"/>
                                    </w:rPr>
                                    <w:t>以数字信号为主要信号</w:t>
                                  </w:r>
                                  <w:r>
                                    <w:rPr>
                                      <w:rFonts w:hint="eastAsia" w:ascii="宋体" w:hAnsi="宋体" w:cs="宋体"/>
                                      <w:spacing w:val="9"/>
                                      <w:w w:val="99"/>
                                      <w:sz w:val="20"/>
                                      <w:szCs w:val="20"/>
                                      <w:lang w:eastAsia="zh-CN"/>
                                    </w:rPr>
                                    <w:t>输</w:t>
                                  </w:r>
                                  <w:r>
                                    <w:rPr>
                                      <w:rFonts w:hint="eastAsia" w:ascii="宋体" w:hAnsi="宋体" w:cs="宋体"/>
                                      <w:spacing w:val="12"/>
                                      <w:w w:val="99"/>
                                      <w:sz w:val="20"/>
                                      <w:szCs w:val="20"/>
                                      <w:lang w:eastAsia="zh-CN"/>
                                    </w:rPr>
                                    <w:t>入的</w:t>
                                  </w:r>
                                  <w:r>
                                    <w:rPr>
                                      <w:rFonts w:hint="eastAsia" w:ascii="宋体" w:hAnsi="宋体" w:cs="宋体"/>
                                      <w:w w:val="99"/>
                                      <w:sz w:val="20"/>
                                      <w:szCs w:val="20"/>
                                      <w:lang w:eastAsia="zh-CN"/>
                                    </w:rPr>
                                    <w:t>监视器应</w:t>
                                  </w:r>
                                  <w:r>
                                    <w:rPr>
                                      <w:rFonts w:hint="eastAsia" w:ascii="宋体" w:hAnsi="宋体" w:cs="宋体"/>
                                      <w:spacing w:val="2"/>
                                      <w:w w:val="99"/>
                                      <w:sz w:val="20"/>
                                      <w:szCs w:val="20"/>
                                      <w:lang w:eastAsia="zh-CN"/>
                                    </w:rPr>
                                    <w:t>符</w:t>
                                  </w:r>
                                  <w:r>
                                    <w:rPr>
                                      <w:rFonts w:hint="eastAsia" w:ascii="宋体" w:hAnsi="宋体" w:cs="宋体"/>
                                      <w:spacing w:val="-58"/>
                                      <w:w w:val="99"/>
                                      <w:sz w:val="20"/>
                                      <w:szCs w:val="20"/>
                                      <w:lang w:eastAsia="zh-CN"/>
                                    </w:rPr>
                                    <w:t>合</w:t>
                                  </w:r>
                                  <w:r>
                                    <w:rPr>
                                      <w:rFonts w:hint="eastAsia" w:ascii="宋体" w:hAnsi="宋体" w:cs="宋体"/>
                                      <w:spacing w:val="2"/>
                                      <w:w w:val="99"/>
                                      <w:sz w:val="20"/>
                                      <w:szCs w:val="20"/>
                                      <w:lang w:eastAsia="zh-CN"/>
                                    </w:rPr>
                                    <w:t>《</w:t>
                                  </w:r>
                                  <w:r>
                                    <w:rPr>
                                      <w:rFonts w:hint="eastAsia" w:ascii="宋体" w:hAnsi="宋体" w:cs="宋体"/>
                                      <w:w w:val="99"/>
                                      <w:sz w:val="20"/>
                                      <w:szCs w:val="20"/>
                                      <w:lang w:eastAsia="zh-CN"/>
                                    </w:rPr>
                                    <w:t>计算</w:t>
                                  </w:r>
                                  <w:r>
                                    <w:rPr>
                                      <w:rFonts w:hint="eastAsia" w:ascii="宋体" w:hAnsi="宋体" w:cs="宋体"/>
                                      <w:spacing w:val="2"/>
                                      <w:w w:val="99"/>
                                      <w:sz w:val="20"/>
                                      <w:szCs w:val="20"/>
                                      <w:lang w:eastAsia="zh-CN"/>
                                    </w:rPr>
                                    <w:t>机</w:t>
                                  </w:r>
                                  <w:r>
                                    <w:rPr>
                                      <w:rFonts w:hint="eastAsia" w:ascii="宋体" w:hAnsi="宋体" w:cs="宋体"/>
                                      <w:w w:val="99"/>
                                      <w:sz w:val="20"/>
                                      <w:szCs w:val="20"/>
                                      <w:lang w:eastAsia="zh-CN"/>
                                    </w:rPr>
                                    <w:t>显示</w:t>
                                  </w:r>
                                  <w:r>
                                    <w:rPr>
                                      <w:rFonts w:hint="eastAsia" w:ascii="宋体" w:hAnsi="宋体" w:cs="宋体"/>
                                      <w:spacing w:val="2"/>
                                      <w:w w:val="99"/>
                                      <w:sz w:val="20"/>
                                      <w:szCs w:val="20"/>
                                      <w:lang w:eastAsia="zh-CN"/>
                                    </w:rPr>
                                    <w:t>器</w:t>
                                  </w:r>
                                  <w:r>
                                    <w:rPr>
                                      <w:rFonts w:hint="eastAsia" w:ascii="宋体" w:hAnsi="宋体" w:cs="宋体"/>
                                      <w:w w:val="99"/>
                                      <w:sz w:val="20"/>
                                      <w:szCs w:val="20"/>
                                      <w:lang w:eastAsia="zh-CN"/>
                                    </w:rPr>
                                    <w:t>能效限定值及</w:t>
                                  </w:r>
                                  <w:r>
                                    <w:rPr>
                                      <w:rFonts w:hint="eastAsia" w:ascii="宋体" w:hAnsi="宋体" w:cs="宋体"/>
                                      <w:spacing w:val="2"/>
                                      <w:w w:val="99"/>
                                      <w:sz w:val="20"/>
                                      <w:szCs w:val="20"/>
                                      <w:lang w:eastAsia="zh-CN"/>
                                    </w:rPr>
                                    <w:t>能</w:t>
                                  </w:r>
                                  <w:r>
                                    <w:rPr>
                                      <w:rFonts w:hint="eastAsia" w:ascii="宋体" w:hAnsi="宋体" w:cs="宋体"/>
                                      <w:w w:val="99"/>
                                      <w:sz w:val="20"/>
                                      <w:szCs w:val="20"/>
                                      <w:lang w:eastAsia="zh-CN"/>
                                    </w:rPr>
                                    <w:t>效等</w:t>
                                  </w:r>
                                  <w:r>
                                    <w:rPr>
                                      <w:rFonts w:hint="eastAsia" w:ascii="宋体" w:hAnsi="宋体" w:cs="宋体"/>
                                      <w:spacing w:val="2"/>
                                      <w:w w:val="99"/>
                                      <w:sz w:val="20"/>
                                      <w:szCs w:val="20"/>
                                      <w:lang w:eastAsia="zh-CN"/>
                                    </w:rPr>
                                    <w:t>级</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21</w:t>
                                  </w:r>
                                  <w:r>
                                    <w:rPr>
                                      <w:rFonts w:hint="eastAsia" w:ascii="宋体" w:hAnsi="宋体" w:cs="宋体"/>
                                      <w:w w:val="99"/>
                                      <w:sz w:val="20"/>
                                      <w:szCs w:val="20"/>
                                      <w:lang w:eastAsia="zh-CN"/>
                                    </w:rPr>
                                    <w:t>52</w:t>
                                  </w:r>
                                  <w:r>
                                    <w:rPr>
                                      <w:rFonts w:hint="eastAsia" w:ascii="宋体" w:hAnsi="宋体" w:cs="宋体"/>
                                      <w:spacing w:val="1"/>
                                      <w:w w:val="99"/>
                                      <w:sz w:val="20"/>
                                      <w:szCs w:val="20"/>
                                      <w:lang w:eastAsia="zh-CN"/>
                                    </w:rPr>
                                    <w:t>0</w:t>
                                  </w:r>
                                  <w:r>
                                    <w:rPr>
                                      <w:rFonts w:hint="eastAsia" w:ascii="宋体" w:hAnsi="宋体" w:cs="宋体"/>
                                      <w:w w:val="99"/>
                                      <w:sz w:val="20"/>
                                      <w:szCs w:val="20"/>
                                      <w:lang w:eastAsia="zh-CN"/>
                                    </w:rPr>
                                    <w:t>）</w:t>
                                  </w:r>
                                </w:p>
                              </w:tc>
                            </w:tr>
                            <w:tr w14:paraId="62897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87" w:hRule="exact"/>
                              </w:trPr>
                              <w:tc>
                                <w:tcPr>
                                  <w:tcW w:w="585" w:type="dxa"/>
                                  <w:tcBorders>
                                    <w:top w:val="single" w:color="auto" w:sz="4" w:space="0"/>
                                    <w:left w:val="single" w:color="auto" w:sz="4" w:space="0"/>
                                    <w:bottom w:val="single" w:color="auto" w:sz="4" w:space="0"/>
                                    <w:right w:val="single" w:color="auto" w:sz="4" w:space="0"/>
                                  </w:tcBorders>
                                  <w:noWrap w:val="0"/>
                                  <w:vAlign w:val="top"/>
                                </w:tcPr>
                                <w:p w14:paraId="040FA203">
                                  <w:pPr>
                                    <w:pStyle w:val="56"/>
                                    <w:spacing w:before="10"/>
                                    <w:rPr>
                                      <w:rFonts w:ascii="宋体" w:hAnsi="宋体" w:cs="宋体"/>
                                      <w:sz w:val="17"/>
                                      <w:szCs w:val="17"/>
                                      <w:lang w:eastAsia="zh-CN"/>
                                    </w:rPr>
                                  </w:pPr>
                                </w:p>
                                <w:p w14:paraId="4EE19E97">
                                  <w:pPr>
                                    <w:pStyle w:val="56"/>
                                    <w:ind w:left="182"/>
                                    <w:rPr>
                                      <w:rFonts w:ascii="宋体" w:hAnsi="宋体" w:cs="宋体"/>
                                      <w:sz w:val="20"/>
                                      <w:szCs w:val="20"/>
                                    </w:rPr>
                                  </w:pPr>
                                  <w:r>
                                    <w:rPr>
                                      <w:rFonts w:hint="eastAsia" w:ascii="宋体"/>
                                      <w:spacing w:val="1"/>
                                      <w:w w:val="99"/>
                                      <w:sz w:val="20"/>
                                    </w:rPr>
                                    <w:t>1</w:t>
                                  </w:r>
                                  <w:r>
                                    <w:rPr>
                                      <w:rFonts w:hint="eastAsia" w:ascii="宋体"/>
                                      <w:w w:val="99"/>
                                      <w:sz w:val="20"/>
                                    </w:rPr>
                                    <w:t>4</w:t>
                                  </w:r>
                                </w:p>
                              </w:tc>
                              <w:tc>
                                <w:tcPr>
                                  <w:tcW w:w="1305" w:type="dxa"/>
                                  <w:tcBorders>
                                    <w:top w:val="single" w:color="auto" w:sz="4" w:space="0"/>
                                    <w:left w:val="single" w:color="auto" w:sz="4" w:space="0"/>
                                    <w:bottom w:val="single" w:color="auto" w:sz="4" w:space="0"/>
                                    <w:right w:val="single" w:color="auto" w:sz="4" w:space="0"/>
                                  </w:tcBorders>
                                  <w:noWrap w:val="0"/>
                                  <w:vAlign w:val="top"/>
                                </w:tcPr>
                                <w:p w14:paraId="509D2631">
                                  <w:pPr>
                                    <w:pStyle w:val="56"/>
                                    <w:spacing w:before="76"/>
                                    <w:ind w:left="7"/>
                                    <w:rPr>
                                      <w:rFonts w:ascii="宋体" w:hAnsi="宋体" w:cs="宋体"/>
                                      <w:sz w:val="20"/>
                                      <w:szCs w:val="20"/>
                                    </w:rPr>
                                  </w:pPr>
                                  <w:r>
                                    <w:rPr>
                                      <w:rFonts w:hint="eastAsia" w:ascii="宋体" w:hAnsi="宋体" w:cs="宋体"/>
                                      <w:spacing w:val="1"/>
                                      <w:w w:val="99"/>
                                      <w:sz w:val="20"/>
                                      <w:szCs w:val="20"/>
                                    </w:rPr>
                                    <w:t>A03</w:t>
                                  </w:r>
                                  <w:r>
                                    <w:rPr>
                                      <w:rFonts w:hint="eastAsia" w:ascii="宋体" w:hAnsi="宋体" w:cs="宋体"/>
                                      <w:w w:val="99"/>
                                      <w:sz w:val="20"/>
                                      <w:szCs w:val="20"/>
                                    </w:rPr>
                                    <w:t>12</w:t>
                                  </w:r>
                                  <w:r>
                                    <w:rPr>
                                      <w:rFonts w:hint="eastAsia" w:ascii="宋体" w:hAnsi="宋体" w:cs="宋体"/>
                                      <w:spacing w:val="1"/>
                                      <w:w w:val="99"/>
                                      <w:sz w:val="20"/>
                                      <w:szCs w:val="20"/>
                                    </w:rPr>
                                    <w:t>1</w:t>
                                  </w:r>
                                  <w:r>
                                    <w:rPr>
                                      <w:rFonts w:hint="eastAsia" w:ascii="宋体" w:hAnsi="宋体" w:cs="宋体"/>
                                      <w:w w:val="99"/>
                                      <w:sz w:val="20"/>
                                      <w:szCs w:val="20"/>
                                    </w:rPr>
                                    <w:t>0饮食</w:t>
                                  </w:r>
                                </w:p>
                                <w:p w14:paraId="672E0108">
                                  <w:pPr>
                                    <w:pStyle w:val="56"/>
                                    <w:spacing w:before="50"/>
                                    <w:ind w:left="7"/>
                                    <w:rPr>
                                      <w:rFonts w:ascii="宋体" w:hAnsi="宋体" w:cs="宋体"/>
                                      <w:sz w:val="20"/>
                                      <w:szCs w:val="20"/>
                                    </w:rPr>
                                  </w:pPr>
                                  <w:r>
                                    <w:rPr>
                                      <w:rFonts w:hint="eastAsia" w:ascii="宋体" w:hAnsi="宋体" w:cs="宋体"/>
                                      <w:w w:val="99"/>
                                      <w:sz w:val="20"/>
                                      <w:szCs w:val="20"/>
                                    </w:rPr>
                                    <w:t>炊事机械</w:t>
                                  </w:r>
                                </w:p>
                              </w:tc>
                              <w:tc>
                                <w:tcPr>
                                  <w:tcW w:w="1665" w:type="dxa"/>
                                  <w:tcBorders>
                                    <w:top w:val="single" w:color="auto" w:sz="4" w:space="0"/>
                                    <w:left w:val="single" w:color="auto" w:sz="4" w:space="0"/>
                                    <w:bottom w:val="single" w:color="auto" w:sz="4" w:space="0"/>
                                    <w:right w:val="single" w:color="auto" w:sz="4" w:space="0"/>
                                  </w:tcBorders>
                                  <w:noWrap w:val="0"/>
                                  <w:vAlign w:val="top"/>
                                </w:tcPr>
                                <w:p w14:paraId="7DB941CA">
                                  <w:pPr>
                                    <w:pStyle w:val="56"/>
                                    <w:spacing w:before="10"/>
                                    <w:rPr>
                                      <w:rFonts w:ascii="宋体" w:hAnsi="宋体" w:cs="宋体"/>
                                      <w:sz w:val="17"/>
                                      <w:szCs w:val="17"/>
                                    </w:rPr>
                                  </w:pPr>
                                </w:p>
                                <w:p w14:paraId="7AAD90EC">
                                  <w:pPr>
                                    <w:pStyle w:val="56"/>
                                    <w:ind w:left="7"/>
                                    <w:rPr>
                                      <w:rFonts w:ascii="宋体" w:hAnsi="宋体" w:cs="宋体"/>
                                      <w:sz w:val="20"/>
                                      <w:szCs w:val="20"/>
                                    </w:rPr>
                                  </w:pPr>
                                  <w:r>
                                    <w:rPr>
                                      <w:rFonts w:hint="eastAsia" w:ascii="宋体" w:hAnsi="宋体" w:cs="宋体"/>
                                      <w:w w:val="99"/>
                                      <w:sz w:val="20"/>
                                      <w:szCs w:val="20"/>
                                    </w:rPr>
                                    <w:t>商用燃</w:t>
                                  </w:r>
                                  <w:r>
                                    <w:rPr>
                                      <w:rFonts w:hint="eastAsia" w:ascii="宋体" w:hAnsi="宋体" w:cs="宋体"/>
                                      <w:spacing w:val="2"/>
                                      <w:w w:val="99"/>
                                      <w:sz w:val="20"/>
                                      <w:szCs w:val="20"/>
                                    </w:rPr>
                                    <w:t>气</w:t>
                                  </w:r>
                                  <w:r>
                                    <w:rPr>
                                      <w:rFonts w:hint="eastAsia" w:ascii="宋体" w:hAnsi="宋体" w:cs="宋体"/>
                                      <w:w w:val="99"/>
                                      <w:sz w:val="20"/>
                                      <w:szCs w:val="20"/>
                                    </w:rPr>
                                    <w:t>灶具</w:t>
                                  </w:r>
                                </w:p>
                              </w:tc>
                              <w:tc>
                                <w:tcPr>
                                  <w:tcW w:w="1770" w:type="dxa"/>
                                  <w:tcBorders>
                                    <w:top w:val="single" w:color="auto" w:sz="4" w:space="0"/>
                                    <w:left w:val="single" w:color="auto" w:sz="4" w:space="0"/>
                                    <w:bottom w:val="single" w:color="auto" w:sz="4" w:space="0"/>
                                    <w:right w:val="single" w:color="auto" w:sz="4" w:space="0"/>
                                  </w:tcBorders>
                                  <w:noWrap w:val="0"/>
                                  <w:vAlign w:val="top"/>
                                </w:tcPr>
                                <w:p w14:paraId="244A6B1D">
                                  <w:pPr>
                                    <w:rPr>
                                      <w:rFonts w:ascii="Calibri" w:hAnsi="Calibri"/>
                                      <w:sz w:val="22"/>
                                      <w:szCs w:val="22"/>
                                    </w:rPr>
                                  </w:pPr>
                                </w:p>
                              </w:tc>
                              <w:tc>
                                <w:tcPr>
                                  <w:tcW w:w="3765" w:type="dxa"/>
                                  <w:tcBorders>
                                    <w:top w:val="single" w:color="auto" w:sz="4" w:space="0"/>
                                    <w:left w:val="single" w:color="auto" w:sz="4" w:space="0"/>
                                    <w:bottom w:val="single" w:color="auto" w:sz="4" w:space="0"/>
                                    <w:right w:val="single" w:color="auto" w:sz="4" w:space="0"/>
                                  </w:tcBorders>
                                  <w:noWrap w:val="0"/>
                                  <w:vAlign w:val="top"/>
                                </w:tcPr>
                                <w:p w14:paraId="04DACE17">
                                  <w:pPr>
                                    <w:pStyle w:val="56"/>
                                    <w:spacing w:before="76" w:line="280" w:lineRule="auto"/>
                                    <w:ind w:left="7" w:right="4"/>
                                    <w:rPr>
                                      <w:rFonts w:ascii="宋体" w:hAnsi="宋体" w:cs="宋体"/>
                                      <w:sz w:val="20"/>
                                      <w:szCs w:val="20"/>
                                      <w:lang w:eastAsia="zh-CN"/>
                                    </w:rPr>
                                  </w:pPr>
                                  <w:r>
                                    <w:rPr>
                                      <w:rFonts w:hint="eastAsia" w:ascii="宋体" w:hAnsi="宋体" w:cs="宋体"/>
                                      <w:spacing w:val="12"/>
                                      <w:w w:val="99"/>
                                      <w:sz w:val="20"/>
                                      <w:szCs w:val="20"/>
                                      <w:lang w:eastAsia="zh-CN"/>
                                    </w:rPr>
                                    <w:t>《商用燃气灶具能效限</w:t>
                                  </w:r>
                                  <w:r>
                                    <w:rPr>
                                      <w:rFonts w:hint="eastAsia" w:ascii="宋体" w:hAnsi="宋体" w:cs="宋体"/>
                                      <w:spacing w:val="9"/>
                                      <w:w w:val="99"/>
                                      <w:sz w:val="20"/>
                                      <w:szCs w:val="20"/>
                                      <w:lang w:eastAsia="zh-CN"/>
                                    </w:rPr>
                                    <w:t>定</w:t>
                                  </w:r>
                                  <w:r>
                                    <w:rPr>
                                      <w:rFonts w:hint="eastAsia" w:ascii="宋体" w:hAnsi="宋体" w:cs="宋体"/>
                                      <w:spacing w:val="12"/>
                                      <w:w w:val="99"/>
                                      <w:sz w:val="20"/>
                                      <w:szCs w:val="20"/>
                                      <w:lang w:eastAsia="zh-CN"/>
                                    </w:rPr>
                                    <w:t>值及</w:t>
                                  </w:r>
                                  <w:r>
                                    <w:rPr>
                                      <w:rFonts w:hint="eastAsia" w:ascii="宋体" w:hAnsi="宋体" w:cs="宋体"/>
                                      <w:w w:val="99"/>
                                      <w:sz w:val="20"/>
                                      <w:szCs w:val="20"/>
                                      <w:lang w:eastAsia="zh-CN"/>
                                    </w:rPr>
                                    <w:t>能效等级</w:t>
                                  </w:r>
                                  <w:r>
                                    <w:rPr>
                                      <w:rFonts w:hint="eastAsia" w:ascii="宋体" w:hAnsi="宋体" w:cs="宋体"/>
                                      <w:spacing w:val="2"/>
                                      <w:w w:val="99"/>
                                      <w:sz w:val="20"/>
                                      <w:szCs w:val="20"/>
                                      <w:lang w:eastAsia="zh-CN"/>
                                    </w:rPr>
                                    <w:t>》</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30</w:t>
                                  </w:r>
                                  <w:r>
                                    <w:rPr>
                                      <w:rFonts w:hint="eastAsia" w:ascii="宋体" w:hAnsi="宋体" w:cs="宋体"/>
                                      <w:w w:val="99"/>
                                      <w:sz w:val="20"/>
                                      <w:szCs w:val="20"/>
                                      <w:lang w:eastAsia="zh-CN"/>
                                    </w:rPr>
                                    <w:t>53</w:t>
                                  </w:r>
                                  <w:r>
                                    <w:rPr>
                                      <w:rFonts w:hint="eastAsia" w:ascii="宋体" w:hAnsi="宋体" w:cs="宋体"/>
                                      <w:spacing w:val="1"/>
                                      <w:w w:val="99"/>
                                      <w:sz w:val="20"/>
                                      <w:szCs w:val="20"/>
                                      <w:lang w:eastAsia="zh-CN"/>
                                    </w:rPr>
                                    <w:t>1</w:t>
                                  </w:r>
                                  <w:r>
                                    <w:rPr>
                                      <w:rFonts w:hint="eastAsia" w:ascii="宋体" w:hAnsi="宋体" w:cs="宋体"/>
                                      <w:w w:val="99"/>
                                      <w:sz w:val="20"/>
                                      <w:szCs w:val="20"/>
                                      <w:lang w:eastAsia="zh-CN"/>
                                    </w:rPr>
                                    <w:t>）</w:t>
                                  </w:r>
                                </w:p>
                              </w:tc>
                            </w:tr>
                            <w:tr w14:paraId="29DA3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86" w:hRule="exact"/>
                              </w:trPr>
                              <w:tc>
                                <w:tcPr>
                                  <w:tcW w:w="585" w:type="dxa"/>
                                  <w:vMerge w:val="restart"/>
                                  <w:tcBorders>
                                    <w:top w:val="single" w:color="auto" w:sz="4" w:space="0"/>
                                    <w:left w:val="single" w:color="auto" w:sz="4" w:space="0"/>
                                    <w:bottom w:val="single" w:color="auto" w:sz="4" w:space="0"/>
                                    <w:right w:val="single" w:color="auto" w:sz="4" w:space="0"/>
                                  </w:tcBorders>
                                  <w:noWrap w:val="0"/>
                                  <w:vAlign w:val="top"/>
                                </w:tcPr>
                                <w:p w14:paraId="0621E3DA">
                                  <w:pPr>
                                    <w:pStyle w:val="56"/>
                                    <w:rPr>
                                      <w:rFonts w:ascii="宋体" w:hAnsi="宋体" w:cs="宋体"/>
                                      <w:sz w:val="20"/>
                                      <w:szCs w:val="20"/>
                                      <w:lang w:eastAsia="zh-CN"/>
                                    </w:rPr>
                                  </w:pPr>
                                </w:p>
                                <w:p w14:paraId="46094B95">
                                  <w:pPr>
                                    <w:pStyle w:val="56"/>
                                    <w:rPr>
                                      <w:rFonts w:hint="eastAsia" w:ascii="宋体" w:hAnsi="宋体" w:cs="宋体"/>
                                      <w:sz w:val="20"/>
                                      <w:szCs w:val="20"/>
                                      <w:lang w:eastAsia="zh-CN"/>
                                    </w:rPr>
                                  </w:pPr>
                                </w:p>
                                <w:p w14:paraId="1D20F641">
                                  <w:pPr>
                                    <w:pStyle w:val="56"/>
                                    <w:rPr>
                                      <w:rFonts w:hint="eastAsia" w:ascii="宋体" w:hAnsi="宋体" w:cs="宋体"/>
                                      <w:sz w:val="20"/>
                                      <w:szCs w:val="20"/>
                                      <w:lang w:eastAsia="zh-CN"/>
                                    </w:rPr>
                                  </w:pPr>
                                </w:p>
                                <w:p w14:paraId="4FD891F6">
                                  <w:pPr>
                                    <w:pStyle w:val="56"/>
                                    <w:spacing w:before="1"/>
                                    <w:rPr>
                                      <w:rFonts w:hint="eastAsia" w:ascii="宋体" w:hAnsi="宋体" w:cs="宋体"/>
                                      <w:sz w:val="29"/>
                                      <w:szCs w:val="29"/>
                                      <w:lang w:eastAsia="zh-CN"/>
                                    </w:rPr>
                                  </w:pPr>
                                </w:p>
                                <w:p w14:paraId="04AD399F">
                                  <w:pPr>
                                    <w:pStyle w:val="56"/>
                                    <w:ind w:left="182"/>
                                    <w:rPr>
                                      <w:rFonts w:ascii="宋体" w:hAnsi="宋体" w:cs="宋体"/>
                                      <w:sz w:val="20"/>
                                      <w:szCs w:val="20"/>
                                    </w:rPr>
                                  </w:pPr>
                                  <w:r>
                                    <w:rPr>
                                      <w:rFonts w:hint="eastAsia" w:ascii="宋体"/>
                                      <w:spacing w:val="1"/>
                                      <w:w w:val="99"/>
                                      <w:sz w:val="20"/>
                                    </w:rPr>
                                    <w:t>1</w:t>
                                  </w:r>
                                  <w:r>
                                    <w:rPr>
                                      <w:rFonts w:hint="eastAsia" w:ascii="宋体"/>
                                      <w:w w:val="99"/>
                                      <w:sz w:val="20"/>
                                    </w:rPr>
                                    <w:t>5</w:t>
                                  </w:r>
                                </w:p>
                              </w:tc>
                              <w:tc>
                                <w:tcPr>
                                  <w:tcW w:w="1305" w:type="dxa"/>
                                  <w:vMerge w:val="restart"/>
                                  <w:tcBorders>
                                    <w:top w:val="single" w:color="auto" w:sz="4" w:space="0"/>
                                    <w:left w:val="single" w:color="auto" w:sz="4" w:space="0"/>
                                    <w:bottom w:val="single" w:color="auto" w:sz="4" w:space="0"/>
                                    <w:right w:val="single" w:color="auto" w:sz="4" w:space="0"/>
                                  </w:tcBorders>
                                  <w:noWrap w:val="0"/>
                                  <w:vAlign w:val="top"/>
                                </w:tcPr>
                                <w:p w14:paraId="2BA7230F">
                                  <w:pPr>
                                    <w:pStyle w:val="56"/>
                                    <w:rPr>
                                      <w:rFonts w:ascii="宋体" w:hAnsi="宋体" w:cs="宋体"/>
                                      <w:sz w:val="20"/>
                                      <w:szCs w:val="20"/>
                                    </w:rPr>
                                  </w:pPr>
                                </w:p>
                                <w:p w14:paraId="308BEAA4">
                                  <w:pPr>
                                    <w:pStyle w:val="56"/>
                                    <w:rPr>
                                      <w:rFonts w:hint="eastAsia" w:ascii="宋体" w:hAnsi="宋体" w:cs="宋体"/>
                                      <w:sz w:val="20"/>
                                      <w:szCs w:val="20"/>
                                    </w:rPr>
                                  </w:pPr>
                                </w:p>
                                <w:p w14:paraId="4F0A3468">
                                  <w:pPr>
                                    <w:pStyle w:val="56"/>
                                    <w:spacing w:before="9"/>
                                    <w:rPr>
                                      <w:rFonts w:hint="eastAsia" w:ascii="宋体" w:hAnsi="宋体" w:cs="宋体"/>
                                      <w:sz w:val="17"/>
                                      <w:szCs w:val="17"/>
                                    </w:rPr>
                                  </w:pPr>
                                </w:p>
                                <w:p w14:paraId="4746494C">
                                  <w:pPr>
                                    <w:pStyle w:val="56"/>
                                    <w:ind w:left="7"/>
                                    <w:rPr>
                                      <w:rFonts w:hint="eastAsia" w:ascii="宋体" w:hAnsi="宋体" w:cs="宋体"/>
                                      <w:w w:val="99"/>
                                      <w:sz w:val="20"/>
                                      <w:szCs w:val="20"/>
                                    </w:rPr>
                                  </w:pPr>
                                  <w:r>
                                    <w:rPr>
                                      <w:rFonts w:hint="eastAsia" w:ascii="宋体" w:hAnsi="宋体" w:cs="宋体"/>
                                      <w:w w:val="99"/>
                                      <w:sz w:val="20"/>
                                      <w:szCs w:val="20"/>
                                    </w:rPr>
                                    <w:t>★</w:t>
                                  </w:r>
                                  <w:r>
                                    <w:rPr>
                                      <w:rFonts w:hint="eastAsia" w:ascii="宋体" w:hAnsi="宋体" w:cs="宋体"/>
                                      <w:spacing w:val="1"/>
                                      <w:w w:val="99"/>
                                      <w:sz w:val="20"/>
                                      <w:szCs w:val="20"/>
                                    </w:rPr>
                                    <w:t>A060</w:t>
                                  </w:r>
                                  <w:r>
                                    <w:rPr>
                                      <w:rFonts w:hint="eastAsia" w:ascii="宋体" w:hAnsi="宋体" w:cs="宋体"/>
                                      <w:w w:val="99"/>
                                      <w:sz w:val="20"/>
                                      <w:szCs w:val="20"/>
                                    </w:rPr>
                                    <w:t>805</w:t>
                                  </w:r>
                                </w:p>
                                <w:p w14:paraId="1228502B">
                                  <w:pPr>
                                    <w:pStyle w:val="56"/>
                                    <w:ind w:left="7"/>
                                    <w:rPr>
                                      <w:rFonts w:ascii="宋体" w:hAnsi="宋体" w:cs="宋体"/>
                                      <w:sz w:val="20"/>
                                      <w:szCs w:val="20"/>
                                    </w:rPr>
                                  </w:pPr>
                                  <w:r>
                                    <w:rPr>
                                      <w:rFonts w:hint="eastAsia" w:ascii="宋体" w:hAnsi="宋体" w:cs="宋体"/>
                                      <w:w w:val="99"/>
                                      <w:sz w:val="20"/>
                                      <w:szCs w:val="20"/>
                                    </w:rPr>
                                    <w:t>便器</w:t>
                                  </w:r>
                                </w:p>
                              </w:tc>
                              <w:tc>
                                <w:tcPr>
                                  <w:tcW w:w="1665" w:type="dxa"/>
                                  <w:tcBorders>
                                    <w:top w:val="single" w:color="auto" w:sz="4" w:space="0"/>
                                    <w:left w:val="single" w:color="auto" w:sz="4" w:space="0"/>
                                    <w:bottom w:val="single" w:color="auto" w:sz="4" w:space="0"/>
                                    <w:right w:val="single" w:color="auto" w:sz="4" w:space="0"/>
                                  </w:tcBorders>
                                  <w:noWrap w:val="0"/>
                                  <w:vAlign w:val="top"/>
                                </w:tcPr>
                                <w:p w14:paraId="16A77CF5">
                                  <w:pPr>
                                    <w:pStyle w:val="56"/>
                                    <w:spacing w:before="5"/>
                                    <w:rPr>
                                      <w:rFonts w:ascii="宋体" w:hAnsi="宋体" w:cs="宋体"/>
                                      <w:sz w:val="21"/>
                                      <w:szCs w:val="21"/>
                                    </w:rPr>
                                  </w:pPr>
                                </w:p>
                                <w:p w14:paraId="127A69D3">
                                  <w:pPr>
                                    <w:pStyle w:val="56"/>
                                    <w:ind w:left="7"/>
                                    <w:rPr>
                                      <w:rFonts w:ascii="宋体" w:hAnsi="宋体" w:cs="宋体"/>
                                      <w:sz w:val="20"/>
                                      <w:szCs w:val="20"/>
                                    </w:rPr>
                                  </w:pPr>
                                  <w:r>
                                    <w:rPr>
                                      <w:rFonts w:hint="eastAsia" w:ascii="宋体" w:hAnsi="宋体" w:cs="宋体"/>
                                      <w:w w:val="99"/>
                                      <w:sz w:val="20"/>
                                      <w:szCs w:val="20"/>
                                    </w:rPr>
                                    <w:t>坐便器</w:t>
                                  </w:r>
                                </w:p>
                              </w:tc>
                              <w:tc>
                                <w:tcPr>
                                  <w:tcW w:w="1770" w:type="dxa"/>
                                  <w:tcBorders>
                                    <w:top w:val="single" w:color="auto" w:sz="4" w:space="0"/>
                                    <w:left w:val="single" w:color="auto" w:sz="4" w:space="0"/>
                                    <w:bottom w:val="single" w:color="auto" w:sz="4" w:space="0"/>
                                    <w:right w:val="single" w:color="auto" w:sz="4" w:space="0"/>
                                  </w:tcBorders>
                                  <w:noWrap w:val="0"/>
                                  <w:vAlign w:val="top"/>
                                </w:tcPr>
                                <w:p w14:paraId="4FFACE27">
                                  <w:pPr>
                                    <w:rPr>
                                      <w:rFonts w:ascii="Calibri" w:hAnsi="Calibri"/>
                                      <w:sz w:val="22"/>
                                      <w:szCs w:val="22"/>
                                    </w:rPr>
                                  </w:pPr>
                                </w:p>
                              </w:tc>
                              <w:tc>
                                <w:tcPr>
                                  <w:tcW w:w="3765" w:type="dxa"/>
                                  <w:tcBorders>
                                    <w:top w:val="single" w:color="auto" w:sz="4" w:space="0"/>
                                    <w:left w:val="single" w:color="auto" w:sz="4" w:space="0"/>
                                    <w:bottom w:val="single" w:color="auto" w:sz="4" w:space="0"/>
                                    <w:right w:val="single" w:color="auto" w:sz="4" w:space="0"/>
                                  </w:tcBorders>
                                  <w:noWrap w:val="0"/>
                                  <w:vAlign w:val="top"/>
                                </w:tcPr>
                                <w:p w14:paraId="27043ACB">
                                  <w:pPr>
                                    <w:pStyle w:val="56"/>
                                    <w:spacing w:before="124"/>
                                    <w:ind w:left="7"/>
                                    <w:rPr>
                                      <w:rFonts w:ascii="宋体" w:hAnsi="宋体" w:cs="宋体"/>
                                      <w:sz w:val="20"/>
                                      <w:szCs w:val="20"/>
                                      <w:lang w:eastAsia="zh-CN"/>
                                    </w:rPr>
                                  </w:pPr>
                                  <w:r>
                                    <w:rPr>
                                      <w:rFonts w:hint="eastAsia" w:ascii="宋体" w:hAnsi="宋体" w:cs="宋体"/>
                                      <w:w w:val="99"/>
                                      <w:sz w:val="20"/>
                                      <w:szCs w:val="20"/>
                                      <w:lang w:eastAsia="zh-CN"/>
                                    </w:rPr>
                                    <w:t>《坐便</w:t>
                                  </w:r>
                                  <w:r>
                                    <w:rPr>
                                      <w:rFonts w:hint="eastAsia" w:ascii="宋体" w:hAnsi="宋体" w:cs="宋体"/>
                                      <w:spacing w:val="2"/>
                                      <w:w w:val="99"/>
                                      <w:sz w:val="20"/>
                                      <w:szCs w:val="20"/>
                                      <w:lang w:eastAsia="zh-CN"/>
                                    </w:rPr>
                                    <w:t>器</w:t>
                                  </w:r>
                                  <w:r>
                                    <w:rPr>
                                      <w:rFonts w:hint="eastAsia" w:ascii="宋体" w:hAnsi="宋体" w:cs="宋体"/>
                                      <w:w w:val="99"/>
                                      <w:sz w:val="20"/>
                                      <w:szCs w:val="20"/>
                                      <w:lang w:eastAsia="zh-CN"/>
                                    </w:rPr>
                                    <w:t>水效</w:t>
                                  </w:r>
                                  <w:r>
                                    <w:rPr>
                                      <w:rFonts w:hint="eastAsia" w:ascii="宋体" w:hAnsi="宋体" w:cs="宋体"/>
                                      <w:spacing w:val="2"/>
                                      <w:w w:val="99"/>
                                      <w:sz w:val="20"/>
                                      <w:szCs w:val="20"/>
                                      <w:lang w:eastAsia="zh-CN"/>
                                    </w:rPr>
                                    <w:t>限</w:t>
                                  </w:r>
                                  <w:r>
                                    <w:rPr>
                                      <w:rFonts w:hint="eastAsia" w:ascii="宋体" w:hAnsi="宋体" w:cs="宋体"/>
                                      <w:w w:val="99"/>
                                      <w:sz w:val="20"/>
                                      <w:szCs w:val="20"/>
                                      <w:lang w:eastAsia="zh-CN"/>
                                    </w:rPr>
                                    <w:t>定值</w:t>
                                  </w:r>
                                  <w:r>
                                    <w:rPr>
                                      <w:rFonts w:hint="eastAsia" w:ascii="宋体" w:hAnsi="宋体" w:cs="宋体"/>
                                      <w:spacing w:val="2"/>
                                      <w:w w:val="99"/>
                                      <w:sz w:val="20"/>
                                      <w:szCs w:val="20"/>
                                      <w:lang w:eastAsia="zh-CN"/>
                                    </w:rPr>
                                    <w:t>及</w:t>
                                  </w:r>
                                  <w:r>
                                    <w:rPr>
                                      <w:rFonts w:hint="eastAsia" w:ascii="宋体" w:hAnsi="宋体" w:cs="宋体"/>
                                      <w:w w:val="99"/>
                                      <w:sz w:val="20"/>
                                      <w:szCs w:val="20"/>
                                      <w:lang w:eastAsia="zh-CN"/>
                                    </w:rPr>
                                    <w:t>水</w:t>
                                  </w:r>
                                  <w:r>
                                    <w:rPr>
                                      <w:rFonts w:hint="eastAsia" w:ascii="宋体" w:hAnsi="宋体" w:cs="宋体"/>
                                      <w:spacing w:val="2"/>
                                      <w:w w:val="99"/>
                                      <w:sz w:val="20"/>
                                      <w:szCs w:val="20"/>
                                      <w:lang w:eastAsia="zh-CN"/>
                                    </w:rPr>
                                    <w:t>效</w:t>
                                  </w:r>
                                  <w:r>
                                    <w:rPr>
                                      <w:rFonts w:hint="eastAsia" w:ascii="宋体" w:hAnsi="宋体" w:cs="宋体"/>
                                      <w:w w:val="99"/>
                                      <w:sz w:val="20"/>
                                      <w:szCs w:val="20"/>
                                      <w:lang w:eastAsia="zh-CN"/>
                                    </w:rPr>
                                    <w:t>等级》</w:t>
                                  </w:r>
                                </w:p>
                                <w:p w14:paraId="0E612DBB">
                                  <w:pPr>
                                    <w:pStyle w:val="56"/>
                                    <w:spacing w:before="50"/>
                                    <w:ind w:left="7"/>
                                    <w:rPr>
                                      <w:rFonts w:ascii="宋体" w:hAnsi="宋体" w:cs="宋体"/>
                                      <w:sz w:val="20"/>
                                      <w:szCs w:val="20"/>
                                    </w:rPr>
                                  </w:pPr>
                                  <w:r>
                                    <w:rPr>
                                      <w:rFonts w:hint="eastAsia" w:ascii="宋体" w:hAnsi="宋体" w:cs="宋体"/>
                                      <w:w w:val="99"/>
                                      <w:sz w:val="20"/>
                                      <w:szCs w:val="20"/>
                                    </w:rPr>
                                    <w:t>（</w:t>
                                  </w:r>
                                  <w:r>
                                    <w:rPr>
                                      <w:rFonts w:hint="eastAsia" w:ascii="宋体" w:hAnsi="宋体" w:cs="宋体"/>
                                      <w:spacing w:val="1"/>
                                      <w:w w:val="99"/>
                                      <w:sz w:val="20"/>
                                      <w:szCs w:val="20"/>
                                    </w:rPr>
                                    <w:t>G</w:t>
                                  </w:r>
                                  <w:r>
                                    <w:rPr>
                                      <w:rFonts w:hint="eastAsia" w:ascii="宋体" w:hAnsi="宋体" w:cs="宋体"/>
                                      <w:w w:val="99"/>
                                      <w:sz w:val="20"/>
                                      <w:szCs w:val="20"/>
                                    </w:rPr>
                                    <w:t>B</w:t>
                                  </w:r>
                                  <w:r>
                                    <w:rPr>
                                      <w:rFonts w:hint="eastAsia" w:ascii="宋体" w:hAnsi="宋体" w:cs="宋体"/>
                                      <w:spacing w:val="1"/>
                                      <w:w w:val="99"/>
                                      <w:sz w:val="20"/>
                                      <w:szCs w:val="20"/>
                                    </w:rPr>
                                    <w:t>2</w:t>
                                  </w:r>
                                  <w:r>
                                    <w:rPr>
                                      <w:rFonts w:hint="eastAsia" w:ascii="宋体" w:hAnsi="宋体" w:cs="宋体"/>
                                      <w:w w:val="99"/>
                                      <w:sz w:val="20"/>
                                      <w:szCs w:val="20"/>
                                    </w:rPr>
                                    <w:t>55</w:t>
                                  </w:r>
                                  <w:r>
                                    <w:rPr>
                                      <w:rFonts w:hint="eastAsia" w:ascii="宋体" w:hAnsi="宋体" w:cs="宋体"/>
                                      <w:spacing w:val="1"/>
                                      <w:w w:val="99"/>
                                      <w:sz w:val="20"/>
                                      <w:szCs w:val="20"/>
                                    </w:rPr>
                                    <w:t>02</w:t>
                                  </w:r>
                                  <w:r>
                                    <w:rPr>
                                      <w:rFonts w:hint="eastAsia" w:ascii="宋体" w:hAnsi="宋体" w:cs="宋体"/>
                                      <w:w w:val="99"/>
                                      <w:sz w:val="20"/>
                                      <w:szCs w:val="20"/>
                                    </w:rPr>
                                    <w:t>）</w:t>
                                  </w:r>
                                </w:p>
                              </w:tc>
                            </w:tr>
                            <w:tr w14:paraId="57A35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86" w:hRule="exact"/>
                              </w:trPr>
                              <w:tc>
                                <w:tcPr>
                                  <w:tcW w:w="585" w:type="dxa"/>
                                  <w:vMerge w:val="continue"/>
                                  <w:tcBorders>
                                    <w:top w:val="single" w:color="auto" w:sz="4" w:space="0"/>
                                    <w:left w:val="single" w:color="auto" w:sz="4" w:space="0"/>
                                    <w:bottom w:val="single" w:color="auto" w:sz="4" w:space="0"/>
                                    <w:right w:val="single" w:color="auto" w:sz="4" w:space="0"/>
                                  </w:tcBorders>
                                  <w:noWrap w:val="0"/>
                                  <w:vAlign w:val="center"/>
                                </w:tcPr>
                                <w:p w14:paraId="4C3575BE">
                                  <w:pPr>
                                    <w:widowControl/>
                                    <w:jc w:val="left"/>
                                    <w:rPr>
                                      <w:rFonts w:ascii="宋体" w:hAnsi="宋体" w:eastAsia="Times New Roman" w:cs="宋体"/>
                                      <w:kern w:val="0"/>
                                      <w:sz w:val="20"/>
                                      <w:szCs w:val="20"/>
                                      <w:lang w:eastAsia="en-US"/>
                                    </w:rPr>
                                  </w:pPr>
                                </w:p>
                              </w:tc>
                              <w:tc>
                                <w:tcPr>
                                  <w:tcW w:w="1305" w:type="dxa"/>
                                  <w:vMerge w:val="continue"/>
                                  <w:tcBorders>
                                    <w:top w:val="single" w:color="auto" w:sz="4" w:space="0"/>
                                    <w:left w:val="single" w:color="auto" w:sz="4" w:space="0"/>
                                    <w:bottom w:val="single" w:color="auto" w:sz="4" w:space="0"/>
                                    <w:right w:val="single" w:color="auto" w:sz="4" w:space="0"/>
                                  </w:tcBorders>
                                  <w:noWrap w:val="0"/>
                                  <w:vAlign w:val="center"/>
                                </w:tcPr>
                                <w:p w14:paraId="24EED29A">
                                  <w:pPr>
                                    <w:widowControl/>
                                    <w:jc w:val="left"/>
                                    <w:rPr>
                                      <w:rFonts w:ascii="宋体" w:hAnsi="宋体" w:eastAsia="Times New Roman" w:cs="宋体"/>
                                      <w:kern w:val="0"/>
                                      <w:sz w:val="20"/>
                                      <w:szCs w:val="20"/>
                                      <w:lang w:eastAsia="en-US"/>
                                    </w:rPr>
                                  </w:pPr>
                                </w:p>
                              </w:tc>
                              <w:tc>
                                <w:tcPr>
                                  <w:tcW w:w="1665" w:type="dxa"/>
                                  <w:tcBorders>
                                    <w:top w:val="single" w:color="auto" w:sz="4" w:space="0"/>
                                    <w:left w:val="single" w:color="auto" w:sz="4" w:space="0"/>
                                    <w:bottom w:val="single" w:color="auto" w:sz="4" w:space="0"/>
                                    <w:right w:val="single" w:color="auto" w:sz="4" w:space="0"/>
                                  </w:tcBorders>
                                  <w:noWrap w:val="0"/>
                                  <w:vAlign w:val="top"/>
                                </w:tcPr>
                                <w:p w14:paraId="2A755381">
                                  <w:pPr>
                                    <w:pStyle w:val="56"/>
                                    <w:spacing w:before="5"/>
                                    <w:rPr>
                                      <w:rFonts w:ascii="宋体" w:hAnsi="宋体" w:cs="宋体"/>
                                      <w:sz w:val="21"/>
                                      <w:szCs w:val="21"/>
                                    </w:rPr>
                                  </w:pPr>
                                </w:p>
                                <w:p w14:paraId="6A0451B7">
                                  <w:pPr>
                                    <w:pStyle w:val="56"/>
                                    <w:ind w:left="7"/>
                                    <w:rPr>
                                      <w:rFonts w:ascii="宋体" w:hAnsi="宋体" w:cs="宋体"/>
                                      <w:sz w:val="20"/>
                                      <w:szCs w:val="20"/>
                                    </w:rPr>
                                  </w:pPr>
                                  <w:r>
                                    <w:rPr>
                                      <w:rFonts w:hint="eastAsia" w:ascii="宋体" w:hAnsi="宋体" w:cs="宋体"/>
                                      <w:w w:val="99"/>
                                      <w:sz w:val="20"/>
                                      <w:szCs w:val="20"/>
                                    </w:rPr>
                                    <w:t>蹲便器</w:t>
                                  </w:r>
                                </w:p>
                              </w:tc>
                              <w:tc>
                                <w:tcPr>
                                  <w:tcW w:w="1770" w:type="dxa"/>
                                  <w:tcBorders>
                                    <w:top w:val="single" w:color="auto" w:sz="4" w:space="0"/>
                                    <w:left w:val="single" w:color="auto" w:sz="4" w:space="0"/>
                                    <w:bottom w:val="single" w:color="auto" w:sz="4" w:space="0"/>
                                    <w:right w:val="single" w:color="auto" w:sz="4" w:space="0"/>
                                  </w:tcBorders>
                                  <w:noWrap w:val="0"/>
                                  <w:vAlign w:val="top"/>
                                </w:tcPr>
                                <w:p w14:paraId="44C95A59">
                                  <w:pPr>
                                    <w:rPr>
                                      <w:rFonts w:ascii="Calibri" w:hAnsi="Calibri"/>
                                      <w:sz w:val="22"/>
                                      <w:szCs w:val="22"/>
                                    </w:rPr>
                                  </w:pPr>
                                </w:p>
                              </w:tc>
                              <w:tc>
                                <w:tcPr>
                                  <w:tcW w:w="3765" w:type="dxa"/>
                                  <w:tcBorders>
                                    <w:top w:val="single" w:color="auto" w:sz="4" w:space="0"/>
                                    <w:left w:val="single" w:color="auto" w:sz="4" w:space="0"/>
                                    <w:bottom w:val="single" w:color="auto" w:sz="4" w:space="0"/>
                                    <w:right w:val="single" w:color="auto" w:sz="4" w:space="0"/>
                                  </w:tcBorders>
                                  <w:noWrap w:val="0"/>
                                  <w:vAlign w:val="top"/>
                                </w:tcPr>
                                <w:p w14:paraId="2E6D6333">
                                  <w:pPr>
                                    <w:pStyle w:val="56"/>
                                    <w:spacing w:before="124" w:line="280" w:lineRule="auto"/>
                                    <w:ind w:left="7" w:right="4"/>
                                    <w:rPr>
                                      <w:rFonts w:ascii="宋体" w:hAnsi="宋体" w:cs="宋体"/>
                                      <w:sz w:val="20"/>
                                      <w:szCs w:val="20"/>
                                      <w:lang w:eastAsia="zh-CN"/>
                                    </w:rPr>
                                  </w:pPr>
                                  <w:r>
                                    <w:rPr>
                                      <w:rFonts w:hint="eastAsia" w:ascii="宋体" w:hAnsi="宋体" w:cs="宋体"/>
                                      <w:spacing w:val="12"/>
                                      <w:w w:val="99"/>
                                      <w:sz w:val="20"/>
                                      <w:szCs w:val="20"/>
                                      <w:lang w:eastAsia="zh-CN"/>
                                    </w:rPr>
                                    <w:t>《蹲便器用水效率限定</w:t>
                                  </w:r>
                                  <w:r>
                                    <w:rPr>
                                      <w:rFonts w:hint="eastAsia" w:ascii="宋体" w:hAnsi="宋体" w:cs="宋体"/>
                                      <w:spacing w:val="9"/>
                                      <w:w w:val="99"/>
                                      <w:sz w:val="20"/>
                                      <w:szCs w:val="20"/>
                                      <w:lang w:eastAsia="zh-CN"/>
                                    </w:rPr>
                                    <w:t>值</w:t>
                                  </w:r>
                                  <w:r>
                                    <w:rPr>
                                      <w:rFonts w:hint="eastAsia" w:ascii="宋体" w:hAnsi="宋体" w:cs="宋体"/>
                                      <w:spacing w:val="12"/>
                                      <w:w w:val="99"/>
                                      <w:sz w:val="20"/>
                                      <w:szCs w:val="20"/>
                                      <w:lang w:eastAsia="zh-CN"/>
                                    </w:rPr>
                                    <w:t>及用</w:t>
                                  </w:r>
                                  <w:r>
                                    <w:rPr>
                                      <w:rFonts w:hint="eastAsia" w:ascii="宋体" w:hAnsi="宋体" w:cs="宋体"/>
                                      <w:w w:val="99"/>
                                      <w:sz w:val="20"/>
                                      <w:szCs w:val="20"/>
                                      <w:lang w:eastAsia="zh-CN"/>
                                    </w:rPr>
                                    <w:t>水效率等</w:t>
                                  </w:r>
                                  <w:r>
                                    <w:rPr>
                                      <w:rFonts w:hint="eastAsia" w:ascii="宋体" w:hAnsi="宋体" w:cs="宋体"/>
                                      <w:spacing w:val="2"/>
                                      <w:w w:val="99"/>
                                      <w:sz w:val="20"/>
                                      <w:szCs w:val="20"/>
                                      <w:lang w:eastAsia="zh-CN"/>
                                    </w:rPr>
                                    <w:t>级</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307</w:t>
                                  </w:r>
                                  <w:r>
                                    <w:rPr>
                                      <w:rFonts w:hint="eastAsia" w:ascii="宋体" w:hAnsi="宋体" w:cs="宋体"/>
                                      <w:w w:val="99"/>
                                      <w:sz w:val="20"/>
                                      <w:szCs w:val="20"/>
                                      <w:lang w:eastAsia="zh-CN"/>
                                    </w:rPr>
                                    <w:t>1</w:t>
                                  </w:r>
                                  <w:r>
                                    <w:rPr>
                                      <w:rFonts w:hint="eastAsia" w:ascii="宋体" w:hAnsi="宋体" w:cs="宋体"/>
                                      <w:spacing w:val="-1"/>
                                      <w:w w:val="99"/>
                                      <w:sz w:val="20"/>
                                      <w:szCs w:val="20"/>
                                      <w:lang w:eastAsia="zh-CN"/>
                                    </w:rPr>
                                    <w:t>7</w:t>
                                  </w:r>
                                  <w:r>
                                    <w:rPr>
                                      <w:rFonts w:hint="eastAsia" w:ascii="宋体" w:hAnsi="宋体" w:cs="宋体"/>
                                      <w:w w:val="99"/>
                                      <w:sz w:val="20"/>
                                      <w:szCs w:val="20"/>
                                      <w:lang w:eastAsia="zh-CN"/>
                                    </w:rPr>
                                    <w:t>）</w:t>
                                  </w:r>
                                </w:p>
                              </w:tc>
                            </w:tr>
                            <w:tr w14:paraId="7C7B7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88" w:hRule="exact"/>
                              </w:trPr>
                              <w:tc>
                                <w:tcPr>
                                  <w:tcW w:w="585" w:type="dxa"/>
                                  <w:vMerge w:val="continue"/>
                                  <w:tcBorders>
                                    <w:top w:val="single" w:color="auto" w:sz="4" w:space="0"/>
                                    <w:left w:val="single" w:color="auto" w:sz="4" w:space="0"/>
                                    <w:bottom w:val="single" w:color="auto" w:sz="4" w:space="0"/>
                                    <w:right w:val="single" w:color="auto" w:sz="4" w:space="0"/>
                                  </w:tcBorders>
                                  <w:noWrap w:val="0"/>
                                  <w:vAlign w:val="center"/>
                                </w:tcPr>
                                <w:p w14:paraId="2E753651">
                                  <w:pPr>
                                    <w:widowControl/>
                                    <w:jc w:val="left"/>
                                    <w:rPr>
                                      <w:rFonts w:ascii="宋体" w:hAnsi="宋体" w:eastAsia="Times New Roman" w:cs="宋体"/>
                                      <w:kern w:val="0"/>
                                      <w:sz w:val="20"/>
                                      <w:szCs w:val="20"/>
                                    </w:rPr>
                                  </w:pPr>
                                </w:p>
                              </w:tc>
                              <w:tc>
                                <w:tcPr>
                                  <w:tcW w:w="1305" w:type="dxa"/>
                                  <w:vMerge w:val="continue"/>
                                  <w:tcBorders>
                                    <w:top w:val="single" w:color="auto" w:sz="4" w:space="0"/>
                                    <w:left w:val="single" w:color="auto" w:sz="4" w:space="0"/>
                                    <w:bottom w:val="single" w:color="auto" w:sz="4" w:space="0"/>
                                    <w:right w:val="single" w:color="auto" w:sz="4" w:space="0"/>
                                  </w:tcBorders>
                                  <w:noWrap w:val="0"/>
                                  <w:vAlign w:val="center"/>
                                </w:tcPr>
                                <w:p w14:paraId="23DBCCCB">
                                  <w:pPr>
                                    <w:widowControl/>
                                    <w:jc w:val="left"/>
                                    <w:rPr>
                                      <w:rFonts w:ascii="宋体" w:hAnsi="宋体" w:eastAsia="Times New Roman" w:cs="宋体"/>
                                      <w:kern w:val="0"/>
                                      <w:sz w:val="20"/>
                                      <w:szCs w:val="20"/>
                                    </w:rPr>
                                  </w:pPr>
                                </w:p>
                              </w:tc>
                              <w:tc>
                                <w:tcPr>
                                  <w:tcW w:w="1665" w:type="dxa"/>
                                  <w:tcBorders>
                                    <w:top w:val="single" w:color="auto" w:sz="4" w:space="0"/>
                                    <w:left w:val="single" w:color="auto" w:sz="4" w:space="0"/>
                                    <w:bottom w:val="single" w:color="auto" w:sz="4" w:space="0"/>
                                    <w:right w:val="single" w:color="auto" w:sz="4" w:space="0"/>
                                  </w:tcBorders>
                                  <w:noWrap w:val="0"/>
                                  <w:vAlign w:val="top"/>
                                </w:tcPr>
                                <w:p w14:paraId="46C925C0">
                                  <w:pPr>
                                    <w:pStyle w:val="56"/>
                                    <w:spacing w:before="5"/>
                                    <w:rPr>
                                      <w:rFonts w:ascii="宋体" w:hAnsi="宋体" w:cs="宋体"/>
                                      <w:sz w:val="21"/>
                                      <w:szCs w:val="21"/>
                                      <w:lang w:eastAsia="zh-CN"/>
                                    </w:rPr>
                                  </w:pPr>
                                </w:p>
                                <w:p w14:paraId="100F8D6D">
                                  <w:pPr>
                                    <w:pStyle w:val="56"/>
                                    <w:ind w:left="7"/>
                                    <w:rPr>
                                      <w:rFonts w:ascii="宋体" w:hAnsi="宋体" w:cs="宋体"/>
                                      <w:sz w:val="20"/>
                                      <w:szCs w:val="20"/>
                                    </w:rPr>
                                  </w:pPr>
                                  <w:r>
                                    <w:rPr>
                                      <w:rFonts w:hint="eastAsia" w:ascii="宋体" w:hAnsi="宋体" w:cs="宋体"/>
                                      <w:w w:val="99"/>
                                      <w:sz w:val="20"/>
                                      <w:szCs w:val="20"/>
                                    </w:rPr>
                                    <w:t>小便器</w:t>
                                  </w:r>
                                </w:p>
                              </w:tc>
                              <w:tc>
                                <w:tcPr>
                                  <w:tcW w:w="1770" w:type="dxa"/>
                                  <w:tcBorders>
                                    <w:top w:val="single" w:color="auto" w:sz="4" w:space="0"/>
                                    <w:left w:val="single" w:color="auto" w:sz="4" w:space="0"/>
                                    <w:bottom w:val="single" w:color="auto" w:sz="4" w:space="0"/>
                                    <w:right w:val="single" w:color="auto" w:sz="4" w:space="0"/>
                                  </w:tcBorders>
                                  <w:noWrap w:val="0"/>
                                  <w:vAlign w:val="top"/>
                                </w:tcPr>
                                <w:p w14:paraId="1AA990CC">
                                  <w:pPr>
                                    <w:rPr>
                                      <w:rFonts w:ascii="Calibri" w:hAnsi="Calibri"/>
                                      <w:sz w:val="22"/>
                                      <w:szCs w:val="22"/>
                                    </w:rPr>
                                  </w:pPr>
                                </w:p>
                              </w:tc>
                              <w:tc>
                                <w:tcPr>
                                  <w:tcW w:w="3765" w:type="dxa"/>
                                  <w:tcBorders>
                                    <w:top w:val="single" w:color="auto" w:sz="4" w:space="0"/>
                                    <w:left w:val="single" w:color="auto" w:sz="4" w:space="0"/>
                                    <w:bottom w:val="single" w:color="auto" w:sz="4" w:space="0"/>
                                    <w:right w:val="single" w:color="auto" w:sz="4" w:space="0"/>
                                  </w:tcBorders>
                                  <w:noWrap w:val="0"/>
                                  <w:vAlign w:val="top"/>
                                </w:tcPr>
                                <w:p w14:paraId="4A2A31D2">
                                  <w:pPr>
                                    <w:pStyle w:val="56"/>
                                    <w:spacing w:before="124" w:line="280" w:lineRule="auto"/>
                                    <w:ind w:left="7" w:right="4"/>
                                    <w:rPr>
                                      <w:rFonts w:ascii="宋体" w:hAnsi="宋体" w:cs="宋体"/>
                                      <w:sz w:val="20"/>
                                      <w:szCs w:val="20"/>
                                      <w:lang w:eastAsia="zh-CN"/>
                                    </w:rPr>
                                  </w:pPr>
                                  <w:r>
                                    <w:rPr>
                                      <w:rFonts w:hint="eastAsia" w:ascii="宋体" w:hAnsi="宋体" w:cs="宋体"/>
                                      <w:spacing w:val="12"/>
                                      <w:w w:val="99"/>
                                      <w:sz w:val="20"/>
                                      <w:szCs w:val="20"/>
                                      <w:lang w:eastAsia="zh-CN"/>
                                    </w:rPr>
                                    <w:t>《小便器用水效率限定</w:t>
                                  </w:r>
                                  <w:r>
                                    <w:rPr>
                                      <w:rFonts w:hint="eastAsia" w:ascii="宋体" w:hAnsi="宋体" w:cs="宋体"/>
                                      <w:spacing w:val="9"/>
                                      <w:w w:val="99"/>
                                      <w:sz w:val="20"/>
                                      <w:szCs w:val="20"/>
                                      <w:lang w:eastAsia="zh-CN"/>
                                    </w:rPr>
                                    <w:t>值</w:t>
                                  </w:r>
                                  <w:r>
                                    <w:rPr>
                                      <w:rFonts w:hint="eastAsia" w:ascii="宋体" w:hAnsi="宋体" w:cs="宋体"/>
                                      <w:spacing w:val="12"/>
                                      <w:w w:val="99"/>
                                      <w:sz w:val="20"/>
                                      <w:szCs w:val="20"/>
                                      <w:lang w:eastAsia="zh-CN"/>
                                    </w:rPr>
                                    <w:t>及用</w:t>
                                  </w:r>
                                  <w:r>
                                    <w:rPr>
                                      <w:rFonts w:hint="eastAsia" w:ascii="宋体" w:hAnsi="宋体" w:cs="宋体"/>
                                      <w:w w:val="99"/>
                                      <w:sz w:val="20"/>
                                      <w:szCs w:val="20"/>
                                      <w:lang w:eastAsia="zh-CN"/>
                                    </w:rPr>
                                    <w:t>水效率等</w:t>
                                  </w:r>
                                  <w:r>
                                    <w:rPr>
                                      <w:rFonts w:hint="eastAsia" w:ascii="宋体" w:hAnsi="宋体" w:cs="宋体"/>
                                      <w:spacing w:val="2"/>
                                      <w:w w:val="99"/>
                                      <w:sz w:val="20"/>
                                      <w:szCs w:val="20"/>
                                      <w:lang w:eastAsia="zh-CN"/>
                                    </w:rPr>
                                    <w:t>级</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283</w:t>
                                  </w:r>
                                  <w:r>
                                    <w:rPr>
                                      <w:rFonts w:hint="eastAsia" w:ascii="宋体" w:hAnsi="宋体" w:cs="宋体"/>
                                      <w:w w:val="99"/>
                                      <w:sz w:val="20"/>
                                      <w:szCs w:val="20"/>
                                      <w:lang w:eastAsia="zh-CN"/>
                                    </w:rPr>
                                    <w:t>7</w:t>
                                  </w:r>
                                  <w:r>
                                    <w:rPr>
                                      <w:rFonts w:hint="eastAsia" w:ascii="宋体" w:hAnsi="宋体" w:cs="宋体"/>
                                      <w:spacing w:val="-1"/>
                                      <w:w w:val="99"/>
                                      <w:sz w:val="20"/>
                                      <w:szCs w:val="20"/>
                                      <w:lang w:eastAsia="zh-CN"/>
                                    </w:rPr>
                                    <w:t>7</w:t>
                                  </w:r>
                                  <w:r>
                                    <w:rPr>
                                      <w:rFonts w:hint="eastAsia" w:ascii="宋体" w:hAnsi="宋体" w:cs="宋体"/>
                                      <w:w w:val="99"/>
                                      <w:sz w:val="20"/>
                                      <w:szCs w:val="20"/>
                                      <w:lang w:eastAsia="zh-CN"/>
                                    </w:rPr>
                                    <w:t>）</w:t>
                                  </w:r>
                                </w:p>
                              </w:tc>
                            </w:tr>
                          </w:tbl>
                          <w:p w14:paraId="0B13B4D0">
                            <w:pPr>
                              <w:rPr>
                                <w:rFonts w:ascii="Calibri" w:hAnsi="Calibri"/>
                                <w:sz w:val="22"/>
                                <w:szCs w:val="22"/>
                              </w:rPr>
                            </w:pPr>
                          </w:p>
                        </w:txbxContent>
                      </wps:txbx>
                      <wps:bodyPr wrap="square" lIns="0" tIns="0" rIns="0" bIns="0" upright="1"/>
                    </wps:wsp>
                  </a:graphicData>
                </a:graphic>
              </wp:anchor>
            </w:drawing>
          </mc:Choice>
          <mc:Fallback>
            <w:pict>
              <v:shape id="文本框 4" o:spid="_x0000_s1026" o:spt="202" type="#_x0000_t202" style="position:absolute;left:0pt;margin-left:65.15pt;margin-top:3.6pt;height:651.6pt;width:472pt;mso-position-horizontal-relative:page;z-index:251661312;mso-width-relative:page;mso-height-relative:page;" filled="f" stroked="f" coordsize="21600,21600" o:gfxdata="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o3CXQ2AAAAAsBAAAPAAAAAAAAAAEAIAAAACIAAABkcnMvZG93&#10;bnJldi54bWxQSwECFAAUAAAACACHTuJAtaFLPccBAACBAwAADgAAAAAAAAABACAAAAAnAQAAZHJz&#10;L2Uyb0RvYy54bWxQSwUGAAAAAAYABgBZAQAAYAUAAAAA&#10;">
                <v:fill on="f" focussize="0,0"/>
                <v:stroke on="f"/>
                <v:imagedata o:title=""/>
                <o:lock v:ext="edit" aspectratio="f"/>
                <v:textbox inset="0mm,0mm,0mm,0mm">
                  <w:txbxContent>
                    <w:tbl>
                      <w:tblPr>
                        <w:tblStyle w:val="24"/>
                        <w:tblW w:w="0" w:type="auto"/>
                        <w:tblInd w:w="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85"/>
                        <w:gridCol w:w="1305"/>
                        <w:gridCol w:w="1665"/>
                        <w:gridCol w:w="1770"/>
                        <w:gridCol w:w="3765"/>
                      </w:tblGrid>
                      <w:tr w14:paraId="12153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42" w:hRule="exact"/>
                        </w:trPr>
                        <w:tc>
                          <w:tcPr>
                            <w:tcW w:w="585" w:type="dxa"/>
                            <w:vMerge w:val="restart"/>
                            <w:tcBorders>
                              <w:top w:val="single" w:color="auto" w:sz="4" w:space="0"/>
                              <w:left w:val="single" w:color="auto" w:sz="4" w:space="0"/>
                              <w:bottom w:val="single" w:color="auto" w:sz="4" w:space="0"/>
                              <w:right w:val="single" w:color="auto" w:sz="4" w:space="0"/>
                            </w:tcBorders>
                            <w:noWrap w:val="0"/>
                            <w:vAlign w:val="top"/>
                          </w:tcPr>
                          <w:p w14:paraId="20581000">
                            <w:pPr>
                              <w:rPr>
                                <w:rFonts w:ascii="Calibri" w:hAnsi="Calibri"/>
                                <w:sz w:val="22"/>
                                <w:szCs w:val="22"/>
                              </w:rPr>
                            </w:pPr>
                          </w:p>
                        </w:tc>
                        <w:tc>
                          <w:tcPr>
                            <w:tcW w:w="1305" w:type="dxa"/>
                            <w:vMerge w:val="restart"/>
                            <w:tcBorders>
                              <w:top w:val="single" w:color="auto" w:sz="4" w:space="0"/>
                              <w:left w:val="single" w:color="auto" w:sz="4" w:space="0"/>
                              <w:bottom w:val="single" w:color="auto" w:sz="4" w:space="0"/>
                              <w:right w:val="single" w:color="auto" w:sz="4" w:space="0"/>
                            </w:tcBorders>
                            <w:noWrap w:val="0"/>
                            <w:vAlign w:val="top"/>
                          </w:tcPr>
                          <w:p w14:paraId="6DF51383">
                            <w:pPr>
                              <w:rPr>
                                <w:rFonts w:ascii="Calibri" w:hAnsi="Calibri"/>
                                <w:sz w:val="22"/>
                                <w:szCs w:val="22"/>
                              </w:rPr>
                            </w:pPr>
                          </w:p>
                        </w:tc>
                        <w:tc>
                          <w:tcPr>
                            <w:tcW w:w="1665" w:type="dxa"/>
                            <w:vMerge w:val="restart"/>
                            <w:tcBorders>
                              <w:top w:val="single" w:color="auto" w:sz="4" w:space="0"/>
                              <w:left w:val="single" w:color="auto" w:sz="4" w:space="0"/>
                              <w:bottom w:val="single" w:color="auto" w:sz="4" w:space="0"/>
                              <w:right w:val="single" w:color="auto" w:sz="4" w:space="0"/>
                            </w:tcBorders>
                            <w:noWrap w:val="0"/>
                            <w:vAlign w:val="top"/>
                          </w:tcPr>
                          <w:p w14:paraId="7163B138">
                            <w:pPr>
                              <w:pStyle w:val="56"/>
                              <w:rPr>
                                <w:rFonts w:ascii="宋体" w:hAnsi="宋体" w:cs="宋体"/>
                                <w:sz w:val="20"/>
                                <w:szCs w:val="20"/>
                              </w:rPr>
                            </w:pPr>
                          </w:p>
                          <w:p w14:paraId="26D6D872">
                            <w:pPr>
                              <w:pStyle w:val="56"/>
                              <w:rPr>
                                <w:rFonts w:hint="eastAsia" w:ascii="宋体" w:hAnsi="宋体" w:cs="宋体"/>
                                <w:sz w:val="20"/>
                                <w:szCs w:val="20"/>
                              </w:rPr>
                            </w:pPr>
                          </w:p>
                          <w:p w14:paraId="426375A0">
                            <w:pPr>
                              <w:pStyle w:val="56"/>
                              <w:rPr>
                                <w:rFonts w:hint="eastAsia" w:ascii="宋体" w:hAnsi="宋体" w:cs="宋体"/>
                                <w:sz w:val="20"/>
                                <w:szCs w:val="20"/>
                              </w:rPr>
                            </w:pPr>
                          </w:p>
                          <w:p w14:paraId="3404993D">
                            <w:pPr>
                              <w:pStyle w:val="56"/>
                              <w:rPr>
                                <w:rFonts w:hint="eastAsia" w:ascii="宋体" w:hAnsi="宋体" w:cs="宋体"/>
                                <w:sz w:val="20"/>
                                <w:szCs w:val="20"/>
                              </w:rPr>
                            </w:pPr>
                          </w:p>
                          <w:p w14:paraId="26639467">
                            <w:pPr>
                              <w:pStyle w:val="56"/>
                              <w:rPr>
                                <w:rFonts w:hint="eastAsia" w:ascii="宋体" w:hAnsi="宋体" w:cs="宋体"/>
                                <w:sz w:val="20"/>
                                <w:szCs w:val="20"/>
                              </w:rPr>
                            </w:pPr>
                          </w:p>
                          <w:p w14:paraId="121060EE">
                            <w:pPr>
                              <w:pStyle w:val="56"/>
                              <w:spacing w:before="161"/>
                              <w:ind w:left="7"/>
                              <w:rPr>
                                <w:rFonts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06</w:t>
                            </w:r>
                            <w:r>
                              <w:rPr>
                                <w:rFonts w:hint="eastAsia" w:ascii="宋体" w:hAnsi="宋体" w:cs="宋体"/>
                                <w:spacing w:val="1"/>
                                <w:w w:val="99"/>
                                <w:sz w:val="20"/>
                                <w:szCs w:val="20"/>
                              </w:rPr>
                              <w:t>1</w:t>
                            </w:r>
                            <w:r>
                              <w:rPr>
                                <w:rFonts w:hint="eastAsia" w:ascii="宋体" w:hAnsi="宋体" w:cs="宋体"/>
                                <w:w w:val="99"/>
                                <w:sz w:val="20"/>
                                <w:szCs w:val="20"/>
                              </w:rPr>
                              <w:t>808热水器</w:t>
                            </w:r>
                          </w:p>
                        </w:tc>
                        <w:tc>
                          <w:tcPr>
                            <w:tcW w:w="1770" w:type="dxa"/>
                            <w:tcBorders>
                              <w:top w:val="single" w:color="auto" w:sz="4" w:space="0"/>
                              <w:left w:val="single" w:color="auto" w:sz="4" w:space="0"/>
                              <w:bottom w:val="single" w:color="auto" w:sz="4" w:space="0"/>
                              <w:right w:val="single" w:color="auto" w:sz="4" w:space="0"/>
                            </w:tcBorders>
                            <w:noWrap w:val="0"/>
                            <w:vAlign w:val="top"/>
                          </w:tcPr>
                          <w:p w14:paraId="6E7508C3">
                            <w:pPr>
                              <w:pStyle w:val="56"/>
                              <w:spacing w:before="12"/>
                              <w:rPr>
                                <w:rFonts w:ascii="宋体" w:hAnsi="宋体" w:cs="宋体"/>
                                <w:sz w:val="15"/>
                                <w:szCs w:val="15"/>
                              </w:rPr>
                            </w:pPr>
                          </w:p>
                          <w:p w14:paraId="43D5932E">
                            <w:pPr>
                              <w:pStyle w:val="56"/>
                              <w:ind w:left="7"/>
                              <w:rPr>
                                <w:rFonts w:ascii="宋体" w:hAnsi="宋体" w:cs="宋体"/>
                                <w:sz w:val="20"/>
                                <w:szCs w:val="20"/>
                              </w:rPr>
                            </w:pPr>
                            <w:r>
                              <w:rPr>
                                <w:rFonts w:hint="eastAsia" w:ascii="宋体" w:hAnsi="宋体" w:cs="宋体"/>
                                <w:w w:val="99"/>
                                <w:sz w:val="20"/>
                                <w:szCs w:val="20"/>
                              </w:rPr>
                              <w:t>★电热</w:t>
                            </w:r>
                            <w:r>
                              <w:rPr>
                                <w:rFonts w:hint="eastAsia" w:ascii="宋体" w:hAnsi="宋体" w:cs="宋体"/>
                                <w:spacing w:val="2"/>
                                <w:w w:val="99"/>
                                <w:sz w:val="20"/>
                                <w:szCs w:val="20"/>
                              </w:rPr>
                              <w:t>水</w:t>
                            </w:r>
                            <w:r>
                              <w:rPr>
                                <w:rFonts w:hint="eastAsia" w:ascii="宋体" w:hAnsi="宋体" w:cs="宋体"/>
                                <w:w w:val="99"/>
                                <w:sz w:val="20"/>
                                <w:szCs w:val="20"/>
                              </w:rPr>
                              <w:t>器</w:t>
                            </w:r>
                          </w:p>
                        </w:tc>
                        <w:tc>
                          <w:tcPr>
                            <w:tcW w:w="3765" w:type="dxa"/>
                            <w:tcBorders>
                              <w:top w:val="single" w:color="auto" w:sz="4" w:space="0"/>
                              <w:left w:val="single" w:color="auto" w:sz="4" w:space="0"/>
                              <w:bottom w:val="single" w:color="auto" w:sz="4" w:space="0"/>
                              <w:right w:val="single" w:color="auto" w:sz="4" w:space="0"/>
                            </w:tcBorders>
                            <w:noWrap w:val="0"/>
                            <w:vAlign w:val="top"/>
                          </w:tcPr>
                          <w:p w14:paraId="1B887A52">
                            <w:pPr>
                              <w:pStyle w:val="56"/>
                              <w:tabs>
                                <w:tab w:val="left" w:pos="1608"/>
                              </w:tabs>
                              <w:spacing w:before="52" w:line="280" w:lineRule="auto"/>
                              <w:ind w:left="7" w:right="4"/>
                              <w:rPr>
                                <w:rFonts w:ascii="宋体" w:hAnsi="宋体" w:cs="宋体"/>
                                <w:sz w:val="20"/>
                                <w:szCs w:val="20"/>
                                <w:lang w:eastAsia="zh-CN"/>
                              </w:rPr>
                            </w:pPr>
                            <w:r>
                              <w:rPr>
                                <w:rFonts w:hint="eastAsia" w:ascii="宋体" w:hAnsi="宋体" w:cs="宋体"/>
                                <w:spacing w:val="12"/>
                                <w:w w:val="99"/>
                                <w:sz w:val="20"/>
                                <w:szCs w:val="20"/>
                                <w:lang w:eastAsia="zh-CN"/>
                              </w:rPr>
                              <w:t>《储水式电热水器能效</w:t>
                            </w:r>
                            <w:r>
                              <w:rPr>
                                <w:rFonts w:hint="eastAsia" w:ascii="宋体" w:hAnsi="宋体" w:cs="宋体"/>
                                <w:spacing w:val="9"/>
                                <w:w w:val="99"/>
                                <w:sz w:val="20"/>
                                <w:szCs w:val="20"/>
                                <w:lang w:eastAsia="zh-CN"/>
                              </w:rPr>
                              <w:t>限</w:t>
                            </w:r>
                            <w:r>
                              <w:rPr>
                                <w:rFonts w:hint="eastAsia" w:ascii="宋体" w:hAnsi="宋体" w:cs="宋体"/>
                                <w:spacing w:val="12"/>
                                <w:w w:val="99"/>
                                <w:sz w:val="20"/>
                                <w:szCs w:val="20"/>
                                <w:lang w:eastAsia="zh-CN"/>
                              </w:rPr>
                              <w:t>定值</w:t>
                            </w:r>
                            <w:r>
                              <w:rPr>
                                <w:rFonts w:hint="eastAsia" w:ascii="宋体" w:hAnsi="宋体" w:cs="宋体"/>
                                <w:w w:val="99"/>
                                <w:sz w:val="20"/>
                                <w:szCs w:val="20"/>
                                <w:lang w:eastAsia="zh-CN"/>
                              </w:rPr>
                              <w:t>及能效等</w:t>
                            </w:r>
                            <w:r>
                              <w:rPr>
                                <w:rFonts w:hint="eastAsia" w:ascii="宋体" w:hAnsi="宋体" w:cs="宋体"/>
                                <w:spacing w:val="2"/>
                                <w:w w:val="99"/>
                                <w:sz w:val="20"/>
                                <w:szCs w:val="20"/>
                                <w:lang w:eastAsia="zh-CN"/>
                              </w:rPr>
                              <w:t>级</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21</w:t>
                            </w:r>
                            <w:r>
                              <w:rPr>
                                <w:rFonts w:hint="eastAsia" w:ascii="宋体" w:hAnsi="宋体" w:cs="宋体"/>
                                <w:w w:val="99"/>
                                <w:sz w:val="20"/>
                                <w:szCs w:val="20"/>
                                <w:lang w:eastAsia="zh-CN"/>
                              </w:rPr>
                              <w:t>51</w:t>
                            </w:r>
                            <w:r>
                              <w:rPr>
                                <w:rFonts w:hint="eastAsia" w:ascii="宋体" w:hAnsi="宋体" w:cs="宋体"/>
                                <w:spacing w:val="1"/>
                                <w:w w:val="99"/>
                                <w:sz w:val="20"/>
                                <w:szCs w:val="20"/>
                                <w:lang w:eastAsia="zh-CN"/>
                              </w:rPr>
                              <w:t>9</w:t>
                            </w:r>
                            <w:r>
                              <w:rPr>
                                <w:rFonts w:hint="eastAsia" w:ascii="宋体" w:hAnsi="宋体" w:cs="宋体"/>
                                <w:w w:val="99"/>
                                <w:sz w:val="20"/>
                                <w:szCs w:val="20"/>
                                <w:lang w:eastAsia="zh-CN"/>
                              </w:rPr>
                              <w:t>）</w:t>
                            </w:r>
                          </w:p>
                        </w:tc>
                      </w:tr>
                      <w:tr w14:paraId="4DD7C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58" w:hRule="exact"/>
                        </w:trPr>
                        <w:tc>
                          <w:tcPr>
                            <w:tcW w:w="585" w:type="dxa"/>
                            <w:vMerge w:val="continue"/>
                            <w:tcBorders>
                              <w:top w:val="single" w:color="auto" w:sz="4" w:space="0"/>
                              <w:left w:val="single" w:color="auto" w:sz="4" w:space="0"/>
                              <w:bottom w:val="single" w:color="auto" w:sz="4" w:space="0"/>
                              <w:right w:val="single" w:color="auto" w:sz="4" w:space="0"/>
                            </w:tcBorders>
                            <w:noWrap w:val="0"/>
                            <w:vAlign w:val="center"/>
                          </w:tcPr>
                          <w:p w14:paraId="5618397D">
                            <w:pPr>
                              <w:widowControl/>
                              <w:jc w:val="left"/>
                              <w:rPr>
                                <w:rFonts w:ascii="Calibri" w:hAnsi="Calibri" w:eastAsia="Times New Roman"/>
                                <w:sz w:val="22"/>
                                <w:szCs w:val="22"/>
                              </w:rPr>
                            </w:pPr>
                          </w:p>
                        </w:tc>
                        <w:tc>
                          <w:tcPr>
                            <w:tcW w:w="1305" w:type="dxa"/>
                            <w:vMerge w:val="continue"/>
                            <w:tcBorders>
                              <w:top w:val="single" w:color="auto" w:sz="4" w:space="0"/>
                              <w:left w:val="single" w:color="auto" w:sz="4" w:space="0"/>
                              <w:bottom w:val="single" w:color="auto" w:sz="4" w:space="0"/>
                              <w:right w:val="single" w:color="auto" w:sz="4" w:space="0"/>
                            </w:tcBorders>
                            <w:noWrap w:val="0"/>
                            <w:vAlign w:val="center"/>
                          </w:tcPr>
                          <w:p w14:paraId="193EC033">
                            <w:pPr>
                              <w:widowControl/>
                              <w:jc w:val="left"/>
                              <w:rPr>
                                <w:rFonts w:ascii="Calibri" w:hAnsi="Calibri" w:eastAsia="Times New Roman"/>
                                <w:sz w:val="22"/>
                                <w:szCs w:val="22"/>
                              </w:rPr>
                            </w:pPr>
                          </w:p>
                        </w:tc>
                        <w:tc>
                          <w:tcPr>
                            <w:tcW w:w="1665" w:type="dxa"/>
                            <w:vMerge w:val="continue"/>
                            <w:tcBorders>
                              <w:top w:val="single" w:color="auto" w:sz="4" w:space="0"/>
                              <w:left w:val="single" w:color="auto" w:sz="4" w:space="0"/>
                              <w:bottom w:val="single" w:color="auto" w:sz="4" w:space="0"/>
                              <w:right w:val="single" w:color="auto" w:sz="4" w:space="0"/>
                            </w:tcBorders>
                            <w:noWrap w:val="0"/>
                            <w:vAlign w:val="center"/>
                          </w:tcPr>
                          <w:p w14:paraId="15530012">
                            <w:pPr>
                              <w:widowControl/>
                              <w:jc w:val="left"/>
                              <w:rPr>
                                <w:rFonts w:ascii="宋体" w:hAnsi="宋体" w:eastAsia="Times New Roman" w:cs="宋体"/>
                                <w:kern w:val="0"/>
                                <w:sz w:val="20"/>
                                <w:szCs w:val="20"/>
                              </w:rPr>
                            </w:pPr>
                          </w:p>
                        </w:tc>
                        <w:tc>
                          <w:tcPr>
                            <w:tcW w:w="1770" w:type="dxa"/>
                            <w:tcBorders>
                              <w:top w:val="single" w:color="auto" w:sz="4" w:space="0"/>
                              <w:left w:val="single" w:color="auto" w:sz="4" w:space="0"/>
                              <w:bottom w:val="single" w:color="auto" w:sz="4" w:space="0"/>
                              <w:right w:val="single" w:color="auto" w:sz="4" w:space="0"/>
                            </w:tcBorders>
                            <w:noWrap w:val="0"/>
                            <w:vAlign w:val="top"/>
                          </w:tcPr>
                          <w:p w14:paraId="77E9A963">
                            <w:pPr>
                              <w:pStyle w:val="56"/>
                              <w:spacing w:before="2"/>
                              <w:rPr>
                                <w:rFonts w:ascii="宋体" w:hAnsi="宋体" w:cs="宋体"/>
                                <w:sz w:val="24"/>
                                <w:szCs w:val="24"/>
                                <w:lang w:eastAsia="zh-CN"/>
                              </w:rPr>
                            </w:pPr>
                          </w:p>
                          <w:p w14:paraId="426E3223">
                            <w:pPr>
                              <w:pStyle w:val="56"/>
                              <w:ind w:left="7"/>
                              <w:rPr>
                                <w:rFonts w:ascii="宋体" w:hAnsi="宋体" w:cs="宋体"/>
                                <w:sz w:val="20"/>
                                <w:szCs w:val="20"/>
                              </w:rPr>
                            </w:pPr>
                            <w:r>
                              <w:rPr>
                                <w:rFonts w:hint="eastAsia" w:ascii="宋体" w:hAnsi="宋体" w:cs="宋体"/>
                                <w:w w:val="99"/>
                                <w:sz w:val="20"/>
                                <w:szCs w:val="20"/>
                              </w:rPr>
                              <w:t>燃气热</w:t>
                            </w:r>
                            <w:r>
                              <w:rPr>
                                <w:rFonts w:hint="eastAsia" w:ascii="宋体" w:hAnsi="宋体" w:cs="宋体"/>
                                <w:spacing w:val="2"/>
                                <w:w w:val="99"/>
                                <w:sz w:val="20"/>
                                <w:szCs w:val="20"/>
                              </w:rPr>
                              <w:t>水</w:t>
                            </w:r>
                            <w:r>
                              <w:rPr>
                                <w:rFonts w:hint="eastAsia" w:ascii="宋体" w:hAnsi="宋体" w:cs="宋体"/>
                                <w:w w:val="99"/>
                                <w:sz w:val="20"/>
                                <w:szCs w:val="20"/>
                              </w:rPr>
                              <w:t>器</w:t>
                            </w:r>
                          </w:p>
                        </w:tc>
                        <w:tc>
                          <w:tcPr>
                            <w:tcW w:w="3765" w:type="dxa"/>
                            <w:tcBorders>
                              <w:top w:val="single" w:color="auto" w:sz="4" w:space="0"/>
                              <w:left w:val="single" w:color="auto" w:sz="4" w:space="0"/>
                              <w:bottom w:val="single" w:color="auto" w:sz="4" w:space="0"/>
                              <w:right w:val="single" w:color="auto" w:sz="4" w:space="0"/>
                            </w:tcBorders>
                            <w:noWrap w:val="0"/>
                            <w:vAlign w:val="top"/>
                          </w:tcPr>
                          <w:p w14:paraId="1C0E9428">
                            <w:pPr>
                              <w:pStyle w:val="56"/>
                              <w:spacing w:before="4" w:line="280" w:lineRule="auto"/>
                              <w:ind w:left="7" w:right="4"/>
                              <w:rPr>
                                <w:rFonts w:hint="eastAsia" w:ascii="宋体" w:hAnsi="宋体" w:cs="宋体"/>
                                <w:sz w:val="20"/>
                                <w:szCs w:val="20"/>
                                <w:lang w:eastAsia="zh-CN"/>
                              </w:rPr>
                            </w:pPr>
                            <w:r>
                              <w:rPr>
                                <w:rFonts w:hint="eastAsia" w:ascii="宋体" w:hAnsi="宋体" w:cs="宋体"/>
                                <w:spacing w:val="12"/>
                                <w:w w:val="99"/>
                                <w:sz w:val="20"/>
                                <w:szCs w:val="20"/>
                                <w:lang w:eastAsia="zh-CN"/>
                              </w:rPr>
                              <w:t>《家用燃气快速热水器</w:t>
                            </w:r>
                            <w:r>
                              <w:rPr>
                                <w:rFonts w:hint="eastAsia" w:ascii="宋体" w:hAnsi="宋体" w:cs="宋体"/>
                                <w:spacing w:val="9"/>
                                <w:w w:val="99"/>
                                <w:sz w:val="20"/>
                                <w:szCs w:val="20"/>
                                <w:lang w:eastAsia="zh-CN"/>
                              </w:rPr>
                              <w:t>和</w:t>
                            </w:r>
                            <w:r>
                              <w:rPr>
                                <w:rFonts w:hint="eastAsia" w:ascii="宋体" w:hAnsi="宋体" w:cs="宋体"/>
                                <w:spacing w:val="12"/>
                                <w:w w:val="99"/>
                                <w:sz w:val="20"/>
                                <w:szCs w:val="20"/>
                                <w:lang w:eastAsia="zh-CN"/>
                              </w:rPr>
                              <w:t>燃气</w:t>
                            </w:r>
                            <w:r>
                              <w:rPr>
                                <w:rFonts w:hint="eastAsia" w:ascii="宋体" w:hAnsi="宋体" w:cs="宋体"/>
                                <w:w w:val="99"/>
                                <w:sz w:val="20"/>
                                <w:szCs w:val="20"/>
                                <w:lang w:eastAsia="zh-CN"/>
                              </w:rPr>
                              <w:t>采暖热水</w:t>
                            </w:r>
                            <w:r>
                              <w:rPr>
                                <w:rFonts w:hint="eastAsia" w:ascii="宋体" w:hAnsi="宋体" w:cs="宋体"/>
                                <w:spacing w:val="2"/>
                                <w:w w:val="99"/>
                                <w:sz w:val="20"/>
                                <w:szCs w:val="20"/>
                                <w:lang w:eastAsia="zh-CN"/>
                              </w:rPr>
                              <w:t>炉</w:t>
                            </w:r>
                            <w:r>
                              <w:rPr>
                                <w:rFonts w:hint="eastAsia" w:ascii="宋体" w:hAnsi="宋体" w:cs="宋体"/>
                                <w:w w:val="99"/>
                                <w:sz w:val="20"/>
                                <w:szCs w:val="20"/>
                                <w:lang w:eastAsia="zh-CN"/>
                              </w:rPr>
                              <w:t>能效</w:t>
                            </w:r>
                            <w:r>
                              <w:rPr>
                                <w:rFonts w:hint="eastAsia" w:ascii="宋体" w:hAnsi="宋体" w:cs="宋体"/>
                                <w:spacing w:val="2"/>
                                <w:w w:val="99"/>
                                <w:sz w:val="20"/>
                                <w:szCs w:val="20"/>
                                <w:lang w:eastAsia="zh-CN"/>
                              </w:rPr>
                              <w:t>限</w:t>
                            </w:r>
                            <w:r>
                              <w:rPr>
                                <w:rFonts w:hint="eastAsia" w:ascii="宋体" w:hAnsi="宋体" w:cs="宋体"/>
                                <w:w w:val="99"/>
                                <w:sz w:val="20"/>
                                <w:szCs w:val="20"/>
                                <w:lang w:eastAsia="zh-CN"/>
                              </w:rPr>
                              <w:t>定值</w:t>
                            </w:r>
                            <w:r>
                              <w:rPr>
                                <w:rFonts w:hint="eastAsia" w:ascii="宋体" w:hAnsi="宋体" w:cs="宋体"/>
                                <w:spacing w:val="2"/>
                                <w:w w:val="99"/>
                                <w:sz w:val="20"/>
                                <w:szCs w:val="20"/>
                                <w:lang w:eastAsia="zh-CN"/>
                              </w:rPr>
                              <w:t>及</w:t>
                            </w:r>
                            <w:r>
                              <w:rPr>
                                <w:rFonts w:hint="eastAsia" w:ascii="宋体" w:hAnsi="宋体" w:cs="宋体"/>
                                <w:w w:val="99"/>
                                <w:sz w:val="20"/>
                                <w:szCs w:val="20"/>
                                <w:lang w:eastAsia="zh-CN"/>
                              </w:rPr>
                              <w:t>能</w:t>
                            </w:r>
                            <w:r>
                              <w:rPr>
                                <w:rFonts w:hint="eastAsia" w:ascii="宋体" w:hAnsi="宋体" w:cs="宋体"/>
                                <w:spacing w:val="2"/>
                                <w:w w:val="99"/>
                                <w:sz w:val="20"/>
                                <w:szCs w:val="20"/>
                                <w:lang w:eastAsia="zh-CN"/>
                              </w:rPr>
                              <w:t>效</w:t>
                            </w:r>
                            <w:r>
                              <w:rPr>
                                <w:rFonts w:hint="eastAsia" w:ascii="宋体" w:hAnsi="宋体" w:cs="宋体"/>
                                <w:w w:val="99"/>
                                <w:sz w:val="20"/>
                                <w:szCs w:val="20"/>
                                <w:lang w:eastAsia="zh-CN"/>
                              </w:rPr>
                              <w:t>等级》（</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w:t>
                            </w:r>
                            <w:r>
                              <w:rPr>
                                <w:rFonts w:hint="eastAsia" w:ascii="宋体" w:hAnsi="宋体" w:cs="宋体"/>
                                <w:w w:val="99"/>
                                <w:sz w:val="20"/>
                                <w:szCs w:val="20"/>
                                <w:lang w:eastAsia="zh-CN"/>
                              </w:rPr>
                              <w:t>06</w:t>
                            </w:r>
                            <w:r>
                              <w:rPr>
                                <w:rFonts w:hint="eastAsia" w:ascii="宋体" w:hAnsi="宋体" w:cs="宋体"/>
                                <w:spacing w:val="1"/>
                                <w:w w:val="99"/>
                                <w:sz w:val="20"/>
                                <w:szCs w:val="20"/>
                                <w:lang w:eastAsia="zh-CN"/>
                              </w:rPr>
                              <w:t>65</w:t>
                            </w:r>
                            <w:r>
                              <w:rPr>
                                <w:rFonts w:hint="eastAsia" w:ascii="宋体" w:hAnsi="宋体" w:cs="宋体"/>
                                <w:w w:val="99"/>
                                <w:sz w:val="20"/>
                                <w:szCs w:val="20"/>
                                <w:lang w:eastAsia="zh-CN"/>
                              </w:rPr>
                              <w:t>）</w:t>
                            </w:r>
                          </w:p>
                        </w:tc>
                      </w:tr>
                      <w:tr w14:paraId="26ED2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23" w:hRule="exact"/>
                        </w:trPr>
                        <w:tc>
                          <w:tcPr>
                            <w:tcW w:w="585" w:type="dxa"/>
                            <w:vMerge w:val="continue"/>
                            <w:tcBorders>
                              <w:top w:val="single" w:color="auto" w:sz="4" w:space="0"/>
                              <w:left w:val="single" w:color="auto" w:sz="4" w:space="0"/>
                              <w:bottom w:val="single" w:color="auto" w:sz="4" w:space="0"/>
                              <w:right w:val="single" w:color="auto" w:sz="4" w:space="0"/>
                            </w:tcBorders>
                            <w:noWrap w:val="0"/>
                            <w:vAlign w:val="center"/>
                          </w:tcPr>
                          <w:p w14:paraId="0C889D72">
                            <w:pPr>
                              <w:widowControl/>
                              <w:jc w:val="left"/>
                              <w:rPr>
                                <w:rFonts w:ascii="Calibri" w:hAnsi="Calibri" w:eastAsia="Times New Roman"/>
                                <w:sz w:val="22"/>
                                <w:szCs w:val="22"/>
                              </w:rPr>
                            </w:pPr>
                          </w:p>
                        </w:tc>
                        <w:tc>
                          <w:tcPr>
                            <w:tcW w:w="1305" w:type="dxa"/>
                            <w:vMerge w:val="continue"/>
                            <w:tcBorders>
                              <w:top w:val="single" w:color="auto" w:sz="4" w:space="0"/>
                              <w:left w:val="single" w:color="auto" w:sz="4" w:space="0"/>
                              <w:bottom w:val="single" w:color="auto" w:sz="4" w:space="0"/>
                              <w:right w:val="single" w:color="auto" w:sz="4" w:space="0"/>
                            </w:tcBorders>
                            <w:noWrap w:val="0"/>
                            <w:vAlign w:val="center"/>
                          </w:tcPr>
                          <w:p w14:paraId="33438A3B">
                            <w:pPr>
                              <w:widowControl/>
                              <w:jc w:val="left"/>
                              <w:rPr>
                                <w:rFonts w:ascii="Calibri" w:hAnsi="Calibri" w:eastAsia="Times New Roman"/>
                                <w:sz w:val="22"/>
                                <w:szCs w:val="22"/>
                              </w:rPr>
                            </w:pPr>
                          </w:p>
                        </w:tc>
                        <w:tc>
                          <w:tcPr>
                            <w:tcW w:w="1665" w:type="dxa"/>
                            <w:vMerge w:val="continue"/>
                            <w:tcBorders>
                              <w:top w:val="single" w:color="auto" w:sz="4" w:space="0"/>
                              <w:left w:val="single" w:color="auto" w:sz="4" w:space="0"/>
                              <w:bottom w:val="single" w:color="auto" w:sz="4" w:space="0"/>
                              <w:right w:val="single" w:color="auto" w:sz="4" w:space="0"/>
                            </w:tcBorders>
                            <w:noWrap w:val="0"/>
                            <w:vAlign w:val="center"/>
                          </w:tcPr>
                          <w:p w14:paraId="3A21E8F4">
                            <w:pPr>
                              <w:widowControl/>
                              <w:jc w:val="left"/>
                              <w:rPr>
                                <w:rFonts w:ascii="宋体" w:hAnsi="宋体" w:eastAsia="Times New Roman" w:cs="宋体"/>
                                <w:kern w:val="0"/>
                                <w:sz w:val="20"/>
                                <w:szCs w:val="20"/>
                              </w:rPr>
                            </w:pPr>
                          </w:p>
                        </w:tc>
                        <w:tc>
                          <w:tcPr>
                            <w:tcW w:w="1770" w:type="dxa"/>
                            <w:tcBorders>
                              <w:top w:val="single" w:color="auto" w:sz="4" w:space="0"/>
                              <w:left w:val="single" w:color="auto" w:sz="4" w:space="0"/>
                              <w:bottom w:val="single" w:color="auto" w:sz="4" w:space="0"/>
                              <w:right w:val="single" w:color="auto" w:sz="4" w:space="0"/>
                            </w:tcBorders>
                            <w:noWrap w:val="0"/>
                            <w:vAlign w:val="top"/>
                          </w:tcPr>
                          <w:p w14:paraId="49F5BF90">
                            <w:pPr>
                              <w:pStyle w:val="56"/>
                              <w:rPr>
                                <w:rFonts w:ascii="宋体" w:hAnsi="宋体" w:cs="宋体"/>
                                <w:sz w:val="19"/>
                                <w:szCs w:val="19"/>
                                <w:lang w:eastAsia="zh-CN"/>
                              </w:rPr>
                            </w:pPr>
                          </w:p>
                          <w:p w14:paraId="397C7BB4">
                            <w:pPr>
                              <w:pStyle w:val="56"/>
                              <w:ind w:left="7"/>
                              <w:rPr>
                                <w:rFonts w:ascii="宋体" w:hAnsi="宋体" w:cs="宋体"/>
                                <w:sz w:val="20"/>
                                <w:szCs w:val="20"/>
                              </w:rPr>
                            </w:pPr>
                            <w:r>
                              <w:rPr>
                                <w:rFonts w:hint="eastAsia" w:ascii="宋体" w:hAnsi="宋体" w:cs="宋体"/>
                                <w:w w:val="99"/>
                                <w:sz w:val="20"/>
                                <w:szCs w:val="20"/>
                              </w:rPr>
                              <w:t>热泵热</w:t>
                            </w:r>
                            <w:r>
                              <w:rPr>
                                <w:rFonts w:hint="eastAsia" w:ascii="宋体" w:hAnsi="宋体" w:cs="宋体"/>
                                <w:spacing w:val="2"/>
                                <w:w w:val="99"/>
                                <w:sz w:val="20"/>
                                <w:szCs w:val="20"/>
                              </w:rPr>
                              <w:t>水</w:t>
                            </w:r>
                            <w:r>
                              <w:rPr>
                                <w:rFonts w:hint="eastAsia" w:ascii="宋体" w:hAnsi="宋体" w:cs="宋体"/>
                                <w:w w:val="99"/>
                                <w:sz w:val="20"/>
                                <w:szCs w:val="20"/>
                              </w:rPr>
                              <w:t>器</w:t>
                            </w:r>
                          </w:p>
                        </w:tc>
                        <w:tc>
                          <w:tcPr>
                            <w:tcW w:w="3765" w:type="dxa"/>
                            <w:tcBorders>
                              <w:top w:val="single" w:color="auto" w:sz="4" w:space="0"/>
                              <w:left w:val="single" w:color="auto" w:sz="4" w:space="0"/>
                              <w:bottom w:val="single" w:color="auto" w:sz="4" w:space="0"/>
                              <w:right w:val="single" w:color="auto" w:sz="4" w:space="0"/>
                            </w:tcBorders>
                            <w:noWrap w:val="0"/>
                            <w:vAlign w:val="top"/>
                          </w:tcPr>
                          <w:p w14:paraId="07E19482">
                            <w:pPr>
                              <w:pStyle w:val="56"/>
                              <w:spacing w:before="93" w:line="280" w:lineRule="auto"/>
                              <w:ind w:left="7" w:right="7"/>
                              <w:rPr>
                                <w:rFonts w:ascii="宋体" w:hAnsi="宋体" w:cs="宋体"/>
                                <w:sz w:val="20"/>
                                <w:szCs w:val="20"/>
                                <w:lang w:eastAsia="zh-CN"/>
                              </w:rPr>
                            </w:pPr>
                            <w:r>
                              <w:rPr>
                                <w:rFonts w:hint="eastAsia" w:ascii="宋体" w:hAnsi="宋体" w:cs="宋体"/>
                                <w:w w:val="99"/>
                                <w:sz w:val="20"/>
                                <w:szCs w:val="20"/>
                                <w:lang w:eastAsia="zh-CN"/>
                              </w:rPr>
                              <w:t>《热泵</w:t>
                            </w:r>
                            <w:r>
                              <w:rPr>
                                <w:rFonts w:hint="eastAsia" w:ascii="宋体" w:hAnsi="宋体" w:cs="宋体"/>
                                <w:spacing w:val="2"/>
                                <w:w w:val="99"/>
                                <w:sz w:val="20"/>
                                <w:szCs w:val="20"/>
                                <w:lang w:eastAsia="zh-CN"/>
                              </w:rPr>
                              <w:t>热</w:t>
                            </w:r>
                            <w:r>
                              <w:rPr>
                                <w:rFonts w:hint="eastAsia" w:ascii="宋体" w:hAnsi="宋体" w:cs="宋体"/>
                                <w:w w:val="99"/>
                                <w:sz w:val="20"/>
                                <w:szCs w:val="20"/>
                                <w:lang w:eastAsia="zh-CN"/>
                              </w:rPr>
                              <w:t>水</w:t>
                            </w:r>
                            <w:r>
                              <w:rPr>
                                <w:rFonts w:hint="eastAsia" w:ascii="宋体" w:hAnsi="宋体" w:cs="宋体"/>
                                <w:spacing w:val="-27"/>
                                <w:w w:val="99"/>
                                <w:sz w:val="20"/>
                                <w:szCs w:val="20"/>
                                <w:lang w:eastAsia="zh-CN"/>
                              </w:rPr>
                              <w:t>机</w:t>
                            </w:r>
                            <w:r>
                              <w:rPr>
                                <w:rFonts w:hint="eastAsia" w:ascii="宋体" w:hAnsi="宋体" w:cs="宋体"/>
                                <w:w w:val="99"/>
                                <w:sz w:val="20"/>
                                <w:szCs w:val="20"/>
                                <w:lang w:eastAsia="zh-CN"/>
                              </w:rPr>
                              <w:t>（器</w:t>
                            </w:r>
                            <w:r>
                              <w:rPr>
                                <w:rFonts w:hint="eastAsia" w:ascii="宋体" w:hAnsi="宋体" w:cs="宋体"/>
                                <w:spacing w:val="-27"/>
                                <w:w w:val="99"/>
                                <w:sz w:val="20"/>
                                <w:szCs w:val="20"/>
                                <w:lang w:eastAsia="zh-CN"/>
                              </w:rPr>
                              <w:t>）</w:t>
                            </w:r>
                            <w:r>
                              <w:rPr>
                                <w:rFonts w:hint="eastAsia" w:ascii="宋体" w:hAnsi="宋体" w:cs="宋体"/>
                                <w:w w:val="99"/>
                                <w:sz w:val="20"/>
                                <w:szCs w:val="20"/>
                                <w:lang w:eastAsia="zh-CN"/>
                              </w:rPr>
                              <w:t>能效</w:t>
                            </w:r>
                            <w:r>
                              <w:rPr>
                                <w:rFonts w:hint="eastAsia" w:ascii="宋体" w:hAnsi="宋体" w:cs="宋体"/>
                                <w:spacing w:val="2"/>
                                <w:w w:val="99"/>
                                <w:sz w:val="20"/>
                                <w:szCs w:val="20"/>
                                <w:lang w:eastAsia="zh-CN"/>
                              </w:rPr>
                              <w:t>限</w:t>
                            </w:r>
                            <w:r>
                              <w:rPr>
                                <w:rFonts w:hint="eastAsia" w:ascii="宋体" w:hAnsi="宋体" w:cs="宋体"/>
                                <w:w w:val="99"/>
                                <w:sz w:val="20"/>
                                <w:szCs w:val="20"/>
                                <w:lang w:eastAsia="zh-CN"/>
                              </w:rPr>
                              <w:t>定值及能效等</w:t>
                            </w:r>
                            <w:r>
                              <w:rPr>
                                <w:rFonts w:hint="eastAsia" w:ascii="宋体" w:hAnsi="宋体" w:cs="宋体"/>
                                <w:spacing w:val="2"/>
                                <w:w w:val="99"/>
                                <w:sz w:val="20"/>
                                <w:szCs w:val="20"/>
                                <w:lang w:eastAsia="zh-CN"/>
                              </w:rPr>
                              <w:t>级</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295</w:t>
                            </w:r>
                            <w:r>
                              <w:rPr>
                                <w:rFonts w:hint="eastAsia" w:ascii="宋体" w:hAnsi="宋体" w:cs="宋体"/>
                                <w:w w:val="99"/>
                                <w:sz w:val="20"/>
                                <w:szCs w:val="20"/>
                                <w:lang w:eastAsia="zh-CN"/>
                              </w:rPr>
                              <w:t>4</w:t>
                            </w:r>
                            <w:r>
                              <w:rPr>
                                <w:rFonts w:hint="eastAsia" w:ascii="宋体" w:hAnsi="宋体" w:cs="宋体"/>
                                <w:spacing w:val="-1"/>
                                <w:w w:val="99"/>
                                <w:sz w:val="20"/>
                                <w:szCs w:val="20"/>
                                <w:lang w:eastAsia="zh-CN"/>
                              </w:rPr>
                              <w:t>1</w:t>
                            </w:r>
                            <w:r>
                              <w:rPr>
                                <w:rFonts w:hint="eastAsia" w:ascii="宋体" w:hAnsi="宋体" w:cs="宋体"/>
                                <w:w w:val="99"/>
                                <w:sz w:val="20"/>
                                <w:szCs w:val="20"/>
                                <w:lang w:eastAsia="zh-CN"/>
                              </w:rPr>
                              <w:t>）</w:t>
                            </w:r>
                          </w:p>
                        </w:tc>
                      </w:tr>
                      <w:tr w14:paraId="43DC5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42" w:hRule="exact"/>
                        </w:trPr>
                        <w:tc>
                          <w:tcPr>
                            <w:tcW w:w="585" w:type="dxa"/>
                            <w:vMerge w:val="continue"/>
                            <w:tcBorders>
                              <w:top w:val="single" w:color="auto" w:sz="4" w:space="0"/>
                              <w:left w:val="single" w:color="auto" w:sz="4" w:space="0"/>
                              <w:bottom w:val="single" w:color="auto" w:sz="4" w:space="0"/>
                              <w:right w:val="single" w:color="auto" w:sz="4" w:space="0"/>
                            </w:tcBorders>
                            <w:noWrap w:val="0"/>
                            <w:vAlign w:val="center"/>
                          </w:tcPr>
                          <w:p w14:paraId="30E82264">
                            <w:pPr>
                              <w:widowControl/>
                              <w:jc w:val="left"/>
                              <w:rPr>
                                <w:rFonts w:ascii="Calibri" w:hAnsi="Calibri" w:eastAsia="Times New Roman"/>
                                <w:sz w:val="22"/>
                                <w:szCs w:val="22"/>
                              </w:rPr>
                            </w:pPr>
                          </w:p>
                        </w:tc>
                        <w:tc>
                          <w:tcPr>
                            <w:tcW w:w="1305" w:type="dxa"/>
                            <w:vMerge w:val="continue"/>
                            <w:tcBorders>
                              <w:top w:val="single" w:color="auto" w:sz="4" w:space="0"/>
                              <w:left w:val="single" w:color="auto" w:sz="4" w:space="0"/>
                              <w:bottom w:val="single" w:color="auto" w:sz="4" w:space="0"/>
                              <w:right w:val="single" w:color="auto" w:sz="4" w:space="0"/>
                            </w:tcBorders>
                            <w:noWrap w:val="0"/>
                            <w:vAlign w:val="center"/>
                          </w:tcPr>
                          <w:p w14:paraId="2117A0F7">
                            <w:pPr>
                              <w:widowControl/>
                              <w:jc w:val="left"/>
                              <w:rPr>
                                <w:rFonts w:ascii="Calibri" w:hAnsi="Calibri" w:eastAsia="Times New Roman"/>
                                <w:sz w:val="22"/>
                                <w:szCs w:val="22"/>
                              </w:rPr>
                            </w:pPr>
                          </w:p>
                        </w:tc>
                        <w:tc>
                          <w:tcPr>
                            <w:tcW w:w="1665" w:type="dxa"/>
                            <w:vMerge w:val="continue"/>
                            <w:tcBorders>
                              <w:top w:val="single" w:color="auto" w:sz="4" w:space="0"/>
                              <w:left w:val="single" w:color="auto" w:sz="4" w:space="0"/>
                              <w:bottom w:val="single" w:color="auto" w:sz="4" w:space="0"/>
                              <w:right w:val="single" w:color="auto" w:sz="4" w:space="0"/>
                            </w:tcBorders>
                            <w:noWrap w:val="0"/>
                            <w:vAlign w:val="center"/>
                          </w:tcPr>
                          <w:p w14:paraId="1F4B78FA">
                            <w:pPr>
                              <w:widowControl/>
                              <w:jc w:val="left"/>
                              <w:rPr>
                                <w:rFonts w:ascii="宋体" w:hAnsi="宋体" w:eastAsia="Times New Roman" w:cs="宋体"/>
                                <w:kern w:val="0"/>
                                <w:sz w:val="20"/>
                                <w:szCs w:val="20"/>
                              </w:rPr>
                            </w:pPr>
                          </w:p>
                        </w:tc>
                        <w:tc>
                          <w:tcPr>
                            <w:tcW w:w="1770" w:type="dxa"/>
                            <w:tcBorders>
                              <w:top w:val="single" w:color="auto" w:sz="4" w:space="0"/>
                              <w:left w:val="single" w:color="auto" w:sz="4" w:space="0"/>
                              <w:bottom w:val="single" w:color="auto" w:sz="4" w:space="0"/>
                              <w:right w:val="single" w:color="auto" w:sz="4" w:space="0"/>
                            </w:tcBorders>
                            <w:noWrap w:val="0"/>
                            <w:vAlign w:val="top"/>
                          </w:tcPr>
                          <w:p w14:paraId="738420AF">
                            <w:pPr>
                              <w:pStyle w:val="56"/>
                              <w:spacing w:before="12"/>
                              <w:rPr>
                                <w:rFonts w:ascii="宋体" w:hAnsi="宋体" w:cs="宋体"/>
                                <w:sz w:val="15"/>
                                <w:szCs w:val="15"/>
                                <w:lang w:eastAsia="zh-CN"/>
                              </w:rPr>
                            </w:pPr>
                          </w:p>
                          <w:p w14:paraId="2A030E14">
                            <w:pPr>
                              <w:pStyle w:val="56"/>
                              <w:ind w:left="7"/>
                              <w:rPr>
                                <w:rFonts w:ascii="宋体" w:hAnsi="宋体" w:cs="宋体"/>
                                <w:sz w:val="20"/>
                                <w:szCs w:val="20"/>
                              </w:rPr>
                            </w:pPr>
                            <w:r>
                              <w:rPr>
                                <w:rFonts w:hint="eastAsia" w:ascii="宋体" w:hAnsi="宋体" w:cs="宋体"/>
                                <w:w w:val="99"/>
                                <w:sz w:val="20"/>
                                <w:szCs w:val="20"/>
                              </w:rPr>
                              <w:t>太阳能</w:t>
                            </w:r>
                            <w:r>
                              <w:rPr>
                                <w:rFonts w:hint="eastAsia" w:ascii="宋体" w:hAnsi="宋体" w:cs="宋体"/>
                                <w:spacing w:val="2"/>
                                <w:w w:val="99"/>
                                <w:sz w:val="20"/>
                                <w:szCs w:val="20"/>
                              </w:rPr>
                              <w:t>热</w:t>
                            </w:r>
                            <w:r>
                              <w:rPr>
                                <w:rFonts w:hint="eastAsia" w:ascii="宋体" w:hAnsi="宋体" w:cs="宋体"/>
                                <w:w w:val="99"/>
                                <w:sz w:val="20"/>
                                <w:szCs w:val="20"/>
                              </w:rPr>
                              <w:t>水系统</w:t>
                            </w:r>
                          </w:p>
                        </w:tc>
                        <w:tc>
                          <w:tcPr>
                            <w:tcW w:w="3765" w:type="dxa"/>
                            <w:tcBorders>
                              <w:top w:val="single" w:color="auto" w:sz="4" w:space="0"/>
                              <w:left w:val="single" w:color="auto" w:sz="4" w:space="0"/>
                              <w:bottom w:val="single" w:color="auto" w:sz="4" w:space="0"/>
                              <w:right w:val="single" w:color="auto" w:sz="4" w:space="0"/>
                            </w:tcBorders>
                            <w:noWrap w:val="0"/>
                            <w:vAlign w:val="top"/>
                          </w:tcPr>
                          <w:p w14:paraId="66524307">
                            <w:pPr>
                              <w:pStyle w:val="56"/>
                              <w:spacing w:before="52" w:line="280" w:lineRule="auto"/>
                              <w:ind w:left="7" w:right="4"/>
                              <w:rPr>
                                <w:rFonts w:ascii="宋体" w:hAnsi="宋体" w:cs="宋体"/>
                                <w:sz w:val="20"/>
                                <w:szCs w:val="20"/>
                                <w:lang w:eastAsia="zh-CN"/>
                              </w:rPr>
                            </w:pPr>
                            <w:r>
                              <w:rPr>
                                <w:rFonts w:hint="eastAsia" w:ascii="宋体" w:hAnsi="宋体" w:cs="宋体"/>
                                <w:spacing w:val="12"/>
                                <w:w w:val="99"/>
                                <w:sz w:val="20"/>
                                <w:szCs w:val="20"/>
                                <w:lang w:eastAsia="zh-CN"/>
                              </w:rPr>
                              <w:t>《家用太阳能热水系统</w:t>
                            </w:r>
                            <w:r>
                              <w:rPr>
                                <w:rFonts w:hint="eastAsia" w:ascii="宋体" w:hAnsi="宋体" w:cs="宋体"/>
                                <w:spacing w:val="9"/>
                                <w:w w:val="99"/>
                                <w:sz w:val="20"/>
                                <w:szCs w:val="20"/>
                                <w:lang w:eastAsia="zh-CN"/>
                              </w:rPr>
                              <w:t>能</w:t>
                            </w:r>
                            <w:r>
                              <w:rPr>
                                <w:rFonts w:hint="eastAsia" w:ascii="宋体" w:hAnsi="宋体" w:cs="宋体"/>
                                <w:spacing w:val="12"/>
                                <w:w w:val="99"/>
                                <w:sz w:val="20"/>
                                <w:szCs w:val="20"/>
                                <w:lang w:eastAsia="zh-CN"/>
                              </w:rPr>
                              <w:t>效限</w:t>
                            </w:r>
                            <w:r>
                              <w:rPr>
                                <w:rFonts w:hint="eastAsia" w:ascii="宋体" w:hAnsi="宋体" w:cs="宋体"/>
                                <w:w w:val="99"/>
                                <w:sz w:val="20"/>
                                <w:szCs w:val="20"/>
                                <w:lang w:eastAsia="zh-CN"/>
                              </w:rPr>
                              <w:t>定值及能</w:t>
                            </w:r>
                            <w:r>
                              <w:rPr>
                                <w:rFonts w:hint="eastAsia" w:ascii="宋体" w:hAnsi="宋体" w:cs="宋体"/>
                                <w:spacing w:val="2"/>
                                <w:w w:val="99"/>
                                <w:sz w:val="20"/>
                                <w:szCs w:val="20"/>
                                <w:lang w:eastAsia="zh-CN"/>
                              </w:rPr>
                              <w:t>效</w:t>
                            </w:r>
                            <w:r>
                              <w:rPr>
                                <w:rFonts w:hint="eastAsia" w:ascii="宋体" w:hAnsi="宋体" w:cs="宋体"/>
                                <w:w w:val="99"/>
                                <w:sz w:val="20"/>
                                <w:szCs w:val="20"/>
                                <w:lang w:eastAsia="zh-CN"/>
                              </w:rPr>
                              <w:t>等级</w:t>
                            </w:r>
                            <w:r>
                              <w:rPr>
                                <w:rFonts w:hint="eastAsia" w:ascii="宋体" w:hAnsi="宋体" w:cs="宋体"/>
                                <w:spacing w:val="2"/>
                                <w:w w:val="99"/>
                                <w:sz w:val="20"/>
                                <w:szCs w:val="20"/>
                                <w:lang w:eastAsia="zh-CN"/>
                              </w:rPr>
                              <w:t>》</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26</w:t>
                            </w:r>
                            <w:r>
                              <w:rPr>
                                <w:rFonts w:hint="eastAsia" w:ascii="宋体" w:hAnsi="宋体" w:cs="宋体"/>
                                <w:w w:val="99"/>
                                <w:sz w:val="20"/>
                                <w:szCs w:val="20"/>
                                <w:lang w:eastAsia="zh-CN"/>
                              </w:rPr>
                              <w:t>96</w:t>
                            </w:r>
                            <w:r>
                              <w:rPr>
                                <w:rFonts w:hint="eastAsia" w:ascii="宋体" w:hAnsi="宋体" w:cs="宋体"/>
                                <w:spacing w:val="-2"/>
                                <w:w w:val="99"/>
                                <w:sz w:val="20"/>
                                <w:szCs w:val="20"/>
                                <w:lang w:eastAsia="zh-CN"/>
                              </w:rPr>
                              <w:t>9</w:t>
                            </w:r>
                            <w:r>
                              <w:rPr>
                                <w:rFonts w:hint="eastAsia" w:ascii="宋体" w:hAnsi="宋体" w:cs="宋体"/>
                                <w:w w:val="99"/>
                                <w:sz w:val="20"/>
                                <w:szCs w:val="20"/>
                                <w:lang w:eastAsia="zh-CN"/>
                              </w:rPr>
                              <w:t>）</w:t>
                            </w:r>
                          </w:p>
                        </w:tc>
                      </w:tr>
                      <w:tr w14:paraId="1AD17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2" w:hRule="exact"/>
                        </w:trPr>
                        <w:tc>
                          <w:tcPr>
                            <w:tcW w:w="585" w:type="dxa"/>
                            <w:vMerge w:val="restart"/>
                            <w:tcBorders>
                              <w:top w:val="single" w:color="auto" w:sz="4" w:space="0"/>
                              <w:left w:val="single" w:color="auto" w:sz="4" w:space="0"/>
                              <w:bottom w:val="single" w:color="auto" w:sz="4" w:space="0"/>
                              <w:right w:val="single" w:color="auto" w:sz="4" w:space="0"/>
                            </w:tcBorders>
                            <w:noWrap w:val="0"/>
                            <w:vAlign w:val="top"/>
                          </w:tcPr>
                          <w:p w14:paraId="36919F72">
                            <w:pPr>
                              <w:pStyle w:val="56"/>
                              <w:rPr>
                                <w:rFonts w:ascii="宋体" w:hAnsi="宋体" w:cs="宋体"/>
                                <w:sz w:val="20"/>
                                <w:szCs w:val="20"/>
                                <w:lang w:eastAsia="zh-CN"/>
                              </w:rPr>
                            </w:pPr>
                          </w:p>
                          <w:p w14:paraId="7215A398">
                            <w:pPr>
                              <w:pStyle w:val="56"/>
                              <w:rPr>
                                <w:rFonts w:hint="eastAsia" w:ascii="宋体" w:hAnsi="宋体" w:cs="宋体"/>
                                <w:sz w:val="20"/>
                                <w:szCs w:val="20"/>
                                <w:lang w:eastAsia="zh-CN"/>
                              </w:rPr>
                            </w:pPr>
                          </w:p>
                          <w:p w14:paraId="013EC567">
                            <w:pPr>
                              <w:pStyle w:val="56"/>
                              <w:rPr>
                                <w:rFonts w:hint="eastAsia" w:ascii="宋体" w:hAnsi="宋体" w:cs="宋体"/>
                                <w:sz w:val="20"/>
                                <w:szCs w:val="20"/>
                                <w:lang w:eastAsia="zh-CN"/>
                              </w:rPr>
                            </w:pPr>
                          </w:p>
                          <w:p w14:paraId="12C5336F">
                            <w:pPr>
                              <w:pStyle w:val="56"/>
                              <w:rPr>
                                <w:rFonts w:hint="eastAsia" w:ascii="宋体" w:hAnsi="宋体" w:cs="宋体"/>
                                <w:sz w:val="20"/>
                                <w:szCs w:val="20"/>
                                <w:lang w:eastAsia="zh-CN"/>
                              </w:rPr>
                            </w:pPr>
                          </w:p>
                          <w:p w14:paraId="70BC16B1">
                            <w:pPr>
                              <w:pStyle w:val="56"/>
                              <w:rPr>
                                <w:rFonts w:hint="eastAsia" w:ascii="宋体" w:hAnsi="宋体" w:cs="宋体"/>
                                <w:sz w:val="20"/>
                                <w:szCs w:val="20"/>
                                <w:lang w:eastAsia="zh-CN"/>
                              </w:rPr>
                            </w:pPr>
                          </w:p>
                          <w:p w14:paraId="59F7EFFF">
                            <w:pPr>
                              <w:pStyle w:val="56"/>
                              <w:spacing w:before="12"/>
                              <w:rPr>
                                <w:rFonts w:hint="eastAsia" w:ascii="宋体" w:hAnsi="宋体" w:cs="宋体"/>
                                <w:sz w:val="23"/>
                                <w:szCs w:val="23"/>
                                <w:lang w:eastAsia="zh-CN"/>
                              </w:rPr>
                            </w:pPr>
                          </w:p>
                          <w:p w14:paraId="7F966EFB">
                            <w:pPr>
                              <w:pStyle w:val="56"/>
                              <w:ind w:left="182"/>
                              <w:rPr>
                                <w:rFonts w:ascii="宋体" w:hAnsi="宋体" w:cs="宋体"/>
                                <w:sz w:val="20"/>
                                <w:szCs w:val="20"/>
                              </w:rPr>
                            </w:pPr>
                            <w:r>
                              <w:rPr>
                                <w:rFonts w:hint="eastAsia" w:ascii="宋体"/>
                                <w:spacing w:val="1"/>
                                <w:w w:val="99"/>
                                <w:sz w:val="20"/>
                              </w:rPr>
                              <w:t>1</w:t>
                            </w:r>
                            <w:r>
                              <w:rPr>
                                <w:rFonts w:hint="eastAsia" w:ascii="宋体"/>
                                <w:w w:val="99"/>
                                <w:sz w:val="20"/>
                              </w:rPr>
                              <w:t>1</w:t>
                            </w:r>
                          </w:p>
                        </w:tc>
                        <w:tc>
                          <w:tcPr>
                            <w:tcW w:w="1305" w:type="dxa"/>
                            <w:vMerge w:val="restart"/>
                            <w:tcBorders>
                              <w:top w:val="single" w:color="auto" w:sz="4" w:space="0"/>
                              <w:left w:val="single" w:color="auto" w:sz="4" w:space="0"/>
                              <w:bottom w:val="single" w:color="auto" w:sz="4" w:space="0"/>
                              <w:right w:val="single" w:color="auto" w:sz="4" w:space="0"/>
                            </w:tcBorders>
                            <w:noWrap w:val="0"/>
                            <w:vAlign w:val="top"/>
                          </w:tcPr>
                          <w:p w14:paraId="75356FBE">
                            <w:pPr>
                              <w:pStyle w:val="56"/>
                              <w:rPr>
                                <w:rFonts w:ascii="宋体" w:hAnsi="宋体" w:cs="宋体"/>
                                <w:sz w:val="20"/>
                                <w:szCs w:val="20"/>
                              </w:rPr>
                            </w:pPr>
                          </w:p>
                          <w:p w14:paraId="262B1D01">
                            <w:pPr>
                              <w:pStyle w:val="56"/>
                              <w:rPr>
                                <w:rFonts w:hint="eastAsia" w:ascii="宋体" w:hAnsi="宋体" w:cs="宋体"/>
                                <w:sz w:val="20"/>
                                <w:szCs w:val="20"/>
                              </w:rPr>
                            </w:pPr>
                          </w:p>
                          <w:p w14:paraId="15E4352B">
                            <w:pPr>
                              <w:pStyle w:val="56"/>
                              <w:rPr>
                                <w:rFonts w:hint="eastAsia" w:ascii="宋体" w:hAnsi="宋体" w:cs="宋体"/>
                                <w:sz w:val="20"/>
                                <w:szCs w:val="20"/>
                              </w:rPr>
                            </w:pPr>
                          </w:p>
                          <w:p w14:paraId="07A6D93B">
                            <w:pPr>
                              <w:pStyle w:val="56"/>
                              <w:rPr>
                                <w:rFonts w:hint="eastAsia" w:ascii="宋体" w:hAnsi="宋体" w:cs="宋体"/>
                                <w:sz w:val="20"/>
                                <w:szCs w:val="20"/>
                              </w:rPr>
                            </w:pPr>
                          </w:p>
                          <w:p w14:paraId="05E099B0">
                            <w:pPr>
                              <w:pStyle w:val="56"/>
                              <w:rPr>
                                <w:rFonts w:hint="eastAsia" w:ascii="宋体" w:hAnsi="宋体" w:cs="宋体"/>
                                <w:sz w:val="20"/>
                                <w:szCs w:val="20"/>
                              </w:rPr>
                            </w:pPr>
                          </w:p>
                          <w:p w14:paraId="0A893FB6">
                            <w:pPr>
                              <w:pStyle w:val="56"/>
                              <w:spacing w:before="157"/>
                              <w:ind w:left="7"/>
                              <w:rPr>
                                <w:rFonts w:hint="eastAsia"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06</w:t>
                            </w:r>
                            <w:r>
                              <w:rPr>
                                <w:rFonts w:hint="eastAsia" w:ascii="宋体" w:hAnsi="宋体" w:cs="宋体"/>
                                <w:spacing w:val="1"/>
                                <w:w w:val="99"/>
                                <w:sz w:val="20"/>
                                <w:szCs w:val="20"/>
                              </w:rPr>
                              <w:t>1</w:t>
                            </w:r>
                            <w:r>
                              <w:rPr>
                                <w:rFonts w:hint="eastAsia" w:ascii="宋体" w:hAnsi="宋体" w:cs="宋体"/>
                                <w:w w:val="99"/>
                                <w:sz w:val="20"/>
                                <w:szCs w:val="20"/>
                              </w:rPr>
                              <w:t>9照明</w:t>
                            </w:r>
                          </w:p>
                          <w:p w14:paraId="0EFDCEB9">
                            <w:pPr>
                              <w:pStyle w:val="56"/>
                              <w:spacing w:before="50"/>
                              <w:ind w:left="7"/>
                              <w:rPr>
                                <w:rFonts w:ascii="宋体" w:hAnsi="宋体" w:cs="宋体"/>
                                <w:sz w:val="20"/>
                                <w:szCs w:val="20"/>
                              </w:rPr>
                            </w:pPr>
                            <w:r>
                              <w:rPr>
                                <w:rFonts w:hint="eastAsia" w:ascii="宋体" w:hAnsi="宋体" w:cs="宋体"/>
                                <w:w w:val="99"/>
                                <w:sz w:val="20"/>
                                <w:szCs w:val="20"/>
                              </w:rPr>
                              <w:t>设备</w:t>
                            </w:r>
                          </w:p>
                        </w:tc>
                        <w:tc>
                          <w:tcPr>
                            <w:tcW w:w="1665" w:type="dxa"/>
                            <w:tcBorders>
                              <w:top w:val="single" w:color="auto" w:sz="4" w:space="0"/>
                              <w:left w:val="single" w:color="auto" w:sz="4" w:space="0"/>
                              <w:bottom w:val="single" w:color="auto" w:sz="4" w:space="0"/>
                              <w:right w:val="single" w:color="auto" w:sz="4" w:space="0"/>
                            </w:tcBorders>
                            <w:noWrap w:val="0"/>
                            <w:vAlign w:val="top"/>
                          </w:tcPr>
                          <w:p w14:paraId="35EC31DE">
                            <w:pPr>
                              <w:pStyle w:val="56"/>
                              <w:spacing w:before="133" w:line="280" w:lineRule="auto"/>
                              <w:ind w:left="7" w:right="7"/>
                              <w:rPr>
                                <w:rFonts w:ascii="宋体" w:hAnsi="宋体" w:cs="宋体"/>
                                <w:sz w:val="20"/>
                                <w:szCs w:val="20"/>
                                <w:lang w:eastAsia="zh-CN"/>
                              </w:rPr>
                            </w:pPr>
                            <w:r>
                              <w:rPr>
                                <w:rFonts w:hint="eastAsia" w:ascii="宋体" w:hAnsi="宋体" w:cs="宋体"/>
                                <w:w w:val="99"/>
                                <w:sz w:val="20"/>
                                <w:szCs w:val="20"/>
                                <w:lang w:eastAsia="zh-CN"/>
                              </w:rPr>
                              <w:t>★</w:t>
                            </w:r>
                            <w:r>
                              <w:rPr>
                                <w:rFonts w:hint="eastAsia" w:ascii="宋体" w:hAnsi="宋体" w:cs="宋体"/>
                                <w:spacing w:val="24"/>
                                <w:w w:val="99"/>
                                <w:sz w:val="20"/>
                                <w:szCs w:val="20"/>
                                <w:lang w:eastAsia="zh-CN"/>
                              </w:rPr>
                              <w:t>普</w:t>
                            </w:r>
                            <w:r>
                              <w:rPr>
                                <w:rFonts w:hint="eastAsia" w:ascii="宋体" w:hAnsi="宋体" w:cs="宋体"/>
                                <w:w w:val="99"/>
                                <w:sz w:val="20"/>
                                <w:szCs w:val="20"/>
                                <w:lang w:eastAsia="zh-CN"/>
                              </w:rPr>
                              <w:t>通照明用</w:t>
                            </w:r>
                            <w:r>
                              <w:rPr>
                                <w:rFonts w:hint="eastAsia" w:ascii="宋体" w:hAnsi="宋体" w:cs="宋体"/>
                                <w:spacing w:val="24"/>
                                <w:w w:val="99"/>
                                <w:sz w:val="20"/>
                                <w:szCs w:val="20"/>
                                <w:lang w:eastAsia="zh-CN"/>
                              </w:rPr>
                              <w:t>双</w:t>
                            </w:r>
                            <w:r>
                              <w:rPr>
                                <w:rFonts w:hint="eastAsia" w:ascii="宋体" w:hAnsi="宋体" w:cs="宋体"/>
                                <w:w w:val="99"/>
                                <w:sz w:val="20"/>
                                <w:szCs w:val="20"/>
                                <w:lang w:eastAsia="zh-CN"/>
                              </w:rPr>
                              <w:t>端荧光灯</w:t>
                            </w:r>
                          </w:p>
                        </w:tc>
                        <w:tc>
                          <w:tcPr>
                            <w:tcW w:w="1770" w:type="dxa"/>
                            <w:tcBorders>
                              <w:top w:val="single" w:color="auto" w:sz="4" w:space="0"/>
                              <w:left w:val="single" w:color="auto" w:sz="4" w:space="0"/>
                              <w:bottom w:val="single" w:color="auto" w:sz="4" w:space="0"/>
                              <w:right w:val="single" w:color="auto" w:sz="4" w:space="0"/>
                            </w:tcBorders>
                            <w:noWrap w:val="0"/>
                            <w:vAlign w:val="top"/>
                          </w:tcPr>
                          <w:p w14:paraId="5FAFB314">
                            <w:pPr>
                              <w:rPr>
                                <w:rFonts w:ascii="Calibri" w:hAnsi="Calibri"/>
                                <w:sz w:val="22"/>
                                <w:szCs w:val="22"/>
                              </w:rPr>
                            </w:pPr>
                          </w:p>
                        </w:tc>
                        <w:tc>
                          <w:tcPr>
                            <w:tcW w:w="3765" w:type="dxa"/>
                            <w:tcBorders>
                              <w:top w:val="single" w:color="auto" w:sz="4" w:space="0"/>
                              <w:left w:val="single" w:color="auto" w:sz="4" w:space="0"/>
                              <w:bottom w:val="single" w:color="auto" w:sz="4" w:space="0"/>
                              <w:right w:val="single" w:color="auto" w:sz="4" w:space="0"/>
                            </w:tcBorders>
                            <w:noWrap w:val="0"/>
                            <w:vAlign w:val="top"/>
                          </w:tcPr>
                          <w:p w14:paraId="434D8598">
                            <w:pPr>
                              <w:pStyle w:val="56"/>
                              <w:spacing w:before="133" w:line="280" w:lineRule="auto"/>
                              <w:ind w:left="7" w:right="4"/>
                              <w:rPr>
                                <w:rFonts w:ascii="宋体" w:hAnsi="宋体" w:cs="宋体"/>
                                <w:sz w:val="20"/>
                                <w:szCs w:val="20"/>
                                <w:lang w:eastAsia="zh-CN"/>
                              </w:rPr>
                            </w:pPr>
                            <w:r>
                              <w:rPr>
                                <w:rFonts w:hint="eastAsia" w:ascii="宋体" w:hAnsi="宋体" w:cs="宋体"/>
                                <w:spacing w:val="12"/>
                                <w:w w:val="99"/>
                                <w:sz w:val="20"/>
                                <w:szCs w:val="20"/>
                                <w:lang w:eastAsia="zh-CN"/>
                              </w:rPr>
                              <w:t>《普通照明用双端荧光</w:t>
                            </w:r>
                            <w:r>
                              <w:rPr>
                                <w:rFonts w:hint="eastAsia" w:ascii="宋体" w:hAnsi="宋体" w:cs="宋体"/>
                                <w:spacing w:val="9"/>
                                <w:w w:val="99"/>
                                <w:sz w:val="20"/>
                                <w:szCs w:val="20"/>
                                <w:lang w:eastAsia="zh-CN"/>
                              </w:rPr>
                              <w:t>灯</w:t>
                            </w:r>
                            <w:r>
                              <w:rPr>
                                <w:rFonts w:hint="eastAsia" w:ascii="宋体" w:hAnsi="宋体" w:cs="宋体"/>
                                <w:spacing w:val="12"/>
                                <w:w w:val="99"/>
                                <w:sz w:val="20"/>
                                <w:szCs w:val="20"/>
                                <w:lang w:eastAsia="zh-CN"/>
                              </w:rPr>
                              <w:t>能效</w:t>
                            </w:r>
                            <w:r>
                              <w:rPr>
                                <w:rFonts w:hint="eastAsia" w:ascii="宋体" w:hAnsi="宋体" w:cs="宋体"/>
                                <w:w w:val="99"/>
                                <w:sz w:val="20"/>
                                <w:szCs w:val="20"/>
                                <w:lang w:eastAsia="zh-CN"/>
                              </w:rPr>
                              <w:t>限定值及</w:t>
                            </w:r>
                            <w:r>
                              <w:rPr>
                                <w:rFonts w:hint="eastAsia" w:ascii="宋体" w:hAnsi="宋体" w:cs="宋体"/>
                                <w:spacing w:val="2"/>
                                <w:w w:val="99"/>
                                <w:sz w:val="20"/>
                                <w:szCs w:val="20"/>
                                <w:lang w:eastAsia="zh-CN"/>
                              </w:rPr>
                              <w:t>能</w:t>
                            </w:r>
                            <w:r>
                              <w:rPr>
                                <w:rFonts w:hint="eastAsia" w:ascii="宋体" w:hAnsi="宋体" w:cs="宋体"/>
                                <w:w w:val="99"/>
                                <w:sz w:val="20"/>
                                <w:szCs w:val="20"/>
                                <w:lang w:eastAsia="zh-CN"/>
                              </w:rPr>
                              <w:t>效等</w:t>
                            </w:r>
                            <w:r>
                              <w:rPr>
                                <w:rFonts w:hint="eastAsia" w:ascii="宋体" w:hAnsi="宋体" w:cs="宋体"/>
                                <w:spacing w:val="2"/>
                                <w:w w:val="99"/>
                                <w:sz w:val="20"/>
                                <w:szCs w:val="20"/>
                                <w:lang w:eastAsia="zh-CN"/>
                              </w:rPr>
                              <w:t>级</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19</w:t>
                            </w:r>
                            <w:r>
                              <w:rPr>
                                <w:rFonts w:hint="eastAsia" w:ascii="宋体" w:hAnsi="宋体" w:cs="宋体"/>
                                <w:w w:val="99"/>
                                <w:sz w:val="20"/>
                                <w:szCs w:val="20"/>
                                <w:lang w:eastAsia="zh-CN"/>
                              </w:rPr>
                              <w:t>04</w:t>
                            </w:r>
                            <w:r>
                              <w:rPr>
                                <w:rFonts w:hint="eastAsia" w:ascii="宋体" w:hAnsi="宋体" w:cs="宋体"/>
                                <w:spacing w:val="1"/>
                                <w:w w:val="99"/>
                                <w:sz w:val="20"/>
                                <w:szCs w:val="20"/>
                                <w:lang w:eastAsia="zh-CN"/>
                              </w:rPr>
                              <w:t>3</w:t>
                            </w:r>
                            <w:r>
                              <w:rPr>
                                <w:rFonts w:hint="eastAsia" w:ascii="宋体" w:hAnsi="宋体" w:cs="宋体"/>
                                <w:w w:val="99"/>
                                <w:sz w:val="20"/>
                                <w:szCs w:val="20"/>
                                <w:lang w:eastAsia="zh-CN"/>
                              </w:rPr>
                              <w:t>）</w:t>
                            </w:r>
                          </w:p>
                        </w:tc>
                      </w:tr>
                      <w:tr w14:paraId="3F97B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21" w:hRule="exact"/>
                        </w:trPr>
                        <w:tc>
                          <w:tcPr>
                            <w:tcW w:w="585" w:type="dxa"/>
                            <w:vMerge w:val="continue"/>
                            <w:tcBorders>
                              <w:top w:val="single" w:color="auto" w:sz="4" w:space="0"/>
                              <w:left w:val="single" w:color="auto" w:sz="4" w:space="0"/>
                              <w:bottom w:val="single" w:color="auto" w:sz="4" w:space="0"/>
                              <w:right w:val="single" w:color="auto" w:sz="4" w:space="0"/>
                            </w:tcBorders>
                            <w:noWrap w:val="0"/>
                            <w:vAlign w:val="center"/>
                          </w:tcPr>
                          <w:p w14:paraId="4C8A0592">
                            <w:pPr>
                              <w:widowControl/>
                              <w:jc w:val="left"/>
                              <w:rPr>
                                <w:rFonts w:ascii="宋体" w:hAnsi="宋体" w:eastAsia="Times New Roman" w:cs="宋体"/>
                                <w:kern w:val="0"/>
                                <w:sz w:val="20"/>
                                <w:szCs w:val="20"/>
                              </w:rPr>
                            </w:pPr>
                          </w:p>
                        </w:tc>
                        <w:tc>
                          <w:tcPr>
                            <w:tcW w:w="1305" w:type="dxa"/>
                            <w:vMerge w:val="continue"/>
                            <w:tcBorders>
                              <w:top w:val="single" w:color="auto" w:sz="4" w:space="0"/>
                              <w:left w:val="single" w:color="auto" w:sz="4" w:space="0"/>
                              <w:bottom w:val="single" w:color="auto" w:sz="4" w:space="0"/>
                              <w:right w:val="single" w:color="auto" w:sz="4" w:space="0"/>
                            </w:tcBorders>
                            <w:noWrap w:val="0"/>
                            <w:vAlign w:val="center"/>
                          </w:tcPr>
                          <w:p w14:paraId="02F0BD7C">
                            <w:pPr>
                              <w:widowControl/>
                              <w:jc w:val="left"/>
                              <w:rPr>
                                <w:rFonts w:ascii="宋体" w:hAnsi="宋体" w:eastAsia="Times New Roman" w:cs="宋体"/>
                                <w:kern w:val="0"/>
                                <w:sz w:val="20"/>
                                <w:szCs w:val="20"/>
                              </w:rPr>
                            </w:pPr>
                          </w:p>
                        </w:tc>
                        <w:tc>
                          <w:tcPr>
                            <w:tcW w:w="1665" w:type="dxa"/>
                            <w:tcBorders>
                              <w:top w:val="single" w:color="auto" w:sz="4" w:space="0"/>
                              <w:left w:val="single" w:color="auto" w:sz="4" w:space="0"/>
                              <w:bottom w:val="single" w:color="auto" w:sz="4" w:space="0"/>
                              <w:right w:val="single" w:color="auto" w:sz="4" w:space="0"/>
                            </w:tcBorders>
                            <w:noWrap w:val="0"/>
                            <w:vAlign w:val="top"/>
                          </w:tcPr>
                          <w:p w14:paraId="12F7203C">
                            <w:pPr>
                              <w:pStyle w:val="56"/>
                              <w:spacing w:before="92" w:line="280" w:lineRule="auto"/>
                              <w:ind w:left="7" w:right="2"/>
                              <w:rPr>
                                <w:rFonts w:ascii="宋体" w:hAnsi="宋体" w:cs="宋体"/>
                                <w:sz w:val="20"/>
                                <w:szCs w:val="20"/>
                              </w:rPr>
                            </w:pPr>
                            <w:r>
                              <w:rPr>
                                <w:rFonts w:hint="eastAsia" w:ascii="宋体" w:hAnsi="宋体" w:cs="宋体"/>
                                <w:spacing w:val="1"/>
                                <w:w w:val="99"/>
                                <w:sz w:val="20"/>
                                <w:szCs w:val="20"/>
                              </w:rPr>
                              <w:t>LE</w:t>
                            </w:r>
                            <w:r>
                              <w:rPr>
                                <w:rFonts w:hint="eastAsia" w:ascii="宋体" w:hAnsi="宋体" w:cs="宋体"/>
                                <w:w w:val="99"/>
                                <w:sz w:val="20"/>
                                <w:szCs w:val="20"/>
                              </w:rPr>
                              <w:t>D</w:t>
                            </w:r>
                            <w:r>
                              <w:rPr>
                                <w:rFonts w:hint="eastAsia" w:ascii="宋体" w:hAnsi="宋体" w:cs="宋体"/>
                                <w:spacing w:val="12"/>
                                <w:w w:val="99"/>
                                <w:sz w:val="20"/>
                                <w:szCs w:val="20"/>
                              </w:rPr>
                              <w:t>道</w:t>
                            </w:r>
                            <w:r>
                              <w:rPr>
                                <w:rFonts w:hint="eastAsia" w:ascii="宋体" w:hAnsi="宋体" w:cs="宋体"/>
                                <w:spacing w:val="9"/>
                                <w:w w:val="99"/>
                                <w:sz w:val="20"/>
                                <w:szCs w:val="20"/>
                              </w:rPr>
                              <w:t>路</w:t>
                            </w:r>
                            <w:r>
                              <w:rPr>
                                <w:rFonts w:hint="eastAsia" w:ascii="宋体" w:hAnsi="宋体" w:cs="宋体"/>
                                <w:spacing w:val="13"/>
                                <w:w w:val="99"/>
                                <w:sz w:val="20"/>
                                <w:szCs w:val="20"/>
                              </w:rPr>
                              <w:t>/</w:t>
                            </w:r>
                            <w:r>
                              <w:rPr>
                                <w:rFonts w:hint="eastAsia" w:ascii="宋体" w:hAnsi="宋体" w:cs="宋体"/>
                                <w:spacing w:val="12"/>
                                <w:w w:val="99"/>
                                <w:sz w:val="20"/>
                                <w:szCs w:val="20"/>
                              </w:rPr>
                              <w:t>隧道照</w:t>
                            </w:r>
                            <w:r>
                              <w:rPr>
                                <w:rFonts w:hint="eastAsia" w:ascii="宋体" w:hAnsi="宋体" w:cs="宋体"/>
                                <w:w w:val="99"/>
                                <w:sz w:val="20"/>
                                <w:szCs w:val="20"/>
                              </w:rPr>
                              <w:t>明产品</w:t>
                            </w:r>
                          </w:p>
                        </w:tc>
                        <w:tc>
                          <w:tcPr>
                            <w:tcW w:w="1770" w:type="dxa"/>
                            <w:tcBorders>
                              <w:top w:val="single" w:color="auto" w:sz="4" w:space="0"/>
                              <w:left w:val="single" w:color="auto" w:sz="4" w:space="0"/>
                              <w:bottom w:val="single" w:color="auto" w:sz="4" w:space="0"/>
                              <w:right w:val="single" w:color="auto" w:sz="4" w:space="0"/>
                            </w:tcBorders>
                            <w:noWrap w:val="0"/>
                            <w:vAlign w:val="top"/>
                          </w:tcPr>
                          <w:p w14:paraId="7BF31183">
                            <w:pPr>
                              <w:rPr>
                                <w:rFonts w:ascii="Calibri" w:hAnsi="Calibri"/>
                                <w:sz w:val="22"/>
                                <w:szCs w:val="22"/>
                              </w:rPr>
                            </w:pPr>
                          </w:p>
                        </w:tc>
                        <w:tc>
                          <w:tcPr>
                            <w:tcW w:w="3765" w:type="dxa"/>
                            <w:tcBorders>
                              <w:top w:val="single" w:color="auto" w:sz="4" w:space="0"/>
                              <w:left w:val="single" w:color="auto" w:sz="4" w:space="0"/>
                              <w:bottom w:val="single" w:color="auto" w:sz="4" w:space="0"/>
                              <w:right w:val="single" w:color="auto" w:sz="4" w:space="0"/>
                            </w:tcBorders>
                            <w:noWrap w:val="0"/>
                            <w:vAlign w:val="top"/>
                          </w:tcPr>
                          <w:p w14:paraId="7FB9E58B">
                            <w:pPr>
                              <w:pStyle w:val="56"/>
                              <w:spacing w:before="92" w:line="280" w:lineRule="auto"/>
                              <w:ind w:left="7" w:right="7"/>
                              <w:rPr>
                                <w:rFonts w:ascii="宋体" w:hAnsi="宋体" w:cs="宋体"/>
                                <w:sz w:val="20"/>
                                <w:szCs w:val="20"/>
                                <w:lang w:eastAsia="zh-CN"/>
                              </w:rPr>
                            </w:pPr>
                            <w:r>
                              <w:rPr>
                                <w:rFonts w:hint="eastAsia" w:ascii="宋体" w:hAnsi="宋体" w:cs="宋体"/>
                                <w:spacing w:val="4"/>
                                <w:w w:val="99"/>
                                <w:sz w:val="20"/>
                                <w:szCs w:val="20"/>
                                <w:lang w:eastAsia="zh-CN"/>
                              </w:rPr>
                              <w:t>《</w:t>
                            </w:r>
                            <w:r>
                              <w:rPr>
                                <w:rFonts w:hint="eastAsia" w:ascii="宋体" w:hAnsi="宋体" w:cs="宋体"/>
                                <w:spacing w:val="2"/>
                                <w:w w:val="99"/>
                                <w:sz w:val="20"/>
                                <w:szCs w:val="20"/>
                                <w:lang w:eastAsia="zh-CN"/>
                              </w:rPr>
                              <w:t>道</w:t>
                            </w:r>
                            <w:r>
                              <w:rPr>
                                <w:rFonts w:hint="eastAsia" w:ascii="宋体" w:hAnsi="宋体" w:cs="宋体"/>
                                <w:spacing w:val="4"/>
                                <w:w w:val="99"/>
                                <w:sz w:val="20"/>
                                <w:szCs w:val="20"/>
                                <w:lang w:eastAsia="zh-CN"/>
                              </w:rPr>
                              <w:t>路和隧道照</w:t>
                            </w:r>
                            <w:r>
                              <w:rPr>
                                <w:rFonts w:hint="eastAsia" w:ascii="宋体" w:hAnsi="宋体" w:cs="宋体"/>
                                <w:spacing w:val="2"/>
                                <w:w w:val="99"/>
                                <w:sz w:val="20"/>
                                <w:szCs w:val="20"/>
                                <w:lang w:eastAsia="zh-CN"/>
                              </w:rPr>
                              <w:t>明</w:t>
                            </w:r>
                            <w:r>
                              <w:rPr>
                                <w:rFonts w:hint="eastAsia" w:ascii="宋体" w:hAnsi="宋体" w:cs="宋体"/>
                                <w:w w:val="99"/>
                                <w:sz w:val="20"/>
                                <w:szCs w:val="20"/>
                                <w:lang w:eastAsia="zh-CN"/>
                              </w:rPr>
                              <w:t>用</w:t>
                            </w:r>
                            <w:r>
                              <w:rPr>
                                <w:rFonts w:hint="eastAsia" w:ascii="宋体" w:hAnsi="宋体" w:cs="宋体"/>
                                <w:spacing w:val="1"/>
                                <w:w w:val="99"/>
                                <w:sz w:val="20"/>
                                <w:szCs w:val="20"/>
                                <w:lang w:eastAsia="zh-CN"/>
                              </w:rPr>
                              <w:t>LE</w:t>
                            </w:r>
                            <w:r>
                              <w:rPr>
                                <w:rFonts w:hint="eastAsia" w:ascii="宋体" w:hAnsi="宋体" w:cs="宋体"/>
                                <w:w w:val="99"/>
                                <w:sz w:val="20"/>
                                <w:szCs w:val="20"/>
                                <w:lang w:eastAsia="zh-CN"/>
                              </w:rPr>
                              <w:t>D</w:t>
                            </w:r>
                            <w:r>
                              <w:rPr>
                                <w:rFonts w:hint="eastAsia" w:ascii="宋体" w:hAnsi="宋体" w:cs="宋体"/>
                                <w:spacing w:val="4"/>
                                <w:w w:val="99"/>
                                <w:sz w:val="20"/>
                                <w:szCs w:val="20"/>
                                <w:lang w:eastAsia="zh-CN"/>
                              </w:rPr>
                              <w:t>灯</w:t>
                            </w:r>
                            <w:r>
                              <w:rPr>
                                <w:rFonts w:hint="eastAsia" w:ascii="宋体" w:hAnsi="宋体" w:cs="宋体"/>
                                <w:spacing w:val="2"/>
                                <w:w w:val="99"/>
                                <w:sz w:val="20"/>
                                <w:szCs w:val="20"/>
                                <w:lang w:eastAsia="zh-CN"/>
                              </w:rPr>
                              <w:t>具</w:t>
                            </w:r>
                            <w:r>
                              <w:rPr>
                                <w:rFonts w:hint="eastAsia" w:ascii="宋体" w:hAnsi="宋体" w:cs="宋体"/>
                                <w:w w:val="99"/>
                                <w:sz w:val="20"/>
                                <w:szCs w:val="20"/>
                                <w:lang w:eastAsia="zh-CN"/>
                              </w:rPr>
                              <w:t>能效限定</w:t>
                            </w:r>
                            <w:r>
                              <w:rPr>
                                <w:rFonts w:hint="eastAsia" w:ascii="宋体" w:hAnsi="宋体" w:cs="宋体"/>
                                <w:spacing w:val="2"/>
                                <w:w w:val="99"/>
                                <w:sz w:val="20"/>
                                <w:szCs w:val="20"/>
                                <w:lang w:eastAsia="zh-CN"/>
                              </w:rPr>
                              <w:t>值</w:t>
                            </w:r>
                            <w:r>
                              <w:rPr>
                                <w:rFonts w:hint="eastAsia" w:ascii="宋体" w:hAnsi="宋体" w:cs="宋体"/>
                                <w:w w:val="99"/>
                                <w:sz w:val="20"/>
                                <w:szCs w:val="20"/>
                                <w:lang w:eastAsia="zh-CN"/>
                              </w:rPr>
                              <w:t>及能</w:t>
                            </w:r>
                            <w:r>
                              <w:rPr>
                                <w:rFonts w:hint="eastAsia" w:ascii="宋体" w:hAnsi="宋体" w:cs="宋体"/>
                                <w:spacing w:val="2"/>
                                <w:w w:val="99"/>
                                <w:sz w:val="20"/>
                                <w:szCs w:val="20"/>
                                <w:lang w:eastAsia="zh-CN"/>
                              </w:rPr>
                              <w:t>效</w:t>
                            </w:r>
                            <w:r>
                              <w:rPr>
                                <w:rFonts w:hint="eastAsia" w:ascii="宋体" w:hAnsi="宋体" w:cs="宋体"/>
                                <w:w w:val="99"/>
                                <w:sz w:val="20"/>
                                <w:szCs w:val="20"/>
                                <w:lang w:eastAsia="zh-CN"/>
                              </w:rPr>
                              <w:t>等级</w:t>
                            </w:r>
                            <w:r>
                              <w:rPr>
                                <w:rFonts w:hint="eastAsia" w:ascii="宋体" w:hAnsi="宋体" w:cs="宋体"/>
                                <w:spacing w:val="-106"/>
                                <w:w w:val="99"/>
                                <w:sz w:val="20"/>
                                <w:szCs w:val="20"/>
                                <w:lang w:eastAsia="zh-CN"/>
                              </w:rPr>
                              <w:t>》</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3747</w:t>
                            </w:r>
                            <w:r>
                              <w:rPr>
                                <w:rFonts w:hint="eastAsia" w:ascii="宋体" w:hAnsi="宋体" w:cs="宋体"/>
                                <w:w w:val="99"/>
                                <w:sz w:val="20"/>
                                <w:szCs w:val="20"/>
                                <w:lang w:eastAsia="zh-CN"/>
                              </w:rPr>
                              <w:t>8</w:t>
                            </w:r>
                          </w:p>
                        </w:tc>
                      </w:tr>
                      <w:tr w14:paraId="03267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04" w:hRule="exact"/>
                        </w:trPr>
                        <w:tc>
                          <w:tcPr>
                            <w:tcW w:w="585" w:type="dxa"/>
                            <w:vMerge w:val="continue"/>
                            <w:tcBorders>
                              <w:top w:val="single" w:color="auto" w:sz="4" w:space="0"/>
                              <w:left w:val="single" w:color="auto" w:sz="4" w:space="0"/>
                              <w:bottom w:val="single" w:color="auto" w:sz="4" w:space="0"/>
                              <w:right w:val="single" w:color="auto" w:sz="4" w:space="0"/>
                            </w:tcBorders>
                            <w:noWrap w:val="0"/>
                            <w:vAlign w:val="center"/>
                          </w:tcPr>
                          <w:p w14:paraId="3B11F340">
                            <w:pPr>
                              <w:widowControl/>
                              <w:jc w:val="left"/>
                              <w:rPr>
                                <w:rFonts w:ascii="宋体" w:hAnsi="宋体" w:eastAsia="Times New Roman" w:cs="宋体"/>
                                <w:kern w:val="0"/>
                                <w:sz w:val="20"/>
                                <w:szCs w:val="20"/>
                              </w:rPr>
                            </w:pPr>
                          </w:p>
                        </w:tc>
                        <w:tc>
                          <w:tcPr>
                            <w:tcW w:w="1305" w:type="dxa"/>
                            <w:vMerge w:val="continue"/>
                            <w:tcBorders>
                              <w:top w:val="single" w:color="auto" w:sz="4" w:space="0"/>
                              <w:left w:val="single" w:color="auto" w:sz="4" w:space="0"/>
                              <w:bottom w:val="single" w:color="auto" w:sz="4" w:space="0"/>
                              <w:right w:val="single" w:color="auto" w:sz="4" w:space="0"/>
                            </w:tcBorders>
                            <w:noWrap w:val="0"/>
                            <w:vAlign w:val="center"/>
                          </w:tcPr>
                          <w:p w14:paraId="05843B4F">
                            <w:pPr>
                              <w:widowControl/>
                              <w:jc w:val="left"/>
                              <w:rPr>
                                <w:rFonts w:ascii="宋体" w:hAnsi="宋体" w:eastAsia="Times New Roman" w:cs="宋体"/>
                                <w:kern w:val="0"/>
                                <w:sz w:val="20"/>
                                <w:szCs w:val="20"/>
                              </w:rPr>
                            </w:pPr>
                          </w:p>
                        </w:tc>
                        <w:tc>
                          <w:tcPr>
                            <w:tcW w:w="1665" w:type="dxa"/>
                            <w:tcBorders>
                              <w:top w:val="single" w:color="auto" w:sz="4" w:space="0"/>
                              <w:left w:val="single" w:color="auto" w:sz="4" w:space="0"/>
                              <w:bottom w:val="single" w:color="auto" w:sz="4" w:space="0"/>
                              <w:right w:val="single" w:color="auto" w:sz="4" w:space="0"/>
                            </w:tcBorders>
                            <w:noWrap w:val="0"/>
                            <w:vAlign w:val="top"/>
                          </w:tcPr>
                          <w:p w14:paraId="19FB6DE2">
                            <w:pPr>
                              <w:pStyle w:val="56"/>
                              <w:spacing w:before="4"/>
                              <w:rPr>
                                <w:rFonts w:ascii="宋体" w:hAnsi="宋体" w:cs="宋体"/>
                                <w:sz w:val="18"/>
                                <w:szCs w:val="18"/>
                                <w:lang w:eastAsia="zh-CN"/>
                              </w:rPr>
                            </w:pPr>
                          </w:p>
                          <w:p w14:paraId="718B5C08">
                            <w:pPr>
                              <w:pStyle w:val="56"/>
                              <w:ind w:left="7"/>
                              <w:rPr>
                                <w:rFonts w:ascii="宋体" w:hAnsi="宋体" w:cs="宋体"/>
                                <w:sz w:val="20"/>
                                <w:szCs w:val="20"/>
                              </w:rPr>
                            </w:pPr>
                            <w:r>
                              <w:rPr>
                                <w:rFonts w:hint="eastAsia" w:ascii="宋体" w:hAnsi="宋体" w:cs="宋体"/>
                                <w:spacing w:val="1"/>
                                <w:w w:val="99"/>
                                <w:sz w:val="20"/>
                                <w:szCs w:val="20"/>
                              </w:rPr>
                              <w:t>LE</w:t>
                            </w:r>
                            <w:r>
                              <w:rPr>
                                <w:rFonts w:hint="eastAsia" w:ascii="宋体" w:hAnsi="宋体" w:cs="宋体"/>
                                <w:w w:val="99"/>
                                <w:sz w:val="20"/>
                                <w:szCs w:val="20"/>
                              </w:rPr>
                              <w:t>D筒灯</w:t>
                            </w:r>
                          </w:p>
                        </w:tc>
                        <w:tc>
                          <w:tcPr>
                            <w:tcW w:w="1770" w:type="dxa"/>
                            <w:tcBorders>
                              <w:top w:val="single" w:color="auto" w:sz="4" w:space="0"/>
                              <w:left w:val="single" w:color="auto" w:sz="4" w:space="0"/>
                              <w:bottom w:val="single" w:color="auto" w:sz="4" w:space="0"/>
                              <w:right w:val="single" w:color="auto" w:sz="4" w:space="0"/>
                            </w:tcBorders>
                            <w:noWrap w:val="0"/>
                            <w:vAlign w:val="top"/>
                          </w:tcPr>
                          <w:p w14:paraId="007651A6">
                            <w:pPr>
                              <w:rPr>
                                <w:rFonts w:ascii="Calibri" w:hAnsi="Calibri"/>
                                <w:sz w:val="22"/>
                                <w:szCs w:val="22"/>
                              </w:rPr>
                            </w:pPr>
                          </w:p>
                        </w:tc>
                        <w:tc>
                          <w:tcPr>
                            <w:tcW w:w="3765" w:type="dxa"/>
                            <w:tcBorders>
                              <w:top w:val="single" w:color="auto" w:sz="4" w:space="0"/>
                              <w:left w:val="single" w:color="auto" w:sz="4" w:space="0"/>
                              <w:bottom w:val="single" w:color="auto" w:sz="4" w:space="0"/>
                              <w:right w:val="single" w:color="auto" w:sz="4" w:space="0"/>
                            </w:tcBorders>
                            <w:noWrap w:val="0"/>
                            <w:vAlign w:val="top"/>
                          </w:tcPr>
                          <w:p w14:paraId="49BB3615">
                            <w:pPr>
                              <w:pStyle w:val="56"/>
                              <w:spacing w:before="83" w:line="280" w:lineRule="auto"/>
                              <w:ind w:left="7" w:right="7"/>
                              <w:rPr>
                                <w:rFonts w:ascii="宋体" w:hAnsi="宋体" w:cs="宋体"/>
                                <w:sz w:val="20"/>
                                <w:szCs w:val="20"/>
                                <w:lang w:eastAsia="zh-CN"/>
                              </w:rPr>
                            </w:pPr>
                            <w:r>
                              <w:rPr>
                                <w:rFonts w:hint="eastAsia" w:ascii="宋体" w:hAnsi="宋体" w:cs="宋体"/>
                                <w:spacing w:val="4"/>
                                <w:w w:val="99"/>
                                <w:sz w:val="20"/>
                                <w:szCs w:val="20"/>
                                <w:lang w:eastAsia="zh-CN"/>
                              </w:rPr>
                              <w:t>《</w:t>
                            </w:r>
                            <w:r>
                              <w:rPr>
                                <w:rFonts w:hint="eastAsia" w:ascii="宋体" w:hAnsi="宋体" w:cs="宋体"/>
                                <w:spacing w:val="2"/>
                                <w:w w:val="99"/>
                                <w:sz w:val="20"/>
                                <w:szCs w:val="20"/>
                                <w:lang w:eastAsia="zh-CN"/>
                              </w:rPr>
                              <w:t>室</w:t>
                            </w:r>
                            <w:r>
                              <w:rPr>
                                <w:rFonts w:hint="eastAsia" w:ascii="宋体" w:hAnsi="宋体" w:cs="宋体"/>
                                <w:spacing w:val="4"/>
                                <w:w w:val="99"/>
                                <w:sz w:val="20"/>
                                <w:szCs w:val="20"/>
                                <w:lang w:eastAsia="zh-CN"/>
                              </w:rPr>
                              <w:t>内照明</w:t>
                            </w:r>
                            <w:r>
                              <w:rPr>
                                <w:rFonts w:hint="eastAsia" w:ascii="宋体" w:hAnsi="宋体" w:cs="宋体"/>
                                <w:w w:val="99"/>
                                <w:sz w:val="20"/>
                                <w:szCs w:val="20"/>
                                <w:lang w:eastAsia="zh-CN"/>
                              </w:rPr>
                              <w:t>用</w:t>
                            </w:r>
                            <w:r>
                              <w:rPr>
                                <w:rFonts w:hint="eastAsia" w:ascii="宋体" w:hAnsi="宋体" w:cs="宋体"/>
                                <w:spacing w:val="1"/>
                                <w:w w:val="99"/>
                                <w:sz w:val="20"/>
                                <w:szCs w:val="20"/>
                                <w:lang w:eastAsia="zh-CN"/>
                              </w:rPr>
                              <w:t>LE</w:t>
                            </w:r>
                            <w:r>
                              <w:rPr>
                                <w:rFonts w:hint="eastAsia" w:ascii="宋体" w:hAnsi="宋体" w:cs="宋体"/>
                                <w:w w:val="99"/>
                                <w:sz w:val="20"/>
                                <w:szCs w:val="20"/>
                                <w:lang w:eastAsia="zh-CN"/>
                              </w:rPr>
                              <w:t>D</w:t>
                            </w:r>
                            <w:r>
                              <w:rPr>
                                <w:rFonts w:hint="eastAsia" w:ascii="宋体" w:hAnsi="宋体" w:cs="宋体"/>
                                <w:spacing w:val="4"/>
                                <w:w w:val="99"/>
                                <w:sz w:val="20"/>
                                <w:szCs w:val="20"/>
                                <w:lang w:eastAsia="zh-CN"/>
                              </w:rPr>
                              <w:t>产</w:t>
                            </w:r>
                            <w:r>
                              <w:rPr>
                                <w:rFonts w:hint="eastAsia" w:ascii="宋体" w:hAnsi="宋体" w:cs="宋体"/>
                                <w:spacing w:val="2"/>
                                <w:w w:val="99"/>
                                <w:sz w:val="20"/>
                                <w:szCs w:val="20"/>
                                <w:lang w:eastAsia="zh-CN"/>
                              </w:rPr>
                              <w:t>品</w:t>
                            </w:r>
                            <w:r>
                              <w:rPr>
                                <w:rFonts w:hint="eastAsia" w:ascii="宋体" w:hAnsi="宋体" w:cs="宋体"/>
                                <w:spacing w:val="4"/>
                                <w:w w:val="99"/>
                                <w:sz w:val="20"/>
                                <w:szCs w:val="20"/>
                                <w:lang w:eastAsia="zh-CN"/>
                              </w:rPr>
                              <w:t>能效</w:t>
                            </w:r>
                            <w:r>
                              <w:rPr>
                                <w:rFonts w:hint="eastAsia" w:ascii="宋体" w:hAnsi="宋体" w:cs="宋体"/>
                                <w:spacing w:val="2"/>
                                <w:w w:val="99"/>
                                <w:sz w:val="20"/>
                                <w:szCs w:val="20"/>
                                <w:lang w:eastAsia="zh-CN"/>
                              </w:rPr>
                              <w:t>限</w:t>
                            </w:r>
                            <w:r>
                              <w:rPr>
                                <w:rFonts w:hint="eastAsia" w:ascii="宋体" w:hAnsi="宋体" w:cs="宋体"/>
                                <w:w w:val="99"/>
                                <w:sz w:val="20"/>
                                <w:szCs w:val="20"/>
                                <w:lang w:eastAsia="zh-CN"/>
                              </w:rPr>
                              <w:t>定值及能</w:t>
                            </w:r>
                            <w:r>
                              <w:rPr>
                                <w:rFonts w:hint="eastAsia" w:ascii="宋体" w:hAnsi="宋体" w:cs="宋体"/>
                                <w:spacing w:val="2"/>
                                <w:w w:val="99"/>
                                <w:sz w:val="20"/>
                                <w:szCs w:val="20"/>
                                <w:lang w:eastAsia="zh-CN"/>
                              </w:rPr>
                              <w:t>效</w:t>
                            </w:r>
                            <w:r>
                              <w:rPr>
                                <w:rFonts w:hint="eastAsia" w:ascii="宋体" w:hAnsi="宋体" w:cs="宋体"/>
                                <w:w w:val="99"/>
                                <w:sz w:val="20"/>
                                <w:szCs w:val="20"/>
                                <w:lang w:eastAsia="zh-CN"/>
                              </w:rPr>
                              <w:t>等级</w:t>
                            </w:r>
                            <w:r>
                              <w:rPr>
                                <w:rFonts w:hint="eastAsia" w:ascii="宋体" w:hAnsi="宋体" w:cs="宋体"/>
                                <w:spacing w:val="2"/>
                                <w:w w:val="99"/>
                                <w:sz w:val="20"/>
                                <w:szCs w:val="20"/>
                                <w:lang w:eastAsia="zh-CN"/>
                              </w:rPr>
                              <w:t>》</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30</w:t>
                            </w:r>
                            <w:r>
                              <w:rPr>
                                <w:rFonts w:hint="eastAsia" w:ascii="宋体" w:hAnsi="宋体" w:cs="宋体"/>
                                <w:w w:val="99"/>
                                <w:sz w:val="20"/>
                                <w:szCs w:val="20"/>
                                <w:lang w:eastAsia="zh-CN"/>
                              </w:rPr>
                              <w:t>25</w:t>
                            </w:r>
                            <w:r>
                              <w:rPr>
                                <w:rFonts w:hint="eastAsia" w:ascii="宋体" w:hAnsi="宋体" w:cs="宋体"/>
                                <w:spacing w:val="-2"/>
                                <w:w w:val="99"/>
                                <w:sz w:val="20"/>
                                <w:szCs w:val="20"/>
                                <w:lang w:eastAsia="zh-CN"/>
                              </w:rPr>
                              <w:t>5</w:t>
                            </w:r>
                            <w:r>
                              <w:rPr>
                                <w:rFonts w:hint="eastAsia" w:ascii="宋体" w:hAnsi="宋体" w:cs="宋体"/>
                                <w:w w:val="99"/>
                                <w:sz w:val="20"/>
                                <w:szCs w:val="20"/>
                                <w:lang w:eastAsia="zh-CN"/>
                              </w:rPr>
                              <w:t>）</w:t>
                            </w:r>
                          </w:p>
                        </w:tc>
                      </w:tr>
                      <w:tr w14:paraId="15DBA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42" w:hRule="exact"/>
                        </w:trPr>
                        <w:tc>
                          <w:tcPr>
                            <w:tcW w:w="585" w:type="dxa"/>
                            <w:vMerge w:val="continue"/>
                            <w:tcBorders>
                              <w:top w:val="single" w:color="auto" w:sz="4" w:space="0"/>
                              <w:left w:val="single" w:color="auto" w:sz="4" w:space="0"/>
                              <w:bottom w:val="single" w:color="auto" w:sz="4" w:space="0"/>
                              <w:right w:val="single" w:color="auto" w:sz="4" w:space="0"/>
                            </w:tcBorders>
                            <w:noWrap w:val="0"/>
                            <w:vAlign w:val="center"/>
                          </w:tcPr>
                          <w:p w14:paraId="6448A9BB">
                            <w:pPr>
                              <w:widowControl/>
                              <w:jc w:val="left"/>
                              <w:rPr>
                                <w:rFonts w:ascii="宋体" w:hAnsi="宋体" w:eastAsia="Times New Roman" w:cs="宋体"/>
                                <w:kern w:val="0"/>
                                <w:sz w:val="20"/>
                                <w:szCs w:val="20"/>
                              </w:rPr>
                            </w:pPr>
                          </w:p>
                        </w:tc>
                        <w:tc>
                          <w:tcPr>
                            <w:tcW w:w="1305" w:type="dxa"/>
                            <w:vMerge w:val="continue"/>
                            <w:tcBorders>
                              <w:top w:val="single" w:color="auto" w:sz="4" w:space="0"/>
                              <w:left w:val="single" w:color="auto" w:sz="4" w:space="0"/>
                              <w:bottom w:val="single" w:color="auto" w:sz="4" w:space="0"/>
                              <w:right w:val="single" w:color="auto" w:sz="4" w:space="0"/>
                            </w:tcBorders>
                            <w:noWrap w:val="0"/>
                            <w:vAlign w:val="center"/>
                          </w:tcPr>
                          <w:p w14:paraId="58B6DE57">
                            <w:pPr>
                              <w:widowControl/>
                              <w:jc w:val="left"/>
                              <w:rPr>
                                <w:rFonts w:ascii="宋体" w:hAnsi="宋体" w:eastAsia="Times New Roman" w:cs="宋体"/>
                                <w:kern w:val="0"/>
                                <w:sz w:val="20"/>
                                <w:szCs w:val="20"/>
                              </w:rPr>
                            </w:pPr>
                          </w:p>
                        </w:tc>
                        <w:tc>
                          <w:tcPr>
                            <w:tcW w:w="1665" w:type="dxa"/>
                            <w:tcBorders>
                              <w:top w:val="single" w:color="auto" w:sz="4" w:space="0"/>
                              <w:left w:val="single" w:color="auto" w:sz="4" w:space="0"/>
                              <w:bottom w:val="single" w:color="auto" w:sz="4" w:space="0"/>
                              <w:right w:val="single" w:color="auto" w:sz="4" w:space="0"/>
                            </w:tcBorders>
                            <w:noWrap w:val="0"/>
                            <w:vAlign w:val="top"/>
                          </w:tcPr>
                          <w:p w14:paraId="4C8D32F5">
                            <w:pPr>
                              <w:pStyle w:val="56"/>
                              <w:spacing w:before="5"/>
                              <w:rPr>
                                <w:rFonts w:ascii="宋体" w:hAnsi="宋体" w:cs="宋体"/>
                                <w:sz w:val="15"/>
                                <w:szCs w:val="15"/>
                                <w:lang w:eastAsia="zh-CN"/>
                              </w:rPr>
                            </w:pPr>
                          </w:p>
                          <w:p w14:paraId="2EC56E2D">
                            <w:pPr>
                              <w:pStyle w:val="56"/>
                              <w:spacing w:line="280" w:lineRule="auto"/>
                              <w:ind w:left="7" w:right="7"/>
                              <w:rPr>
                                <w:rFonts w:ascii="宋体" w:hAnsi="宋体" w:cs="宋体"/>
                                <w:sz w:val="20"/>
                                <w:szCs w:val="20"/>
                                <w:lang w:eastAsia="zh-CN"/>
                              </w:rPr>
                            </w:pPr>
                            <w:r>
                              <w:rPr>
                                <w:rFonts w:hint="eastAsia" w:ascii="宋体" w:hAnsi="宋体" w:cs="宋体"/>
                                <w:w w:val="99"/>
                                <w:sz w:val="20"/>
                                <w:szCs w:val="20"/>
                                <w:lang w:eastAsia="zh-CN"/>
                              </w:rPr>
                              <w:t>普</w:t>
                            </w:r>
                            <w:r>
                              <w:rPr>
                                <w:rFonts w:hint="eastAsia" w:ascii="宋体" w:hAnsi="宋体" w:cs="宋体"/>
                                <w:spacing w:val="24"/>
                                <w:w w:val="99"/>
                                <w:sz w:val="20"/>
                                <w:szCs w:val="20"/>
                                <w:lang w:eastAsia="zh-CN"/>
                              </w:rPr>
                              <w:t>通</w:t>
                            </w:r>
                            <w:r>
                              <w:rPr>
                                <w:rFonts w:hint="eastAsia" w:ascii="宋体" w:hAnsi="宋体" w:cs="宋体"/>
                                <w:w w:val="99"/>
                                <w:sz w:val="20"/>
                                <w:szCs w:val="20"/>
                                <w:lang w:eastAsia="zh-CN"/>
                              </w:rPr>
                              <w:t>照明用非</w:t>
                            </w:r>
                            <w:r>
                              <w:rPr>
                                <w:rFonts w:hint="eastAsia" w:ascii="宋体" w:hAnsi="宋体" w:cs="宋体"/>
                                <w:spacing w:val="24"/>
                                <w:w w:val="99"/>
                                <w:sz w:val="20"/>
                                <w:szCs w:val="20"/>
                                <w:lang w:eastAsia="zh-CN"/>
                              </w:rPr>
                              <w:t>定</w:t>
                            </w:r>
                            <w:r>
                              <w:rPr>
                                <w:rFonts w:hint="eastAsia" w:ascii="宋体" w:hAnsi="宋体" w:cs="宋体"/>
                                <w:w w:val="99"/>
                                <w:sz w:val="20"/>
                                <w:szCs w:val="20"/>
                                <w:lang w:eastAsia="zh-CN"/>
                              </w:rPr>
                              <w:t>向自镇流</w:t>
                            </w:r>
                            <w:r>
                              <w:rPr>
                                <w:rFonts w:hint="eastAsia" w:ascii="宋体" w:hAnsi="宋体" w:cs="宋体"/>
                                <w:spacing w:val="1"/>
                                <w:w w:val="99"/>
                                <w:sz w:val="20"/>
                                <w:szCs w:val="20"/>
                                <w:lang w:eastAsia="zh-CN"/>
                              </w:rPr>
                              <w:t>LE</w:t>
                            </w:r>
                            <w:r>
                              <w:rPr>
                                <w:rFonts w:hint="eastAsia" w:ascii="宋体" w:hAnsi="宋体" w:cs="宋体"/>
                                <w:w w:val="99"/>
                                <w:sz w:val="20"/>
                                <w:szCs w:val="20"/>
                                <w:lang w:eastAsia="zh-CN"/>
                              </w:rPr>
                              <w:t>D灯</w:t>
                            </w:r>
                          </w:p>
                        </w:tc>
                        <w:tc>
                          <w:tcPr>
                            <w:tcW w:w="1770" w:type="dxa"/>
                            <w:tcBorders>
                              <w:top w:val="single" w:color="auto" w:sz="4" w:space="0"/>
                              <w:left w:val="single" w:color="auto" w:sz="4" w:space="0"/>
                              <w:bottom w:val="single" w:color="auto" w:sz="4" w:space="0"/>
                              <w:right w:val="single" w:color="auto" w:sz="4" w:space="0"/>
                            </w:tcBorders>
                            <w:noWrap w:val="0"/>
                            <w:vAlign w:val="top"/>
                          </w:tcPr>
                          <w:p w14:paraId="76D1DAE1">
                            <w:pPr>
                              <w:rPr>
                                <w:rFonts w:ascii="Calibri" w:hAnsi="Calibri"/>
                                <w:sz w:val="22"/>
                                <w:szCs w:val="22"/>
                              </w:rPr>
                            </w:pPr>
                          </w:p>
                        </w:tc>
                        <w:tc>
                          <w:tcPr>
                            <w:tcW w:w="3765" w:type="dxa"/>
                            <w:tcBorders>
                              <w:top w:val="single" w:color="auto" w:sz="4" w:space="0"/>
                              <w:left w:val="single" w:color="auto" w:sz="4" w:space="0"/>
                              <w:bottom w:val="single" w:color="auto" w:sz="4" w:space="0"/>
                              <w:right w:val="single" w:color="auto" w:sz="4" w:space="0"/>
                            </w:tcBorders>
                            <w:noWrap w:val="0"/>
                            <w:vAlign w:val="top"/>
                          </w:tcPr>
                          <w:p w14:paraId="2ED8AF6E">
                            <w:pPr>
                              <w:pStyle w:val="56"/>
                              <w:spacing w:before="5"/>
                              <w:rPr>
                                <w:rFonts w:ascii="宋体" w:hAnsi="宋体" w:cs="宋体"/>
                                <w:sz w:val="15"/>
                                <w:szCs w:val="15"/>
                                <w:lang w:eastAsia="zh-CN"/>
                              </w:rPr>
                            </w:pPr>
                          </w:p>
                          <w:p w14:paraId="2BFF0CAC">
                            <w:pPr>
                              <w:pStyle w:val="56"/>
                              <w:spacing w:line="280" w:lineRule="auto"/>
                              <w:ind w:left="7" w:right="7"/>
                              <w:rPr>
                                <w:rFonts w:ascii="宋体" w:hAnsi="宋体" w:cs="宋体"/>
                                <w:sz w:val="20"/>
                                <w:szCs w:val="20"/>
                                <w:lang w:eastAsia="zh-CN"/>
                              </w:rPr>
                            </w:pPr>
                            <w:r>
                              <w:rPr>
                                <w:rFonts w:hint="eastAsia" w:ascii="宋体" w:hAnsi="宋体" w:cs="宋体"/>
                                <w:spacing w:val="4"/>
                                <w:w w:val="99"/>
                                <w:sz w:val="20"/>
                                <w:szCs w:val="20"/>
                                <w:lang w:eastAsia="zh-CN"/>
                              </w:rPr>
                              <w:t>《</w:t>
                            </w:r>
                            <w:r>
                              <w:rPr>
                                <w:rFonts w:hint="eastAsia" w:ascii="宋体" w:hAnsi="宋体" w:cs="宋体"/>
                                <w:spacing w:val="2"/>
                                <w:w w:val="99"/>
                                <w:sz w:val="20"/>
                                <w:szCs w:val="20"/>
                                <w:lang w:eastAsia="zh-CN"/>
                              </w:rPr>
                              <w:t>室</w:t>
                            </w:r>
                            <w:r>
                              <w:rPr>
                                <w:rFonts w:hint="eastAsia" w:ascii="宋体" w:hAnsi="宋体" w:cs="宋体"/>
                                <w:spacing w:val="4"/>
                                <w:w w:val="99"/>
                                <w:sz w:val="20"/>
                                <w:szCs w:val="20"/>
                                <w:lang w:eastAsia="zh-CN"/>
                              </w:rPr>
                              <w:t>内照明</w:t>
                            </w:r>
                            <w:r>
                              <w:rPr>
                                <w:rFonts w:hint="eastAsia" w:ascii="宋体" w:hAnsi="宋体" w:cs="宋体"/>
                                <w:w w:val="99"/>
                                <w:sz w:val="20"/>
                                <w:szCs w:val="20"/>
                                <w:lang w:eastAsia="zh-CN"/>
                              </w:rPr>
                              <w:t>用</w:t>
                            </w:r>
                            <w:r>
                              <w:rPr>
                                <w:rFonts w:hint="eastAsia" w:ascii="宋体" w:hAnsi="宋体" w:cs="宋体"/>
                                <w:spacing w:val="1"/>
                                <w:w w:val="99"/>
                                <w:sz w:val="20"/>
                                <w:szCs w:val="20"/>
                                <w:lang w:eastAsia="zh-CN"/>
                              </w:rPr>
                              <w:t>LE</w:t>
                            </w:r>
                            <w:r>
                              <w:rPr>
                                <w:rFonts w:hint="eastAsia" w:ascii="宋体" w:hAnsi="宋体" w:cs="宋体"/>
                                <w:w w:val="99"/>
                                <w:sz w:val="20"/>
                                <w:szCs w:val="20"/>
                                <w:lang w:eastAsia="zh-CN"/>
                              </w:rPr>
                              <w:t>D</w:t>
                            </w:r>
                            <w:r>
                              <w:rPr>
                                <w:rFonts w:hint="eastAsia" w:ascii="宋体" w:hAnsi="宋体" w:cs="宋体"/>
                                <w:spacing w:val="4"/>
                                <w:w w:val="99"/>
                                <w:sz w:val="20"/>
                                <w:szCs w:val="20"/>
                                <w:lang w:eastAsia="zh-CN"/>
                              </w:rPr>
                              <w:t>产</w:t>
                            </w:r>
                            <w:r>
                              <w:rPr>
                                <w:rFonts w:hint="eastAsia" w:ascii="宋体" w:hAnsi="宋体" w:cs="宋体"/>
                                <w:spacing w:val="2"/>
                                <w:w w:val="99"/>
                                <w:sz w:val="20"/>
                                <w:szCs w:val="20"/>
                                <w:lang w:eastAsia="zh-CN"/>
                              </w:rPr>
                              <w:t>品</w:t>
                            </w:r>
                            <w:r>
                              <w:rPr>
                                <w:rFonts w:hint="eastAsia" w:ascii="宋体" w:hAnsi="宋体" w:cs="宋体"/>
                                <w:spacing w:val="4"/>
                                <w:w w:val="99"/>
                                <w:sz w:val="20"/>
                                <w:szCs w:val="20"/>
                                <w:lang w:eastAsia="zh-CN"/>
                              </w:rPr>
                              <w:t>能效</w:t>
                            </w:r>
                            <w:r>
                              <w:rPr>
                                <w:rFonts w:hint="eastAsia" w:ascii="宋体" w:hAnsi="宋体" w:cs="宋体"/>
                                <w:spacing w:val="2"/>
                                <w:w w:val="99"/>
                                <w:sz w:val="20"/>
                                <w:szCs w:val="20"/>
                                <w:lang w:eastAsia="zh-CN"/>
                              </w:rPr>
                              <w:t>限</w:t>
                            </w:r>
                            <w:r>
                              <w:rPr>
                                <w:rFonts w:hint="eastAsia" w:ascii="宋体" w:hAnsi="宋体" w:cs="宋体"/>
                                <w:w w:val="99"/>
                                <w:sz w:val="20"/>
                                <w:szCs w:val="20"/>
                                <w:lang w:eastAsia="zh-CN"/>
                              </w:rPr>
                              <w:t>定值及能</w:t>
                            </w:r>
                            <w:r>
                              <w:rPr>
                                <w:rFonts w:hint="eastAsia" w:ascii="宋体" w:hAnsi="宋体" w:cs="宋体"/>
                                <w:spacing w:val="2"/>
                                <w:w w:val="99"/>
                                <w:sz w:val="20"/>
                                <w:szCs w:val="20"/>
                                <w:lang w:eastAsia="zh-CN"/>
                              </w:rPr>
                              <w:t>效</w:t>
                            </w:r>
                            <w:r>
                              <w:rPr>
                                <w:rFonts w:hint="eastAsia" w:ascii="宋体" w:hAnsi="宋体" w:cs="宋体"/>
                                <w:w w:val="99"/>
                                <w:sz w:val="20"/>
                                <w:szCs w:val="20"/>
                                <w:lang w:eastAsia="zh-CN"/>
                              </w:rPr>
                              <w:t>等级</w:t>
                            </w:r>
                            <w:r>
                              <w:rPr>
                                <w:rFonts w:hint="eastAsia" w:ascii="宋体" w:hAnsi="宋体" w:cs="宋体"/>
                                <w:spacing w:val="2"/>
                                <w:w w:val="99"/>
                                <w:sz w:val="20"/>
                                <w:szCs w:val="20"/>
                                <w:lang w:eastAsia="zh-CN"/>
                              </w:rPr>
                              <w:t>》</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30</w:t>
                            </w:r>
                            <w:r>
                              <w:rPr>
                                <w:rFonts w:hint="eastAsia" w:ascii="宋体" w:hAnsi="宋体" w:cs="宋体"/>
                                <w:w w:val="99"/>
                                <w:sz w:val="20"/>
                                <w:szCs w:val="20"/>
                                <w:lang w:eastAsia="zh-CN"/>
                              </w:rPr>
                              <w:t>25</w:t>
                            </w:r>
                            <w:r>
                              <w:rPr>
                                <w:rFonts w:hint="eastAsia" w:ascii="宋体" w:hAnsi="宋体" w:cs="宋体"/>
                                <w:spacing w:val="-2"/>
                                <w:w w:val="99"/>
                                <w:sz w:val="20"/>
                                <w:szCs w:val="20"/>
                                <w:lang w:eastAsia="zh-CN"/>
                              </w:rPr>
                              <w:t>5</w:t>
                            </w:r>
                            <w:r>
                              <w:rPr>
                                <w:rFonts w:hint="eastAsia" w:ascii="宋体" w:hAnsi="宋体" w:cs="宋体"/>
                                <w:w w:val="99"/>
                                <w:sz w:val="20"/>
                                <w:szCs w:val="20"/>
                                <w:lang w:eastAsia="zh-CN"/>
                              </w:rPr>
                              <w:t>）</w:t>
                            </w:r>
                          </w:p>
                        </w:tc>
                      </w:tr>
                      <w:tr w14:paraId="260CB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02" w:hRule="exact"/>
                        </w:trPr>
                        <w:tc>
                          <w:tcPr>
                            <w:tcW w:w="585" w:type="dxa"/>
                            <w:tcBorders>
                              <w:top w:val="single" w:color="auto" w:sz="4" w:space="0"/>
                              <w:left w:val="single" w:color="auto" w:sz="4" w:space="0"/>
                              <w:bottom w:val="single" w:color="auto" w:sz="4" w:space="0"/>
                              <w:right w:val="single" w:color="auto" w:sz="4" w:space="0"/>
                            </w:tcBorders>
                            <w:noWrap w:val="0"/>
                            <w:vAlign w:val="top"/>
                          </w:tcPr>
                          <w:p w14:paraId="4EDB51BB">
                            <w:pPr>
                              <w:pStyle w:val="56"/>
                              <w:spacing w:before="1"/>
                              <w:rPr>
                                <w:rFonts w:ascii="宋体" w:hAnsi="宋体" w:cs="宋体"/>
                                <w:sz w:val="18"/>
                                <w:szCs w:val="18"/>
                                <w:lang w:eastAsia="zh-CN"/>
                              </w:rPr>
                            </w:pPr>
                          </w:p>
                          <w:p w14:paraId="16489AF7">
                            <w:pPr>
                              <w:pStyle w:val="56"/>
                              <w:ind w:left="182"/>
                              <w:rPr>
                                <w:rFonts w:ascii="宋体" w:hAnsi="宋体" w:cs="宋体"/>
                                <w:sz w:val="20"/>
                                <w:szCs w:val="20"/>
                              </w:rPr>
                            </w:pPr>
                            <w:r>
                              <w:rPr>
                                <w:rFonts w:hint="eastAsia" w:ascii="宋体"/>
                                <w:spacing w:val="1"/>
                                <w:w w:val="99"/>
                                <w:sz w:val="20"/>
                              </w:rPr>
                              <w:t>1</w:t>
                            </w:r>
                            <w:r>
                              <w:rPr>
                                <w:rFonts w:hint="eastAsia" w:ascii="宋体"/>
                                <w:w w:val="99"/>
                                <w:sz w:val="20"/>
                              </w:rPr>
                              <w:t>2</w:t>
                            </w:r>
                          </w:p>
                        </w:tc>
                        <w:tc>
                          <w:tcPr>
                            <w:tcW w:w="1305" w:type="dxa"/>
                            <w:tcBorders>
                              <w:top w:val="single" w:color="auto" w:sz="4" w:space="0"/>
                              <w:left w:val="single" w:color="auto" w:sz="4" w:space="0"/>
                              <w:bottom w:val="single" w:color="auto" w:sz="4" w:space="0"/>
                              <w:right w:val="single" w:color="auto" w:sz="4" w:space="0"/>
                            </w:tcBorders>
                            <w:noWrap w:val="0"/>
                            <w:vAlign w:val="top"/>
                          </w:tcPr>
                          <w:p w14:paraId="23447054">
                            <w:pPr>
                              <w:pStyle w:val="56"/>
                              <w:spacing w:before="81"/>
                              <w:ind w:left="7"/>
                              <w:rPr>
                                <w:rFonts w:ascii="宋体" w:hAnsi="宋体" w:cs="宋体"/>
                                <w:sz w:val="20"/>
                                <w:szCs w:val="20"/>
                              </w:rPr>
                            </w:pPr>
                            <w:r>
                              <w:rPr>
                                <w:rFonts w:hint="eastAsia" w:ascii="宋体" w:hAnsi="宋体" w:cs="宋体"/>
                                <w:w w:val="99"/>
                                <w:sz w:val="20"/>
                                <w:szCs w:val="20"/>
                              </w:rPr>
                              <w:t>★</w:t>
                            </w:r>
                            <w:r>
                              <w:rPr>
                                <w:rFonts w:hint="eastAsia" w:ascii="宋体" w:hAnsi="宋体" w:cs="宋体"/>
                                <w:spacing w:val="1"/>
                                <w:w w:val="99"/>
                                <w:sz w:val="20"/>
                                <w:szCs w:val="20"/>
                              </w:rPr>
                              <w:t>A020</w:t>
                            </w:r>
                            <w:r>
                              <w:rPr>
                                <w:rFonts w:hint="eastAsia" w:ascii="宋体" w:hAnsi="宋体" w:cs="宋体"/>
                                <w:w w:val="99"/>
                                <w:sz w:val="20"/>
                                <w:szCs w:val="20"/>
                              </w:rPr>
                              <w:t>910电</w:t>
                            </w:r>
                          </w:p>
                          <w:p w14:paraId="64DB277B">
                            <w:pPr>
                              <w:pStyle w:val="56"/>
                              <w:spacing w:before="50"/>
                              <w:ind w:left="7"/>
                              <w:rPr>
                                <w:rFonts w:ascii="宋体" w:hAnsi="宋体" w:cs="宋体"/>
                                <w:sz w:val="20"/>
                                <w:szCs w:val="20"/>
                              </w:rPr>
                            </w:pPr>
                            <w:r>
                              <w:rPr>
                                <w:rFonts w:hint="eastAsia" w:ascii="宋体" w:hAnsi="宋体" w:cs="宋体"/>
                                <w:w w:val="99"/>
                                <w:sz w:val="20"/>
                                <w:szCs w:val="20"/>
                              </w:rPr>
                              <w:t>视设备</w:t>
                            </w:r>
                          </w:p>
                        </w:tc>
                        <w:tc>
                          <w:tcPr>
                            <w:tcW w:w="1665" w:type="dxa"/>
                            <w:tcBorders>
                              <w:top w:val="single" w:color="auto" w:sz="4" w:space="0"/>
                              <w:left w:val="single" w:color="auto" w:sz="4" w:space="0"/>
                              <w:bottom w:val="single" w:color="auto" w:sz="4" w:space="0"/>
                              <w:right w:val="single" w:color="auto" w:sz="4" w:space="0"/>
                            </w:tcBorders>
                            <w:noWrap w:val="0"/>
                            <w:vAlign w:val="top"/>
                          </w:tcPr>
                          <w:p w14:paraId="125D298D">
                            <w:pPr>
                              <w:pStyle w:val="56"/>
                              <w:spacing w:before="81" w:line="280" w:lineRule="auto"/>
                              <w:ind w:left="7" w:right="5"/>
                              <w:rPr>
                                <w:rFonts w:ascii="宋体" w:hAnsi="宋体" w:cs="宋体"/>
                                <w:sz w:val="20"/>
                                <w:szCs w:val="20"/>
                                <w:lang w:eastAsia="zh-CN"/>
                              </w:rPr>
                            </w:pPr>
                            <w:r>
                              <w:rPr>
                                <w:rFonts w:hint="eastAsia" w:ascii="宋体" w:hAnsi="宋体" w:cs="宋体"/>
                                <w:spacing w:val="1"/>
                                <w:w w:val="99"/>
                                <w:sz w:val="20"/>
                                <w:szCs w:val="20"/>
                                <w:lang w:eastAsia="zh-CN"/>
                              </w:rPr>
                              <w:t>A02</w:t>
                            </w:r>
                            <w:r>
                              <w:rPr>
                                <w:rFonts w:hint="eastAsia" w:ascii="宋体" w:hAnsi="宋体" w:cs="宋体"/>
                                <w:w w:val="99"/>
                                <w:sz w:val="20"/>
                                <w:szCs w:val="20"/>
                                <w:lang w:eastAsia="zh-CN"/>
                              </w:rPr>
                              <w:t>09</w:t>
                            </w:r>
                            <w:r>
                              <w:rPr>
                                <w:rFonts w:hint="eastAsia" w:ascii="宋体" w:hAnsi="宋体" w:cs="宋体"/>
                                <w:spacing w:val="1"/>
                                <w:w w:val="99"/>
                                <w:sz w:val="20"/>
                                <w:szCs w:val="20"/>
                                <w:lang w:eastAsia="zh-CN"/>
                              </w:rPr>
                              <w:t>1</w:t>
                            </w:r>
                            <w:r>
                              <w:rPr>
                                <w:rFonts w:hint="eastAsia" w:ascii="宋体" w:hAnsi="宋体" w:cs="宋体"/>
                                <w:w w:val="99"/>
                                <w:sz w:val="20"/>
                                <w:szCs w:val="20"/>
                                <w:lang w:eastAsia="zh-CN"/>
                              </w:rPr>
                              <w:t>001普通电视设备（</w:t>
                            </w:r>
                            <w:r>
                              <w:rPr>
                                <w:rFonts w:hint="eastAsia" w:ascii="宋体" w:hAnsi="宋体" w:cs="宋体"/>
                                <w:spacing w:val="2"/>
                                <w:w w:val="99"/>
                                <w:sz w:val="20"/>
                                <w:szCs w:val="20"/>
                                <w:lang w:eastAsia="zh-CN"/>
                              </w:rPr>
                              <w:t>电</w:t>
                            </w:r>
                            <w:r>
                              <w:rPr>
                                <w:rFonts w:hint="eastAsia" w:ascii="宋体" w:hAnsi="宋体" w:cs="宋体"/>
                                <w:w w:val="99"/>
                                <w:sz w:val="20"/>
                                <w:szCs w:val="20"/>
                                <w:lang w:eastAsia="zh-CN"/>
                              </w:rPr>
                              <w:t>视机）</w:t>
                            </w:r>
                          </w:p>
                        </w:tc>
                        <w:tc>
                          <w:tcPr>
                            <w:tcW w:w="1770" w:type="dxa"/>
                            <w:tcBorders>
                              <w:top w:val="single" w:color="auto" w:sz="4" w:space="0"/>
                              <w:left w:val="single" w:color="auto" w:sz="4" w:space="0"/>
                              <w:bottom w:val="single" w:color="auto" w:sz="4" w:space="0"/>
                              <w:right w:val="single" w:color="auto" w:sz="4" w:space="0"/>
                            </w:tcBorders>
                            <w:noWrap w:val="0"/>
                            <w:vAlign w:val="top"/>
                          </w:tcPr>
                          <w:p w14:paraId="49F6411D">
                            <w:pPr>
                              <w:rPr>
                                <w:rFonts w:ascii="Calibri" w:hAnsi="Calibri"/>
                                <w:sz w:val="22"/>
                                <w:szCs w:val="22"/>
                              </w:rPr>
                            </w:pPr>
                          </w:p>
                        </w:tc>
                        <w:tc>
                          <w:tcPr>
                            <w:tcW w:w="3765" w:type="dxa"/>
                            <w:tcBorders>
                              <w:top w:val="single" w:color="auto" w:sz="4" w:space="0"/>
                              <w:left w:val="single" w:color="auto" w:sz="4" w:space="0"/>
                              <w:bottom w:val="single" w:color="auto" w:sz="4" w:space="0"/>
                              <w:right w:val="single" w:color="auto" w:sz="4" w:space="0"/>
                            </w:tcBorders>
                            <w:noWrap w:val="0"/>
                            <w:vAlign w:val="top"/>
                          </w:tcPr>
                          <w:p w14:paraId="3468C4A9">
                            <w:pPr>
                              <w:pStyle w:val="56"/>
                              <w:spacing w:before="81" w:line="280" w:lineRule="auto"/>
                              <w:ind w:left="7" w:right="4"/>
                              <w:rPr>
                                <w:rFonts w:ascii="宋体" w:hAnsi="宋体" w:cs="宋体"/>
                                <w:sz w:val="20"/>
                                <w:szCs w:val="20"/>
                                <w:lang w:eastAsia="zh-CN"/>
                              </w:rPr>
                            </w:pPr>
                            <w:r>
                              <w:rPr>
                                <w:rFonts w:hint="eastAsia" w:ascii="宋体" w:hAnsi="宋体" w:cs="宋体"/>
                                <w:spacing w:val="12"/>
                                <w:w w:val="99"/>
                                <w:sz w:val="20"/>
                                <w:szCs w:val="20"/>
                                <w:lang w:eastAsia="zh-CN"/>
                              </w:rPr>
                              <w:t>《平板电视能效限定值</w:t>
                            </w:r>
                            <w:r>
                              <w:rPr>
                                <w:rFonts w:hint="eastAsia" w:ascii="宋体" w:hAnsi="宋体" w:cs="宋体"/>
                                <w:spacing w:val="9"/>
                                <w:w w:val="99"/>
                                <w:sz w:val="20"/>
                                <w:szCs w:val="20"/>
                                <w:lang w:eastAsia="zh-CN"/>
                              </w:rPr>
                              <w:t>及</w:t>
                            </w:r>
                            <w:r>
                              <w:rPr>
                                <w:rFonts w:hint="eastAsia" w:ascii="宋体" w:hAnsi="宋体" w:cs="宋体"/>
                                <w:spacing w:val="12"/>
                                <w:w w:val="99"/>
                                <w:sz w:val="20"/>
                                <w:szCs w:val="20"/>
                                <w:lang w:eastAsia="zh-CN"/>
                              </w:rPr>
                              <w:t>能效</w:t>
                            </w:r>
                            <w:r>
                              <w:rPr>
                                <w:rFonts w:hint="eastAsia" w:ascii="宋体" w:hAnsi="宋体" w:cs="宋体"/>
                                <w:w w:val="99"/>
                                <w:sz w:val="20"/>
                                <w:szCs w:val="20"/>
                                <w:lang w:eastAsia="zh-CN"/>
                              </w:rPr>
                              <w:t>等级》（</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248</w:t>
                            </w:r>
                            <w:r>
                              <w:rPr>
                                <w:rFonts w:hint="eastAsia" w:ascii="宋体" w:hAnsi="宋体" w:cs="宋体"/>
                                <w:w w:val="99"/>
                                <w:sz w:val="20"/>
                                <w:szCs w:val="20"/>
                                <w:lang w:eastAsia="zh-CN"/>
                              </w:rPr>
                              <w:t>50）</w:t>
                            </w:r>
                          </w:p>
                        </w:tc>
                      </w:tr>
                      <w:tr w14:paraId="4FFE0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42" w:hRule="exact"/>
                        </w:trPr>
                        <w:tc>
                          <w:tcPr>
                            <w:tcW w:w="585" w:type="dxa"/>
                            <w:tcBorders>
                              <w:top w:val="single" w:color="auto" w:sz="4" w:space="0"/>
                              <w:left w:val="single" w:color="auto" w:sz="4" w:space="0"/>
                              <w:bottom w:val="single" w:color="auto" w:sz="4" w:space="0"/>
                              <w:right w:val="single" w:color="auto" w:sz="4" w:space="0"/>
                            </w:tcBorders>
                            <w:noWrap w:val="0"/>
                            <w:vAlign w:val="top"/>
                          </w:tcPr>
                          <w:p w14:paraId="1B11292D">
                            <w:pPr>
                              <w:pStyle w:val="56"/>
                              <w:rPr>
                                <w:rFonts w:ascii="宋体" w:hAnsi="宋体" w:cs="宋体"/>
                                <w:sz w:val="20"/>
                                <w:szCs w:val="20"/>
                                <w:lang w:eastAsia="zh-CN"/>
                              </w:rPr>
                            </w:pPr>
                          </w:p>
                          <w:p w14:paraId="73B93119">
                            <w:pPr>
                              <w:pStyle w:val="56"/>
                              <w:rPr>
                                <w:rFonts w:hint="eastAsia" w:ascii="宋体" w:hAnsi="宋体" w:cs="宋体"/>
                                <w:sz w:val="20"/>
                                <w:szCs w:val="20"/>
                                <w:lang w:eastAsia="zh-CN"/>
                              </w:rPr>
                            </w:pPr>
                          </w:p>
                          <w:p w14:paraId="1596AC53">
                            <w:pPr>
                              <w:pStyle w:val="56"/>
                              <w:spacing w:before="10"/>
                              <w:rPr>
                                <w:rFonts w:hint="eastAsia" w:ascii="宋体" w:hAnsi="宋体" w:cs="宋体"/>
                                <w:sz w:val="21"/>
                                <w:szCs w:val="21"/>
                                <w:lang w:eastAsia="zh-CN"/>
                              </w:rPr>
                            </w:pPr>
                          </w:p>
                          <w:p w14:paraId="3BAA6266">
                            <w:pPr>
                              <w:pStyle w:val="56"/>
                              <w:ind w:left="182"/>
                              <w:rPr>
                                <w:rFonts w:ascii="宋体" w:hAnsi="宋体" w:cs="宋体"/>
                                <w:sz w:val="20"/>
                                <w:szCs w:val="20"/>
                              </w:rPr>
                            </w:pPr>
                            <w:r>
                              <w:rPr>
                                <w:rFonts w:hint="eastAsia" w:ascii="宋体"/>
                                <w:spacing w:val="1"/>
                                <w:w w:val="99"/>
                                <w:sz w:val="20"/>
                              </w:rPr>
                              <w:t>1</w:t>
                            </w:r>
                            <w:r>
                              <w:rPr>
                                <w:rFonts w:hint="eastAsia" w:ascii="宋体"/>
                                <w:w w:val="99"/>
                                <w:sz w:val="20"/>
                              </w:rPr>
                              <w:t>3</w:t>
                            </w:r>
                          </w:p>
                        </w:tc>
                        <w:tc>
                          <w:tcPr>
                            <w:tcW w:w="1305" w:type="dxa"/>
                            <w:tcBorders>
                              <w:top w:val="single" w:color="auto" w:sz="4" w:space="0"/>
                              <w:left w:val="single" w:color="auto" w:sz="4" w:space="0"/>
                              <w:bottom w:val="single" w:color="auto" w:sz="4" w:space="0"/>
                              <w:right w:val="single" w:color="auto" w:sz="4" w:space="0"/>
                            </w:tcBorders>
                            <w:noWrap w:val="0"/>
                            <w:vAlign w:val="top"/>
                          </w:tcPr>
                          <w:p w14:paraId="22C2FF3B">
                            <w:pPr>
                              <w:pStyle w:val="56"/>
                              <w:rPr>
                                <w:rFonts w:ascii="宋体" w:hAnsi="宋体" w:cs="宋体"/>
                                <w:sz w:val="20"/>
                                <w:szCs w:val="20"/>
                              </w:rPr>
                            </w:pPr>
                          </w:p>
                          <w:p w14:paraId="06366B83">
                            <w:pPr>
                              <w:pStyle w:val="56"/>
                              <w:spacing w:before="11"/>
                              <w:rPr>
                                <w:rFonts w:hint="eastAsia" w:ascii="宋体" w:hAnsi="宋体" w:cs="宋体"/>
                                <w:sz w:val="29"/>
                                <w:szCs w:val="29"/>
                              </w:rPr>
                            </w:pPr>
                          </w:p>
                          <w:p w14:paraId="4D463994">
                            <w:pPr>
                              <w:pStyle w:val="56"/>
                              <w:ind w:left="7"/>
                              <w:rPr>
                                <w:rFonts w:hint="eastAsia" w:ascii="宋体" w:hAnsi="宋体" w:cs="宋体"/>
                                <w:sz w:val="20"/>
                                <w:szCs w:val="20"/>
                              </w:rPr>
                            </w:pPr>
                            <w:r>
                              <w:rPr>
                                <w:rFonts w:hint="eastAsia" w:ascii="宋体" w:hAnsi="宋体" w:cs="宋体"/>
                                <w:w w:val="99"/>
                                <w:sz w:val="20"/>
                                <w:szCs w:val="20"/>
                              </w:rPr>
                              <w:t>★</w:t>
                            </w:r>
                            <w:r>
                              <w:rPr>
                                <w:rFonts w:hint="eastAsia" w:ascii="宋体" w:hAnsi="宋体" w:cs="宋体"/>
                                <w:spacing w:val="1"/>
                                <w:w w:val="99"/>
                                <w:sz w:val="20"/>
                                <w:szCs w:val="20"/>
                              </w:rPr>
                              <w:t>A020</w:t>
                            </w:r>
                            <w:r>
                              <w:rPr>
                                <w:rFonts w:hint="eastAsia" w:ascii="宋体" w:hAnsi="宋体" w:cs="宋体"/>
                                <w:w w:val="99"/>
                                <w:sz w:val="20"/>
                                <w:szCs w:val="20"/>
                              </w:rPr>
                              <w:t>911视</w:t>
                            </w:r>
                          </w:p>
                          <w:p w14:paraId="73410674">
                            <w:pPr>
                              <w:pStyle w:val="56"/>
                              <w:spacing w:before="50"/>
                              <w:ind w:left="7"/>
                              <w:rPr>
                                <w:rFonts w:ascii="宋体" w:hAnsi="宋体" w:cs="宋体"/>
                                <w:sz w:val="20"/>
                                <w:szCs w:val="20"/>
                              </w:rPr>
                            </w:pPr>
                            <w:r>
                              <w:rPr>
                                <w:rFonts w:hint="eastAsia" w:ascii="宋体" w:hAnsi="宋体" w:cs="宋体"/>
                                <w:w w:val="99"/>
                                <w:sz w:val="20"/>
                                <w:szCs w:val="20"/>
                              </w:rPr>
                              <w:t>频设备</w:t>
                            </w:r>
                          </w:p>
                        </w:tc>
                        <w:tc>
                          <w:tcPr>
                            <w:tcW w:w="1665" w:type="dxa"/>
                            <w:tcBorders>
                              <w:top w:val="single" w:color="auto" w:sz="4" w:space="0"/>
                              <w:left w:val="single" w:color="auto" w:sz="4" w:space="0"/>
                              <w:bottom w:val="single" w:color="auto" w:sz="4" w:space="0"/>
                              <w:right w:val="single" w:color="auto" w:sz="4" w:space="0"/>
                            </w:tcBorders>
                            <w:noWrap w:val="0"/>
                            <w:vAlign w:val="top"/>
                          </w:tcPr>
                          <w:p w14:paraId="476BBACC">
                            <w:pPr>
                              <w:pStyle w:val="56"/>
                              <w:rPr>
                                <w:rFonts w:ascii="宋体" w:hAnsi="宋体" w:cs="宋体"/>
                                <w:sz w:val="20"/>
                                <w:szCs w:val="20"/>
                              </w:rPr>
                            </w:pPr>
                          </w:p>
                          <w:p w14:paraId="15A15C50">
                            <w:pPr>
                              <w:pStyle w:val="56"/>
                              <w:spacing w:before="11"/>
                              <w:rPr>
                                <w:rFonts w:hint="eastAsia" w:ascii="宋体" w:hAnsi="宋体" w:cs="宋体"/>
                                <w:sz w:val="29"/>
                                <w:szCs w:val="29"/>
                              </w:rPr>
                            </w:pPr>
                          </w:p>
                          <w:p w14:paraId="21AA8F41">
                            <w:pPr>
                              <w:pStyle w:val="56"/>
                              <w:spacing w:line="280" w:lineRule="auto"/>
                              <w:ind w:left="7" w:right="5"/>
                              <w:rPr>
                                <w:rFonts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09</w:t>
                            </w:r>
                            <w:r>
                              <w:rPr>
                                <w:rFonts w:hint="eastAsia" w:ascii="宋体" w:hAnsi="宋体" w:cs="宋体"/>
                                <w:spacing w:val="1"/>
                                <w:w w:val="99"/>
                                <w:sz w:val="20"/>
                                <w:szCs w:val="20"/>
                              </w:rPr>
                              <w:t>1</w:t>
                            </w:r>
                            <w:r>
                              <w:rPr>
                                <w:rFonts w:hint="eastAsia" w:ascii="宋体" w:hAnsi="宋体" w:cs="宋体"/>
                                <w:w w:val="99"/>
                                <w:sz w:val="20"/>
                                <w:szCs w:val="20"/>
                              </w:rPr>
                              <w:t>107视频监控设备</w:t>
                            </w:r>
                          </w:p>
                        </w:tc>
                        <w:tc>
                          <w:tcPr>
                            <w:tcW w:w="1770" w:type="dxa"/>
                            <w:tcBorders>
                              <w:top w:val="single" w:color="auto" w:sz="4" w:space="0"/>
                              <w:left w:val="single" w:color="auto" w:sz="4" w:space="0"/>
                              <w:bottom w:val="single" w:color="auto" w:sz="4" w:space="0"/>
                              <w:right w:val="single" w:color="auto" w:sz="4" w:space="0"/>
                            </w:tcBorders>
                            <w:noWrap w:val="0"/>
                            <w:vAlign w:val="top"/>
                          </w:tcPr>
                          <w:p w14:paraId="7BB59260">
                            <w:pPr>
                              <w:pStyle w:val="56"/>
                              <w:rPr>
                                <w:rFonts w:ascii="宋体" w:hAnsi="宋体" w:cs="宋体"/>
                                <w:sz w:val="20"/>
                                <w:szCs w:val="20"/>
                              </w:rPr>
                            </w:pPr>
                          </w:p>
                          <w:p w14:paraId="5F7DAC89">
                            <w:pPr>
                              <w:pStyle w:val="56"/>
                              <w:rPr>
                                <w:rFonts w:hint="eastAsia" w:ascii="宋体" w:hAnsi="宋体" w:cs="宋体"/>
                                <w:sz w:val="20"/>
                                <w:szCs w:val="20"/>
                              </w:rPr>
                            </w:pPr>
                          </w:p>
                          <w:p w14:paraId="480BB365">
                            <w:pPr>
                              <w:pStyle w:val="56"/>
                              <w:spacing w:before="10"/>
                              <w:rPr>
                                <w:rFonts w:hint="eastAsia" w:ascii="宋体" w:hAnsi="宋体" w:cs="宋体"/>
                                <w:sz w:val="21"/>
                                <w:szCs w:val="21"/>
                              </w:rPr>
                            </w:pPr>
                          </w:p>
                          <w:p w14:paraId="7096E4FB">
                            <w:pPr>
                              <w:pStyle w:val="56"/>
                              <w:ind w:left="7"/>
                              <w:rPr>
                                <w:rFonts w:ascii="宋体" w:hAnsi="宋体" w:cs="宋体"/>
                                <w:sz w:val="20"/>
                                <w:szCs w:val="20"/>
                              </w:rPr>
                            </w:pPr>
                            <w:r>
                              <w:rPr>
                                <w:rFonts w:hint="eastAsia" w:ascii="宋体" w:hAnsi="宋体" w:cs="宋体"/>
                                <w:w w:val="99"/>
                                <w:sz w:val="20"/>
                                <w:szCs w:val="20"/>
                              </w:rPr>
                              <w:t>监视器</w:t>
                            </w:r>
                          </w:p>
                        </w:tc>
                        <w:tc>
                          <w:tcPr>
                            <w:tcW w:w="3765" w:type="dxa"/>
                            <w:tcBorders>
                              <w:top w:val="single" w:color="auto" w:sz="4" w:space="0"/>
                              <w:left w:val="single" w:color="auto" w:sz="4" w:space="0"/>
                              <w:bottom w:val="single" w:color="auto" w:sz="4" w:space="0"/>
                              <w:right w:val="single" w:color="auto" w:sz="4" w:space="0"/>
                            </w:tcBorders>
                            <w:noWrap w:val="0"/>
                            <w:vAlign w:val="top"/>
                          </w:tcPr>
                          <w:p w14:paraId="0C8A0BD8">
                            <w:pPr>
                              <w:pStyle w:val="56"/>
                              <w:spacing w:before="28" w:line="280" w:lineRule="auto"/>
                              <w:ind w:left="7" w:right="5"/>
                              <w:rPr>
                                <w:rFonts w:ascii="宋体" w:hAnsi="宋体" w:cs="宋体"/>
                                <w:sz w:val="20"/>
                                <w:szCs w:val="20"/>
                                <w:lang w:eastAsia="zh-CN"/>
                              </w:rPr>
                            </w:pPr>
                            <w:r>
                              <w:rPr>
                                <w:rFonts w:hint="eastAsia" w:ascii="宋体" w:hAnsi="宋体" w:cs="宋体"/>
                                <w:spacing w:val="12"/>
                                <w:w w:val="99"/>
                                <w:sz w:val="20"/>
                                <w:szCs w:val="20"/>
                                <w:lang w:eastAsia="zh-CN"/>
                              </w:rPr>
                              <w:t>以射频信号为主要信号</w:t>
                            </w:r>
                            <w:r>
                              <w:rPr>
                                <w:rFonts w:hint="eastAsia" w:ascii="宋体" w:hAnsi="宋体" w:cs="宋体"/>
                                <w:spacing w:val="9"/>
                                <w:w w:val="99"/>
                                <w:sz w:val="20"/>
                                <w:szCs w:val="20"/>
                                <w:lang w:eastAsia="zh-CN"/>
                              </w:rPr>
                              <w:t>输</w:t>
                            </w:r>
                            <w:r>
                              <w:rPr>
                                <w:rFonts w:hint="eastAsia" w:ascii="宋体" w:hAnsi="宋体" w:cs="宋体"/>
                                <w:spacing w:val="12"/>
                                <w:w w:val="99"/>
                                <w:sz w:val="20"/>
                                <w:szCs w:val="20"/>
                                <w:lang w:eastAsia="zh-CN"/>
                              </w:rPr>
                              <w:t>入的</w:t>
                            </w:r>
                            <w:r>
                              <w:rPr>
                                <w:rFonts w:hint="eastAsia" w:ascii="宋体" w:hAnsi="宋体" w:cs="宋体"/>
                                <w:w w:val="99"/>
                                <w:sz w:val="20"/>
                                <w:szCs w:val="20"/>
                                <w:lang w:eastAsia="zh-CN"/>
                              </w:rPr>
                              <w:t>监视器应</w:t>
                            </w:r>
                            <w:r>
                              <w:rPr>
                                <w:rFonts w:hint="eastAsia" w:ascii="宋体" w:hAnsi="宋体" w:cs="宋体"/>
                                <w:spacing w:val="2"/>
                                <w:w w:val="99"/>
                                <w:sz w:val="20"/>
                                <w:szCs w:val="20"/>
                                <w:lang w:eastAsia="zh-CN"/>
                              </w:rPr>
                              <w:t>符</w:t>
                            </w:r>
                            <w:r>
                              <w:rPr>
                                <w:rFonts w:hint="eastAsia" w:ascii="宋体" w:hAnsi="宋体" w:cs="宋体"/>
                                <w:spacing w:val="-58"/>
                                <w:w w:val="99"/>
                                <w:sz w:val="20"/>
                                <w:szCs w:val="20"/>
                                <w:lang w:eastAsia="zh-CN"/>
                              </w:rPr>
                              <w:t>合</w:t>
                            </w:r>
                            <w:r>
                              <w:rPr>
                                <w:rFonts w:hint="eastAsia" w:ascii="宋体" w:hAnsi="宋体" w:cs="宋体"/>
                                <w:spacing w:val="2"/>
                                <w:w w:val="99"/>
                                <w:sz w:val="20"/>
                                <w:szCs w:val="20"/>
                                <w:lang w:eastAsia="zh-CN"/>
                              </w:rPr>
                              <w:t>《</w:t>
                            </w:r>
                            <w:r>
                              <w:rPr>
                                <w:rFonts w:hint="eastAsia" w:ascii="宋体" w:hAnsi="宋体" w:cs="宋体"/>
                                <w:w w:val="99"/>
                                <w:sz w:val="20"/>
                                <w:szCs w:val="20"/>
                                <w:lang w:eastAsia="zh-CN"/>
                              </w:rPr>
                              <w:t>平板</w:t>
                            </w:r>
                            <w:r>
                              <w:rPr>
                                <w:rFonts w:hint="eastAsia" w:ascii="宋体" w:hAnsi="宋体" w:cs="宋体"/>
                                <w:spacing w:val="2"/>
                                <w:w w:val="99"/>
                                <w:sz w:val="20"/>
                                <w:szCs w:val="20"/>
                                <w:lang w:eastAsia="zh-CN"/>
                              </w:rPr>
                              <w:t>电</w:t>
                            </w:r>
                            <w:r>
                              <w:rPr>
                                <w:rFonts w:hint="eastAsia" w:ascii="宋体" w:hAnsi="宋体" w:cs="宋体"/>
                                <w:w w:val="99"/>
                                <w:sz w:val="20"/>
                                <w:szCs w:val="20"/>
                                <w:lang w:eastAsia="zh-CN"/>
                              </w:rPr>
                              <w:t>视能</w:t>
                            </w:r>
                            <w:r>
                              <w:rPr>
                                <w:rFonts w:hint="eastAsia" w:ascii="宋体" w:hAnsi="宋体" w:cs="宋体"/>
                                <w:spacing w:val="2"/>
                                <w:w w:val="99"/>
                                <w:sz w:val="20"/>
                                <w:szCs w:val="20"/>
                                <w:lang w:eastAsia="zh-CN"/>
                              </w:rPr>
                              <w:t>效</w:t>
                            </w:r>
                            <w:r>
                              <w:rPr>
                                <w:rFonts w:hint="eastAsia" w:ascii="宋体" w:hAnsi="宋体" w:cs="宋体"/>
                                <w:w w:val="99"/>
                                <w:sz w:val="20"/>
                                <w:szCs w:val="20"/>
                                <w:lang w:eastAsia="zh-CN"/>
                              </w:rPr>
                              <w:t>限定值及能效</w:t>
                            </w:r>
                            <w:r>
                              <w:rPr>
                                <w:rFonts w:hint="eastAsia" w:ascii="宋体" w:hAnsi="宋体" w:cs="宋体"/>
                                <w:spacing w:val="2"/>
                                <w:w w:val="99"/>
                                <w:sz w:val="20"/>
                                <w:szCs w:val="20"/>
                                <w:lang w:eastAsia="zh-CN"/>
                              </w:rPr>
                              <w:t>等</w:t>
                            </w:r>
                            <w:r>
                              <w:rPr>
                                <w:rFonts w:hint="eastAsia" w:ascii="宋体" w:hAnsi="宋体" w:cs="宋体"/>
                                <w:w w:val="99"/>
                                <w:sz w:val="20"/>
                                <w:szCs w:val="20"/>
                                <w:lang w:eastAsia="zh-CN"/>
                              </w:rPr>
                              <w:t>级》（</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24850</w:t>
                            </w:r>
                            <w:r>
                              <w:rPr>
                                <w:rFonts w:hint="eastAsia" w:ascii="宋体" w:hAnsi="宋体" w:cs="宋体"/>
                                <w:spacing w:val="-3"/>
                                <w:w w:val="99"/>
                                <w:sz w:val="20"/>
                                <w:szCs w:val="20"/>
                                <w:lang w:eastAsia="zh-CN"/>
                              </w:rPr>
                              <w:t>）</w:t>
                            </w:r>
                            <w:r>
                              <w:rPr>
                                <w:rFonts w:hint="eastAsia" w:ascii="宋体" w:hAnsi="宋体" w:cs="宋体"/>
                                <w:w w:val="99"/>
                                <w:sz w:val="20"/>
                                <w:szCs w:val="20"/>
                                <w:lang w:eastAsia="zh-CN"/>
                              </w:rPr>
                              <w:t>，</w:t>
                            </w:r>
                            <w:r>
                              <w:rPr>
                                <w:rFonts w:hint="eastAsia" w:ascii="宋体" w:hAnsi="宋体" w:cs="宋体"/>
                                <w:spacing w:val="12"/>
                                <w:w w:val="99"/>
                                <w:sz w:val="20"/>
                                <w:szCs w:val="20"/>
                                <w:lang w:eastAsia="zh-CN"/>
                              </w:rPr>
                              <w:t>以数字信号为主要信号</w:t>
                            </w:r>
                            <w:r>
                              <w:rPr>
                                <w:rFonts w:hint="eastAsia" w:ascii="宋体" w:hAnsi="宋体" w:cs="宋体"/>
                                <w:spacing w:val="9"/>
                                <w:w w:val="99"/>
                                <w:sz w:val="20"/>
                                <w:szCs w:val="20"/>
                                <w:lang w:eastAsia="zh-CN"/>
                              </w:rPr>
                              <w:t>输</w:t>
                            </w:r>
                            <w:r>
                              <w:rPr>
                                <w:rFonts w:hint="eastAsia" w:ascii="宋体" w:hAnsi="宋体" w:cs="宋体"/>
                                <w:spacing w:val="12"/>
                                <w:w w:val="99"/>
                                <w:sz w:val="20"/>
                                <w:szCs w:val="20"/>
                                <w:lang w:eastAsia="zh-CN"/>
                              </w:rPr>
                              <w:t>入的</w:t>
                            </w:r>
                            <w:r>
                              <w:rPr>
                                <w:rFonts w:hint="eastAsia" w:ascii="宋体" w:hAnsi="宋体" w:cs="宋体"/>
                                <w:w w:val="99"/>
                                <w:sz w:val="20"/>
                                <w:szCs w:val="20"/>
                                <w:lang w:eastAsia="zh-CN"/>
                              </w:rPr>
                              <w:t>监视器应</w:t>
                            </w:r>
                            <w:r>
                              <w:rPr>
                                <w:rFonts w:hint="eastAsia" w:ascii="宋体" w:hAnsi="宋体" w:cs="宋体"/>
                                <w:spacing w:val="2"/>
                                <w:w w:val="99"/>
                                <w:sz w:val="20"/>
                                <w:szCs w:val="20"/>
                                <w:lang w:eastAsia="zh-CN"/>
                              </w:rPr>
                              <w:t>符</w:t>
                            </w:r>
                            <w:r>
                              <w:rPr>
                                <w:rFonts w:hint="eastAsia" w:ascii="宋体" w:hAnsi="宋体" w:cs="宋体"/>
                                <w:spacing w:val="-58"/>
                                <w:w w:val="99"/>
                                <w:sz w:val="20"/>
                                <w:szCs w:val="20"/>
                                <w:lang w:eastAsia="zh-CN"/>
                              </w:rPr>
                              <w:t>合</w:t>
                            </w:r>
                            <w:r>
                              <w:rPr>
                                <w:rFonts w:hint="eastAsia" w:ascii="宋体" w:hAnsi="宋体" w:cs="宋体"/>
                                <w:spacing w:val="2"/>
                                <w:w w:val="99"/>
                                <w:sz w:val="20"/>
                                <w:szCs w:val="20"/>
                                <w:lang w:eastAsia="zh-CN"/>
                              </w:rPr>
                              <w:t>《</w:t>
                            </w:r>
                            <w:r>
                              <w:rPr>
                                <w:rFonts w:hint="eastAsia" w:ascii="宋体" w:hAnsi="宋体" w:cs="宋体"/>
                                <w:w w:val="99"/>
                                <w:sz w:val="20"/>
                                <w:szCs w:val="20"/>
                                <w:lang w:eastAsia="zh-CN"/>
                              </w:rPr>
                              <w:t>计算</w:t>
                            </w:r>
                            <w:r>
                              <w:rPr>
                                <w:rFonts w:hint="eastAsia" w:ascii="宋体" w:hAnsi="宋体" w:cs="宋体"/>
                                <w:spacing w:val="2"/>
                                <w:w w:val="99"/>
                                <w:sz w:val="20"/>
                                <w:szCs w:val="20"/>
                                <w:lang w:eastAsia="zh-CN"/>
                              </w:rPr>
                              <w:t>机</w:t>
                            </w:r>
                            <w:r>
                              <w:rPr>
                                <w:rFonts w:hint="eastAsia" w:ascii="宋体" w:hAnsi="宋体" w:cs="宋体"/>
                                <w:w w:val="99"/>
                                <w:sz w:val="20"/>
                                <w:szCs w:val="20"/>
                                <w:lang w:eastAsia="zh-CN"/>
                              </w:rPr>
                              <w:t>显示</w:t>
                            </w:r>
                            <w:r>
                              <w:rPr>
                                <w:rFonts w:hint="eastAsia" w:ascii="宋体" w:hAnsi="宋体" w:cs="宋体"/>
                                <w:spacing w:val="2"/>
                                <w:w w:val="99"/>
                                <w:sz w:val="20"/>
                                <w:szCs w:val="20"/>
                                <w:lang w:eastAsia="zh-CN"/>
                              </w:rPr>
                              <w:t>器</w:t>
                            </w:r>
                            <w:r>
                              <w:rPr>
                                <w:rFonts w:hint="eastAsia" w:ascii="宋体" w:hAnsi="宋体" w:cs="宋体"/>
                                <w:w w:val="99"/>
                                <w:sz w:val="20"/>
                                <w:szCs w:val="20"/>
                                <w:lang w:eastAsia="zh-CN"/>
                              </w:rPr>
                              <w:t>能效限定值及</w:t>
                            </w:r>
                            <w:r>
                              <w:rPr>
                                <w:rFonts w:hint="eastAsia" w:ascii="宋体" w:hAnsi="宋体" w:cs="宋体"/>
                                <w:spacing w:val="2"/>
                                <w:w w:val="99"/>
                                <w:sz w:val="20"/>
                                <w:szCs w:val="20"/>
                                <w:lang w:eastAsia="zh-CN"/>
                              </w:rPr>
                              <w:t>能</w:t>
                            </w:r>
                            <w:r>
                              <w:rPr>
                                <w:rFonts w:hint="eastAsia" w:ascii="宋体" w:hAnsi="宋体" w:cs="宋体"/>
                                <w:w w:val="99"/>
                                <w:sz w:val="20"/>
                                <w:szCs w:val="20"/>
                                <w:lang w:eastAsia="zh-CN"/>
                              </w:rPr>
                              <w:t>效等</w:t>
                            </w:r>
                            <w:r>
                              <w:rPr>
                                <w:rFonts w:hint="eastAsia" w:ascii="宋体" w:hAnsi="宋体" w:cs="宋体"/>
                                <w:spacing w:val="2"/>
                                <w:w w:val="99"/>
                                <w:sz w:val="20"/>
                                <w:szCs w:val="20"/>
                                <w:lang w:eastAsia="zh-CN"/>
                              </w:rPr>
                              <w:t>级</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21</w:t>
                            </w:r>
                            <w:r>
                              <w:rPr>
                                <w:rFonts w:hint="eastAsia" w:ascii="宋体" w:hAnsi="宋体" w:cs="宋体"/>
                                <w:w w:val="99"/>
                                <w:sz w:val="20"/>
                                <w:szCs w:val="20"/>
                                <w:lang w:eastAsia="zh-CN"/>
                              </w:rPr>
                              <w:t>52</w:t>
                            </w:r>
                            <w:r>
                              <w:rPr>
                                <w:rFonts w:hint="eastAsia" w:ascii="宋体" w:hAnsi="宋体" w:cs="宋体"/>
                                <w:spacing w:val="1"/>
                                <w:w w:val="99"/>
                                <w:sz w:val="20"/>
                                <w:szCs w:val="20"/>
                                <w:lang w:eastAsia="zh-CN"/>
                              </w:rPr>
                              <w:t>0</w:t>
                            </w:r>
                            <w:r>
                              <w:rPr>
                                <w:rFonts w:hint="eastAsia" w:ascii="宋体" w:hAnsi="宋体" w:cs="宋体"/>
                                <w:w w:val="99"/>
                                <w:sz w:val="20"/>
                                <w:szCs w:val="20"/>
                                <w:lang w:eastAsia="zh-CN"/>
                              </w:rPr>
                              <w:t>）</w:t>
                            </w:r>
                          </w:p>
                        </w:tc>
                      </w:tr>
                      <w:tr w14:paraId="62897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87" w:hRule="exact"/>
                        </w:trPr>
                        <w:tc>
                          <w:tcPr>
                            <w:tcW w:w="585" w:type="dxa"/>
                            <w:tcBorders>
                              <w:top w:val="single" w:color="auto" w:sz="4" w:space="0"/>
                              <w:left w:val="single" w:color="auto" w:sz="4" w:space="0"/>
                              <w:bottom w:val="single" w:color="auto" w:sz="4" w:space="0"/>
                              <w:right w:val="single" w:color="auto" w:sz="4" w:space="0"/>
                            </w:tcBorders>
                            <w:noWrap w:val="0"/>
                            <w:vAlign w:val="top"/>
                          </w:tcPr>
                          <w:p w14:paraId="040FA203">
                            <w:pPr>
                              <w:pStyle w:val="56"/>
                              <w:spacing w:before="10"/>
                              <w:rPr>
                                <w:rFonts w:ascii="宋体" w:hAnsi="宋体" w:cs="宋体"/>
                                <w:sz w:val="17"/>
                                <w:szCs w:val="17"/>
                                <w:lang w:eastAsia="zh-CN"/>
                              </w:rPr>
                            </w:pPr>
                          </w:p>
                          <w:p w14:paraId="4EE19E97">
                            <w:pPr>
                              <w:pStyle w:val="56"/>
                              <w:ind w:left="182"/>
                              <w:rPr>
                                <w:rFonts w:ascii="宋体" w:hAnsi="宋体" w:cs="宋体"/>
                                <w:sz w:val="20"/>
                                <w:szCs w:val="20"/>
                              </w:rPr>
                            </w:pPr>
                            <w:r>
                              <w:rPr>
                                <w:rFonts w:hint="eastAsia" w:ascii="宋体"/>
                                <w:spacing w:val="1"/>
                                <w:w w:val="99"/>
                                <w:sz w:val="20"/>
                              </w:rPr>
                              <w:t>1</w:t>
                            </w:r>
                            <w:r>
                              <w:rPr>
                                <w:rFonts w:hint="eastAsia" w:ascii="宋体"/>
                                <w:w w:val="99"/>
                                <w:sz w:val="20"/>
                              </w:rPr>
                              <w:t>4</w:t>
                            </w:r>
                          </w:p>
                        </w:tc>
                        <w:tc>
                          <w:tcPr>
                            <w:tcW w:w="1305" w:type="dxa"/>
                            <w:tcBorders>
                              <w:top w:val="single" w:color="auto" w:sz="4" w:space="0"/>
                              <w:left w:val="single" w:color="auto" w:sz="4" w:space="0"/>
                              <w:bottom w:val="single" w:color="auto" w:sz="4" w:space="0"/>
                              <w:right w:val="single" w:color="auto" w:sz="4" w:space="0"/>
                            </w:tcBorders>
                            <w:noWrap w:val="0"/>
                            <w:vAlign w:val="top"/>
                          </w:tcPr>
                          <w:p w14:paraId="509D2631">
                            <w:pPr>
                              <w:pStyle w:val="56"/>
                              <w:spacing w:before="76"/>
                              <w:ind w:left="7"/>
                              <w:rPr>
                                <w:rFonts w:ascii="宋体" w:hAnsi="宋体" w:cs="宋体"/>
                                <w:sz w:val="20"/>
                                <w:szCs w:val="20"/>
                              </w:rPr>
                            </w:pPr>
                            <w:r>
                              <w:rPr>
                                <w:rFonts w:hint="eastAsia" w:ascii="宋体" w:hAnsi="宋体" w:cs="宋体"/>
                                <w:spacing w:val="1"/>
                                <w:w w:val="99"/>
                                <w:sz w:val="20"/>
                                <w:szCs w:val="20"/>
                              </w:rPr>
                              <w:t>A03</w:t>
                            </w:r>
                            <w:r>
                              <w:rPr>
                                <w:rFonts w:hint="eastAsia" w:ascii="宋体" w:hAnsi="宋体" w:cs="宋体"/>
                                <w:w w:val="99"/>
                                <w:sz w:val="20"/>
                                <w:szCs w:val="20"/>
                              </w:rPr>
                              <w:t>12</w:t>
                            </w:r>
                            <w:r>
                              <w:rPr>
                                <w:rFonts w:hint="eastAsia" w:ascii="宋体" w:hAnsi="宋体" w:cs="宋体"/>
                                <w:spacing w:val="1"/>
                                <w:w w:val="99"/>
                                <w:sz w:val="20"/>
                                <w:szCs w:val="20"/>
                              </w:rPr>
                              <w:t>1</w:t>
                            </w:r>
                            <w:r>
                              <w:rPr>
                                <w:rFonts w:hint="eastAsia" w:ascii="宋体" w:hAnsi="宋体" w:cs="宋体"/>
                                <w:w w:val="99"/>
                                <w:sz w:val="20"/>
                                <w:szCs w:val="20"/>
                              </w:rPr>
                              <w:t>0饮食</w:t>
                            </w:r>
                          </w:p>
                          <w:p w14:paraId="672E0108">
                            <w:pPr>
                              <w:pStyle w:val="56"/>
                              <w:spacing w:before="50"/>
                              <w:ind w:left="7"/>
                              <w:rPr>
                                <w:rFonts w:ascii="宋体" w:hAnsi="宋体" w:cs="宋体"/>
                                <w:sz w:val="20"/>
                                <w:szCs w:val="20"/>
                              </w:rPr>
                            </w:pPr>
                            <w:r>
                              <w:rPr>
                                <w:rFonts w:hint="eastAsia" w:ascii="宋体" w:hAnsi="宋体" w:cs="宋体"/>
                                <w:w w:val="99"/>
                                <w:sz w:val="20"/>
                                <w:szCs w:val="20"/>
                              </w:rPr>
                              <w:t>炊事机械</w:t>
                            </w:r>
                          </w:p>
                        </w:tc>
                        <w:tc>
                          <w:tcPr>
                            <w:tcW w:w="1665" w:type="dxa"/>
                            <w:tcBorders>
                              <w:top w:val="single" w:color="auto" w:sz="4" w:space="0"/>
                              <w:left w:val="single" w:color="auto" w:sz="4" w:space="0"/>
                              <w:bottom w:val="single" w:color="auto" w:sz="4" w:space="0"/>
                              <w:right w:val="single" w:color="auto" w:sz="4" w:space="0"/>
                            </w:tcBorders>
                            <w:noWrap w:val="0"/>
                            <w:vAlign w:val="top"/>
                          </w:tcPr>
                          <w:p w14:paraId="7DB941CA">
                            <w:pPr>
                              <w:pStyle w:val="56"/>
                              <w:spacing w:before="10"/>
                              <w:rPr>
                                <w:rFonts w:ascii="宋体" w:hAnsi="宋体" w:cs="宋体"/>
                                <w:sz w:val="17"/>
                                <w:szCs w:val="17"/>
                              </w:rPr>
                            </w:pPr>
                          </w:p>
                          <w:p w14:paraId="7AAD90EC">
                            <w:pPr>
                              <w:pStyle w:val="56"/>
                              <w:ind w:left="7"/>
                              <w:rPr>
                                <w:rFonts w:ascii="宋体" w:hAnsi="宋体" w:cs="宋体"/>
                                <w:sz w:val="20"/>
                                <w:szCs w:val="20"/>
                              </w:rPr>
                            </w:pPr>
                            <w:r>
                              <w:rPr>
                                <w:rFonts w:hint="eastAsia" w:ascii="宋体" w:hAnsi="宋体" w:cs="宋体"/>
                                <w:w w:val="99"/>
                                <w:sz w:val="20"/>
                                <w:szCs w:val="20"/>
                              </w:rPr>
                              <w:t>商用燃</w:t>
                            </w:r>
                            <w:r>
                              <w:rPr>
                                <w:rFonts w:hint="eastAsia" w:ascii="宋体" w:hAnsi="宋体" w:cs="宋体"/>
                                <w:spacing w:val="2"/>
                                <w:w w:val="99"/>
                                <w:sz w:val="20"/>
                                <w:szCs w:val="20"/>
                              </w:rPr>
                              <w:t>气</w:t>
                            </w:r>
                            <w:r>
                              <w:rPr>
                                <w:rFonts w:hint="eastAsia" w:ascii="宋体" w:hAnsi="宋体" w:cs="宋体"/>
                                <w:w w:val="99"/>
                                <w:sz w:val="20"/>
                                <w:szCs w:val="20"/>
                              </w:rPr>
                              <w:t>灶具</w:t>
                            </w:r>
                          </w:p>
                        </w:tc>
                        <w:tc>
                          <w:tcPr>
                            <w:tcW w:w="1770" w:type="dxa"/>
                            <w:tcBorders>
                              <w:top w:val="single" w:color="auto" w:sz="4" w:space="0"/>
                              <w:left w:val="single" w:color="auto" w:sz="4" w:space="0"/>
                              <w:bottom w:val="single" w:color="auto" w:sz="4" w:space="0"/>
                              <w:right w:val="single" w:color="auto" w:sz="4" w:space="0"/>
                            </w:tcBorders>
                            <w:noWrap w:val="0"/>
                            <w:vAlign w:val="top"/>
                          </w:tcPr>
                          <w:p w14:paraId="244A6B1D">
                            <w:pPr>
                              <w:rPr>
                                <w:rFonts w:ascii="Calibri" w:hAnsi="Calibri"/>
                                <w:sz w:val="22"/>
                                <w:szCs w:val="22"/>
                              </w:rPr>
                            </w:pPr>
                          </w:p>
                        </w:tc>
                        <w:tc>
                          <w:tcPr>
                            <w:tcW w:w="3765" w:type="dxa"/>
                            <w:tcBorders>
                              <w:top w:val="single" w:color="auto" w:sz="4" w:space="0"/>
                              <w:left w:val="single" w:color="auto" w:sz="4" w:space="0"/>
                              <w:bottom w:val="single" w:color="auto" w:sz="4" w:space="0"/>
                              <w:right w:val="single" w:color="auto" w:sz="4" w:space="0"/>
                            </w:tcBorders>
                            <w:noWrap w:val="0"/>
                            <w:vAlign w:val="top"/>
                          </w:tcPr>
                          <w:p w14:paraId="04DACE17">
                            <w:pPr>
                              <w:pStyle w:val="56"/>
                              <w:spacing w:before="76" w:line="280" w:lineRule="auto"/>
                              <w:ind w:left="7" w:right="4"/>
                              <w:rPr>
                                <w:rFonts w:ascii="宋体" w:hAnsi="宋体" w:cs="宋体"/>
                                <w:sz w:val="20"/>
                                <w:szCs w:val="20"/>
                                <w:lang w:eastAsia="zh-CN"/>
                              </w:rPr>
                            </w:pPr>
                            <w:r>
                              <w:rPr>
                                <w:rFonts w:hint="eastAsia" w:ascii="宋体" w:hAnsi="宋体" w:cs="宋体"/>
                                <w:spacing w:val="12"/>
                                <w:w w:val="99"/>
                                <w:sz w:val="20"/>
                                <w:szCs w:val="20"/>
                                <w:lang w:eastAsia="zh-CN"/>
                              </w:rPr>
                              <w:t>《商用燃气灶具能效限</w:t>
                            </w:r>
                            <w:r>
                              <w:rPr>
                                <w:rFonts w:hint="eastAsia" w:ascii="宋体" w:hAnsi="宋体" w:cs="宋体"/>
                                <w:spacing w:val="9"/>
                                <w:w w:val="99"/>
                                <w:sz w:val="20"/>
                                <w:szCs w:val="20"/>
                                <w:lang w:eastAsia="zh-CN"/>
                              </w:rPr>
                              <w:t>定</w:t>
                            </w:r>
                            <w:r>
                              <w:rPr>
                                <w:rFonts w:hint="eastAsia" w:ascii="宋体" w:hAnsi="宋体" w:cs="宋体"/>
                                <w:spacing w:val="12"/>
                                <w:w w:val="99"/>
                                <w:sz w:val="20"/>
                                <w:szCs w:val="20"/>
                                <w:lang w:eastAsia="zh-CN"/>
                              </w:rPr>
                              <w:t>值及</w:t>
                            </w:r>
                            <w:r>
                              <w:rPr>
                                <w:rFonts w:hint="eastAsia" w:ascii="宋体" w:hAnsi="宋体" w:cs="宋体"/>
                                <w:w w:val="99"/>
                                <w:sz w:val="20"/>
                                <w:szCs w:val="20"/>
                                <w:lang w:eastAsia="zh-CN"/>
                              </w:rPr>
                              <w:t>能效等级</w:t>
                            </w:r>
                            <w:r>
                              <w:rPr>
                                <w:rFonts w:hint="eastAsia" w:ascii="宋体" w:hAnsi="宋体" w:cs="宋体"/>
                                <w:spacing w:val="2"/>
                                <w:w w:val="99"/>
                                <w:sz w:val="20"/>
                                <w:szCs w:val="20"/>
                                <w:lang w:eastAsia="zh-CN"/>
                              </w:rPr>
                              <w:t>》</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30</w:t>
                            </w:r>
                            <w:r>
                              <w:rPr>
                                <w:rFonts w:hint="eastAsia" w:ascii="宋体" w:hAnsi="宋体" w:cs="宋体"/>
                                <w:w w:val="99"/>
                                <w:sz w:val="20"/>
                                <w:szCs w:val="20"/>
                                <w:lang w:eastAsia="zh-CN"/>
                              </w:rPr>
                              <w:t>53</w:t>
                            </w:r>
                            <w:r>
                              <w:rPr>
                                <w:rFonts w:hint="eastAsia" w:ascii="宋体" w:hAnsi="宋体" w:cs="宋体"/>
                                <w:spacing w:val="1"/>
                                <w:w w:val="99"/>
                                <w:sz w:val="20"/>
                                <w:szCs w:val="20"/>
                                <w:lang w:eastAsia="zh-CN"/>
                              </w:rPr>
                              <w:t>1</w:t>
                            </w:r>
                            <w:r>
                              <w:rPr>
                                <w:rFonts w:hint="eastAsia" w:ascii="宋体" w:hAnsi="宋体" w:cs="宋体"/>
                                <w:w w:val="99"/>
                                <w:sz w:val="20"/>
                                <w:szCs w:val="20"/>
                                <w:lang w:eastAsia="zh-CN"/>
                              </w:rPr>
                              <w:t>）</w:t>
                            </w:r>
                          </w:p>
                        </w:tc>
                      </w:tr>
                      <w:tr w14:paraId="29DA3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86" w:hRule="exact"/>
                        </w:trPr>
                        <w:tc>
                          <w:tcPr>
                            <w:tcW w:w="585" w:type="dxa"/>
                            <w:vMerge w:val="restart"/>
                            <w:tcBorders>
                              <w:top w:val="single" w:color="auto" w:sz="4" w:space="0"/>
                              <w:left w:val="single" w:color="auto" w:sz="4" w:space="0"/>
                              <w:bottom w:val="single" w:color="auto" w:sz="4" w:space="0"/>
                              <w:right w:val="single" w:color="auto" w:sz="4" w:space="0"/>
                            </w:tcBorders>
                            <w:noWrap w:val="0"/>
                            <w:vAlign w:val="top"/>
                          </w:tcPr>
                          <w:p w14:paraId="0621E3DA">
                            <w:pPr>
                              <w:pStyle w:val="56"/>
                              <w:rPr>
                                <w:rFonts w:ascii="宋体" w:hAnsi="宋体" w:cs="宋体"/>
                                <w:sz w:val="20"/>
                                <w:szCs w:val="20"/>
                                <w:lang w:eastAsia="zh-CN"/>
                              </w:rPr>
                            </w:pPr>
                          </w:p>
                          <w:p w14:paraId="46094B95">
                            <w:pPr>
                              <w:pStyle w:val="56"/>
                              <w:rPr>
                                <w:rFonts w:hint="eastAsia" w:ascii="宋体" w:hAnsi="宋体" w:cs="宋体"/>
                                <w:sz w:val="20"/>
                                <w:szCs w:val="20"/>
                                <w:lang w:eastAsia="zh-CN"/>
                              </w:rPr>
                            </w:pPr>
                          </w:p>
                          <w:p w14:paraId="1D20F641">
                            <w:pPr>
                              <w:pStyle w:val="56"/>
                              <w:rPr>
                                <w:rFonts w:hint="eastAsia" w:ascii="宋体" w:hAnsi="宋体" w:cs="宋体"/>
                                <w:sz w:val="20"/>
                                <w:szCs w:val="20"/>
                                <w:lang w:eastAsia="zh-CN"/>
                              </w:rPr>
                            </w:pPr>
                          </w:p>
                          <w:p w14:paraId="4FD891F6">
                            <w:pPr>
                              <w:pStyle w:val="56"/>
                              <w:spacing w:before="1"/>
                              <w:rPr>
                                <w:rFonts w:hint="eastAsia" w:ascii="宋体" w:hAnsi="宋体" w:cs="宋体"/>
                                <w:sz w:val="29"/>
                                <w:szCs w:val="29"/>
                                <w:lang w:eastAsia="zh-CN"/>
                              </w:rPr>
                            </w:pPr>
                          </w:p>
                          <w:p w14:paraId="04AD399F">
                            <w:pPr>
                              <w:pStyle w:val="56"/>
                              <w:ind w:left="182"/>
                              <w:rPr>
                                <w:rFonts w:ascii="宋体" w:hAnsi="宋体" w:cs="宋体"/>
                                <w:sz w:val="20"/>
                                <w:szCs w:val="20"/>
                              </w:rPr>
                            </w:pPr>
                            <w:r>
                              <w:rPr>
                                <w:rFonts w:hint="eastAsia" w:ascii="宋体"/>
                                <w:spacing w:val="1"/>
                                <w:w w:val="99"/>
                                <w:sz w:val="20"/>
                              </w:rPr>
                              <w:t>1</w:t>
                            </w:r>
                            <w:r>
                              <w:rPr>
                                <w:rFonts w:hint="eastAsia" w:ascii="宋体"/>
                                <w:w w:val="99"/>
                                <w:sz w:val="20"/>
                              </w:rPr>
                              <w:t>5</w:t>
                            </w:r>
                          </w:p>
                        </w:tc>
                        <w:tc>
                          <w:tcPr>
                            <w:tcW w:w="1305" w:type="dxa"/>
                            <w:vMerge w:val="restart"/>
                            <w:tcBorders>
                              <w:top w:val="single" w:color="auto" w:sz="4" w:space="0"/>
                              <w:left w:val="single" w:color="auto" w:sz="4" w:space="0"/>
                              <w:bottom w:val="single" w:color="auto" w:sz="4" w:space="0"/>
                              <w:right w:val="single" w:color="auto" w:sz="4" w:space="0"/>
                            </w:tcBorders>
                            <w:noWrap w:val="0"/>
                            <w:vAlign w:val="top"/>
                          </w:tcPr>
                          <w:p w14:paraId="2BA7230F">
                            <w:pPr>
                              <w:pStyle w:val="56"/>
                              <w:rPr>
                                <w:rFonts w:ascii="宋体" w:hAnsi="宋体" w:cs="宋体"/>
                                <w:sz w:val="20"/>
                                <w:szCs w:val="20"/>
                              </w:rPr>
                            </w:pPr>
                          </w:p>
                          <w:p w14:paraId="308BEAA4">
                            <w:pPr>
                              <w:pStyle w:val="56"/>
                              <w:rPr>
                                <w:rFonts w:hint="eastAsia" w:ascii="宋体" w:hAnsi="宋体" w:cs="宋体"/>
                                <w:sz w:val="20"/>
                                <w:szCs w:val="20"/>
                              </w:rPr>
                            </w:pPr>
                          </w:p>
                          <w:p w14:paraId="4F0A3468">
                            <w:pPr>
                              <w:pStyle w:val="56"/>
                              <w:spacing w:before="9"/>
                              <w:rPr>
                                <w:rFonts w:hint="eastAsia" w:ascii="宋体" w:hAnsi="宋体" w:cs="宋体"/>
                                <w:sz w:val="17"/>
                                <w:szCs w:val="17"/>
                              </w:rPr>
                            </w:pPr>
                          </w:p>
                          <w:p w14:paraId="4746494C">
                            <w:pPr>
                              <w:pStyle w:val="56"/>
                              <w:ind w:left="7"/>
                              <w:rPr>
                                <w:rFonts w:hint="eastAsia" w:ascii="宋体" w:hAnsi="宋体" w:cs="宋体"/>
                                <w:w w:val="99"/>
                                <w:sz w:val="20"/>
                                <w:szCs w:val="20"/>
                              </w:rPr>
                            </w:pPr>
                            <w:r>
                              <w:rPr>
                                <w:rFonts w:hint="eastAsia" w:ascii="宋体" w:hAnsi="宋体" w:cs="宋体"/>
                                <w:w w:val="99"/>
                                <w:sz w:val="20"/>
                                <w:szCs w:val="20"/>
                              </w:rPr>
                              <w:t>★</w:t>
                            </w:r>
                            <w:r>
                              <w:rPr>
                                <w:rFonts w:hint="eastAsia" w:ascii="宋体" w:hAnsi="宋体" w:cs="宋体"/>
                                <w:spacing w:val="1"/>
                                <w:w w:val="99"/>
                                <w:sz w:val="20"/>
                                <w:szCs w:val="20"/>
                              </w:rPr>
                              <w:t>A060</w:t>
                            </w:r>
                            <w:r>
                              <w:rPr>
                                <w:rFonts w:hint="eastAsia" w:ascii="宋体" w:hAnsi="宋体" w:cs="宋体"/>
                                <w:w w:val="99"/>
                                <w:sz w:val="20"/>
                                <w:szCs w:val="20"/>
                              </w:rPr>
                              <w:t>805</w:t>
                            </w:r>
                          </w:p>
                          <w:p w14:paraId="1228502B">
                            <w:pPr>
                              <w:pStyle w:val="56"/>
                              <w:ind w:left="7"/>
                              <w:rPr>
                                <w:rFonts w:ascii="宋体" w:hAnsi="宋体" w:cs="宋体"/>
                                <w:sz w:val="20"/>
                                <w:szCs w:val="20"/>
                              </w:rPr>
                            </w:pPr>
                            <w:r>
                              <w:rPr>
                                <w:rFonts w:hint="eastAsia" w:ascii="宋体" w:hAnsi="宋体" w:cs="宋体"/>
                                <w:w w:val="99"/>
                                <w:sz w:val="20"/>
                                <w:szCs w:val="20"/>
                              </w:rPr>
                              <w:t>便器</w:t>
                            </w:r>
                          </w:p>
                        </w:tc>
                        <w:tc>
                          <w:tcPr>
                            <w:tcW w:w="1665" w:type="dxa"/>
                            <w:tcBorders>
                              <w:top w:val="single" w:color="auto" w:sz="4" w:space="0"/>
                              <w:left w:val="single" w:color="auto" w:sz="4" w:space="0"/>
                              <w:bottom w:val="single" w:color="auto" w:sz="4" w:space="0"/>
                              <w:right w:val="single" w:color="auto" w:sz="4" w:space="0"/>
                            </w:tcBorders>
                            <w:noWrap w:val="0"/>
                            <w:vAlign w:val="top"/>
                          </w:tcPr>
                          <w:p w14:paraId="16A77CF5">
                            <w:pPr>
                              <w:pStyle w:val="56"/>
                              <w:spacing w:before="5"/>
                              <w:rPr>
                                <w:rFonts w:ascii="宋体" w:hAnsi="宋体" w:cs="宋体"/>
                                <w:sz w:val="21"/>
                                <w:szCs w:val="21"/>
                              </w:rPr>
                            </w:pPr>
                          </w:p>
                          <w:p w14:paraId="127A69D3">
                            <w:pPr>
                              <w:pStyle w:val="56"/>
                              <w:ind w:left="7"/>
                              <w:rPr>
                                <w:rFonts w:ascii="宋体" w:hAnsi="宋体" w:cs="宋体"/>
                                <w:sz w:val="20"/>
                                <w:szCs w:val="20"/>
                              </w:rPr>
                            </w:pPr>
                            <w:r>
                              <w:rPr>
                                <w:rFonts w:hint="eastAsia" w:ascii="宋体" w:hAnsi="宋体" w:cs="宋体"/>
                                <w:w w:val="99"/>
                                <w:sz w:val="20"/>
                                <w:szCs w:val="20"/>
                              </w:rPr>
                              <w:t>坐便器</w:t>
                            </w:r>
                          </w:p>
                        </w:tc>
                        <w:tc>
                          <w:tcPr>
                            <w:tcW w:w="1770" w:type="dxa"/>
                            <w:tcBorders>
                              <w:top w:val="single" w:color="auto" w:sz="4" w:space="0"/>
                              <w:left w:val="single" w:color="auto" w:sz="4" w:space="0"/>
                              <w:bottom w:val="single" w:color="auto" w:sz="4" w:space="0"/>
                              <w:right w:val="single" w:color="auto" w:sz="4" w:space="0"/>
                            </w:tcBorders>
                            <w:noWrap w:val="0"/>
                            <w:vAlign w:val="top"/>
                          </w:tcPr>
                          <w:p w14:paraId="4FFACE27">
                            <w:pPr>
                              <w:rPr>
                                <w:rFonts w:ascii="Calibri" w:hAnsi="Calibri"/>
                                <w:sz w:val="22"/>
                                <w:szCs w:val="22"/>
                              </w:rPr>
                            </w:pPr>
                          </w:p>
                        </w:tc>
                        <w:tc>
                          <w:tcPr>
                            <w:tcW w:w="3765" w:type="dxa"/>
                            <w:tcBorders>
                              <w:top w:val="single" w:color="auto" w:sz="4" w:space="0"/>
                              <w:left w:val="single" w:color="auto" w:sz="4" w:space="0"/>
                              <w:bottom w:val="single" w:color="auto" w:sz="4" w:space="0"/>
                              <w:right w:val="single" w:color="auto" w:sz="4" w:space="0"/>
                            </w:tcBorders>
                            <w:noWrap w:val="0"/>
                            <w:vAlign w:val="top"/>
                          </w:tcPr>
                          <w:p w14:paraId="27043ACB">
                            <w:pPr>
                              <w:pStyle w:val="56"/>
                              <w:spacing w:before="124"/>
                              <w:ind w:left="7"/>
                              <w:rPr>
                                <w:rFonts w:ascii="宋体" w:hAnsi="宋体" w:cs="宋体"/>
                                <w:sz w:val="20"/>
                                <w:szCs w:val="20"/>
                                <w:lang w:eastAsia="zh-CN"/>
                              </w:rPr>
                            </w:pPr>
                            <w:r>
                              <w:rPr>
                                <w:rFonts w:hint="eastAsia" w:ascii="宋体" w:hAnsi="宋体" w:cs="宋体"/>
                                <w:w w:val="99"/>
                                <w:sz w:val="20"/>
                                <w:szCs w:val="20"/>
                                <w:lang w:eastAsia="zh-CN"/>
                              </w:rPr>
                              <w:t>《坐便</w:t>
                            </w:r>
                            <w:r>
                              <w:rPr>
                                <w:rFonts w:hint="eastAsia" w:ascii="宋体" w:hAnsi="宋体" w:cs="宋体"/>
                                <w:spacing w:val="2"/>
                                <w:w w:val="99"/>
                                <w:sz w:val="20"/>
                                <w:szCs w:val="20"/>
                                <w:lang w:eastAsia="zh-CN"/>
                              </w:rPr>
                              <w:t>器</w:t>
                            </w:r>
                            <w:r>
                              <w:rPr>
                                <w:rFonts w:hint="eastAsia" w:ascii="宋体" w:hAnsi="宋体" w:cs="宋体"/>
                                <w:w w:val="99"/>
                                <w:sz w:val="20"/>
                                <w:szCs w:val="20"/>
                                <w:lang w:eastAsia="zh-CN"/>
                              </w:rPr>
                              <w:t>水效</w:t>
                            </w:r>
                            <w:r>
                              <w:rPr>
                                <w:rFonts w:hint="eastAsia" w:ascii="宋体" w:hAnsi="宋体" w:cs="宋体"/>
                                <w:spacing w:val="2"/>
                                <w:w w:val="99"/>
                                <w:sz w:val="20"/>
                                <w:szCs w:val="20"/>
                                <w:lang w:eastAsia="zh-CN"/>
                              </w:rPr>
                              <w:t>限</w:t>
                            </w:r>
                            <w:r>
                              <w:rPr>
                                <w:rFonts w:hint="eastAsia" w:ascii="宋体" w:hAnsi="宋体" w:cs="宋体"/>
                                <w:w w:val="99"/>
                                <w:sz w:val="20"/>
                                <w:szCs w:val="20"/>
                                <w:lang w:eastAsia="zh-CN"/>
                              </w:rPr>
                              <w:t>定值</w:t>
                            </w:r>
                            <w:r>
                              <w:rPr>
                                <w:rFonts w:hint="eastAsia" w:ascii="宋体" w:hAnsi="宋体" w:cs="宋体"/>
                                <w:spacing w:val="2"/>
                                <w:w w:val="99"/>
                                <w:sz w:val="20"/>
                                <w:szCs w:val="20"/>
                                <w:lang w:eastAsia="zh-CN"/>
                              </w:rPr>
                              <w:t>及</w:t>
                            </w:r>
                            <w:r>
                              <w:rPr>
                                <w:rFonts w:hint="eastAsia" w:ascii="宋体" w:hAnsi="宋体" w:cs="宋体"/>
                                <w:w w:val="99"/>
                                <w:sz w:val="20"/>
                                <w:szCs w:val="20"/>
                                <w:lang w:eastAsia="zh-CN"/>
                              </w:rPr>
                              <w:t>水</w:t>
                            </w:r>
                            <w:r>
                              <w:rPr>
                                <w:rFonts w:hint="eastAsia" w:ascii="宋体" w:hAnsi="宋体" w:cs="宋体"/>
                                <w:spacing w:val="2"/>
                                <w:w w:val="99"/>
                                <w:sz w:val="20"/>
                                <w:szCs w:val="20"/>
                                <w:lang w:eastAsia="zh-CN"/>
                              </w:rPr>
                              <w:t>效</w:t>
                            </w:r>
                            <w:r>
                              <w:rPr>
                                <w:rFonts w:hint="eastAsia" w:ascii="宋体" w:hAnsi="宋体" w:cs="宋体"/>
                                <w:w w:val="99"/>
                                <w:sz w:val="20"/>
                                <w:szCs w:val="20"/>
                                <w:lang w:eastAsia="zh-CN"/>
                              </w:rPr>
                              <w:t>等级》</w:t>
                            </w:r>
                          </w:p>
                          <w:p w14:paraId="0E612DBB">
                            <w:pPr>
                              <w:pStyle w:val="56"/>
                              <w:spacing w:before="50"/>
                              <w:ind w:left="7"/>
                              <w:rPr>
                                <w:rFonts w:ascii="宋体" w:hAnsi="宋体" w:cs="宋体"/>
                                <w:sz w:val="20"/>
                                <w:szCs w:val="20"/>
                              </w:rPr>
                            </w:pPr>
                            <w:r>
                              <w:rPr>
                                <w:rFonts w:hint="eastAsia" w:ascii="宋体" w:hAnsi="宋体" w:cs="宋体"/>
                                <w:w w:val="99"/>
                                <w:sz w:val="20"/>
                                <w:szCs w:val="20"/>
                              </w:rPr>
                              <w:t>（</w:t>
                            </w:r>
                            <w:r>
                              <w:rPr>
                                <w:rFonts w:hint="eastAsia" w:ascii="宋体" w:hAnsi="宋体" w:cs="宋体"/>
                                <w:spacing w:val="1"/>
                                <w:w w:val="99"/>
                                <w:sz w:val="20"/>
                                <w:szCs w:val="20"/>
                              </w:rPr>
                              <w:t>G</w:t>
                            </w:r>
                            <w:r>
                              <w:rPr>
                                <w:rFonts w:hint="eastAsia" w:ascii="宋体" w:hAnsi="宋体" w:cs="宋体"/>
                                <w:w w:val="99"/>
                                <w:sz w:val="20"/>
                                <w:szCs w:val="20"/>
                              </w:rPr>
                              <w:t>B</w:t>
                            </w:r>
                            <w:r>
                              <w:rPr>
                                <w:rFonts w:hint="eastAsia" w:ascii="宋体" w:hAnsi="宋体" w:cs="宋体"/>
                                <w:spacing w:val="1"/>
                                <w:w w:val="99"/>
                                <w:sz w:val="20"/>
                                <w:szCs w:val="20"/>
                              </w:rPr>
                              <w:t>2</w:t>
                            </w:r>
                            <w:r>
                              <w:rPr>
                                <w:rFonts w:hint="eastAsia" w:ascii="宋体" w:hAnsi="宋体" w:cs="宋体"/>
                                <w:w w:val="99"/>
                                <w:sz w:val="20"/>
                                <w:szCs w:val="20"/>
                              </w:rPr>
                              <w:t>55</w:t>
                            </w:r>
                            <w:r>
                              <w:rPr>
                                <w:rFonts w:hint="eastAsia" w:ascii="宋体" w:hAnsi="宋体" w:cs="宋体"/>
                                <w:spacing w:val="1"/>
                                <w:w w:val="99"/>
                                <w:sz w:val="20"/>
                                <w:szCs w:val="20"/>
                              </w:rPr>
                              <w:t>02</w:t>
                            </w:r>
                            <w:r>
                              <w:rPr>
                                <w:rFonts w:hint="eastAsia" w:ascii="宋体" w:hAnsi="宋体" w:cs="宋体"/>
                                <w:w w:val="99"/>
                                <w:sz w:val="20"/>
                                <w:szCs w:val="20"/>
                              </w:rPr>
                              <w:t>）</w:t>
                            </w:r>
                          </w:p>
                        </w:tc>
                      </w:tr>
                      <w:tr w14:paraId="57A35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86" w:hRule="exact"/>
                        </w:trPr>
                        <w:tc>
                          <w:tcPr>
                            <w:tcW w:w="585" w:type="dxa"/>
                            <w:vMerge w:val="continue"/>
                            <w:tcBorders>
                              <w:top w:val="single" w:color="auto" w:sz="4" w:space="0"/>
                              <w:left w:val="single" w:color="auto" w:sz="4" w:space="0"/>
                              <w:bottom w:val="single" w:color="auto" w:sz="4" w:space="0"/>
                              <w:right w:val="single" w:color="auto" w:sz="4" w:space="0"/>
                            </w:tcBorders>
                            <w:noWrap w:val="0"/>
                            <w:vAlign w:val="center"/>
                          </w:tcPr>
                          <w:p w14:paraId="4C3575BE">
                            <w:pPr>
                              <w:widowControl/>
                              <w:jc w:val="left"/>
                              <w:rPr>
                                <w:rFonts w:ascii="宋体" w:hAnsi="宋体" w:eastAsia="Times New Roman" w:cs="宋体"/>
                                <w:kern w:val="0"/>
                                <w:sz w:val="20"/>
                                <w:szCs w:val="20"/>
                                <w:lang w:eastAsia="en-US"/>
                              </w:rPr>
                            </w:pPr>
                          </w:p>
                        </w:tc>
                        <w:tc>
                          <w:tcPr>
                            <w:tcW w:w="1305" w:type="dxa"/>
                            <w:vMerge w:val="continue"/>
                            <w:tcBorders>
                              <w:top w:val="single" w:color="auto" w:sz="4" w:space="0"/>
                              <w:left w:val="single" w:color="auto" w:sz="4" w:space="0"/>
                              <w:bottom w:val="single" w:color="auto" w:sz="4" w:space="0"/>
                              <w:right w:val="single" w:color="auto" w:sz="4" w:space="0"/>
                            </w:tcBorders>
                            <w:noWrap w:val="0"/>
                            <w:vAlign w:val="center"/>
                          </w:tcPr>
                          <w:p w14:paraId="24EED29A">
                            <w:pPr>
                              <w:widowControl/>
                              <w:jc w:val="left"/>
                              <w:rPr>
                                <w:rFonts w:ascii="宋体" w:hAnsi="宋体" w:eastAsia="Times New Roman" w:cs="宋体"/>
                                <w:kern w:val="0"/>
                                <w:sz w:val="20"/>
                                <w:szCs w:val="20"/>
                                <w:lang w:eastAsia="en-US"/>
                              </w:rPr>
                            </w:pPr>
                          </w:p>
                        </w:tc>
                        <w:tc>
                          <w:tcPr>
                            <w:tcW w:w="1665" w:type="dxa"/>
                            <w:tcBorders>
                              <w:top w:val="single" w:color="auto" w:sz="4" w:space="0"/>
                              <w:left w:val="single" w:color="auto" w:sz="4" w:space="0"/>
                              <w:bottom w:val="single" w:color="auto" w:sz="4" w:space="0"/>
                              <w:right w:val="single" w:color="auto" w:sz="4" w:space="0"/>
                            </w:tcBorders>
                            <w:noWrap w:val="0"/>
                            <w:vAlign w:val="top"/>
                          </w:tcPr>
                          <w:p w14:paraId="2A755381">
                            <w:pPr>
                              <w:pStyle w:val="56"/>
                              <w:spacing w:before="5"/>
                              <w:rPr>
                                <w:rFonts w:ascii="宋体" w:hAnsi="宋体" w:cs="宋体"/>
                                <w:sz w:val="21"/>
                                <w:szCs w:val="21"/>
                              </w:rPr>
                            </w:pPr>
                          </w:p>
                          <w:p w14:paraId="6A0451B7">
                            <w:pPr>
                              <w:pStyle w:val="56"/>
                              <w:ind w:left="7"/>
                              <w:rPr>
                                <w:rFonts w:ascii="宋体" w:hAnsi="宋体" w:cs="宋体"/>
                                <w:sz w:val="20"/>
                                <w:szCs w:val="20"/>
                              </w:rPr>
                            </w:pPr>
                            <w:r>
                              <w:rPr>
                                <w:rFonts w:hint="eastAsia" w:ascii="宋体" w:hAnsi="宋体" w:cs="宋体"/>
                                <w:w w:val="99"/>
                                <w:sz w:val="20"/>
                                <w:szCs w:val="20"/>
                              </w:rPr>
                              <w:t>蹲便器</w:t>
                            </w:r>
                          </w:p>
                        </w:tc>
                        <w:tc>
                          <w:tcPr>
                            <w:tcW w:w="1770" w:type="dxa"/>
                            <w:tcBorders>
                              <w:top w:val="single" w:color="auto" w:sz="4" w:space="0"/>
                              <w:left w:val="single" w:color="auto" w:sz="4" w:space="0"/>
                              <w:bottom w:val="single" w:color="auto" w:sz="4" w:space="0"/>
                              <w:right w:val="single" w:color="auto" w:sz="4" w:space="0"/>
                            </w:tcBorders>
                            <w:noWrap w:val="0"/>
                            <w:vAlign w:val="top"/>
                          </w:tcPr>
                          <w:p w14:paraId="44C95A59">
                            <w:pPr>
                              <w:rPr>
                                <w:rFonts w:ascii="Calibri" w:hAnsi="Calibri"/>
                                <w:sz w:val="22"/>
                                <w:szCs w:val="22"/>
                              </w:rPr>
                            </w:pPr>
                          </w:p>
                        </w:tc>
                        <w:tc>
                          <w:tcPr>
                            <w:tcW w:w="3765" w:type="dxa"/>
                            <w:tcBorders>
                              <w:top w:val="single" w:color="auto" w:sz="4" w:space="0"/>
                              <w:left w:val="single" w:color="auto" w:sz="4" w:space="0"/>
                              <w:bottom w:val="single" w:color="auto" w:sz="4" w:space="0"/>
                              <w:right w:val="single" w:color="auto" w:sz="4" w:space="0"/>
                            </w:tcBorders>
                            <w:noWrap w:val="0"/>
                            <w:vAlign w:val="top"/>
                          </w:tcPr>
                          <w:p w14:paraId="2E6D6333">
                            <w:pPr>
                              <w:pStyle w:val="56"/>
                              <w:spacing w:before="124" w:line="280" w:lineRule="auto"/>
                              <w:ind w:left="7" w:right="4"/>
                              <w:rPr>
                                <w:rFonts w:ascii="宋体" w:hAnsi="宋体" w:cs="宋体"/>
                                <w:sz w:val="20"/>
                                <w:szCs w:val="20"/>
                                <w:lang w:eastAsia="zh-CN"/>
                              </w:rPr>
                            </w:pPr>
                            <w:r>
                              <w:rPr>
                                <w:rFonts w:hint="eastAsia" w:ascii="宋体" w:hAnsi="宋体" w:cs="宋体"/>
                                <w:spacing w:val="12"/>
                                <w:w w:val="99"/>
                                <w:sz w:val="20"/>
                                <w:szCs w:val="20"/>
                                <w:lang w:eastAsia="zh-CN"/>
                              </w:rPr>
                              <w:t>《蹲便器用水效率限定</w:t>
                            </w:r>
                            <w:r>
                              <w:rPr>
                                <w:rFonts w:hint="eastAsia" w:ascii="宋体" w:hAnsi="宋体" w:cs="宋体"/>
                                <w:spacing w:val="9"/>
                                <w:w w:val="99"/>
                                <w:sz w:val="20"/>
                                <w:szCs w:val="20"/>
                                <w:lang w:eastAsia="zh-CN"/>
                              </w:rPr>
                              <w:t>值</w:t>
                            </w:r>
                            <w:r>
                              <w:rPr>
                                <w:rFonts w:hint="eastAsia" w:ascii="宋体" w:hAnsi="宋体" w:cs="宋体"/>
                                <w:spacing w:val="12"/>
                                <w:w w:val="99"/>
                                <w:sz w:val="20"/>
                                <w:szCs w:val="20"/>
                                <w:lang w:eastAsia="zh-CN"/>
                              </w:rPr>
                              <w:t>及用</w:t>
                            </w:r>
                            <w:r>
                              <w:rPr>
                                <w:rFonts w:hint="eastAsia" w:ascii="宋体" w:hAnsi="宋体" w:cs="宋体"/>
                                <w:w w:val="99"/>
                                <w:sz w:val="20"/>
                                <w:szCs w:val="20"/>
                                <w:lang w:eastAsia="zh-CN"/>
                              </w:rPr>
                              <w:t>水效率等</w:t>
                            </w:r>
                            <w:r>
                              <w:rPr>
                                <w:rFonts w:hint="eastAsia" w:ascii="宋体" w:hAnsi="宋体" w:cs="宋体"/>
                                <w:spacing w:val="2"/>
                                <w:w w:val="99"/>
                                <w:sz w:val="20"/>
                                <w:szCs w:val="20"/>
                                <w:lang w:eastAsia="zh-CN"/>
                              </w:rPr>
                              <w:t>级</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307</w:t>
                            </w:r>
                            <w:r>
                              <w:rPr>
                                <w:rFonts w:hint="eastAsia" w:ascii="宋体" w:hAnsi="宋体" w:cs="宋体"/>
                                <w:w w:val="99"/>
                                <w:sz w:val="20"/>
                                <w:szCs w:val="20"/>
                                <w:lang w:eastAsia="zh-CN"/>
                              </w:rPr>
                              <w:t>1</w:t>
                            </w:r>
                            <w:r>
                              <w:rPr>
                                <w:rFonts w:hint="eastAsia" w:ascii="宋体" w:hAnsi="宋体" w:cs="宋体"/>
                                <w:spacing w:val="-1"/>
                                <w:w w:val="99"/>
                                <w:sz w:val="20"/>
                                <w:szCs w:val="20"/>
                                <w:lang w:eastAsia="zh-CN"/>
                              </w:rPr>
                              <w:t>7</w:t>
                            </w:r>
                            <w:r>
                              <w:rPr>
                                <w:rFonts w:hint="eastAsia" w:ascii="宋体" w:hAnsi="宋体" w:cs="宋体"/>
                                <w:w w:val="99"/>
                                <w:sz w:val="20"/>
                                <w:szCs w:val="20"/>
                                <w:lang w:eastAsia="zh-CN"/>
                              </w:rPr>
                              <w:t>）</w:t>
                            </w:r>
                          </w:p>
                        </w:tc>
                      </w:tr>
                      <w:tr w14:paraId="7C7B7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88" w:hRule="exact"/>
                        </w:trPr>
                        <w:tc>
                          <w:tcPr>
                            <w:tcW w:w="585" w:type="dxa"/>
                            <w:vMerge w:val="continue"/>
                            <w:tcBorders>
                              <w:top w:val="single" w:color="auto" w:sz="4" w:space="0"/>
                              <w:left w:val="single" w:color="auto" w:sz="4" w:space="0"/>
                              <w:bottom w:val="single" w:color="auto" w:sz="4" w:space="0"/>
                              <w:right w:val="single" w:color="auto" w:sz="4" w:space="0"/>
                            </w:tcBorders>
                            <w:noWrap w:val="0"/>
                            <w:vAlign w:val="center"/>
                          </w:tcPr>
                          <w:p w14:paraId="2E753651">
                            <w:pPr>
                              <w:widowControl/>
                              <w:jc w:val="left"/>
                              <w:rPr>
                                <w:rFonts w:ascii="宋体" w:hAnsi="宋体" w:eastAsia="Times New Roman" w:cs="宋体"/>
                                <w:kern w:val="0"/>
                                <w:sz w:val="20"/>
                                <w:szCs w:val="20"/>
                              </w:rPr>
                            </w:pPr>
                          </w:p>
                        </w:tc>
                        <w:tc>
                          <w:tcPr>
                            <w:tcW w:w="1305" w:type="dxa"/>
                            <w:vMerge w:val="continue"/>
                            <w:tcBorders>
                              <w:top w:val="single" w:color="auto" w:sz="4" w:space="0"/>
                              <w:left w:val="single" w:color="auto" w:sz="4" w:space="0"/>
                              <w:bottom w:val="single" w:color="auto" w:sz="4" w:space="0"/>
                              <w:right w:val="single" w:color="auto" w:sz="4" w:space="0"/>
                            </w:tcBorders>
                            <w:noWrap w:val="0"/>
                            <w:vAlign w:val="center"/>
                          </w:tcPr>
                          <w:p w14:paraId="23DBCCCB">
                            <w:pPr>
                              <w:widowControl/>
                              <w:jc w:val="left"/>
                              <w:rPr>
                                <w:rFonts w:ascii="宋体" w:hAnsi="宋体" w:eastAsia="Times New Roman" w:cs="宋体"/>
                                <w:kern w:val="0"/>
                                <w:sz w:val="20"/>
                                <w:szCs w:val="20"/>
                              </w:rPr>
                            </w:pPr>
                          </w:p>
                        </w:tc>
                        <w:tc>
                          <w:tcPr>
                            <w:tcW w:w="1665" w:type="dxa"/>
                            <w:tcBorders>
                              <w:top w:val="single" w:color="auto" w:sz="4" w:space="0"/>
                              <w:left w:val="single" w:color="auto" w:sz="4" w:space="0"/>
                              <w:bottom w:val="single" w:color="auto" w:sz="4" w:space="0"/>
                              <w:right w:val="single" w:color="auto" w:sz="4" w:space="0"/>
                            </w:tcBorders>
                            <w:noWrap w:val="0"/>
                            <w:vAlign w:val="top"/>
                          </w:tcPr>
                          <w:p w14:paraId="46C925C0">
                            <w:pPr>
                              <w:pStyle w:val="56"/>
                              <w:spacing w:before="5"/>
                              <w:rPr>
                                <w:rFonts w:ascii="宋体" w:hAnsi="宋体" w:cs="宋体"/>
                                <w:sz w:val="21"/>
                                <w:szCs w:val="21"/>
                                <w:lang w:eastAsia="zh-CN"/>
                              </w:rPr>
                            </w:pPr>
                          </w:p>
                          <w:p w14:paraId="100F8D6D">
                            <w:pPr>
                              <w:pStyle w:val="56"/>
                              <w:ind w:left="7"/>
                              <w:rPr>
                                <w:rFonts w:ascii="宋体" w:hAnsi="宋体" w:cs="宋体"/>
                                <w:sz w:val="20"/>
                                <w:szCs w:val="20"/>
                              </w:rPr>
                            </w:pPr>
                            <w:r>
                              <w:rPr>
                                <w:rFonts w:hint="eastAsia" w:ascii="宋体" w:hAnsi="宋体" w:cs="宋体"/>
                                <w:w w:val="99"/>
                                <w:sz w:val="20"/>
                                <w:szCs w:val="20"/>
                              </w:rPr>
                              <w:t>小便器</w:t>
                            </w:r>
                          </w:p>
                        </w:tc>
                        <w:tc>
                          <w:tcPr>
                            <w:tcW w:w="1770" w:type="dxa"/>
                            <w:tcBorders>
                              <w:top w:val="single" w:color="auto" w:sz="4" w:space="0"/>
                              <w:left w:val="single" w:color="auto" w:sz="4" w:space="0"/>
                              <w:bottom w:val="single" w:color="auto" w:sz="4" w:space="0"/>
                              <w:right w:val="single" w:color="auto" w:sz="4" w:space="0"/>
                            </w:tcBorders>
                            <w:noWrap w:val="0"/>
                            <w:vAlign w:val="top"/>
                          </w:tcPr>
                          <w:p w14:paraId="1AA990CC">
                            <w:pPr>
                              <w:rPr>
                                <w:rFonts w:ascii="Calibri" w:hAnsi="Calibri"/>
                                <w:sz w:val="22"/>
                                <w:szCs w:val="22"/>
                              </w:rPr>
                            </w:pPr>
                          </w:p>
                        </w:tc>
                        <w:tc>
                          <w:tcPr>
                            <w:tcW w:w="3765" w:type="dxa"/>
                            <w:tcBorders>
                              <w:top w:val="single" w:color="auto" w:sz="4" w:space="0"/>
                              <w:left w:val="single" w:color="auto" w:sz="4" w:space="0"/>
                              <w:bottom w:val="single" w:color="auto" w:sz="4" w:space="0"/>
                              <w:right w:val="single" w:color="auto" w:sz="4" w:space="0"/>
                            </w:tcBorders>
                            <w:noWrap w:val="0"/>
                            <w:vAlign w:val="top"/>
                          </w:tcPr>
                          <w:p w14:paraId="4A2A31D2">
                            <w:pPr>
                              <w:pStyle w:val="56"/>
                              <w:spacing w:before="124" w:line="280" w:lineRule="auto"/>
                              <w:ind w:left="7" w:right="4"/>
                              <w:rPr>
                                <w:rFonts w:ascii="宋体" w:hAnsi="宋体" w:cs="宋体"/>
                                <w:sz w:val="20"/>
                                <w:szCs w:val="20"/>
                                <w:lang w:eastAsia="zh-CN"/>
                              </w:rPr>
                            </w:pPr>
                            <w:r>
                              <w:rPr>
                                <w:rFonts w:hint="eastAsia" w:ascii="宋体" w:hAnsi="宋体" w:cs="宋体"/>
                                <w:spacing w:val="12"/>
                                <w:w w:val="99"/>
                                <w:sz w:val="20"/>
                                <w:szCs w:val="20"/>
                                <w:lang w:eastAsia="zh-CN"/>
                              </w:rPr>
                              <w:t>《小便器用水效率限定</w:t>
                            </w:r>
                            <w:r>
                              <w:rPr>
                                <w:rFonts w:hint="eastAsia" w:ascii="宋体" w:hAnsi="宋体" w:cs="宋体"/>
                                <w:spacing w:val="9"/>
                                <w:w w:val="99"/>
                                <w:sz w:val="20"/>
                                <w:szCs w:val="20"/>
                                <w:lang w:eastAsia="zh-CN"/>
                              </w:rPr>
                              <w:t>值</w:t>
                            </w:r>
                            <w:r>
                              <w:rPr>
                                <w:rFonts w:hint="eastAsia" w:ascii="宋体" w:hAnsi="宋体" w:cs="宋体"/>
                                <w:spacing w:val="12"/>
                                <w:w w:val="99"/>
                                <w:sz w:val="20"/>
                                <w:szCs w:val="20"/>
                                <w:lang w:eastAsia="zh-CN"/>
                              </w:rPr>
                              <w:t>及用</w:t>
                            </w:r>
                            <w:r>
                              <w:rPr>
                                <w:rFonts w:hint="eastAsia" w:ascii="宋体" w:hAnsi="宋体" w:cs="宋体"/>
                                <w:w w:val="99"/>
                                <w:sz w:val="20"/>
                                <w:szCs w:val="20"/>
                                <w:lang w:eastAsia="zh-CN"/>
                              </w:rPr>
                              <w:t>水效率等</w:t>
                            </w:r>
                            <w:r>
                              <w:rPr>
                                <w:rFonts w:hint="eastAsia" w:ascii="宋体" w:hAnsi="宋体" w:cs="宋体"/>
                                <w:spacing w:val="2"/>
                                <w:w w:val="99"/>
                                <w:sz w:val="20"/>
                                <w:szCs w:val="20"/>
                                <w:lang w:eastAsia="zh-CN"/>
                              </w:rPr>
                              <w:t>级</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283</w:t>
                            </w:r>
                            <w:r>
                              <w:rPr>
                                <w:rFonts w:hint="eastAsia" w:ascii="宋体" w:hAnsi="宋体" w:cs="宋体"/>
                                <w:w w:val="99"/>
                                <w:sz w:val="20"/>
                                <w:szCs w:val="20"/>
                                <w:lang w:eastAsia="zh-CN"/>
                              </w:rPr>
                              <w:t>7</w:t>
                            </w:r>
                            <w:r>
                              <w:rPr>
                                <w:rFonts w:hint="eastAsia" w:ascii="宋体" w:hAnsi="宋体" w:cs="宋体"/>
                                <w:spacing w:val="-1"/>
                                <w:w w:val="99"/>
                                <w:sz w:val="20"/>
                                <w:szCs w:val="20"/>
                                <w:lang w:eastAsia="zh-CN"/>
                              </w:rPr>
                              <w:t>7</w:t>
                            </w:r>
                            <w:r>
                              <w:rPr>
                                <w:rFonts w:hint="eastAsia" w:ascii="宋体" w:hAnsi="宋体" w:cs="宋体"/>
                                <w:w w:val="99"/>
                                <w:sz w:val="20"/>
                                <w:szCs w:val="20"/>
                                <w:lang w:eastAsia="zh-CN"/>
                              </w:rPr>
                              <w:t>）</w:t>
                            </w:r>
                          </w:p>
                        </w:tc>
                      </w:tr>
                    </w:tbl>
                    <w:p w14:paraId="0B13B4D0">
                      <w:pPr>
                        <w:rPr>
                          <w:rFonts w:ascii="Calibri" w:hAnsi="Calibri"/>
                          <w:sz w:val="22"/>
                          <w:szCs w:val="22"/>
                        </w:rPr>
                      </w:pPr>
                    </w:p>
                  </w:txbxContent>
                </v:textbox>
              </v:shape>
            </w:pict>
          </mc:Fallback>
        </mc:AlternateContent>
      </w:r>
    </w:p>
    <w:p w14:paraId="79F236D2">
      <w:pPr>
        <w:rPr>
          <w:rFonts w:hint="eastAsia" w:ascii="宋体" w:hAnsi="宋体" w:cs="宋体"/>
          <w:color w:val="auto"/>
          <w:sz w:val="20"/>
          <w:szCs w:val="20"/>
          <w:highlight w:val="none"/>
        </w:rPr>
      </w:pPr>
    </w:p>
    <w:p w14:paraId="0E673F51">
      <w:pPr>
        <w:rPr>
          <w:rFonts w:hint="eastAsia" w:ascii="宋体" w:hAnsi="宋体" w:cs="宋体"/>
          <w:color w:val="auto"/>
          <w:sz w:val="20"/>
          <w:szCs w:val="20"/>
          <w:highlight w:val="none"/>
        </w:rPr>
      </w:pPr>
    </w:p>
    <w:p w14:paraId="0B20BA80">
      <w:pPr>
        <w:spacing w:before="13"/>
        <w:rPr>
          <w:rFonts w:hint="eastAsia" w:ascii="宋体" w:hAnsi="宋体" w:cs="宋体"/>
          <w:color w:val="auto"/>
          <w:sz w:val="24"/>
          <w:highlight w:val="none"/>
        </w:rPr>
      </w:pPr>
    </w:p>
    <w:p w14:paraId="51DB0AF8">
      <w:pPr>
        <w:rPr>
          <w:rFonts w:hint="eastAsia" w:ascii="宋体" w:hAnsi="宋体" w:cs="宋体"/>
          <w:color w:val="auto"/>
          <w:sz w:val="20"/>
          <w:szCs w:val="20"/>
          <w:highlight w:val="none"/>
        </w:rPr>
      </w:pPr>
    </w:p>
    <w:p w14:paraId="6710B019">
      <w:pPr>
        <w:rPr>
          <w:rFonts w:hint="eastAsia" w:ascii="宋体" w:hAnsi="宋体" w:cs="宋体"/>
          <w:color w:val="auto"/>
          <w:sz w:val="20"/>
          <w:szCs w:val="20"/>
          <w:highlight w:val="none"/>
        </w:rPr>
      </w:pPr>
    </w:p>
    <w:p w14:paraId="607B3896">
      <w:pPr>
        <w:rPr>
          <w:rFonts w:hint="eastAsia" w:ascii="宋体" w:hAnsi="宋体" w:cs="宋体"/>
          <w:color w:val="auto"/>
          <w:sz w:val="20"/>
          <w:szCs w:val="20"/>
          <w:highlight w:val="none"/>
        </w:rPr>
      </w:pPr>
    </w:p>
    <w:p w14:paraId="0AEA768A">
      <w:pPr>
        <w:rPr>
          <w:rFonts w:hint="eastAsia" w:ascii="宋体" w:hAnsi="宋体" w:cs="宋体"/>
          <w:color w:val="auto"/>
          <w:sz w:val="20"/>
          <w:szCs w:val="20"/>
          <w:highlight w:val="none"/>
        </w:rPr>
      </w:pPr>
    </w:p>
    <w:p w14:paraId="6AE6CE3B">
      <w:pPr>
        <w:rPr>
          <w:rFonts w:hint="eastAsia" w:ascii="宋体" w:hAnsi="宋体" w:cs="宋体"/>
          <w:color w:val="auto"/>
          <w:sz w:val="20"/>
          <w:szCs w:val="20"/>
          <w:highlight w:val="none"/>
        </w:rPr>
      </w:pPr>
    </w:p>
    <w:p w14:paraId="09413F5B">
      <w:pPr>
        <w:rPr>
          <w:rFonts w:hint="eastAsia" w:ascii="宋体" w:hAnsi="宋体" w:cs="宋体"/>
          <w:color w:val="auto"/>
          <w:sz w:val="20"/>
          <w:szCs w:val="20"/>
          <w:highlight w:val="none"/>
        </w:rPr>
      </w:pPr>
    </w:p>
    <w:p w14:paraId="50ADB07B">
      <w:pPr>
        <w:rPr>
          <w:rFonts w:hint="eastAsia" w:ascii="宋体" w:hAnsi="宋体" w:cs="宋体"/>
          <w:color w:val="auto"/>
          <w:sz w:val="20"/>
          <w:szCs w:val="20"/>
          <w:highlight w:val="none"/>
        </w:rPr>
      </w:pPr>
    </w:p>
    <w:p w14:paraId="1ECB0547">
      <w:pPr>
        <w:rPr>
          <w:rFonts w:hint="eastAsia" w:ascii="宋体" w:hAnsi="宋体" w:cs="宋体"/>
          <w:color w:val="auto"/>
          <w:sz w:val="20"/>
          <w:szCs w:val="20"/>
          <w:highlight w:val="none"/>
        </w:rPr>
      </w:pPr>
    </w:p>
    <w:p w14:paraId="69D3D21E">
      <w:pPr>
        <w:rPr>
          <w:rFonts w:hint="eastAsia" w:ascii="宋体" w:hAnsi="宋体" w:cs="宋体"/>
          <w:color w:val="auto"/>
          <w:sz w:val="20"/>
          <w:szCs w:val="20"/>
          <w:highlight w:val="none"/>
        </w:rPr>
      </w:pPr>
    </w:p>
    <w:p w14:paraId="63BAD1FF">
      <w:pPr>
        <w:rPr>
          <w:rFonts w:hint="eastAsia" w:ascii="宋体" w:hAnsi="宋体" w:cs="宋体"/>
          <w:color w:val="auto"/>
          <w:sz w:val="20"/>
          <w:szCs w:val="20"/>
          <w:highlight w:val="none"/>
        </w:rPr>
      </w:pPr>
    </w:p>
    <w:p w14:paraId="631977A2">
      <w:pPr>
        <w:rPr>
          <w:rFonts w:hint="eastAsia" w:ascii="宋体" w:hAnsi="宋体" w:cs="宋体"/>
          <w:color w:val="auto"/>
          <w:sz w:val="20"/>
          <w:szCs w:val="20"/>
          <w:highlight w:val="none"/>
        </w:rPr>
      </w:pPr>
    </w:p>
    <w:p w14:paraId="2D705D56">
      <w:pPr>
        <w:rPr>
          <w:rFonts w:hint="eastAsia" w:ascii="宋体" w:hAnsi="宋体" w:cs="宋体"/>
          <w:color w:val="auto"/>
          <w:sz w:val="20"/>
          <w:szCs w:val="20"/>
          <w:highlight w:val="none"/>
        </w:rPr>
      </w:pPr>
    </w:p>
    <w:p w14:paraId="0075ACDA">
      <w:pPr>
        <w:rPr>
          <w:rFonts w:hint="eastAsia" w:ascii="宋体" w:hAnsi="宋体" w:cs="宋体"/>
          <w:color w:val="auto"/>
          <w:sz w:val="20"/>
          <w:szCs w:val="20"/>
          <w:highlight w:val="none"/>
        </w:rPr>
      </w:pPr>
    </w:p>
    <w:p w14:paraId="3C67F43B">
      <w:pPr>
        <w:rPr>
          <w:rFonts w:hint="eastAsia" w:ascii="宋体" w:hAnsi="宋体" w:cs="宋体"/>
          <w:color w:val="auto"/>
          <w:sz w:val="20"/>
          <w:szCs w:val="20"/>
          <w:highlight w:val="none"/>
        </w:rPr>
      </w:pPr>
    </w:p>
    <w:p w14:paraId="62CF86C0">
      <w:pPr>
        <w:rPr>
          <w:rFonts w:hint="eastAsia" w:ascii="宋体" w:hAnsi="宋体" w:cs="宋体"/>
          <w:color w:val="auto"/>
          <w:sz w:val="20"/>
          <w:szCs w:val="20"/>
          <w:highlight w:val="none"/>
        </w:rPr>
      </w:pPr>
    </w:p>
    <w:p w14:paraId="1CD09928">
      <w:pPr>
        <w:rPr>
          <w:rFonts w:hint="eastAsia" w:ascii="宋体" w:hAnsi="宋体" w:cs="宋体"/>
          <w:color w:val="auto"/>
          <w:sz w:val="20"/>
          <w:szCs w:val="20"/>
          <w:highlight w:val="none"/>
        </w:rPr>
      </w:pPr>
    </w:p>
    <w:p w14:paraId="4D852E20">
      <w:pPr>
        <w:rPr>
          <w:rFonts w:hint="eastAsia" w:ascii="宋体" w:hAnsi="宋体" w:cs="宋体"/>
          <w:color w:val="auto"/>
          <w:sz w:val="20"/>
          <w:szCs w:val="20"/>
          <w:highlight w:val="none"/>
        </w:rPr>
      </w:pPr>
    </w:p>
    <w:p w14:paraId="246D259A">
      <w:pPr>
        <w:rPr>
          <w:rFonts w:hint="eastAsia" w:ascii="宋体" w:hAnsi="宋体" w:cs="宋体"/>
          <w:color w:val="auto"/>
          <w:sz w:val="20"/>
          <w:szCs w:val="20"/>
          <w:highlight w:val="none"/>
        </w:rPr>
      </w:pPr>
    </w:p>
    <w:p w14:paraId="3A0434B9">
      <w:pPr>
        <w:rPr>
          <w:rFonts w:hint="eastAsia" w:ascii="宋体" w:hAnsi="宋体" w:cs="宋体"/>
          <w:color w:val="auto"/>
          <w:sz w:val="20"/>
          <w:szCs w:val="20"/>
          <w:highlight w:val="none"/>
        </w:rPr>
      </w:pPr>
    </w:p>
    <w:p w14:paraId="6B94AA32">
      <w:pPr>
        <w:rPr>
          <w:rFonts w:hint="eastAsia" w:ascii="宋体" w:hAnsi="宋体" w:cs="宋体"/>
          <w:color w:val="auto"/>
          <w:sz w:val="20"/>
          <w:szCs w:val="20"/>
          <w:highlight w:val="none"/>
        </w:rPr>
      </w:pPr>
    </w:p>
    <w:p w14:paraId="506C036B">
      <w:pPr>
        <w:rPr>
          <w:rFonts w:hint="eastAsia" w:ascii="宋体" w:hAnsi="宋体" w:cs="宋体"/>
          <w:color w:val="auto"/>
          <w:sz w:val="20"/>
          <w:szCs w:val="20"/>
          <w:highlight w:val="none"/>
        </w:rPr>
      </w:pPr>
    </w:p>
    <w:p w14:paraId="319E9EB6">
      <w:pPr>
        <w:rPr>
          <w:rFonts w:hint="eastAsia" w:ascii="宋体" w:hAnsi="宋体" w:cs="宋体"/>
          <w:color w:val="auto"/>
          <w:sz w:val="20"/>
          <w:szCs w:val="20"/>
          <w:highlight w:val="none"/>
        </w:rPr>
      </w:pPr>
    </w:p>
    <w:p w14:paraId="2B6C46D9">
      <w:pPr>
        <w:rPr>
          <w:rFonts w:hint="eastAsia" w:ascii="宋体" w:hAnsi="宋体" w:cs="宋体"/>
          <w:color w:val="auto"/>
          <w:sz w:val="20"/>
          <w:szCs w:val="20"/>
          <w:highlight w:val="none"/>
        </w:rPr>
      </w:pPr>
    </w:p>
    <w:p w14:paraId="57A2ED89">
      <w:pPr>
        <w:rPr>
          <w:rFonts w:hint="eastAsia" w:ascii="宋体" w:hAnsi="宋体" w:cs="宋体"/>
          <w:color w:val="auto"/>
          <w:sz w:val="20"/>
          <w:szCs w:val="20"/>
          <w:highlight w:val="none"/>
        </w:rPr>
      </w:pPr>
    </w:p>
    <w:p w14:paraId="0D9E0CEA">
      <w:pPr>
        <w:rPr>
          <w:rFonts w:hint="eastAsia" w:ascii="宋体" w:hAnsi="宋体" w:cs="宋体"/>
          <w:color w:val="auto"/>
          <w:sz w:val="20"/>
          <w:szCs w:val="20"/>
          <w:highlight w:val="none"/>
        </w:rPr>
      </w:pPr>
    </w:p>
    <w:p w14:paraId="13863A73">
      <w:pPr>
        <w:rPr>
          <w:rFonts w:hint="eastAsia" w:ascii="宋体" w:hAnsi="宋体" w:cs="宋体"/>
          <w:color w:val="auto"/>
          <w:sz w:val="20"/>
          <w:szCs w:val="20"/>
          <w:highlight w:val="none"/>
        </w:rPr>
      </w:pPr>
    </w:p>
    <w:p w14:paraId="247E7834">
      <w:pPr>
        <w:rPr>
          <w:rFonts w:hint="eastAsia" w:ascii="宋体" w:hAnsi="宋体" w:cs="宋体"/>
          <w:color w:val="auto"/>
          <w:sz w:val="20"/>
          <w:szCs w:val="20"/>
          <w:highlight w:val="none"/>
        </w:rPr>
      </w:pPr>
    </w:p>
    <w:p w14:paraId="63385EE3">
      <w:pPr>
        <w:rPr>
          <w:rFonts w:hint="eastAsia" w:ascii="宋体" w:hAnsi="宋体" w:cs="宋体"/>
          <w:color w:val="auto"/>
          <w:sz w:val="20"/>
          <w:szCs w:val="20"/>
          <w:highlight w:val="none"/>
        </w:rPr>
      </w:pPr>
    </w:p>
    <w:p w14:paraId="1BBB8BC4">
      <w:pPr>
        <w:rPr>
          <w:rFonts w:hint="eastAsia" w:ascii="宋体" w:hAnsi="宋体" w:cs="宋体"/>
          <w:color w:val="auto"/>
          <w:sz w:val="20"/>
          <w:szCs w:val="20"/>
          <w:highlight w:val="none"/>
        </w:rPr>
      </w:pPr>
    </w:p>
    <w:p w14:paraId="5C3A8658">
      <w:pPr>
        <w:rPr>
          <w:rFonts w:hint="eastAsia" w:ascii="宋体" w:hAnsi="宋体" w:cs="宋体"/>
          <w:color w:val="auto"/>
          <w:sz w:val="20"/>
          <w:szCs w:val="20"/>
          <w:highlight w:val="none"/>
        </w:rPr>
      </w:pPr>
    </w:p>
    <w:p w14:paraId="2719EE26">
      <w:pPr>
        <w:rPr>
          <w:rFonts w:hint="eastAsia" w:ascii="宋体" w:hAnsi="宋体" w:cs="宋体"/>
          <w:color w:val="auto"/>
          <w:sz w:val="20"/>
          <w:szCs w:val="20"/>
          <w:highlight w:val="none"/>
        </w:rPr>
      </w:pPr>
    </w:p>
    <w:p w14:paraId="43D79A50">
      <w:pPr>
        <w:spacing w:before="3"/>
        <w:rPr>
          <w:rFonts w:hint="eastAsia" w:ascii="宋体" w:hAnsi="宋体" w:cs="宋体"/>
          <w:color w:val="auto"/>
          <w:sz w:val="29"/>
          <w:szCs w:val="29"/>
          <w:highlight w:val="none"/>
        </w:rPr>
      </w:pPr>
    </w:p>
    <w:p w14:paraId="7C707B6B">
      <w:pPr>
        <w:widowControl/>
        <w:jc w:val="left"/>
        <w:rPr>
          <w:rFonts w:ascii="宋体" w:hAnsi="宋体" w:cs="宋体"/>
          <w:color w:val="auto"/>
          <w:sz w:val="20"/>
          <w:szCs w:val="20"/>
          <w:highlight w:val="none"/>
        </w:rPr>
      </w:pPr>
    </w:p>
    <w:p w14:paraId="0EC54838">
      <w:pPr>
        <w:spacing w:before="4"/>
        <w:rPr>
          <w:rFonts w:hint="eastAsia" w:ascii="宋体" w:hAnsi="宋体" w:cs="宋体"/>
          <w:color w:val="auto"/>
          <w:sz w:val="6"/>
          <w:szCs w:val="6"/>
          <w:highlight w:val="none"/>
        </w:rPr>
      </w:pPr>
      <w:r>
        <w:rPr>
          <w:rFonts w:ascii="宋体" w:hAnsi="宋体" w:cs="宋体"/>
          <w:color w:val="auto"/>
          <w:sz w:val="20"/>
          <w:szCs w:val="20"/>
          <w:highlight w:val="none"/>
        </w:rPr>
        <w:br w:type="page"/>
      </w:r>
    </w:p>
    <w:tbl>
      <w:tblPr>
        <w:tblStyle w:val="24"/>
        <w:tblW w:w="9120" w:type="dxa"/>
        <w:jc w:val="center"/>
        <w:tblLayout w:type="fixed"/>
        <w:tblCellMar>
          <w:top w:w="0" w:type="dxa"/>
          <w:left w:w="0" w:type="dxa"/>
          <w:bottom w:w="0" w:type="dxa"/>
          <w:right w:w="0" w:type="dxa"/>
        </w:tblCellMar>
      </w:tblPr>
      <w:tblGrid>
        <w:gridCol w:w="615"/>
        <w:gridCol w:w="1290"/>
        <w:gridCol w:w="2077"/>
        <w:gridCol w:w="1373"/>
        <w:gridCol w:w="3765"/>
      </w:tblGrid>
      <w:tr w14:paraId="507EBF3E">
        <w:tblPrEx>
          <w:tblCellMar>
            <w:top w:w="0" w:type="dxa"/>
            <w:left w:w="0" w:type="dxa"/>
            <w:bottom w:w="0" w:type="dxa"/>
            <w:right w:w="0" w:type="dxa"/>
          </w:tblCellMar>
        </w:tblPrEx>
        <w:trPr>
          <w:trHeight w:val="943" w:hRule="exact"/>
          <w:jc w:val="center"/>
        </w:trPr>
        <w:tc>
          <w:tcPr>
            <w:tcW w:w="615" w:type="dxa"/>
            <w:tcBorders>
              <w:top w:val="single" w:color="000000" w:sz="4" w:space="0"/>
              <w:left w:val="single" w:color="000000" w:sz="4" w:space="0"/>
              <w:bottom w:val="single" w:color="000000" w:sz="4" w:space="0"/>
              <w:right w:val="single" w:color="000000" w:sz="4" w:space="0"/>
            </w:tcBorders>
            <w:noWrap w:val="0"/>
            <w:vAlign w:val="top"/>
          </w:tcPr>
          <w:p w14:paraId="1A2D60D9">
            <w:pPr>
              <w:pStyle w:val="56"/>
              <w:spacing w:before="8"/>
              <w:rPr>
                <w:rFonts w:ascii="宋体" w:hAnsi="宋体" w:cs="宋体"/>
                <w:color w:val="auto"/>
                <w:sz w:val="23"/>
                <w:szCs w:val="23"/>
                <w:highlight w:val="none"/>
                <w:lang w:eastAsia="zh-CN"/>
              </w:rPr>
            </w:pPr>
          </w:p>
          <w:p w14:paraId="3D464FDE">
            <w:pPr>
              <w:pStyle w:val="56"/>
              <w:ind w:left="182"/>
              <w:rPr>
                <w:rFonts w:ascii="宋体" w:hAnsi="宋体" w:cs="宋体"/>
                <w:color w:val="auto"/>
                <w:sz w:val="20"/>
                <w:szCs w:val="20"/>
                <w:highlight w:val="none"/>
              </w:rPr>
            </w:pPr>
            <w:r>
              <w:rPr>
                <w:rFonts w:hint="eastAsia" w:ascii="宋体"/>
                <w:color w:val="auto"/>
                <w:sz w:val="20"/>
                <w:highlight w:val="none"/>
              </w:rPr>
              <w:t>16</w:t>
            </w:r>
          </w:p>
        </w:tc>
        <w:tc>
          <w:tcPr>
            <w:tcW w:w="1290" w:type="dxa"/>
            <w:tcBorders>
              <w:top w:val="single" w:color="000000" w:sz="4" w:space="0"/>
              <w:left w:val="single" w:color="000000" w:sz="4" w:space="0"/>
              <w:bottom w:val="single" w:color="000000" w:sz="4" w:space="0"/>
              <w:right w:val="single" w:color="000000" w:sz="4" w:space="0"/>
            </w:tcBorders>
            <w:noWrap w:val="0"/>
            <w:vAlign w:val="top"/>
          </w:tcPr>
          <w:p w14:paraId="75D5E936">
            <w:pPr>
              <w:pStyle w:val="56"/>
              <w:spacing w:before="153"/>
              <w:ind w:left="7"/>
              <w:rPr>
                <w:rFonts w:ascii="宋体" w:hAnsi="宋体" w:cs="宋体"/>
                <w:color w:val="auto"/>
                <w:sz w:val="20"/>
                <w:szCs w:val="20"/>
                <w:highlight w:val="none"/>
              </w:rPr>
            </w:pPr>
            <w:r>
              <w:rPr>
                <w:rFonts w:hint="eastAsia" w:ascii="宋体" w:hAnsi="宋体" w:cs="宋体"/>
                <w:color w:val="auto"/>
                <w:sz w:val="20"/>
                <w:szCs w:val="20"/>
                <w:highlight w:val="none"/>
              </w:rPr>
              <w:t>★A060806水</w:t>
            </w:r>
          </w:p>
          <w:p w14:paraId="2BB72358">
            <w:pPr>
              <w:pStyle w:val="56"/>
              <w:spacing w:before="50"/>
              <w:ind w:left="7"/>
              <w:rPr>
                <w:rFonts w:ascii="宋体" w:hAnsi="宋体" w:cs="宋体"/>
                <w:color w:val="auto"/>
                <w:sz w:val="20"/>
                <w:szCs w:val="20"/>
                <w:highlight w:val="none"/>
              </w:rPr>
            </w:pPr>
            <w:r>
              <w:rPr>
                <w:rFonts w:hint="eastAsia" w:ascii="宋体" w:hAnsi="宋体" w:cs="宋体"/>
                <w:color w:val="auto"/>
                <w:w w:val="99"/>
                <w:sz w:val="20"/>
                <w:szCs w:val="20"/>
                <w:highlight w:val="none"/>
              </w:rPr>
              <w:t>嘴</w:t>
            </w:r>
          </w:p>
        </w:tc>
        <w:tc>
          <w:tcPr>
            <w:tcW w:w="2077" w:type="dxa"/>
            <w:tcBorders>
              <w:top w:val="single" w:color="000000" w:sz="4" w:space="0"/>
              <w:left w:val="single" w:color="000000" w:sz="4" w:space="0"/>
              <w:bottom w:val="single" w:color="000000" w:sz="4" w:space="0"/>
              <w:right w:val="single" w:color="000000" w:sz="4" w:space="0"/>
            </w:tcBorders>
            <w:noWrap w:val="0"/>
            <w:vAlign w:val="top"/>
          </w:tcPr>
          <w:p w14:paraId="381A03F3">
            <w:pPr>
              <w:rPr>
                <w:rFonts w:ascii="Calibri" w:hAnsi="Calibri"/>
                <w:color w:val="auto"/>
                <w:sz w:val="22"/>
                <w:szCs w:val="22"/>
                <w:highlight w:val="none"/>
                <w:lang w:eastAsia="en-US"/>
              </w:rPr>
            </w:pPr>
          </w:p>
        </w:tc>
        <w:tc>
          <w:tcPr>
            <w:tcW w:w="1373" w:type="dxa"/>
            <w:tcBorders>
              <w:top w:val="single" w:color="000000" w:sz="4" w:space="0"/>
              <w:left w:val="single" w:color="000000" w:sz="4" w:space="0"/>
              <w:bottom w:val="single" w:color="000000" w:sz="4" w:space="0"/>
              <w:right w:val="single" w:color="000000" w:sz="4" w:space="0"/>
            </w:tcBorders>
            <w:noWrap w:val="0"/>
            <w:vAlign w:val="top"/>
          </w:tcPr>
          <w:p w14:paraId="7392110B">
            <w:pPr>
              <w:rPr>
                <w:rFonts w:ascii="Calibri" w:hAnsi="Calibri"/>
                <w:color w:val="auto"/>
                <w:sz w:val="22"/>
                <w:szCs w:val="22"/>
                <w:highlight w:val="none"/>
                <w:lang w:eastAsia="en-US"/>
              </w:rPr>
            </w:pPr>
          </w:p>
        </w:tc>
        <w:tc>
          <w:tcPr>
            <w:tcW w:w="3765" w:type="dxa"/>
            <w:tcBorders>
              <w:top w:val="single" w:color="000000" w:sz="4" w:space="0"/>
              <w:left w:val="single" w:color="000000" w:sz="4" w:space="0"/>
              <w:bottom w:val="single" w:color="000000" w:sz="4" w:space="0"/>
              <w:right w:val="single" w:color="000000" w:sz="4" w:space="0"/>
            </w:tcBorders>
            <w:noWrap w:val="0"/>
            <w:vAlign w:val="top"/>
          </w:tcPr>
          <w:p w14:paraId="63A3C555">
            <w:pPr>
              <w:pStyle w:val="56"/>
              <w:spacing w:before="153" w:line="280" w:lineRule="auto"/>
              <w:ind w:left="7" w:right="4"/>
              <w:rPr>
                <w:rFonts w:ascii="宋体" w:hAnsi="宋体" w:cs="宋体"/>
                <w:color w:val="auto"/>
                <w:sz w:val="20"/>
                <w:szCs w:val="20"/>
                <w:highlight w:val="none"/>
                <w:lang w:eastAsia="zh-CN"/>
              </w:rPr>
            </w:pPr>
            <w:r>
              <w:rPr>
                <w:rFonts w:hint="eastAsia" w:ascii="宋体" w:hAnsi="宋体" w:cs="宋体"/>
                <w:color w:val="auto"/>
                <w:spacing w:val="10"/>
                <w:sz w:val="20"/>
                <w:szCs w:val="20"/>
                <w:highlight w:val="none"/>
                <w:lang w:eastAsia="zh-CN"/>
              </w:rPr>
              <w:t>《水嘴用水效率限定值及用水效</w:t>
            </w:r>
            <w:r>
              <w:rPr>
                <w:rFonts w:hint="eastAsia" w:ascii="宋体" w:hAnsi="宋体" w:cs="宋体"/>
                <w:color w:val="auto"/>
                <w:sz w:val="20"/>
                <w:szCs w:val="20"/>
                <w:highlight w:val="none"/>
                <w:lang w:eastAsia="zh-CN"/>
              </w:rPr>
              <w:t>率等级》（GB 25501）</w:t>
            </w:r>
          </w:p>
        </w:tc>
      </w:tr>
      <w:tr w14:paraId="0DE3E574">
        <w:tblPrEx>
          <w:tblCellMar>
            <w:top w:w="0" w:type="dxa"/>
            <w:left w:w="0" w:type="dxa"/>
            <w:bottom w:w="0" w:type="dxa"/>
            <w:right w:w="0" w:type="dxa"/>
          </w:tblCellMar>
        </w:tblPrEx>
        <w:trPr>
          <w:trHeight w:val="862" w:hRule="exact"/>
          <w:jc w:val="center"/>
        </w:trPr>
        <w:tc>
          <w:tcPr>
            <w:tcW w:w="615" w:type="dxa"/>
            <w:tcBorders>
              <w:top w:val="single" w:color="000000" w:sz="4" w:space="0"/>
              <w:left w:val="single" w:color="000000" w:sz="4" w:space="0"/>
              <w:bottom w:val="single" w:color="000000" w:sz="4" w:space="0"/>
              <w:right w:val="single" w:color="000000" w:sz="4" w:space="0"/>
            </w:tcBorders>
            <w:noWrap w:val="0"/>
            <w:vAlign w:val="top"/>
          </w:tcPr>
          <w:p w14:paraId="48575C86">
            <w:pPr>
              <w:pStyle w:val="56"/>
              <w:spacing w:before="6"/>
              <w:rPr>
                <w:rFonts w:ascii="宋体" w:hAnsi="宋体" w:cs="宋体"/>
                <w:color w:val="auto"/>
                <w:sz w:val="20"/>
                <w:szCs w:val="20"/>
                <w:highlight w:val="none"/>
                <w:lang w:eastAsia="zh-CN"/>
              </w:rPr>
            </w:pPr>
          </w:p>
          <w:p w14:paraId="79A54B3B">
            <w:pPr>
              <w:pStyle w:val="56"/>
              <w:ind w:left="182"/>
              <w:rPr>
                <w:rFonts w:ascii="宋体" w:hAnsi="宋体" w:cs="宋体"/>
                <w:color w:val="auto"/>
                <w:sz w:val="20"/>
                <w:szCs w:val="20"/>
                <w:highlight w:val="none"/>
              </w:rPr>
            </w:pPr>
            <w:r>
              <w:rPr>
                <w:rFonts w:hint="eastAsia" w:ascii="宋体"/>
                <w:color w:val="auto"/>
                <w:sz w:val="20"/>
                <w:highlight w:val="none"/>
              </w:rPr>
              <w:t>17</w:t>
            </w:r>
          </w:p>
        </w:tc>
        <w:tc>
          <w:tcPr>
            <w:tcW w:w="1290" w:type="dxa"/>
            <w:tcBorders>
              <w:top w:val="single" w:color="000000" w:sz="4" w:space="0"/>
              <w:left w:val="single" w:color="000000" w:sz="4" w:space="0"/>
              <w:bottom w:val="single" w:color="000000" w:sz="4" w:space="0"/>
              <w:right w:val="single" w:color="000000" w:sz="4" w:space="0"/>
            </w:tcBorders>
            <w:noWrap w:val="0"/>
            <w:vAlign w:val="top"/>
          </w:tcPr>
          <w:p w14:paraId="277F8E87">
            <w:pPr>
              <w:pStyle w:val="56"/>
              <w:spacing w:before="112"/>
              <w:ind w:left="7"/>
              <w:rPr>
                <w:rFonts w:ascii="宋体" w:hAnsi="宋体" w:cs="宋体"/>
                <w:color w:val="auto"/>
                <w:sz w:val="20"/>
                <w:szCs w:val="20"/>
                <w:highlight w:val="none"/>
              </w:rPr>
            </w:pPr>
            <w:r>
              <w:rPr>
                <w:rFonts w:hint="eastAsia" w:ascii="宋体" w:hAnsi="宋体" w:cs="宋体"/>
                <w:color w:val="auto"/>
                <w:sz w:val="20"/>
                <w:szCs w:val="20"/>
                <w:highlight w:val="none"/>
              </w:rPr>
              <w:t>A060807便器</w:t>
            </w:r>
          </w:p>
          <w:p w14:paraId="4C404CD5">
            <w:pPr>
              <w:pStyle w:val="56"/>
              <w:spacing w:before="50"/>
              <w:ind w:left="7"/>
              <w:rPr>
                <w:rFonts w:ascii="宋体" w:hAnsi="宋体" w:cs="宋体"/>
                <w:color w:val="auto"/>
                <w:sz w:val="20"/>
                <w:szCs w:val="20"/>
                <w:highlight w:val="none"/>
              </w:rPr>
            </w:pPr>
            <w:r>
              <w:rPr>
                <w:rFonts w:hint="eastAsia" w:ascii="宋体" w:hAnsi="宋体" w:cs="宋体"/>
                <w:color w:val="auto"/>
                <w:sz w:val="20"/>
                <w:szCs w:val="20"/>
                <w:highlight w:val="none"/>
              </w:rPr>
              <w:t>冲洗阀</w:t>
            </w:r>
          </w:p>
        </w:tc>
        <w:tc>
          <w:tcPr>
            <w:tcW w:w="2077" w:type="dxa"/>
            <w:tcBorders>
              <w:top w:val="single" w:color="000000" w:sz="4" w:space="0"/>
              <w:left w:val="single" w:color="000000" w:sz="4" w:space="0"/>
              <w:bottom w:val="single" w:color="000000" w:sz="4" w:space="0"/>
              <w:right w:val="single" w:color="000000" w:sz="4" w:space="0"/>
            </w:tcBorders>
            <w:noWrap w:val="0"/>
            <w:vAlign w:val="top"/>
          </w:tcPr>
          <w:p w14:paraId="0B697F4E">
            <w:pPr>
              <w:rPr>
                <w:rFonts w:ascii="Calibri" w:hAnsi="Calibri"/>
                <w:color w:val="auto"/>
                <w:sz w:val="22"/>
                <w:szCs w:val="22"/>
                <w:highlight w:val="none"/>
                <w:lang w:eastAsia="en-US"/>
              </w:rPr>
            </w:pPr>
          </w:p>
        </w:tc>
        <w:tc>
          <w:tcPr>
            <w:tcW w:w="1373" w:type="dxa"/>
            <w:tcBorders>
              <w:top w:val="single" w:color="000000" w:sz="4" w:space="0"/>
              <w:left w:val="single" w:color="000000" w:sz="4" w:space="0"/>
              <w:bottom w:val="single" w:color="000000" w:sz="4" w:space="0"/>
              <w:right w:val="single" w:color="000000" w:sz="4" w:space="0"/>
            </w:tcBorders>
            <w:noWrap w:val="0"/>
            <w:vAlign w:val="top"/>
          </w:tcPr>
          <w:p w14:paraId="7221B97B">
            <w:pPr>
              <w:rPr>
                <w:rFonts w:ascii="Calibri" w:hAnsi="Calibri"/>
                <w:color w:val="auto"/>
                <w:sz w:val="22"/>
                <w:szCs w:val="22"/>
                <w:highlight w:val="none"/>
                <w:lang w:eastAsia="en-US"/>
              </w:rPr>
            </w:pPr>
          </w:p>
        </w:tc>
        <w:tc>
          <w:tcPr>
            <w:tcW w:w="3765" w:type="dxa"/>
            <w:tcBorders>
              <w:top w:val="single" w:color="000000" w:sz="4" w:space="0"/>
              <w:left w:val="single" w:color="000000" w:sz="4" w:space="0"/>
              <w:bottom w:val="single" w:color="000000" w:sz="4" w:space="0"/>
              <w:right w:val="single" w:color="000000" w:sz="4" w:space="0"/>
            </w:tcBorders>
            <w:noWrap w:val="0"/>
            <w:vAlign w:val="top"/>
          </w:tcPr>
          <w:p w14:paraId="5AD69217">
            <w:pPr>
              <w:pStyle w:val="56"/>
              <w:spacing w:before="112" w:line="280" w:lineRule="auto"/>
              <w:ind w:left="7" w:right="4"/>
              <w:rPr>
                <w:rFonts w:ascii="宋体" w:hAnsi="宋体" w:cs="宋体"/>
                <w:color w:val="auto"/>
                <w:sz w:val="20"/>
                <w:szCs w:val="20"/>
                <w:highlight w:val="none"/>
                <w:lang w:eastAsia="zh-CN"/>
              </w:rPr>
            </w:pPr>
            <w:r>
              <w:rPr>
                <w:rFonts w:hint="eastAsia" w:ascii="宋体" w:hAnsi="宋体" w:cs="宋体"/>
                <w:color w:val="auto"/>
                <w:spacing w:val="10"/>
                <w:sz w:val="20"/>
                <w:szCs w:val="20"/>
                <w:highlight w:val="none"/>
                <w:lang w:eastAsia="zh-CN"/>
              </w:rPr>
              <w:t>《便器冲洗阀用水效率限定值及</w:t>
            </w:r>
            <w:r>
              <w:rPr>
                <w:rFonts w:hint="eastAsia" w:ascii="宋体" w:hAnsi="宋体" w:cs="宋体"/>
                <w:color w:val="auto"/>
                <w:sz w:val="20"/>
                <w:szCs w:val="20"/>
                <w:highlight w:val="none"/>
                <w:lang w:eastAsia="zh-CN"/>
              </w:rPr>
              <w:t>用水效率等级》（GB28379）</w:t>
            </w:r>
          </w:p>
        </w:tc>
      </w:tr>
      <w:tr w14:paraId="3E33061A">
        <w:tblPrEx>
          <w:tblCellMar>
            <w:top w:w="0" w:type="dxa"/>
            <w:left w:w="0" w:type="dxa"/>
            <w:bottom w:w="0" w:type="dxa"/>
            <w:right w:w="0" w:type="dxa"/>
          </w:tblCellMar>
        </w:tblPrEx>
        <w:trPr>
          <w:trHeight w:val="902" w:hRule="exact"/>
          <w:jc w:val="center"/>
        </w:trPr>
        <w:tc>
          <w:tcPr>
            <w:tcW w:w="615" w:type="dxa"/>
            <w:tcBorders>
              <w:top w:val="single" w:color="000000" w:sz="4" w:space="0"/>
              <w:left w:val="single" w:color="000000" w:sz="4" w:space="0"/>
              <w:bottom w:val="single" w:color="000000" w:sz="4" w:space="0"/>
              <w:right w:val="single" w:color="000000" w:sz="4" w:space="0"/>
            </w:tcBorders>
            <w:noWrap w:val="0"/>
            <w:vAlign w:val="top"/>
          </w:tcPr>
          <w:p w14:paraId="71011511">
            <w:pPr>
              <w:pStyle w:val="56"/>
              <w:spacing w:before="12"/>
              <w:rPr>
                <w:rFonts w:ascii="宋体" w:hAnsi="宋体" w:cs="宋体"/>
                <w:color w:val="auto"/>
                <w:sz w:val="21"/>
                <w:szCs w:val="21"/>
                <w:highlight w:val="none"/>
                <w:lang w:eastAsia="zh-CN"/>
              </w:rPr>
            </w:pPr>
          </w:p>
          <w:p w14:paraId="14B05ED8">
            <w:pPr>
              <w:pStyle w:val="56"/>
              <w:ind w:left="182"/>
              <w:rPr>
                <w:rFonts w:ascii="宋体" w:hAnsi="宋体" w:cs="宋体"/>
                <w:color w:val="auto"/>
                <w:sz w:val="20"/>
                <w:szCs w:val="20"/>
                <w:highlight w:val="none"/>
              </w:rPr>
            </w:pPr>
            <w:r>
              <w:rPr>
                <w:rFonts w:hint="eastAsia" w:ascii="宋体"/>
                <w:color w:val="auto"/>
                <w:sz w:val="20"/>
                <w:highlight w:val="none"/>
              </w:rPr>
              <w:t>18</w:t>
            </w:r>
          </w:p>
        </w:tc>
        <w:tc>
          <w:tcPr>
            <w:tcW w:w="1290" w:type="dxa"/>
            <w:tcBorders>
              <w:top w:val="single" w:color="000000" w:sz="4" w:space="0"/>
              <w:left w:val="single" w:color="000000" w:sz="4" w:space="0"/>
              <w:bottom w:val="single" w:color="000000" w:sz="4" w:space="0"/>
              <w:right w:val="single" w:color="000000" w:sz="4" w:space="0"/>
            </w:tcBorders>
            <w:noWrap w:val="0"/>
            <w:vAlign w:val="top"/>
          </w:tcPr>
          <w:p w14:paraId="4BCF7910">
            <w:pPr>
              <w:pStyle w:val="56"/>
              <w:spacing w:before="131"/>
              <w:ind w:left="7"/>
              <w:rPr>
                <w:rFonts w:ascii="宋体" w:hAnsi="宋体" w:cs="宋体"/>
                <w:color w:val="auto"/>
                <w:sz w:val="20"/>
                <w:szCs w:val="20"/>
                <w:highlight w:val="none"/>
              </w:rPr>
            </w:pPr>
            <w:r>
              <w:rPr>
                <w:rFonts w:hint="eastAsia" w:ascii="宋体" w:hAnsi="宋体" w:cs="宋体"/>
                <w:color w:val="auto"/>
                <w:sz w:val="20"/>
                <w:szCs w:val="20"/>
                <w:highlight w:val="none"/>
              </w:rPr>
              <w:t>A060810淋浴</w:t>
            </w:r>
          </w:p>
          <w:p w14:paraId="794FF204">
            <w:pPr>
              <w:pStyle w:val="56"/>
              <w:spacing w:before="50"/>
              <w:ind w:left="7"/>
              <w:rPr>
                <w:rFonts w:ascii="宋体" w:hAnsi="宋体" w:cs="宋体"/>
                <w:color w:val="auto"/>
                <w:sz w:val="20"/>
                <w:szCs w:val="20"/>
                <w:highlight w:val="none"/>
              </w:rPr>
            </w:pPr>
            <w:r>
              <w:rPr>
                <w:rFonts w:hint="eastAsia" w:ascii="宋体" w:hAnsi="宋体" w:cs="宋体"/>
                <w:color w:val="auto"/>
                <w:w w:val="99"/>
                <w:sz w:val="20"/>
                <w:szCs w:val="20"/>
                <w:highlight w:val="none"/>
              </w:rPr>
              <w:t>器</w:t>
            </w:r>
          </w:p>
        </w:tc>
        <w:tc>
          <w:tcPr>
            <w:tcW w:w="2077" w:type="dxa"/>
            <w:tcBorders>
              <w:top w:val="single" w:color="000000" w:sz="4" w:space="0"/>
              <w:left w:val="single" w:color="000000" w:sz="4" w:space="0"/>
              <w:bottom w:val="single" w:color="000000" w:sz="4" w:space="0"/>
              <w:right w:val="single" w:color="000000" w:sz="4" w:space="0"/>
            </w:tcBorders>
            <w:noWrap w:val="0"/>
            <w:vAlign w:val="top"/>
          </w:tcPr>
          <w:p w14:paraId="43361BFA">
            <w:pPr>
              <w:rPr>
                <w:rFonts w:ascii="Calibri" w:hAnsi="Calibri"/>
                <w:color w:val="auto"/>
                <w:sz w:val="22"/>
                <w:szCs w:val="22"/>
                <w:highlight w:val="none"/>
                <w:lang w:eastAsia="en-US"/>
              </w:rPr>
            </w:pPr>
          </w:p>
        </w:tc>
        <w:tc>
          <w:tcPr>
            <w:tcW w:w="1373" w:type="dxa"/>
            <w:tcBorders>
              <w:top w:val="single" w:color="000000" w:sz="4" w:space="0"/>
              <w:left w:val="single" w:color="000000" w:sz="4" w:space="0"/>
              <w:bottom w:val="single" w:color="000000" w:sz="4" w:space="0"/>
              <w:right w:val="single" w:color="000000" w:sz="4" w:space="0"/>
            </w:tcBorders>
            <w:noWrap w:val="0"/>
            <w:vAlign w:val="top"/>
          </w:tcPr>
          <w:p w14:paraId="14427211">
            <w:pPr>
              <w:rPr>
                <w:rFonts w:ascii="Calibri" w:hAnsi="Calibri"/>
                <w:color w:val="auto"/>
                <w:sz w:val="22"/>
                <w:szCs w:val="22"/>
                <w:highlight w:val="none"/>
                <w:lang w:eastAsia="en-US"/>
              </w:rPr>
            </w:pPr>
          </w:p>
        </w:tc>
        <w:tc>
          <w:tcPr>
            <w:tcW w:w="3765" w:type="dxa"/>
            <w:tcBorders>
              <w:top w:val="single" w:color="000000" w:sz="4" w:space="0"/>
              <w:left w:val="single" w:color="000000" w:sz="4" w:space="0"/>
              <w:bottom w:val="single" w:color="000000" w:sz="4" w:space="0"/>
              <w:right w:val="single" w:color="000000" w:sz="4" w:space="0"/>
            </w:tcBorders>
            <w:noWrap w:val="0"/>
            <w:vAlign w:val="top"/>
          </w:tcPr>
          <w:p w14:paraId="5BA33A24">
            <w:pPr>
              <w:pStyle w:val="56"/>
              <w:spacing w:before="131" w:line="280" w:lineRule="auto"/>
              <w:ind w:left="7" w:right="4"/>
              <w:rPr>
                <w:rFonts w:ascii="宋体" w:hAnsi="宋体" w:cs="宋体"/>
                <w:color w:val="auto"/>
                <w:sz w:val="20"/>
                <w:szCs w:val="20"/>
                <w:highlight w:val="none"/>
                <w:lang w:eastAsia="zh-CN"/>
              </w:rPr>
            </w:pPr>
            <w:r>
              <w:rPr>
                <w:rFonts w:hint="eastAsia" w:ascii="宋体" w:hAnsi="宋体" w:cs="宋体"/>
                <w:color w:val="auto"/>
                <w:spacing w:val="10"/>
                <w:sz w:val="20"/>
                <w:szCs w:val="20"/>
                <w:highlight w:val="none"/>
                <w:lang w:eastAsia="zh-CN"/>
              </w:rPr>
              <w:t>《淋浴器用水效率限定值及用水</w:t>
            </w:r>
            <w:r>
              <w:rPr>
                <w:rFonts w:hint="eastAsia" w:ascii="宋体" w:hAnsi="宋体" w:cs="宋体"/>
                <w:color w:val="auto"/>
                <w:sz w:val="20"/>
                <w:szCs w:val="20"/>
                <w:highlight w:val="none"/>
                <w:lang w:eastAsia="zh-CN"/>
              </w:rPr>
              <w:t>效率等级》（GB28378）</w:t>
            </w:r>
          </w:p>
        </w:tc>
      </w:tr>
    </w:tbl>
    <w:p w14:paraId="206D08FE">
      <w:pPr>
        <w:pStyle w:val="12"/>
        <w:spacing w:line="360" w:lineRule="auto"/>
        <w:rPr>
          <w:rFonts w:hint="eastAsia" w:ascii="宋体" w:hAnsi="宋体"/>
          <w:color w:val="auto"/>
          <w:szCs w:val="21"/>
          <w:highlight w:val="none"/>
        </w:rPr>
      </w:pPr>
      <w:r>
        <w:rPr>
          <w:rFonts w:hint="eastAsia"/>
          <w:color w:val="auto"/>
          <w:spacing w:val="-3"/>
          <w:szCs w:val="21"/>
          <w:highlight w:val="none"/>
        </w:rPr>
        <w:t>注：</w:t>
      </w:r>
      <w:r>
        <w:rPr>
          <w:color w:val="auto"/>
          <w:spacing w:val="-3"/>
          <w:szCs w:val="21"/>
          <w:highlight w:val="none"/>
        </w:rPr>
        <w:t>1.</w:t>
      </w:r>
      <w:r>
        <w:rPr>
          <w:rFonts w:hint="eastAsia"/>
          <w:color w:val="auto"/>
          <w:spacing w:val="-3"/>
          <w:szCs w:val="21"/>
          <w:highlight w:val="none"/>
        </w:rPr>
        <w:t>节能产品认证应依据相关国家标准的最新版本，依据国家标准中二级能效（水效）</w:t>
      </w:r>
      <w:r>
        <w:rPr>
          <w:rFonts w:hint="eastAsia"/>
          <w:color w:val="auto"/>
          <w:szCs w:val="21"/>
          <w:highlight w:val="none"/>
        </w:rPr>
        <w:t>指标。</w:t>
      </w:r>
    </w:p>
    <w:p w14:paraId="1E5C2200">
      <w:pPr>
        <w:pStyle w:val="12"/>
        <w:spacing w:line="360" w:lineRule="auto"/>
        <w:rPr>
          <w:color w:val="auto"/>
          <w:szCs w:val="21"/>
          <w:highlight w:val="none"/>
        </w:rPr>
      </w:pPr>
      <w:r>
        <w:rPr>
          <w:rFonts w:hint="eastAsia" w:ascii="宋体" w:hAnsi="宋体"/>
          <w:color w:val="auto"/>
          <w:szCs w:val="21"/>
          <w:highlight w:val="none"/>
        </w:rPr>
        <w:t xml:space="preserve">    </w:t>
      </w:r>
      <w:r>
        <w:rPr>
          <w:color w:val="auto"/>
          <w:szCs w:val="21"/>
          <w:highlight w:val="none"/>
        </w:rPr>
        <w:t>2.</w:t>
      </w:r>
      <w:r>
        <w:rPr>
          <w:rFonts w:hint="eastAsia"/>
          <w:color w:val="auto"/>
          <w:szCs w:val="21"/>
          <w:highlight w:val="none"/>
        </w:rPr>
        <w:t>以</w:t>
      </w:r>
      <w:r>
        <w:rPr>
          <w:color w:val="auto"/>
          <w:szCs w:val="21"/>
          <w:highlight w:val="none"/>
        </w:rPr>
        <w:t>“</w:t>
      </w:r>
      <w:r>
        <w:rPr>
          <w:rFonts w:hint="eastAsia"/>
          <w:color w:val="auto"/>
          <w:szCs w:val="21"/>
          <w:highlight w:val="none"/>
        </w:rPr>
        <w:t>★</w:t>
      </w:r>
      <w:r>
        <w:rPr>
          <w:color w:val="auto"/>
          <w:szCs w:val="21"/>
          <w:highlight w:val="none"/>
        </w:rPr>
        <w:t>”</w:t>
      </w:r>
      <w:r>
        <w:rPr>
          <w:rFonts w:hint="eastAsia"/>
          <w:color w:val="auto"/>
          <w:szCs w:val="21"/>
          <w:highlight w:val="none"/>
        </w:rPr>
        <w:t>标注的为政府强制采购产品。</w:t>
      </w:r>
    </w:p>
    <w:p w14:paraId="633020F2">
      <w:pPr>
        <w:spacing w:line="428" w:lineRule="exact"/>
        <w:ind w:left="119"/>
        <w:rPr>
          <w:rFonts w:ascii="黑体" w:hAnsi="黑体" w:eastAsia="黑体" w:cs="黑体"/>
          <w:color w:val="auto"/>
          <w:sz w:val="32"/>
          <w:szCs w:val="32"/>
          <w:highlight w:val="none"/>
        </w:rPr>
      </w:pPr>
      <w:r>
        <w:rPr>
          <w:rFonts w:hint="eastAsia" w:ascii="黑体" w:hAnsi="黑体" w:eastAsia="黑体" w:cs="黑体"/>
          <w:color w:val="auto"/>
          <w:sz w:val="32"/>
          <w:szCs w:val="32"/>
          <w:highlight w:val="none"/>
        </w:rPr>
        <w:br w:type="page"/>
      </w:r>
      <w:r>
        <w:rPr>
          <w:rFonts w:hint="eastAsia" w:ascii="黑体" w:hAnsi="黑体" w:eastAsia="黑体" w:cs="黑体"/>
          <w:color w:val="auto"/>
          <w:sz w:val="32"/>
          <w:szCs w:val="32"/>
          <w:highlight w:val="none"/>
        </w:rPr>
        <w:t>附件2：</w:t>
      </w:r>
    </w:p>
    <w:p w14:paraId="3071A3B1">
      <w:pPr>
        <w:spacing w:line="528" w:lineRule="exact"/>
        <w:jc w:val="center"/>
        <w:rPr>
          <w:rFonts w:ascii="Arial Unicode MS" w:hAnsi="Arial Unicode MS" w:eastAsia="等线" w:cs="Arial Unicode MS"/>
          <w:color w:val="auto"/>
          <w:kern w:val="0"/>
          <w:sz w:val="32"/>
          <w:szCs w:val="32"/>
          <w:highlight w:val="none"/>
        </w:rPr>
      </w:pPr>
    </w:p>
    <w:p w14:paraId="5FE0CD68">
      <w:pPr>
        <w:spacing w:line="528" w:lineRule="exact"/>
        <w:jc w:val="center"/>
        <w:rPr>
          <w:rFonts w:ascii="微软雅黑" w:hAnsi="微软雅黑" w:eastAsia="微软雅黑" w:cs="微软雅黑"/>
          <w:color w:val="auto"/>
          <w:sz w:val="40"/>
          <w:szCs w:val="40"/>
          <w:highlight w:val="none"/>
        </w:rPr>
      </w:pPr>
      <w:r>
        <w:rPr>
          <w:rFonts w:hint="eastAsia" w:ascii="微软雅黑" w:hAnsi="微软雅黑" w:eastAsia="微软雅黑" w:cs="微软雅黑"/>
          <w:color w:val="auto"/>
          <w:sz w:val="40"/>
          <w:szCs w:val="40"/>
          <w:highlight w:val="none"/>
        </w:rPr>
        <w:t>中小微企业划型标准</w:t>
      </w:r>
    </w:p>
    <w:p w14:paraId="56D8D82F">
      <w:pPr>
        <w:spacing w:line="528" w:lineRule="exact"/>
        <w:jc w:val="center"/>
        <w:rPr>
          <w:rFonts w:hint="eastAsia" w:ascii="Arial Unicode MS" w:hAnsi="Arial Unicode MS" w:eastAsia="Arial Unicode MS" w:cs="Arial Unicode MS"/>
          <w:color w:val="auto"/>
          <w:sz w:val="40"/>
          <w:szCs w:val="40"/>
          <w:highlight w:val="none"/>
        </w:rPr>
      </w:pPr>
    </w:p>
    <w:tbl>
      <w:tblPr>
        <w:tblStyle w:val="24"/>
        <w:tblW w:w="5000" w:type="pct"/>
        <w:tblInd w:w="0" w:type="dxa"/>
        <w:tblLayout w:type="autofit"/>
        <w:tblCellMar>
          <w:top w:w="0" w:type="dxa"/>
          <w:left w:w="108" w:type="dxa"/>
          <w:bottom w:w="0" w:type="dxa"/>
          <w:right w:w="108" w:type="dxa"/>
        </w:tblCellMar>
      </w:tblPr>
      <w:tblGrid>
        <w:gridCol w:w="1949"/>
        <w:gridCol w:w="1656"/>
        <w:gridCol w:w="1491"/>
        <w:gridCol w:w="1917"/>
        <w:gridCol w:w="1798"/>
        <w:gridCol w:w="1155"/>
      </w:tblGrid>
      <w:tr w14:paraId="2F742E4C">
        <w:tblPrEx>
          <w:tblCellMar>
            <w:top w:w="0" w:type="dxa"/>
            <w:left w:w="108" w:type="dxa"/>
            <w:bottom w:w="0" w:type="dxa"/>
            <w:right w:w="108" w:type="dxa"/>
          </w:tblCellMar>
        </w:tblPrEx>
        <w:trPr>
          <w:trHeight w:val="284" w:hRule="atLeast"/>
        </w:trPr>
        <w:tc>
          <w:tcPr>
            <w:tcW w:w="978" w:type="pct"/>
            <w:tcBorders>
              <w:top w:val="single" w:color="auto" w:sz="4" w:space="0"/>
              <w:left w:val="single" w:color="auto" w:sz="4" w:space="0"/>
              <w:bottom w:val="single" w:color="auto" w:sz="4" w:space="0"/>
              <w:right w:val="single" w:color="auto" w:sz="4" w:space="0"/>
            </w:tcBorders>
            <w:noWrap w:val="0"/>
            <w:vAlign w:val="center"/>
          </w:tcPr>
          <w:p w14:paraId="6E92F64D">
            <w:pPr>
              <w:widowControl/>
              <w:jc w:val="center"/>
              <w:rPr>
                <w:rFonts w:ascii="仿宋_GB2312" w:hAnsi="仿宋" w:eastAsia="仿宋_GB2312" w:cs="宋体"/>
                <w:b/>
                <w:color w:val="auto"/>
                <w:kern w:val="0"/>
                <w:sz w:val="24"/>
                <w:highlight w:val="none"/>
              </w:rPr>
            </w:pPr>
            <w:r>
              <w:rPr>
                <w:rFonts w:hint="eastAsia" w:ascii="仿宋_GB2312" w:hAnsi="仿宋" w:eastAsia="仿宋_GB2312" w:cs="宋体"/>
                <w:b/>
                <w:color w:val="auto"/>
                <w:kern w:val="0"/>
                <w:sz w:val="24"/>
                <w:highlight w:val="none"/>
              </w:rPr>
              <w:t>行业名称</w:t>
            </w:r>
          </w:p>
        </w:tc>
        <w:tc>
          <w:tcPr>
            <w:tcW w:w="831" w:type="pct"/>
            <w:tcBorders>
              <w:top w:val="single" w:color="auto" w:sz="4" w:space="0"/>
              <w:left w:val="nil"/>
              <w:bottom w:val="single" w:color="auto" w:sz="4" w:space="0"/>
              <w:right w:val="single" w:color="auto" w:sz="4" w:space="0"/>
            </w:tcBorders>
            <w:noWrap w:val="0"/>
            <w:vAlign w:val="center"/>
          </w:tcPr>
          <w:p w14:paraId="79F86381">
            <w:pPr>
              <w:widowControl/>
              <w:jc w:val="center"/>
              <w:rPr>
                <w:rFonts w:ascii="仿宋_GB2312" w:hAnsi="仿宋" w:eastAsia="仿宋_GB2312" w:cs="宋体"/>
                <w:b/>
                <w:color w:val="auto"/>
                <w:kern w:val="0"/>
                <w:sz w:val="24"/>
                <w:highlight w:val="none"/>
              </w:rPr>
            </w:pPr>
            <w:r>
              <w:rPr>
                <w:rFonts w:hint="eastAsia" w:ascii="仿宋_GB2312" w:hAnsi="仿宋" w:eastAsia="仿宋_GB2312" w:cs="宋体"/>
                <w:b/>
                <w:color w:val="auto"/>
                <w:kern w:val="0"/>
                <w:sz w:val="24"/>
                <w:highlight w:val="none"/>
              </w:rPr>
              <w:t>指标名称</w:t>
            </w:r>
          </w:p>
        </w:tc>
        <w:tc>
          <w:tcPr>
            <w:tcW w:w="748" w:type="pct"/>
            <w:tcBorders>
              <w:top w:val="single" w:color="auto" w:sz="4" w:space="0"/>
              <w:left w:val="nil"/>
              <w:bottom w:val="single" w:color="auto" w:sz="4" w:space="0"/>
              <w:right w:val="single" w:color="auto" w:sz="4" w:space="0"/>
            </w:tcBorders>
            <w:noWrap w:val="0"/>
            <w:vAlign w:val="center"/>
          </w:tcPr>
          <w:p w14:paraId="216AFA55">
            <w:pPr>
              <w:widowControl/>
              <w:jc w:val="center"/>
              <w:rPr>
                <w:rFonts w:ascii="仿宋_GB2312" w:hAnsi="仿宋" w:eastAsia="仿宋_GB2312" w:cs="宋体"/>
                <w:b/>
                <w:color w:val="auto"/>
                <w:kern w:val="0"/>
                <w:sz w:val="24"/>
                <w:highlight w:val="none"/>
              </w:rPr>
            </w:pPr>
            <w:r>
              <w:rPr>
                <w:rFonts w:hint="eastAsia" w:ascii="仿宋_GB2312" w:hAnsi="仿宋" w:eastAsia="仿宋_GB2312" w:cs="宋体"/>
                <w:b/>
                <w:color w:val="auto"/>
                <w:kern w:val="0"/>
                <w:sz w:val="24"/>
                <w:highlight w:val="none"/>
              </w:rPr>
              <w:t>计量单位</w:t>
            </w:r>
          </w:p>
        </w:tc>
        <w:tc>
          <w:tcPr>
            <w:tcW w:w="962" w:type="pct"/>
            <w:tcBorders>
              <w:top w:val="single" w:color="auto" w:sz="4" w:space="0"/>
              <w:left w:val="nil"/>
              <w:bottom w:val="single" w:color="auto" w:sz="4" w:space="0"/>
              <w:right w:val="single" w:color="auto" w:sz="4" w:space="0"/>
            </w:tcBorders>
            <w:noWrap w:val="0"/>
            <w:vAlign w:val="center"/>
          </w:tcPr>
          <w:p w14:paraId="01B3E004">
            <w:pPr>
              <w:widowControl/>
              <w:jc w:val="center"/>
              <w:rPr>
                <w:rFonts w:ascii="仿宋_GB2312" w:hAnsi="仿宋" w:eastAsia="仿宋_GB2312" w:cs="宋体"/>
                <w:b/>
                <w:color w:val="auto"/>
                <w:kern w:val="0"/>
                <w:sz w:val="24"/>
                <w:highlight w:val="none"/>
              </w:rPr>
            </w:pPr>
            <w:r>
              <w:rPr>
                <w:rFonts w:hint="eastAsia" w:ascii="仿宋_GB2312" w:hAnsi="仿宋" w:eastAsia="仿宋_GB2312" w:cs="宋体"/>
                <w:b/>
                <w:color w:val="auto"/>
                <w:kern w:val="0"/>
                <w:sz w:val="24"/>
                <w:highlight w:val="none"/>
              </w:rPr>
              <w:t>中型</w:t>
            </w:r>
          </w:p>
        </w:tc>
        <w:tc>
          <w:tcPr>
            <w:tcW w:w="902" w:type="pct"/>
            <w:tcBorders>
              <w:top w:val="single" w:color="auto" w:sz="4" w:space="0"/>
              <w:left w:val="nil"/>
              <w:bottom w:val="single" w:color="auto" w:sz="4" w:space="0"/>
              <w:right w:val="single" w:color="auto" w:sz="4" w:space="0"/>
            </w:tcBorders>
            <w:noWrap w:val="0"/>
            <w:vAlign w:val="center"/>
          </w:tcPr>
          <w:p w14:paraId="5699F608">
            <w:pPr>
              <w:widowControl/>
              <w:jc w:val="center"/>
              <w:rPr>
                <w:rFonts w:ascii="仿宋_GB2312" w:hAnsi="仿宋" w:eastAsia="仿宋_GB2312" w:cs="宋体"/>
                <w:b/>
                <w:color w:val="auto"/>
                <w:kern w:val="0"/>
                <w:sz w:val="24"/>
                <w:highlight w:val="none"/>
              </w:rPr>
            </w:pPr>
            <w:r>
              <w:rPr>
                <w:rFonts w:hint="eastAsia" w:ascii="仿宋_GB2312" w:hAnsi="仿宋" w:eastAsia="仿宋_GB2312" w:cs="宋体"/>
                <w:b/>
                <w:color w:val="auto"/>
                <w:kern w:val="0"/>
                <w:sz w:val="24"/>
                <w:highlight w:val="none"/>
              </w:rPr>
              <w:t>小型</w:t>
            </w:r>
          </w:p>
        </w:tc>
        <w:tc>
          <w:tcPr>
            <w:tcW w:w="579" w:type="pct"/>
            <w:tcBorders>
              <w:top w:val="single" w:color="auto" w:sz="4" w:space="0"/>
              <w:left w:val="nil"/>
              <w:bottom w:val="single" w:color="auto" w:sz="4" w:space="0"/>
              <w:right w:val="single" w:color="auto" w:sz="4" w:space="0"/>
            </w:tcBorders>
            <w:noWrap w:val="0"/>
            <w:vAlign w:val="center"/>
          </w:tcPr>
          <w:p w14:paraId="38818F83">
            <w:pPr>
              <w:widowControl/>
              <w:jc w:val="center"/>
              <w:rPr>
                <w:rFonts w:ascii="仿宋_GB2312" w:hAnsi="仿宋" w:eastAsia="仿宋_GB2312" w:cs="宋体"/>
                <w:b/>
                <w:color w:val="auto"/>
                <w:kern w:val="0"/>
                <w:sz w:val="24"/>
                <w:highlight w:val="none"/>
              </w:rPr>
            </w:pPr>
            <w:r>
              <w:rPr>
                <w:rFonts w:hint="eastAsia" w:ascii="仿宋_GB2312" w:hAnsi="仿宋" w:eastAsia="仿宋_GB2312" w:cs="宋体"/>
                <w:b/>
                <w:color w:val="auto"/>
                <w:kern w:val="0"/>
                <w:sz w:val="24"/>
                <w:highlight w:val="none"/>
              </w:rPr>
              <w:t>微型</w:t>
            </w:r>
          </w:p>
        </w:tc>
      </w:tr>
      <w:tr w14:paraId="7CD9A543">
        <w:tblPrEx>
          <w:tblCellMar>
            <w:top w:w="0" w:type="dxa"/>
            <w:left w:w="108" w:type="dxa"/>
            <w:bottom w:w="0" w:type="dxa"/>
            <w:right w:w="108" w:type="dxa"/>
          </w:tblCellMar>
        </w:tblPrEx>
        <w:trPr>
          <w:trHeight w:val="284" w:hRule="atLeast"/>
        </w:trPr>
        <w:tc>
          <w:tcPr>
            <w:tcW w:w="978" w:type="pct"/>
            <w:tcBorders>
              <w:top w:val="nil"/>
              <w:left w:val="single" w:color="auto" w:sz="4" w:space="0"/>
              <w:bottom w:val="single" w:color="auto" w:sz="4" w:space="0"/>
              <w:right w:val="single" w:color="auto" w:sz="4" w:space="0"/>
            </w:tcBorders>
            <w:noWrap w:val="0"/>
            <w:vAlign w:val="bottom"/>
          </w:tcPr>
          <w:p w14:paraId="02A0BAF0">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农、林、牧、渔</w:t>
            </w:r>
          </w:p>
        </w:tc>
        <w:tc>
          <w:tcPr>
            <w:tcW w:w="831" w:type="pct"/>
            <w:tcBorders>
              <w:top w:val="nil"/>
              <w:left w:val="nil"/>
              <w:bottom w:val="single" w:color="auto" w:sz="4" w:space="0"/>
              <w:right w:val="single" w:color="auto" w:sz="4" w:space="0"/>
            </w:tcBorders>
            <w:noWrap w:val="0"/>
            <w:vAlign w:val="center"/>
          </w:tcPr>
          <w:p w14:paraId="3081D978">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748" w:type="pct"/>
            <w:tcBorders>
              <w:top w:val="nil"/>
              <w:left w:val="nil"/>
              <w:bottom w:val="single" w:color="auto" w:sz="4" w:space="0"/>
              <w:right w:val="single" w:color="auto" w:sz="4" w:space="0"/>
            </w:tcBorders>
            <w:noWrap w:val="0"/>
            <w:vAlign w:val="center"/>
          </w:tcPr>
          <w:p w14:paraId="202FBD67">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962" w:type="pct"/>
            <w:tcBorders>
              <w:top w:val="nil"/>
              <w:left w:val="nil"/>
              <w:bottom w:val="single" w:color="auto" w:sz="4" w:space="0"/>
              <w:right w:val="single" w:color="auto" w:sz="4" w:space="0"/>
            </w:tcBorders>
            <w:noWrap w:val="0"/>
            <w:vAlign w:val="center"/>
          </w:tcPr>
          <w:p w14:paraId="59D1D108">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500≤Y＜20000</w:t>
            </w:r>
          </w:p>
        </w:tc>
        <w:tc>
          <w:tcPr>
            <w:tcW w:w="902" w:type="pct"/>
            <w:tcBorders>
              <w:top w:val="nil"/>
              <w:left w:val="nil"/>
              <w:bottom w:val="single" w:color="auto" w:sz="4" w:space="0"/>
              <w:right w:val="single" w:color="auto" w:sz="4" w:space="0"/>
            </w:tcBorders>
            <w:noWrap w:val="0"/>
            <w:vAlign w:val="center"/>
          </w:tcPr>
          <w:p w14:paraId="5A932DEE">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50≤Y＜500</w:t>
            </w:r>
          </w:p>
        </w:tc>
        <w:tc>
          <w:tcPr>
            <w:tcW w:w="579" w:type="pct"/>
            <w:tcBorders>
              <w:top w:val="nil"/>
              <w:left w:val="nil"/>
              <w:bottom w:val="single" w:color="auto" w:sz="4" w:space="0"/>
              <w:right w:val="single" w:color="auto" w:sz="4" w:space="0"/>
            </w:tcBorders>
            <w:noWrap w:val="0"/>
            <w:vAlign w:val="center"/>
          </w:tcPr>
          <w:p w14:paraId="7CC494B7">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Y＜50</w:t>
            </w:r>
          </w:p>
        </w:tc>
      </w:tr>
      <w:tr w14:paraId="00989C20">
        <w:tblPrEx>
          <w:tblCellMar>
            <w:top w:w="0" w:type="dxa"/>
            <w:left w:w="108" w:type="dxa"/>
            <w:bottom w:w="0" w:type="dxa"/>
            <w:right w:w="108" w:type="dxa"/>
          </w:tblCellMar>
        </w:tblPrEx>
        <w:trPr>
          <w:trHeight w:val="284" w:hRule="atLeast"/>
        </w:trPr>
        <w:tc>
          <w:tcPr>
            <w:tcW w:w="978" w:type="pct"/>
            <w:vMerge w:val="restart"/>
            <w:tcBorders>
              <w:top w:val="nil"/>
              <w:left w:val="single" w:color="auto" w:sz="4" w:space="0"/>
              <w:bottom w:val="single" w:color="auto" w:sz="4" w:space="0"/>
              <w:right w:val="single" w:color="auto" w:sz="4" w:space="0"/>
            </w:tcBorders>
            <w:noWrap w:val="0"/>
            <w:vAlign w:val="bottom"/>
          </w:tcPr>
          <w:p w14:paraId="6FFC27A4">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工业</w:t>
            </w:r>
          </w:p>
        </w:tc>
        <w:tc>
          <w:tcPr>
            <w:tcW w:w="831" w:type="pct"/>
            <w:tcBorders>
              <w:top w:val="nil"/>
              <w:left w:val="nil"/>
              <w:bottom w:val="single" w:color="auto" w:sz="4" w:space="0"/>
              <w:right w:val="single" w:color="auto" w:sz="4" w:space="0"/>
            </w:tcBorders>
            <w:noWrap w:val="0"/>
            <w:vAlign w:val="center"/>
          </w:tcPr>
          <w:p w14:paraId="3D49C433">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748" w:type="pct"/>
            <w:tcBorders>
              <w:top w:val="nil"/>
              <w:left w:val="nil"/>
              <w:bottom w:val="single" w:color="auto" w:sz="4" w:space="0"/>
              <w:right w:val="single" w:color="auto" w:sz="4" w:space="0"/>
            </w:tcBorders>
            <w:noWrap w:val="0"/>
            <w:vAlign w:val="center"/>
          </w:tcPr>
          <w:p w14:paraId="01F7FCB2">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962" w:type="pct"/>
            <w:tcBorders>
              <w:top w:val="nil"/>
              <w:left w:val="nil"/>
              <w:bottom w:val="single" w:color="auto" w:sz="4" w:space="0"/>
              <w:right w:val="single" w:color="auto" w:sz="4" w:space="0"/>
            </w:tcBorders>
            <w:noWrap w:val="0"/>
            <w:vAlign w:val="center"/>
          </w:tcPr>
          <w:p w14:paraId="38DD188A">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300≤X＜1000</w:t>
            </w:r>
          </w:p>
        </w:tc>
        <w:tc>
          <w:tcPr>
            <w:tcW w:w="902" w:type="pct"/>
            <w:tcBorders>
              <w:top w:val="nil"/>
              <w:left w:val="nil"/>
              <w:bottom w:val="single" w:color="auto" w:sz="4" w:space="0"/>
              <w:right w:val="single" w:color="auto" w:sz="4" w:space="0"/>
            </w:tcBorders>
            <w:noWrap w:val="0"/>
            <w:vAlign w:val="center"/>
          </w:tcPr>
          <w:p w14:paraId="77359517">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20≤X＜300</w:t>
            </w:r>
          </w:p>
        </w:tc>
        <w:tc>
          <w:tcPr>
            <w:tcW w:w="579" w:type="pct"/>
            <w:tcBorders>
              <w:top w:val="nil"/>
              <w:left w:val="nil"/>
              <w:bottom w:val="single" w:color="auto" w:sz="4" w:space="0"/>
              <w:right w:val="single" w:color="auto" w:sz="4" w:space="0"/>
            </w:tcBorders>
            <w:noWrap w:val="0"/>
            <w:vAlign w:val="center"/>
          </w:tcPr>
          <w:p w14:paraId="6914BD70">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X＜20</w:t>
            </w:r>
          </w:p>
        </w:tc>
      </w:tr>
      <w:tr w14:paraId="32939D4A">
        <w:tblPrEx>
          <w:tblCellMar>
            <w:top w:w="0" w:type="dxa"/>
            <w:left w:w="108" w:type="dxa"/>
            <w:bottom w:w="0" w:type="dxa"/>
            <w:right w:w="108" w:type="dxa"/>
          </w:tblCellMar>
        </w:tblPrEx>
        <w:trPr>
          <w:trHeight w:val="284" w:hRule="atLeast"/>
        </w:trPr>
        <w:tc>
          <w:tcPr>
            <w:tcW w:w="978" w:type="pct"/>
            <w:vMerge w:val="continue"/>
            <w:tcBorders>
              <w:top w:val="nil"/>
              <w:left w:val="single" w:color="auto" w:sz="4" w:space="0"/>
              <w:bottom w:val="single" w:color="auto" w:sz="4" w:space="0"/>
              <w:right w:val="single" w:color="auto" w:sz="4" w:space="0"/>
            </w:tcBorders>
            <w:noWrap w:val="0"/>
            <w:vAlign w:val="center"/>
          </w:tcPr>
          <w:p w14:paraId="562C2B84">
            <w:pPr>
              <w:widowControl/>
              <w:jc w:val="left"/>
              <w:rPr>
                <w:rFonts w:ascii="仿宋_GB2312" w:hAnsi="仿宋" w:eastAsia="仿宋_GB2312" w:cs="宋体"/>
                <w:b/>
                <w:bCs/>
                <w:color w:val="auto"/>
                <w:kern w:val="0"/>
                <w:sz w:val="18"/>
                <w:szCs w:val="18"/>
                <w:highlight w:val="none"/>
              </w:rPr>
            </w:pPr>
          </w:p>
        </w:tc>
        <w:tc>
          <w:tcPr>
            <w:tcW w:w="831" w:type="pct"/>
            <w:tcBorders>
              <w:top w:val="nil"/>
              <w:left w:val="nil"/>
              <w:bottom w:val="single" w:color="auto" w:sz="4" w:space="0"/>
              <w:right w:val="single" w:color="auto" w:sz="4" w:space="0"/>
            </w:tcBorders>
            <w:noWrap w:val="0"/>
            <w:vAlign w:val="center"/>
          </w:tcPr>
          <w:p w14:paraId="5C612649">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748" w:type="pct"/>
            <w:tcBorders>
              <w:top w:val="nil"/>
              <w:left w:val="nil"/>
              <w:bottom w:val="single" w:color="auto" w:sz="4" w:space="0"/>
              <w:right w:val="single" w:color="auto" w:sz="4" w:space="0"/>
            </w:tcBorders>
            <w:noWrap w:val="0"/>
            <w:vAlign w:val="center"/>
          </w:tcPr>
          <w:p w14:paraId="4ADA299B">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962" w:type="pct"/>
            <w:tcBorders>
              <w:top w:val="nil"/>
              <w:left w:val="nil"/>
              <w:bottom w:val="single" w:color="auto" w:sz="4" w:space="0"/>
              <w:right w:val="single" w:color="auto" w:sz="4" w:space="0"/>
            </w:tcBorders>
            <w:noWrap w:val="0"/>
            <w:vAlign w:val="center"/>
          </w:tcPr>
          <w:p w14:paraId="13E27DE8">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2000≤Y＜40000</w:t>
            </w:r>
          </w:p>
        </w:tc>
        <w:tc>
          <w:tcPr>
            <w:tcW w:w="902" w:type="pct"/>
            <w:tcBorders>
              <w:top w:val="nil"/>
              <w:left w:val="nil"/>
              <w:bottom w:val="single" w:color="auto" w:sz="4" w:space="0"/>
              <w:right w:val="single" w:color="auto" w:sz="4" w:space="0"/>
            </w:tcBorders>
            <w:noWrap w:val="0"/>
            <w:vAlign w:val="center"/>
          </w:tcPr>
          <w:p w14:paraId="5F19549E">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300≤Y＜2000</w:t>
            </w:r>
          </w:p>
        </w:tc>
        <w:tc>
          <w:tcPr>
            <w:tcW w:w="579" w:type="pct"/>
            <w:tcBorders>
              <w:top w:val="nil"/>
              <w:left w:val="nil"/>
              <w:bottom w:val="single" w:color="auto" w:sz="4" w:space="0"/>
              <w:right w:val="single" w:color="auto" w:sz="4" w:space="0"/>
            </w:tcBorders>
            <w:noWrap w:val="0"/>
            <w:vAlign w:val="center"/>
          </w:tcPr>
          <w:p w14:paraId="20413812">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Y＜300</w:t>
            </w:r>
          </w:p>
        </w:tc>
      </w:tr>
      <w:tr w14:paraId="67E06ADA">
        <w:tblPrEx>
          <w:tblCellMar>
            <w:top w:w="0" w:type="dxa"/>
            <w:left w:w="108" w:type="dxa"/>
            <w:bottom w:w="0" w:type="dxa"/>
            <w:right w:w="108" w:type="dxa"/>
          </w:tblCellMar>
        </w:tblPrEx>
        <w:trPr>
          <w:trHeight w:val="284" w:hRule="atLeast"/>
        </w:trPr>
        <w:tc>
          <w:tcPr>
            <w:tcW w:w="978" w:type="pct"/>
            <w:vMerge w:val="restart"/>
            <w:tcBorders>
              <w:top w:val="nil"/>
              <w:left w:val="single" w:color="auto" w:sz="4" w:space="0"/>
              <w:bottom w:val="single" w:color="auto" w:sz="4" w:space="0"/>
              <w:right w:val="single" w:color="auto" w:sz="4" w:space="0"/>
            </w:tcBorders>
            <w:noWrap w:val="0"/>
            <w:vAlign w:val="bottom"/>
          </w:tcPr>
          <w:p w14:paraId="4F7D7A44">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建筑业</w:t>
            </w:r>
          </w:p>
        </w:tc>
        <w:tc>
          <w:tcPr>
            <w:tcW w:w="831" w:type="pct"/>
            <w:tcBorders>
              <w:top w:val="nil"/>
              <w:left w:val="nil"/>
              <w:bottom w:val="single" w:color="auto" w:sz="4" w:space="0"/>
              <w:right w:val="single" w:color="auto" w:sz="4" w:space="0"/>
            </w:tcBorders>
            <w:noWrap w:val="0"/>
            <w:vAlign w:val="center"/>
          </w:tcPr>
          <w:p w14:paraId="5FAB378A">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748" w:type="pct"/>
            <w:tcBorders>
              <w:top w:val="nil"/>
              <w:left w:val="nil"/>
              <w:bottom w:val="single" w:color="auto" w:sz="4" w:space="0"/>
              <w:right w:val="single" w:color="auto" w:sz="4" w:space="0"/>
            </w:tcBorders>
            <w:noWrap w:val="0"/>
            <w:vAlign w:val="center"/>
          </w:tcPr>
          <w:p w14:paraId="7CA9828C">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962" w:type="pct"/>
            <w:tcBorders>
              <w:top w:val="nil"/>
              <w:left w:val="nil"/>
              <w:bottom w:val="single" w:color="auto" w:sz="4" w:space="0"/>
              <w:right w:val="single" w:color="auto" w:sz="4" w:space="0"/>
            </w:tcBorders>
            <w:noWrap w:val="0"/>
            <w:vAlign w:val="center"/>
          </w:tcPr>
          <w:p w14:paraId="1FE3F36E">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6000≤Y＜80000</w:t>
            </w:r>
          </w:p>
        </w:tc>
        <w:tc>
          <w:tcPr>
            <w:tcW w:w="902" w:type="pct"/>
            <w:tcBorders>
              <w:top w:val="nil"/>
              <w:left w:val="nil"/>
              <w:bottom w:val="single" w:color="auto" w:sz="4" w:space="0"/>
              <w:right w:val="single" w:color="auto" w:sz="4" w:space="0"/>
            </w:tcBorders>
            <w:noWrap w:val="0"/>
            <w:vAlign w:val="center"/>
          </w:tcPr>
          <w:p w14:paraId="103ED43E">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300≤Y＜6000</w:t>
            </w:r>
          </w:p>
        </w:tc>
        <w:tc>
          <w:tcPr>
            <w:tcW w:w="579" w:type="pct"/>
            <w:tcBorders>
              <w:top w:val="nil"/>
              <w:left w:val="nil"/>
              <w:bottom w:val="single" w:color="auto" w:sz="4" w:space="0"/>
              <w:right w:val="single" w:color="auto" w:sz="4" w:space="0"/>
            </w:tcBorders>
            <w:noWrap w:val="0"/>
            <w:vAlign w:val="center"/>
          </w:tcPr>
          <w:p w14:paraId="1E76146E">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Y＜300</w:t>
            </w:r>
          </w:p>
        </w:tc>
      </w:tr>
      <w:tr w14:paraId="4CD29B4F">
        <w:tblPrEx>
          <w:tblCellMar>
            <w:top w:w="0" w:type="dxa"/>
            <w:left w:w="108" w:type="dxa"/>
            <w:bottom w:w="0" w:type="dxa"/>
            <w:right w:w="108" w:type="dxa"/>
          </w:tblCellMar>
        </w:tblPrEx>
        <w:trPr>
          <w:trHeight w:val="284" w:hRule="atLeast"/>
        </w:trPr>
        <w:tc>
          <w:tcPr>
            <w:tcW w:w="978" w:type="pct"/>
            <w:vMerge w:val="continue"/>
            <w:tcBorders>
              <w:top w:val="nil"/>
              <w:left w:val="single" w:color="auto" w:sz="4" w:space="0"/>
              <w:bottom w:val="single" w:color="auto" w:sz="4" w:space="0"/>
              <w:right w:val="single" w:color="auto" w:sz="4" w:space="0"/>
            </w:tcBorders>
            <w:noWrap w:val="0"/>
            <w:vAlign w:val="center"/>
          </w:tcPr>
          <w:p w14:paraId="2E9ECF28">
            <w:pPr>
              <w:widowControl/>
              <w:jc w:val="left"/>
              <w:rPr>
                <w:rFonts w:ascii="仿宋_GB2312" w:hAnsi="仿宋" w:eastAsia="仿宋_GB2312" w:cs="宋体"/>
                <w:b/>
                <w:bCs/>
                <w:color w:val="auto"/>
                <w:kern w:val="0"/>
                <w:sz w:val="18"/>
                <w:szCs w:val="18"/>
                <w:highlight w:val="none"/>
              </w:rPr>
            </w:pPr>
          </w:p>
        </w:tc>
        <w:tc>
          <w:tcPr>
            <w:tcW w:w="831" w:type="pct"/>
            <w:tcBorders>
              <w:top w:val="nil"/>
              <w:left w:val="nil"/>
              <w:bottom w:val="single" w:color="auto" w:sz="4" w:space="0"/>
              <w:right w:val="single" w:color="auto" w:sz="4" w:space="0"/>
            </w:tcBorders>
            <w:noWrap w:val="0"/>
            <w:vAlign w:val="center"/>
          </w:tcPr>
          <w:p w14:paraId="28F102BB">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资产总额（Z）</w:t>
            </w:r>
          </w:p>
        </w:tc>
        <w:tc>
          <w:tcPr>
            <w:tcW w:w="748" w:type="pct"/>
            <w:tcBorders>
              <w:top w:val="nil"/>
              <w:left w:val="nil"/>
              <w:bottom w:val="single" w:color="auto" w:sz="4" w:space="0"/>
              <w:right w:val="single" w:color="auto" w:sz="4" w:space="0"/>
            </w:tcBorders>
            <w:noWrap w:val="0"/>
            <w:vAlign w:val="center"/>
          </w:tcPr>
          <w:p w14:paraId="5F4132BF">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962" w:type="pct"/>
            <w:tcBorders>
              <w:top w:val="nil"/>
              <w:left w:val="nil"/>
              <w:bottom w:val="single" w:color="auto" w:sz="4" w:space="0"/>
              <w:right w:val="single" w:color="auto" w:sz="4" w:space="0"/>
            </w:tcBorders>
            <w:noWrap w:val="0"/>
            <w:vAlign w:val="center"/>
          </w:tcPr>
          <w:p w14:paraId="1D7D3FAC">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5000≤Z＜80000</w:t>
            </w:r>
          </w:p>
        </w:tc>
        <w:tc>
          <w:tcPr>
            <w:tcW w:w="902" w:type="pct"/>
            <w:tcBorders>
              <w:top w:val="nil"/>
              <w:left w:val="nil"/>
              <w:bottom w:val="single" w:color="auto" w:sz="4" w:space="0"/>
              <w:right w:val="single" w:color="auto" w:sz="4" w:space="0"/>
            </w:tcBorders>
            <w:noWrap w:val="0"/>
            <w:vAlign w:val="center"/>
          </w:tcPr>
          <w:p w14:paraId="0DF31C83">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300≤Z＜5000</w:t>
            </w:r>
          </w:p>
        </w:tc>
        <w:tc>
          <w:tcPr>
            <w:tcW w:w="579" w:type="pct"/>
            <w:tcBorders>
              <w:top w:val="nil"/>
              <w:left w:val="nil"/>
              <w:bottom w:val="single" w:color="auto" w:sz="4" w:space="0"/>
              <w:right w:val="single" w:color="auto" w:sz="4" w:space="0"/>
            </w:tcBorders>
            <w:noWrap w:val="0"/>
            <w:vAlign w:val="center"/>
          </w:tcPr>
          <w:p w14:paraId="37200E9C">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Z＜300</w:t>
            </w:r>
          </w:p>
        </w:tc>
      </w:tr>
      <w:tr w14:paraId="0B395EBA">
        <w:tblPrEx>
          <w:tblCellMar>
            <w:top w:w="0" w:type="dxa"/>
            <w:left w:w="108" w:type="dxa"/>
            <w:bottom w:w="0" w:type="dxa"/>
            <w:right w:w="108" w:type="dxa"/>
          </w:tblCellMar>
        </w:tblPrEx>
        <w:trPr>
          <w:trHeight w:val="284" w:hRule="atLeast"/>
        </w:trPr>
        <w:tc>
          <w:tcPr>
            <w:tcW w:w="978" w:type="pct"/>
            <w:vMerge w:val="restart"/>
            <w:tcBorders>
              <w:top w:val="nil"/>
              <w:left w:val="single" w:color="auto" w:sz="4" w:space="0"/>
              <w:bottom w:val="single" w:color="auto" w:sz="4" w:space="0"/>
              <w:right w:val="single" w:color="auto" w:sz="4" w:space="0"/>
            </w:tcBorders>
            <w:noWrap w:val="0"/>
            <w:vAlign w:val="bottom"/>
          </w:tcPr>
          <w:p w14:paraId="226C0061">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批发业</w:t>
            </w:r>
          </w:p>
        </w:tc>
        <w:tc>
          <w:tcPr>
            <w:tcW w:w="831" w:type="pct"/>
            <w:tcBorders>
              <w:top w:val="nil"/>
              <w:left w:val="nil"/>
              <w:bottom w:val="single" w:color="auto" w:sz="4" w:space="0"/>
              <w:right w:val="single" w:color="auto" w:sz="4" w:space="0"/>
            </w:tcBorders>
            <w:noWrap w:val="0"/>
            <w:vAlign w:val="center"/>
          </w:tcPr>
          <w:p w14:paraId="1B20F3D9">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748" w:type="pct"/>
            <w:tcBorders>
              <w:top w:val="nil"/>
              <w:left w:val="nil"/>
              <w:bottom w:val="single" w:color="auto" w:sz="4" w:space="0"/>
              <w:right w:val="single" w:color="auto" w:sz="4" w:space="0"/>
            </w:tcBorders>
            <w:noWrap w:val="0"/>
            <w:vAlign w:val="center"/>
          </w:tcPr>
          <w:p w14:paraId="65EE453B">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962" w:type="pct"/>
            <w:tcBorders>
              <w:top w:val="nil"/>
              <w:left w:val="nil"/>
              <w:bottom w:val="single" w:color="auto" w:sz="4" w:space="0"/>
              <w:right w:val="single" w:color="auto" w:sz="4" w:space="0"/>
            </w:tcBorders>
            <w:noWrap w:val="0"/>
            <w:vAlign w:val="center"/>
          </w:tcPr>
          <w:p w14:paraId="5F6F360C">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20≤X＜200</w:t>
            </w:r>
          </w:p>
        </w:tc>
        <w:tc>
          <w:tcPr>
            <w:tcW w:w="902" w:type="pct"/>
            <w:tcBorders>
              <w:top w:val="nil"/>
              <w:left w:val="nil"/>
              <w:bottom w:val="single" w:color="auto" w:sz="4" w:space="0"/>
              <w:right w:val="single" w:color="auto" w:sz="4" w:space="0"/>
            </w:tcBorders>
            <w:noWrap w:val="0"/>
            <w:vAlign w:val="center"/>
          </w:tcPr>
          <w:p w14:paraId="0F36D956">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5≤X＜20</w:t>
            </w:r>
          </w:p>
        </w:tc>
        <w:tc>
          <w:tcPr>
            <w:tcW w:w="579" w:type="pct"/>
            <w:tcBorders>
              <w:top w:val="nil"/>
              <w:left w:val="nil"/>
              <w:bottom w:val="single" w:color="auto" w:sz="4" w:space="0"/>
              <w:right w:val="single" w:color="auto" w:sz="4" w:space="0"/>
            </w:tcBorders>
            <w:noWrap w:val="0"/>
            <w:vAlign w:val="center"/>
          </w:tcPr>
          <w:p w14:paraId="039F375D">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X＜5</w:t>
            </w:r>
          </w:p>
        </w:tc>
      </w:tr>
      <w:tr w14:paraId="3040F8C2">
        <w:tblPrEx>
          <w:tblCellMar>
            <w:top w:w="0" w:type="dxa"/>
            <w:left w:w="108" w:type="dxa"/>
            <w:bottom w:w="0" w:type="dxa"/>
            <w:right w:w="108" w:type="dxa"/>
          </w:tblCellMar>
        </w:tblPrEx>
        <w:trPr>
          <w:trHeight w:val="284" w:hRule="atLeast"/>
        </w:trPr>
        <w:tc>
          <w:tcPr>
            <w:tcW w:w="978" w:type="pct"/>
            <w:vMerge w:val="continue"/>
            <w:tcBorders>
              <w:top w:val="nil"/>
              <w:left w:val="single" w:color="auto" w:sz="4" w:space="0"/>
              <w:bottom w:val="single" w:color="auto" w:sz="4" w:space="0"/>
              <w:right w:val="single" w:color="auto" w:sz="4" w:space="0"/>
            </w:tcBorders>
            <w:noWrap w:val="0"/>
            <w:vAlign w:val="center"/>
          </w:tcPr>
          <w:p w14:paraId="4E943C59">
            <w:pPr>
              <w:widowControl/>
              <w:jc w:val="left"/>
              <w:rPr>
                <w:rFonts w:ascii="仿宋_GB2312" w:hAnsi="仿宋" w:eastAsia="仿宋_GB2312" w:cs="宋体"/>
                <w:b/>
                <w:bCs/>
                <w:color w:val="auto"/>
                <w:kern w:val="0"/>
                <w:sz w:val="18"/>
                <w:szCs w:val="18"/>
                <w:highlight w:val="none"/>
              </w:rPr>
            </w:pPr>
          </w:p>
        </w:tc>
        <w:tc>
          <w:tcPr>
            <w:tcW w:w="831" w:type="pct"/>
            <w:tcBorders>
              <w:top w:val="nil"/>
              <w:left w:val="nil"/>
              <w:bottom w:val="single" w:color="auto" w:sz="4" w:space="0"/>
              <w:right w:val="single" w:color="auto" w:sz="4" w:space="0"/>
            </w:tcBorders>
            <w:noWrap w:val="0"/>
            <w:vAlign w:val="center"/>
          </w:tcPr>
          <w:p w14:paraId="7F99548C">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748" w:type="pct"/>
            <w:tcBorders>
              <w:top w:val="nil"/>
              <w:left w:val="nil"/>
              <w:bottom w:val="single" w:color="auto" w:sz="4" w:space="0"/>
              <w:right w:val="single" w:color="auto" w:sz="4" w:space="0"/>
            </w:tcBorders>
            <w:noWrap w:val="0"/>
            <w:vAlign w:val="center"/>
          </w:tcPr>
          <w:p w14:paraId="39BF3BCC">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962" w:type="pct"/>
            <w:tcBorders>
              <w:top w:val="nil"/>
              <w:left w:val="nil"/>
              <w:bottom w:val="single" w:color="auto" w:sz="4" w:space="0"/>
              <w:right w:val="single" w:color="auto" w:sz="4" w:space="0"/>
            </w:tcBorders>
            <w:noWrap w:val="0"/>
            <w:vAlign w:val="center"/>
          </w:tcPr>
          <w:p w14:paraId="397A722C">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5000≤Y＜40000</w:t>
            </w:r>
          </w:p>
        </w:tc>
        <w:tc>
          <w:tcPr>
            <w:tcW w:w="902" w:type="pct"/>
            <w:tcBorders>
              <w:top w:val="nil"/>
              <w:left w:val="nil"/>
              <w:bottom w:val="single" w:color="auto" w:sz="4" w:space="0"/>
              <w:right w:val="single" w:color="auto" w:sz="4" w:space="0"/>
            </w:tcBorders>
            <w:noWrap w:val="0"/>
            <w:vAlign w:val="center"/>
          </w:tcPr>
          <w:p w14:paraId="43615C45">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1000≤Y＜5000</w:t>
            </w:r>
          </w:p>
        </w:tc>
        <w:tc>
          <w:tcPr>
            <w:tcW w:w="579" w:type="pct"/>
            <w:tcBorders>
              <w:top w:val="nil"/>
              <w:left w:val="nil"/>
              <w:bottom w:val="single" w:color="auto" w:sz="4" w:space="0"/>
              <w:right w:val="single" w:color="auto" w:sz="4" w:space="0"/>
            </w:tcBorders>
            <w:noWrap w:val="0"/>
            <w:vAlign w:val="center"/>
          </w:tcPr>
          <w:p w14:paraId="2CA7F798">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Y＜1000</w:t>
            </w:r>
          </w:p>
        </w:tc>
      </w:tr>
      <w:tr w14:paraId="03AC8B28">
        <w:tblPrEx>
          <w:tblCellMar>
            <w:top w:w="0" w:type="dxa"/>
            <w:left w:w="108" w:type="dxa"/>
            <w:bottom w:w="0" w:type="dxa"/>
            <w:right w:w="108" w:type="dxa"/>
          </w:tblCellMar>
        </w:tblPrEx>
        <w:trPr>
          <w:trHeight w:val="284" w:hRule="atLeast"/>
        </w:trPr>
        <w:tc>
          <w:tcPr>
            <w:tcW w:w="978" w:type="pct"/>
            <w:vMerge w:val="restart"/>
            <w:tcBorders>
              <w:top w:val="nil"/>
              <w:left w:val="single" w:color="auto" w:sz="4" w:space="0"/>
              <w:bottom w:val="single" w:color="auto" w:sz="4" w:space="0"/>
              <w:right w:val="single" w:color="auto" w:sz="4" w:space="0"/>
            </w:tcBorders>
            <w:noWrap w:val="0"/>
            <w:vAlign w:val="bottom"/>
          </w:tcPr>
          <w:p w14:paraId="5BFC3DBE">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零售业</w:t>
            </w:r>
          </w:p>
        </w:tc>
        <w:tc>
          <w:tcPr>
            <w:tcW w:w="831" w:type="pct"/>
            <w:tcBorders>
              <w:top w:val="nil"/>
              <w:left w:val="nil"/>
              <w:bottom w:val="single" w:color="auto" w:sz="4" w:space="0"/>
              <w:right w:val="single" w:color="auto" w:sz="4" w:space="0"/>
            </w:tcBorders>
            <w:noWrap w:val="0"/>
            <w:vAlign w:val="center"/>
          </w:tcPr>
          <w:p w14:paraId="013C5D71">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748" w:type="pct"/>
            <w:tcBorders>
              <w:top w:val="nil"/>
              <w:left w:val="nil"/>
              <w:bottom w:val="single" w:color="auto" w:sz="4" w:space="0"/>
              <w:right w:val="single" w:color="auto" w:sz="4" w:space="0"/>
            </w:tcBorders>
            <w:noWrap w:val="0"/>
            <w:vAlign w:val="center"/>
          </w:tcPr>
          <w:p w14:paraId="75447447">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962" w:type="pct"/>
            <w:tcBorders>
              <w:top w:val="nil"/>
              <w:left w:val="nil"/>
              <w:bottom w:val="single" w:color="auto" w:sz="4" w:space="0"/>
              <w:right w:val="single" w:color="auto" w:sz="4" w:space="0"/>
            </w:tcBorders>
            <w:noWrap w:val="0"/>
            <w:vAlign w:val="center"/>
          </w:tcPr>
          <w:p w14:paraId="3D895DB8">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50≤X＜300</w:t>
            </w:r>
          </w:p>
        </w:tc>
        <w:tc>
          <w:tcPr>
            <w:tcW w:w="902" w:type="pct"/>
            <w:tcBorders>
              <w:top w:val="nil"/>
              <w:left w:val="nil"/>
              <w:bottom w:val="single" w:color="auto" w:sz="4" w:space="0"/>
              <w:right w:val="single" w:color="auto" w:sz="4" w:space="0"/>
            </w:tcBorders>
            <w:noWrap w:val="0"/>
            <w:vAlign w:val="center"/>
          </w:tcPr>
          <w:p w14:paraId="7C621D6A">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10≤X＜50</w:t>
            </w:r>
          </w:p>
        </w:tc>
        <w:tc>
          <w:tcPr>
            <w:tcW w:w="579" w:type="pct"/>
            <w:tcBorders>
              <w:top w:val="nil"/>
              <w:left w:val="nil"/>
              <w:bottom w:val="single" w:color="auto" w:sz="4" w:space="0"/>
              <w:right w:val="single" w:color="auto" w:sz="4" w:space="0"/>
            </w:tcBorders>
            <w:noWrap w:val="0"/>
            <w:vAlign w:val="center"/>
          </w:tcPr>
          <w:p w14:paraId="1459979D">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X＜10</w:t>
            </w:r>
          </w:p>
        </w:tc>
      </w:tr>
      <w:tr w14:paraId="6AEE470D">
        <w:tblPrEx>
          <w:tblCellMar>
            <w:top w:w="0" w:type="dxa"/>
            <w:left w:w="108" w:type="dxa"/>
            <w:bottom w:w="0" w:type="dxa"/>
            <w:right w:w="108" w:type="dxa"/>
          </w:tblCellMar>
        </w:tblPrEx>
        <w:trPr>
          <w:trHeight w:val="284" w:hRule="atLeast"/>
        </w:trPr>
        <w:tc>
          <w:tcPr>
            <w:tcW w:w="978" w:type="pct"/>
            <w:vMerge w:val="continue"/>
            <w:tcBorders>
              <w:top w:val="nil"/>
              <w:left w:val="single" w:color="auto" w:sz="4" w:space="0"/>
              <w:bottom w:val="single" w:color="auto" w:sz="4" w:space="0"/>
              <w:right w:val="single" w:color="auto" w:sz="4" w:space="0"/>
            </w:tcBorders>
            <w:noWrap w:val="0"/>
            <w:vAlign w:val="center"/>
          </w:tcPr>
          <w:p w14:paraId="22E8907F">
            <w:pPr>
              <w:widowControl/>
              <w:jc w:val="left"/>
              <w:rPr>
                <w:rFonts w:ascii="仿宋_GB2312" w:hAnsi="仿宋" w:eastAsia="仿宋_GB2312" w:cs="宋体"/>
                <w:b/>
                <w:bCs/>
                <w:color w:val="auto"/>
                <w:kern w:val="0"/>
                <w:sz w:val="18"/>
                <w:szCs w:val="18"/>
                <w:highlight w:val="none"/>
              </w:rPr>
            </w:pPr>
          </w:p>
        </w:tc>
        <w:tc>
          <w:tcPr>
            <w:tcW w:w="831" w:type="pct"/>
            <w:tcBorders>
              <w:top w:val="nil"/>
              <w:left w:val="nil"/>
              <w:bottom w:val="single" w:color="auto" w:sz="4" w:space="0"/>
              <w:right w:val="single" w:color="auto" w:sz="4" w:space="0"/>
            </w:tcBorders>
            <w:noWrap w:val="0"/>
            <w:vAlign w:val="center"/>
          </w:tcPr>
          <w:p w14:paraId="67B76136">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748" w:type="pct"/>
            <w:tcBorders>
              <w:top w:val="nil"/>
              <w:left w:val="nil"/>
              <w:bottom w:val="single" w:color="auto" w:sz="4" w:space="0"/>
              <w:right w:val="single" w:color="auto" w:sz="4" w:space="0"/>
            </w:tcBorders>
            <w:noWrap w:val="0"/>
            <w:vAlign w:val="center"/>
          </w:tcPr>
          <w:p w14:paraId="1DD32896">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962" w:type="pct"/>
            <w:tcBorders>
              <w:top w:val="nil"/>
              <w:left w:val="nil"/>
              <w:bottom w:val="single" w:color="auto" w:sz="4" w:space="0"/>
              <w:right w:val="single" w:color="auto" w:sz="4" w:space="0"/>
            </w:tcBorders>
            <w:noWrap w:val="0"/>
            <w:vAlign w:val="center"/>
          </w:tcPr>
          <w:p w14:paraId="19C4BF83">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500≤Y＜20000</w:t>
            </w:r>
          </w:p>
        </w:tc>
        <w:tc>
          <w:tcPr>
            <w:tcW w:w="902" w:type="pct"/>
            <w:tcBorders>
              <w:top w:val="nil"/>
              <w:left w:val="nil"/>
              <w:bottom w:val="single" w:color="auto" w:sz="4" w:space="0"/>
              <w:right w:val="single" w:color="auto" w:sz="4" w:space="0"/>
            </w:tcBorders>
            <w:noWrap w:val="0"/>
            <w:vAlign w:val="center"/>
          </w:tcPr>
          <w:p w14:paraId="609403D4">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100≤Y＜500</w:t>
            </w:r>
          </w:p>
        </w:tc>
        <w:tc>
          <w:tcPr>
            <w:tcW w:w="579" w:type="pct"/>
            <w:tcBorders>
              <w:top w:val="nil"/>
              <w:left w:val="nil"/>
              <w:bottom w:val="single" w:color="auto" w:sz="4" w:space="0"/>
              <w:right w:val="single" w:color="auto" w:sz="4" w:space="0"/>
            </w:tcBorders>
            <w:noWrap w:val="0"/>
            <w:vAlign w:val="center"/>
          </w:tcPr>
          <w:p w14:paraId="01195DF7">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Y＜100</w:t>
            </w:r>
          </w:p>
        </w:tc>
      </w:tr>
      <w:tr w14:paraId="55AF37AF">
        <w:tblPrEx>
          <w:tblCellMar>
            <w:top w:w="0" w:type="dxa"/>
            <w:left w:w="108" w:type="dxa"/>
            <w:bottom w:w="0" w:type="dxa"/>
            <w:right w:w="108" w:type="dxa"/>
          </w:tblCellMar>
        </w:tblPrEx>
        <w:trPr>
          <w:trHeight w:val="284" w:hRule="atLeast"/>
        </w:trPr>
        <w:tc>
          <w:tcPr>
            <w:tcW w:w="978" w:type="pct"/>
            <w:vMerge w:val="restart"/>
            <w:tcBorders>
              <w:top w:val="nil"/>
              <w:left w:val="single" w:color="auto" w:sz="4" w:space="0"/>
              <w:bottom w:val="single" w:color="auto" w:sz="4" w:space="0"/>
              <w:right w:val="single" w:color="auto" w:sz="4" w:space="0"/>
            </w:tcBorders>
            <w:noWrap w:val="0"/>
            <w:vAlign w:val="bottom"/>
          </w:tcPr>
          <w:p w14:paraId="3654954E">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交通运输业</w:t>
            </w:r>
          </w:p>
        </w:tc>
        <w:tc>
          <w:tcPr>
            <w:tcW w:w="831" w:type="pct"/>
            <w:tcBorders>
              <w:top w:val="nil"/>
              <w:left w:val="nil"/>
              <w:bottom w:val="single" w:color="auto" w:sz="4" w:space="0"/>
              <w:right w:val="single" w:color="auto" w:sz="4" w:space="0"/>
            </w:tcBorders>
            <w:noWrap w:val="0"/>
            <w:vAlign w:val="center"/>
          </w:tcPr>
          <w:p w14:paraId="10788200">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748" w:type="pct"/>
            <w:tcBorders>
              <w:top w:val="nil"/>
              <w:left w:val="nil"/>
              <w:bottom w:val="single" w:color="auto" w:sz="4" w:space="0"/>
              <w:right w:val="single" w:color="auto" w:sz="4" w:space="0"/>
            </w:tcBorders>
            <w:noWrap w:val="0"/>
            <w:vAlign w:val="center"/>
          </w:tcPr>
          <w:p w14:paraId="2B9B9A12">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962" w:type="pct"/>
            <w:tcBorders>
              <w:top w:val="nil"/>
              <w:left w:val="nil"/>
              <w:bottom w:val="single" w:color="auto" w:sz="4" w:space="0"/>
              <w:right w:val="single" w:color="auto" w:sz="4" w:space="0"/>
            </w:tcBorders>
            <w:noWrap w:val="0"/>
            <w:vAlign w:val="center"/>
          </w:tcPr>
          <w:p w14:paraId="78B14176">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300≤X＜1000</w:t>
            </w:r>
          </w:p>
        </w:tc>
        <w:tc>
          <w:tcPr>
            <w:tcW w:w="902" w:type="pct"/>
            <w:tcBorders>
              <w:top w:val="nil"/>
              <w:left w:val="nil"/>
              <w:bottom w:val="single" w:color="auto" w:sz="4" w:space="0"/>
              <w:right w:val="single" w:color="auto" w:sz="4" w:space="0"/>
            </w:tcBorders>
            <w:noWrap w:val="0"/>
            <w:vAlign w:val="center"/>
          </w:tcPr>
          <w:p w14:paraId="11D1276D">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20≤X＜300</w:t>
            </w:r>
          </w:p>
        </w:tc>
        <w:tc>
          <w:tcPr>
            <w:tcW w:w="579" w:type="pct"/>
            <w:tcBorders>
              <w:top w:val="nil"/>
              <w:left w:val="nil"/>
              <w:bottom w:val="single" w:color="auto" w:sz="4" w:space="0"/>
              <w:right w:val="single" w:color="auto" w:sz="4" w:space="0"/>
            </w:tcBorders>
            <w:noWrap w:val="0"/>
            <w:vAlign w:val="center"/>
          </w:tcPr>
          <w:p w14:paraId="50A3F76D">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X＜20</w:t>
            </w:r>
          </w:p>
        </w:tc>
      </w:tr>
      <w:tr w14:paraId="5999639D">
        <w:tblPrEx>
          <w:tblCellMar>
            <w:top w:w="0" w:type="dxa"/>
            <w:left w:w="108" w:type="dxa"/>
            <w:bottom w:w="0" w:type="dxa"/>
            <w:right w:w="108" w:type="dxa"/>
          </w:tblCellMar>
        </w:tblPrEx>
        <w:trPr>
          <w:trHeight w:val="284" w:hRule="atLeast"/>
        </w:trPr>
        <w:tc>
          <w:tcPr>
            <w:tcW w:w="978" w:type="pct"/>
            <w:vMerge w:val="continue"/>
            <w:tcBorders>
              <w:top w:val="nil"/>
              <w:left w:val="single" w:color="auto" w:sz="4" w:space="0"/>
              <w:bottom w:val="single" w:color="auto" w:sz="4" w:space="0"/>
              <w:right w:val="single" w:color="auto" w:sz="4" w:space="0"/>
            </w:tcBorders>
            <w:noWrap w:val="0"/>
            <w:vAlign w:val="center"/>
          </w:tcPr>
          <w:p w14:paraId="25874FF5">
            <w:pPr>
              <w:widowControl/>
              <w:jc w:val="left"/>
              <w:rPr>
                <w:rFonts w:ascii="仿宋_GB2312" w:hAnsi="仿宋" w:eastAsia="仿宋_GB2312" w:cs="宋体"/>
                <w:b/>
                <w:bCs/>
                <w:color w:val="auto"/>
                <w:kern w:val="0"/>
                <w:sz w:val="18"/>
                <w:szCs w:val="18"/>
                <w:highlight w:val="none"/>
              </w:rPr>
            </w:pPr>
          </w:p>
        </w:tc>
        <w:tc>
          <w:tcPr>
            <w:tcW w:w="831" w:type="pct"/>
            <w:tcBorders>
              <w:top w:val="nil"/>
              <w:left w:val="nil"/>
              <w:bottom w:val="single" w:color="auto" w:sz="4" w:space="0"/>
              <w:right w:val="single" w:color="auto" w:sz="4" w:space="0"/>
            </w:tcBorders>
            <w:noWrap w:val="0"/>
            <w:vAlign w:val="center"/>
          </w:tcPr>
          <w:p w14:paraId="2E43C1F6">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748" w:type="pct"/>
            <w:tcBorders>
              <w:top w:val="nil"/>
              <w:left w:val="nil"/>
              <w:bottom w:val="single" w:color="auto" w:sz="4" w:space="0"/>
              <w:right w:val="single" w:color="auto" w:sz="4" w:space="0"/>
            </w:tcBorders>
            <w:noWrap w:val="0"/>
            <w:vAlign w:val="center"/>
          </w:tcPr>
          <w:p w14:paraId="1186242D">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962" w:type="pct"/>
            <w:tcBorders>
              <w:top w:val="nil"/>
              <w:left w:val="nil"/>
              <w:bottom w:val="single" w:color="auto" w:sz="4" w:space="0"/>
              <w:right w:val="single" w:color="auto" w:sz="4" w:space="0"/>
            </w:tcBorders>
            <w:noWrap w:val="0"/>
            <w:vAlign w:val="center"/>
          </w:tcPr>
          <w:p w14:paraId="722317A6">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3000≤Y＜30000</w:t>
            </w:r>
          </w:p>
        </w:tc>
        <w:tc>
          <w:tcPr>
            <w:tcW w:w="902" w:type="pct"/>
            <w:tcBorders>
              <w:top w:val="nil"/>
              <w:left w:val="nil"/>
              <w:bottom w:val="single" w:color="auto" w:sz="4" w:space="0"/>
              <w:right w:val="single" w:color="auto" w:sz="4" w:space="0"/>
            </w:tcBorders>
            <w:noWrap w:val="0"/>
            <w:vAlign w:val="center"/>
          </w:tcPr>
          <w:p w14:paraId="2554F776">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200≤Y＜3000</w:t>
            </w:r>
          </w:p>
        </w:tc>
        <w:tc>
          <w:tcPr>
            <w:tcW w:w="579" w:type="pct"/>
            <w:tcBorders>
              <w:top w:val="nil"/>
              <w:left w:val="nil"/>
              <w:bottom w:val="single" w:color="auto" w:sz="4" w:space="0"/>
              <w:right w:val="single" w:color="auto" w:sz="4" w:space="0"/>
            </w:tcBorders>
            <w:noWrap w:val="0"/>
            <w:vAlign w:val="center"/>
          </w:tcPr>
          <w:p w14:paraId="265004C3">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Y＜200</w:t>
            </w:r>
          </w:p>
        </w:tc>
      </w:tr>
      <w:tr w14:paraId="2078A5C3">
        <w:tblPrEx>
          <w:tblCellMar>
            <w:top w:w="0" w:type="dxa"/>
            <w:left w:w="108" w:type="dxa"/>
            <w:bottom w:w="0" w:type="dxa"/>
            <w:right w:w="108" w:type="dxa"/>
          </w:tblCellMar>
        </w:tblPrEx>
        <w:trPr>
          <w:trHeight w:val="284" w:hRule="atLeast"/>
        </w:trPr>
        <w:tc>
          <w:tcPr>
            <w:tcW w:w="978" w:type="pct"/>
            <w:vMerge w:val="restart"/>
            <w:tcBorders>
              <w:top w:val="nil"/>
              <w:left w:val="single" w:color="auto" w:sz="4" w:space="0"/>
              <w:bottom w:val="single" w:color="auto" w:sz="4" w:space="0"/>
              <w:right w:val="single" w:color="auto" w:sz="4" w:space="0"/>
            </w:tcBorders>
            <w:noWrap w:val="0"/>
            <w:vAlign w:val="bottom"/>
          </w:tcPr>
          <w:p w14:paraId="55D31D1B">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仓储业</w:t>
            </w:r>
          </w:p>
        </w:tc>
        <w:tc>
          <w:tcPr>
            <w:tcW w:w="831" w:type="pct"/>
            <w:tcBorders>
              <w:top w:val="nil"/>
              <w:left w:val="nil"/>
              <w:bottom w:val="single" w:color="auto" w:sz="4" w:space="0"/>
              <w:right w:val="single" w:color="auto" w:sz="4" w:space="0"/>
            </w:tcBorders>
            <w:noWrap w:val="0"/>
            <w:vAlign w:val="center"/>
          </w:tcPr>
          <w:p w14:paraId="3EFFF84A">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748" w:type="pct"/>
            <w:tcBorders>
              <w:top w:val="nil"/>
              <w:left w:val="nil"/>
              <w:bottom w:val="single" w:color="auto" w:sz="4" w:space="0"/>
              <w:right w:val="single" w:color="auto" w:sz="4" w:space="0"/>
            </w:tcBorders>
            <w:noWrap w:val="0"/>
            <w:vAlign w:val="center"/>
          </w:tcPr>
          <w:p w14:paraId="03D735E1">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962" w:type="pct"/>
            <w:tcBorders>
              <w:top w:val="nil"/>
              <w:left w:val="nil"/>
              <w:bottom w:val="single" w:color="auto" w:sz="4" w:space="0"/>
              <w:right w:val="single" w:color="auto" w:sz="4" w:space="0"/>
            </w:tcBorders>
            <w:noWrap w:val="0"/>
            <w:vAlign w:val="center"/>
          </w:tcPr>
          <w:p w14:paraId="34F72041">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100≤X＜200</w:t>
            </w:r>
          </w:p>
        </w:tc>
        <w:tc>
          <w:tcPr>
            <w:tcW w:w="902" w:type="pct"/>
            <w:tcBorders>
              <w:top w:val="nil"/>
              <w:left w:val="nil"/>
              <w:bottom w:val="single" w:color="auto" w:sz="4" w:space="0"/>
              <w:right w:val="single" w:color="auto" w:sz="4" w:space="0"/>
            </w:tcBorders>
            <w:noWrap w:val="0"/>
            <w:vAlign w:val="center"/>
          </w:tcPr>
          <w:p w14:paraId="0C4DF753">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20≤X＜100</w:t>
            </w:r>
          </w:p>
        </w:tc>
        <w:tc>
          <w:tcPr>
            <w:tcW w:w="579" w:type="pct"/>
            <w:tcBorders>
              <w:top w:val="nil"/>
              <w:left w:val="nil"/>
              <w:bottom w:val="single" w:color="auto" w:sz="4" w:space="0"/>
              <w:right w:val="single" w:color="auto" w:sz="4" w:space="0"/>
            </w:tcBorders>
            <w:noWrap w:val="0"/>
            <w:vAlign w:val="center"/>
          </w:tcPr>
          <w:p w14:paraId="7C0F9204">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X＜20</w:t>
            </w:r>
          </w:p>
        </w:tc>
      </w:tr>
      <w:tr w14:paraId="37A3C755">
        <w:tblPrEx>
          <w:tblCellMar>
            <w:top w:w="0" w:type="dxa"/>
            <w:left w:w="108" w:type="dxa"/>
            <w:bottom w:w="0" w:type="dxa"/>
            <w:right w:w="108" w:type="dxa"/>
          </w:tblCellMar>
        </w:tblPrEx>
        <w:trPr>
          <w:trHeight w:val="284" w:hRule="atLeast"/>
        </w:trPr>
        <w:tc>
          <w:tcPr>
            <w:tcW w:w="978" w:type="pct"/>
            <w:vMerge w:val="continue"/>
            <w:tcBorders>
              <w:top w:val="nil"/>
              <w:left w:val="single" w:color="auto" w:sz="4" w:space="0"/>
              <w:bottom w:val="single" w:color="auto" w:sz="4" w:space="0"/>
              <w:right w:val="single" w:color="auto" w:sz="4" w:space="0"/>
            </w:tcBorders>
            <w:noWrap w:val="0"/>
            <w:vAlign w:val="center"/>
          </w:tcPr>
          <w:p w14:paraId="32AF49AF">
            <w:pPr>
              <w:widowControl/>
              <w:jc w:val="left"/>
              <w:rPr>
                <w:rFonts w:ascii="仿宋_GB2312" w:hAnsi="仿宋" w:eastAsia="仿宋_GB2312" w:cs="宋体"/>
                <w:b/>
                <w:bCs/>
                <w:color w:val="auto"/>
                <w:kern w:val="0"/>
                <w:sz w:val="18"/>
                <w:szCs w:val="18"/>
                <w:highlight w:val="none"/>
              </w:rPr>
            </w:pPr>
          </w:p>
        </w:tc>
        <w:tc>
          <w:tcPr>
            <w:tcW w:w="831" w:type="pct"/>
            <w:tcBorders>
              <w:top w:val="nil"/>
              <w:left w:val="nil"/>
              <w:bottom w:val="single" w:color="auto" w:sz="4" w:space="0"/>
              <w:right w:val="single" w:color="auto" w:sz="4" w:space="0"/>
            </w:tcBorders>
            <w:noWrap w:val="0"/>
            <w:vAlign w:val="center"/>
          </w:tcPr>
          <w:p w14:paraId="14D7F1AD">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748" w:type="pct"/>
            <w:tcBorders>
              <w:top w:val="nil"/>
              <w:left w:val="nil"/>
              <w:bottom w:val="single" w:color="auto" w:sz="4" w:space="0"/>
              <w:right w:val="single" w:color="auto" w:sz="4" w:space="0"/>
            </w:tcBorders>
            <w:noWrap w:val="0"/>
            <w:vAlign w:val="center"/>
          </w:tcPr>
          <w:p w14:paraId="1BDE5143">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962" w:type="pct"/>
            <w:tcBorders>
              <w:top w:val="nil"/>
              <w:left w:val="nil"/>
              <w:bottom w:val="single" w:color="auto" w:sz="4" w:space="0"/>
              <w:right w:val="single" w:color="auto" w:sz="4" w:space="0"/>
            </w:tcBorders>
            <w:noWrap w:val="0"/>
            <w:vAlign w:val="center"/>
          </w:tcPr>
          <w:p w14:paraId="693F2CA1">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1000≤Y＜30000</w:t>
            </w:r>
          </w:p>
        </w:tc>
        <w:tc>
          <w:tcPr>
            <w:tcW w:w="902" w:type="pct"/>
            <w:tcBorders>
              <w:top w:val="nil"/>
              <w:left w:val="nil"/>
              <w:bottom w:val="single" w:color="auto" w:sz="4" w:space="0"/>
              <w:right w:val="single" w:color="auto" w:sz="4" w:space="0"/>
            </w:tcBorders>
            <w:noWrap w:val="0"/>
            <w:vAlign w:val="center"/>
          </w:tcPr>
          <w:p w14:paraId="1C5C4409">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100≤Y＜1000</w:t>
            </w:r>
          </w:p>
        </w:tc>
        <w:tc>
          <w:tcPr>
            <w:tcW w:w="579" w:type="pct"/>
            <w:tcBorders>
              <w:top w:val="nil"/>
              <w:left w:val="nil"/>
              <w:bottom w:val="single" w:color="auto" w:sz="4" w:space="0"/>
              <w:right w:val="single" w:color="auto" w:sz="4" w:space="0"/>
            </w:tcBorders>
            <w:noWrap w:val="0"/>
            <w:vAlign w:val="center"/>
          </w:tcPr>
          <w:p w14:paraId="0A74ED5A">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Y＜100</w:t>
            </w:r>
          </w:p>
        </w:tc>
      </w:tr>
      <w:tr w14:paraId="559CBACE">
        <w:tblPrEx>
          <w:tblCellMar>
            <w:top w:w="0" w:type="dxa"/>
            <w:left w:w="108" w:type="dxa"/>
            <w:bottom w:w="0" w:type="dxa"/>
            <w:right w:w="108" w:type="dxa"/>
          </w:tblCellMar>
        </w:tblPrEx>
        <w:trPr>
          <w:trHeight w:val="284" w:hRule="atLeast"/>
        </w:trPr>
        <w:tc>
          <w:tcPr>
            <w:tcW w:w="978" w:type="pct"/>
            <w:vMerge w:val="restart"/>
            <w:tcBorders>
              <w:top w:val="nil"/>
              <w:left w:val="single" w:color="auto" w:sz="4" w:space="0"/>
              <w:bottom w:val="single" w:color="auto" w:sz="4" w:space="0"/>
              <w:right w:val="single" w:color="auto" w:sz="4" w:space="0"/>
            </w:tcBorders>
            <w:noWrap w:val="0"/>
            <w:vAlign w:val="bottom"/>
          </w:tcPr>
          <w:p w14:paraId="1A6E826D">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邮政业</w:t>
            </w:r>
          </w:p>
        </w:tc>
        <w:tc>
          <w:tcPr>
            <w:tcW w:w="831" w:type="pct"/>
            <w:tcBorders>
              <w:top w:val="nil"/>
              <w:left w:val="nil"/>
              <w:bottom w:val="single" w:color="auto" w:sz="4" w:space="0"/>
              <w:right w:val="single" w:color="auto" w:sz="4" w:space="0"/>
            </w:tcBorders>
            <w:noWrap w:val="0"/>
            <w:vAlign w:val="center"/>
          </w:tcPr>
          <w:p w14:paraId="74E1B831">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748" w:type="pct"/>
            <w:tcBorders>
              <w:top w:val="nil"/>
              <w:left w:val="nil"/>
              <w:bottom w:val="single" w:color="auto" w:sz="4" w:space="0"/>
              <w:right w:val="single" w:color="auto" w:sz="4" w:space="0"/>
            </w:tcBorders>
            <w:noWrap w:val="0"/>
            <w:vAlign w:val="center"/>
          </w:tcPr>
          <w:p w14:paraId="4C541946">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962" w:type="pct"/>
            <w:tcBorders>
              <w:top w:val="nil"/>
              <w:left w:val="nil"/>
              <w:bottom w:val="single" w:color="auto" w:sz="4" w:space="0"/>
              <w:right w:val="single" w:color="auto" w:sz="4" w:space="0"/>
            </w:tcBorders>
            <w:noWrap w:val="0"/>
            <w:vAlign w:val="center"/>
          </w:tcPr>
          <w:p w14:paraId="5306276C">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300≤X＜1000</w:t>
            </w:r>
          </w:p>
        </w:tc>
        <w:tc>
          <w:tcPr>
            <w:tcW w:w="902" w:type="pct"/>
            <w:tcBorders>
              <w:top w:val="nil"/>
              <w:left w:val="nil"/>
              <w:bottom w:val="single" w:color="auto" w:sz="4" w:space="0"/>
              <w:right w:val="single" w:color="auto" w:sz="4" w:space="0"/>
            </w:tcBorders>
            <w:noWrap w:val="0"/>
            <w:vAlign w:val="center"/>
          </w:tcPr>
          <w:p w14:paraId="12724C01">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20≤X＜300</w:t>
            </w:r>
          </w:p>
        </w:tc>
        <w:tc>
          <w:tcPr>
            <w:tcW w:w="579" w:type="pct"/>
            <w:tcBorders>
              <w:top w:val="nil"/>
              <w:left w:val="nil"/>
              <w:bottom w:val="single" w:color="auto" w:sz="4" w:space="0"/>
              <w:right w:val="single" w:color="auto" w:sz="4" w:space="0"/>
            </w:tcBorders>
            <w:noWrap w:val="0"/>
            <w:vAlign w:val="center"/>
          </w:tcPr>
          <w:p w14:paraId="20FA7E57">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X＜20</w:t>
            </w:r>
          </w:p>
        </w:tc>
      </w:tr>
      <w:tr w14:paraId="320F2348">
        <w:tblPrEx>
          <w:tblCellMar>
            <w:top w:w="0" w:type="dxa"/>
            <w:left w:w="108" w:type="dxa"/>
            <w:bottom w:w="0" w:type="dxa"/>
            <w:right w:w="108" w:type="dxa"/>
          </w:tblCellMar>
        </w:tblPrEx>
        <w:trPr>
          <w:trHeight w:val="284" w:hRule="atLeast"/>
        </w:trPr>
        <w:tc>
          <w:tcPr>
            <w:tcW w:w="978" w:type="pct"/>
            <w:vMerge w:val="continue"/>
            <w:tcBorders>
              <w:top w:val="nil"/>
              <w:left w:val="single" w:color="auto" w:sz="4" w:space="0"/>
              <w:bottom w:val="single" w:color="auto" w:sz="4" w:space="0"/>
              <w:right w:val="single" w:color="auto" w:sz="4" w:space="0"/>
            </w:tcBorders>
            <w:noWrap w:val="0"/>
            <w:vAlign w:val="center"/>
          </w:tcPr>
          <w:p w14:paraId="40C59F79">
            <w:pPr>
              <w:widowControl/>
              <w:jc w:val="left"/>
              <w:rPr>
                <w:rFonts w:ascii="仿宋_GB2312" w:hAnsi="仿宋" w:eastAsia="仿宋_GB2312" w:cs="宋体"/>
                <w:b/>
                <w:bCs/>
                <w:color w:val="auto"/>
                <w:kern w:val="0"/>
                <w:sz w:val="18"/>
                <w:szCs w:val="18"/>
                <w:highlight w:val="none"/>
              </w:rPr>
            </w:pPr>
          </w:p>
        </w:tc>
        <w:tc>
          <w:tcPr>
            <w:tcW w:w="831" w:type="pct"/>
            <w:tcBorders>
              <w:top w:val="nil"/>
              <w:left w:val="nil"/>
              <w:bottom w:val="single" w:color="auto" w:sz="4" w:space="0"/>
              <w:right w:val="single" w:color="auto" w:sz="4" w:space="0"/>
            </w:tcBorders>
            <w:noWrap w:val="0"/>
            <w:vAlign w:val="center"/>
          </w:tcPr>
          <w:p w14:paraId="6AF3833A">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748" w:type="pct"/>
            <w:tcBorders>
              <w:top w:val="nil"/>
              <w:left w:val="nil"/>
              <w:bottom w:val="single" w:color="auto" w:sz="4" w:space="0"/>
              <w:right w:val="single" w:color="auto" w:sz="4" w:space="0"/>
            </w:tcBorders>
            <w:noWrap w:val="0"/>
            <w:vAlign w:val="center"/>
          </w:tcPr>
          <w:p w14:paraId="5C580295">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962" w:type="pct"/>
            <w:tcBorders>
              <w:top w:val="nil"/>
              <w:left w:val="nil"/>
              <w:bottom w:val="single" w:color="auto" w:sz="4" w:space="0"/>
              <w:right w:val="single" w:color="auto" w:sz="4" w:space="0"/>
            </w:tcBorders>
            <w:noWrap w:val="0"/>
            <w:vAlign w:val="center"/>
          </w:tcPr>
          <w:p w14:paraId="4FC7EC16">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2000≤Y＜30000</w:t>
            </w:r>
          </w:p>
        </w:tc>
        <w:tc>
          <w:tcPr>
            <w:tcW w:w="902" w:type="pct"/>
            <w:tcBorders>
              <w:top w:val="nil"/>
              <w:left w:val="nil"/>
              <w:bottom w:val="single" w:color="auto" w:sz="4" w:space="0"/>
              <w:right w:val="single" w:color="auto" w:sz="4" w:space="0"/>
            </w:tcBorders>
            <w:noWrap w:val="0"/>
            <w:vAlign w:val="center"/>
          </w:tcPr>
          <w:p w14:paraId="1A318BED">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100≤Y＜2000</w:t>
            </w:r>
          </w:p>
        </w:tc>
        <w:tc>
          <w:tcPr>
            <w:tcW w:w="579" w:type="pct"/>
            <w:tcBorders>
              <w:top w:val="nil"/>
              <w:left w:val="nil"/>
              <w:bottom w:val="single" w:color="auto" w:sz="4" w:space="0"/>
              <w:right w:val="single" w:color="auto" w:sz="4" w:space="0"/>
            </w:tcBorders>
            <w:noWrap w:val="0"/>
            <w:vAlign w:val="center"/>
          </w:tcPr>
          <w:p w14:paraId="5CF1B287">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Y＜100</w:t>
            </w:r>
          </w:p>
        </w:tc>
      </w:tr>
      <w:tr w14:paraId="3CF5B4F6">
        <w:tblPrEx>
          <w:tblCellMar>
            <w:top w:w="0" w:type="dxa"/>
            <w:left w:w="108" w:type="dxa"/>
            <w:bottom w:w="0" w:type="dxa"/>
            <w:right w:w="108" w:type="dxa"/>
          </w:tblCellMar>
        </w:tblPrEx>
        <w:trPr>
          <w:trHeight w:val="284" w:hRule="atLeast"/>
        </w:trPr>
        <w:tc>
          <w:tcPr>
            <w:tcW w:w="978" w:type="pct"/>
            <w:vMerge w:val="restart"/>
            <w:tcBorders>
              <w:top w:val="nil"/>
              <w:left w:val="single" w:color="auto" w:sz="4" w:space="0"/>
              <w:bottom w:val="single" w:color="auto" w:sz="4" w:space="0"/>
              <w:right w:val="single" w:color="auto" w:sz="4" w:space="0"/>
            </w:tcBorders>
            <w:noWrap w:val="0"/>
            <w:vAlign w:val="bottom"/>
          </w:tcPr>
          <w:p w14:paraId="7BDA4040">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住宿业</w:t>
            </w:r>
          </w:p>
        </w:tc>
        <w:tc>
          <w:tcPr>
            <w:tcW w:w="831" w:type="pct"/>
            <w:tcBorders>
              <w:top w:val="nil"/>
              <w:left w:val="nil"/>
              <w:bottom w:val="single" w:color="auto" w:sz="4" w:space="0"/>
              <w:right w:val="single" w:color="auto" w:sz="4" w:space="0"/>
            </w:tcBorders>
            <w:noWrap w:val="0"/>
            <w:vAlign w:val="center"/>
          </w:tcPr>
          <w:p w14:paraId="5661822C">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748" w:type="pct"/>
            <w:tcBorders>
              <w:top w:val="nil"/>
              <w:left w:val="nil"/>
              <w:bottom w:val="single" w:color="auto" w:sz="4" w:space="0"/>
              <w:right w:val="single" w:color="auto" w:sz="4" w:space="0"/>
            </w:tcBorders>
            <w:noWrap w:val="0"/>
            <w:vAlign w:val="center"/>
          </w:tcPr>
          <w:p w14:paraId="6B51F56A">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962" w:type="pct"/>
            <w:tcBorders>
              <w:top w:val="nil"/>
              <w:left w:val="nil"/>
              <w:bottom w:val="single" w:color="auto" w:sz="4" w:space="0"/>
              <w:right w:val="single" w:color="auto" w:sz="4" w:space="0"/>
            </w:tcBorders>
            <w:noWrap w:val="0"/>
            <w:vAlign w:val="center"/>
          </w:tcPr>
          <w:p w14:paraId="40A7A706">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100≤X＜300</w:t>
            </w:r>
          </w:p>
        </w:tc>
        <w:tc>
          <w:tcPr>
            <w:tcW w:w="902" w:type="pct"/>
            <w:tcBorders>
              <w:top w:val="nil"/>
              <w:left w:val="nil"/>
              <w:bottom w:val="single" w:color="auto" w:sz="4" w:space="0"/>
              <w:right w:val="single" w:color="auto" w:sz="4" w:space="0"/>
            </w:tcBorders>
            <w:noWrap w:val="0"/>
            <w:vAlign w:val="center"/>
          </w:tcPr>
          <w:p w14:paraId="4321BD40">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10≤X＜100</w:t>
            </w:r>
          </w:p>
        </w:tc>
        <w:tc>
          <w:tcPr>
            <w:tcW w:w="579" w:type="pct"/>
            <w:tcBorders>
              <w:top w:val="nil"/>
              <w:left w:val="nil"/>
              <w:bottom w:val="single" w:color="auto" w:sz="4" w:space="0"/>
              <w:right w:val="single" w:color="auto" w:sz="4" w:space="0"/>
            </w:tcBorders>
            <w:noWrap w:val="0"/>
            <w:vAlign w:val="center"/>
          </w:tcPr>
          <w:p w14:paraId="2FB3F43B">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X＜10</w:t>
            </w:r>
          </w:p>
        </w:tc>
      </w:tr>
      <w:tr w14:paraId="199C5056">
        <w:tblPrEx>
          <w:tblCellMar>
            <w:top w:w="0" w:type="dxa"/>
            <w:left w:w="108" w:type="dxa"/>
            <w:bottom w:w="0" w:type="dxa"/>
            <w:right w:w="108" w:type="dxa"/>
          </w:tblCellMar>
        </w:tblPrEx>
        <w:trPr>
          <w:trHeight w:val="284" w:hRule="atLeast"/>
        </w:trPr>
        <w:tc>
          <w:tcPr>
            <w:tcW w:w="978" w:type="pct"/>
            <w:vMerge w:val="continue"/>
            <w:tcBorders>
              <w:top w:val="nil"/>
              <w:left w:val="single" w:color="auto" w:sz="4" w:space="0"/>
              <w:bottom w:val="single" w:color="auto" w:sz="4" w:space="0"/>
              <w:right w:val="single" w:color="auto" w:sz="4" w:space="0"/>
            </w:tcBorders>
            <w:noWrap w:val="0"/>
            <w:vAlign w:val="center"/>
          </w:tcPr>
          <w:p w14:paraId="570BB4C8">
            <w:pPr>
              <w:widowControl/>
              <w:jc w:val="left"/>
              <w:rPr>
                <w:rFonts w:ascii="仿宋_GB2312" w:hAnsi="仿宋" w:eastAsia="仿宋_GB2312" w:cs="宋体"/>
                <w:b/>
                <w:bCs/>
                <w:color w:val="auto"/>
                <w:kern w:val="0"/>
                <w:sz w:val="18"/>
                <w:szCs w:val="18"/>
                <w:highlight w:val="none"/>
              </w:rPr>
            </w:pPr>
          </w:p>
        </w:tc>
        <w:tc>
          <w:tcPr>
            <w:tcW w:w="831" w:type="pct"/>
            <w:tcBorders>
              <w:top w:val="nil"/>
              <w:left w:val="nil"/>
              <w:bottom w:val="single" w:color="auto" w:sz="4" w:space="0"/>
              <w:right w:val="single" w:color="auto" w:sz="4" w:space="0"/>
            </w:tcBorders>
            <w:noWrap w:val="0"/>
            <w:vAlign w:val="center"/>
          </w:tcPr>
          <w:p w14:paraId="530F8B1D">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748" w:type="pct"/>
            <w:tcBorders>
              <w:top w:val="nil"/>
              <w:left w:val="nil"/>
              <w:bottom w:val="single" w:color="auto" w:sz="4" w:space="0"/>
              <w:right w:val="single" w:color="auto" w:sz="4" w:space="0"/>
            </w:tcBorders>
            <w:noWrap w:val="0"/>
            <w:vAlign w:val="center"/>
          </w:tcPr>
          <w:p w14:paraId="5839C215">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962" w:type="pct"/>
            <w:tcBorders>
              <w:top w:val="nil"/>
              <w:left w:val="nil"/>
              <w:bottom w:val="single" w:color="auto" w:sz="4" w:space="0"/>
              <w:right w:val="single" w:color="auto" w:sz="4" w:space="0"/>
            </w:tcBorders>
            <w:noWrap w:val="0"/>
            <w:vAlign w:val="center"/>
          </w:tcPr>
          <w:p w14:paraId="280AB1BD">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2000≤Y＜10000</w:t>
            </w:r>
          </w:p>
        </w:tc>
        <w:tc>
          <w:tcPr>
            <w:tcW w:w="902" w:type="pct"/>
            <w:tcBorders>
              <w:top w:val="nil"/>
              <w:left w:val="nil"/>
              <w:bottom w:val="single" w:color="auto" w:sz="4" w:space="0"/>
              <w:right w:val="single" w:color="auto" w:sz="4" w:space="0"/>
            </w:tcBorders>
            <w:noWrap w:val="0"/>
            <w:vAlign w:val="center"/>
          </w:tcPr>
          <w:p w14:paraId="42A8E742">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100≤Y＜2000</w:t>
            </w:r>
          </w:p>
        </w:tc>
        <w:tc>
          <w:tcPr>
            <w:tcW w:w="579" w:type="pct"/>
            <w:tcBorders>
              <w:top w:val="nil"/>
              <w:left w:val="nil"/>
              <w:bottom w:val="single" w:color="auto" w:sz="4" w:space="0"/>
              <w:right w:val="single" w:color="auto" w:sz="4" w:space="0"/>
            </w:tcBorders>
            <w:noWrap w:val="0"/>
            <w:vAlign w:val="center"/>
          </w:tcPr>
          <w:p w14:paraId="77A6BAB6">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Y＜100</w:t>
            </w:r>
          </w:p>
        </w:tc>
      </w:tr>
      <w:tr w14:paraId="5E21EA67">
        <w:tblPrEx>
          <w:tblCellMar>
            <w:top w:w="0" w:type="dxa"/>
            <w:left w:w="108" w:type="dxa"/>
            <w:bottom w:w="0" w:type="dxa"/>
            <w:right w:w="108" w:type="dxa"/>
          </w:tblCellMar>
        </w:tblPrEx>
        <w:trPr>
          <w:trHeight w:val="284" w:hRule="atLeast"/>
        </w:trPr>
        <w:tc>
          <w:tcPr>
            <w:tcW w:w="978" w:type="pct"/>
            <w:vMerge w:val="restart"/>
            <w:tcBorders>
              <w:top w:val="nil"/>
              <w:left w:val="single" w:color="auto" w:sz="4" w:space="0"/>
              <w:bottom w:val="single" w:color="auto" w:sz="4" w:space="0"/>
              <w:right w:val="single" w:color="auto" w:sz="4" w:space="0"/>
            </w:tcBorders>
            <w:noWrap w:val="0"/>
            <w:vAlign w:val="bottom"/>
          </w:tcPr>
          <w:p w14:paraId="76DE1554">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餐饮业</w:t>
            </w:r>
          </w:p>
        </w:tc>
        <w:tc>
          <w:tcPr>
            <w:tcW w:w="831" w:type="pct"/>
            <w:tcBorders>
              <w:top w:val="nil"/>
              <w:left w:val="nil"/>
              <w:bottom w:val="single" w:color="auto" w:sz="4" w:space="0"/>
              <w:right w:val="single" w:color="auto" w:sz="4" w:space="0"/>
            </w:tcBorders>
            <w:noWrap w:val="0"/>
            <w:vAlign w:val="center"/>
          </w:tcPr>
          <w:p w14:paraId="26CD2C46">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748" w:type="pct"/>
            <w:tcBorders>
              <w:top w:val="nil"/>
              <w:left w:val="nil"/>
              <w:bottom w:val="single" w:color="auto" w:sz="4" w:space="0"/>
              <w:right w:val="single" w:color="auto" w:sz="4" w:space="0"/>
            </w:tcBorders>
            <w:noWrap w:val="0"/>
            <w:vAlign w:val="center"/>
          </w:tcPr>
          <w:p w14:paraId="2258BE9D">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962" w:type="pct"/>
            <w:tcBorders>
              <w:top w:val="nil"/>
              <w:left w:val="nil"/>
              <w:bottom w:val="single" w:color="auto" w:sz="4" w:space="0"/>
              <w:right w:val="single" w:color="auto" w:sz="4" w:space="0"/>
            </w:tcBorders>
            <w:noWrap w:val="0"/>
            <w:vAlign w:val="center"/>
          </w:tcPr>
          <w:p w14:paraId="02C46EB4">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100≤X＜300</w:t>
            </w:r>
          </w:p>
        </w:tc>
        <w:tc>
          <w:tcPr>
            <w:tcW w:w="902" w:type="pct"/>
            <w:tcBorders>
              <w:top w:val="nil"/>
              <w:left w:val="nil"/>
              <w:bottom w:val="single" w:color="auto" w:sz="4" w:space="0"/>
              <w:right w:val="single" w:color="auto" w:sz="4" w:space="0"/>
            </w:tcBorders>
            <w:noWrap w:val="0"/>
            <w:vAlign w:val="center"/>
          </w:tcPr>
          <w:p w14:paraId="5D65B36F">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10≤X＜100</w:t>
            </w:r>
          </w:p>
        </w:tc>
        <w:tc>
          <w:tcPr>
            <w:tcW w:w="579" w:type="pct"/>
            <w:tcBorders>
              <w:top w:val="nil"/>
              <w:left w:val="nil"/>
              <w:bottom w:val="single" w:color="auto" w:sz="4" w:space="0"/>
              <w:right w:val="single" w:color="auto" w:sz="4" w:space="0"/>
            </w:tcBorders>
            <w:noWrap w:val="0"/>
            <w:vAlign w:val="center"/>
          </w:tcPr>
          <w:p w14:paraId="0C646AA9">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X＜10</w:t>
            </w:r>
          </w:p>
        </w:tc>
      </w:tr>
      <w:tr w14:paraId="40B9CD5B">
        <w:tblPrEx>
          <w:tblCellMar>
            <w:top w:w="0" w:type="dxa"/>
            <w:left w:w="108" w:type="dxa"/>
            <w:bottom w:w="0" w:type="dxa"/>
            <w:right w:w="108" w:type="dxa"/>
          </w:tblCellMar>
        </w:tblPrEx>
        <w:trPr>
          <w:trHeight w:val="284" w:hRule="atLeast"/>
        </w:trPr>
        <w:tc>
          <w:tcPr>
            <w:tcW w:w="978" w:type="pct"/>
            <w:vMerge w:val="continue"/>
            <w:tcBorders>
              <w:top w:val="nil"/>
              <w:left w:val="single" w:color="auto" w:sz="4" w:space="0"/>
              <w:bottom w:val="single" w:color="auto" w:sz="4" w:space="0"/>
              <w:right w:val="single" w:color="auto" w:sz="4" w:space="0"/>
            </w:tcBorders>
            <w:noWrap w:val="0"/>
            <w:vAlign w:val="center"/>
          </w:tcPr>
          <w:p w14:paraId="0569348D">
            <w:pPr>
              <w:widowControl/>
              <w:jc w:val="left"/>
              <w:rPr>
                <w:rFonts w:ascii="仿宋_GB2312" w:hAnsi="仿宋" w:eastAsia="仿宋_GB2312" w:cs="宋体"/>
                <w:b/>
                <w:bCs/>
                <w:color w:val="auto"/>
                <w:kern w:val="0"/>
                <w:sz w:val="18"/>
                <w:szCs w:val="18"/>
                <w:highlight w:val="none"/>
              </w:rPr>
            </w:pPr>
          </w:p>
        </w:tc>
        <w:tc>
          <w:tcPr>
            <w:tcW w:w="831" w:type="pct"/>
            <w:tcBorders>
              <w:top w:val="nil"/>
              <w:left w:val="nil"/>
              <w:bottom w:val="single" w:color="auto" w:sz="4" w:space="0"/>
              <w:right w:val="single" w:color="auto" w:sz="4" w:space="0"/>
            </w:tcBorders>
            <w:noWrap w:val="0"/>
            <w:vAlign w:val="center"/>
          </w:tcPr>
          <w:p w14:paraId="5F3455E8">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748" w:type="pct"/>
            <w:tcBorders>
              <w:top w:val="nil"/>
              <w:left w:val="nil"/>
              <w:bottom w:val="single" w:color="auto" w:sz="4" w:space="0"/>
              <w:right w:val="single" w:color="auto" w:sz="4" w:space="0"/>
            </w:tcBorders>
            <w:noWrap w:val="0"/>
            <w:vAlign w:val="center"/>
          </w:tcPr>
          <w:p w14:paraId="46540156">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962" w:type="pct"/>
            <w:tcBorders>
              <w:top w:val="nil"/>
              <w:left w:val="nil"/>
              <w:bottom w:val="single" w:color="auto" w:sz="4" w:space="0"/>
              <w:right w:val="single" w:color="auto" w:sz="4" w:space="0"/>
            </w:tcBorders>
            <w:noWrap w:val="0"/>
            <w:vAlign w:val="center"/>
          </w:tcPr>
          <w:p w14:paraId="4A439005">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2000≤Y＜10000</w:t>
            </w:r>
          </w:p>
        </w:tc>
        <w:tc>
          <w:tcPr>
            <w:tcW w:w="902" w:type="pct"/>
            <w:tcBorders>
              <w:top w:val="nil"/>
              <w:left w:val="nil"/>
              <w:bottom w:val="single" w:color="auto" w:sz="4" w:space="0"/>
              <w:right w:val="single" w:color="auto" w:sz="4" w:space="0"/>
            </w:tcBorders>
            <w:noWrap w:val="0"/>
            <w:vAlign w:val="center"/>
          </w:tcPr>
          <w:p w14:paraId="44275364">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100≤Y＜2000</w:t>
            </w:r>
          </w:p>
        </w:tc>
        <w:tc>
          <w:tcPr>
            <w:tcW w:w="579" w:type="pct"/>
            <w:tcBorders>
              <w:top w:val="nil"/>
              <w:left w:val="nil"/>
              <w:bottom w:val="single" w:color="auto" w:sz="4" w:space="0"/>
              <w:right w:val="single" w:color="auto" w:sz="4" w:space="0"/>
            </w:tcBorders>
            <w:noWrap w:val="0"/>
            <w:vAlign w:val="center"/>
          </w:tcPr>
          <w:p w14:paraId="2A47A1B6">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Y＜100</w:t>
            </w:r>
          </w:p>
        </w:tc>
      </w:tr>
      <w:tr w14:paraId="53D3D966">
        <w:tblPrEx>
          <w:tblCellMar>
            <w:top w:w="0" w:type="dxa"/>
            <w:left w:w="108" w:type="dxa"/>
            <w:bottom w:w="0" w:type="dxa"/>
            <w:right w:w="108" w:type="dxa"/>
          </w:tblCellMar>
        </w:tblPrEx>
        <w:trPr>
          <w:trHeight w:val="284" w:hRule="atLeast"/>
        </w:trPr>
        <w:tc>
          <w:tcPr>
            <w:tcW w:w="978" w:type="pct"/>
            <w:vMerge w:val="restart"/>
            <w:tcBorders>
              <w:top w:val="nil"/>
              <w:left w:val="single" w:color="auto" w:sz="4" w:space="0"/>
              <w:bottom w:val="single" w:color="auto" w:sz="4" w:space="0"/>
              <w:right w:val="single" w:color="auto" w:sz="4" w:space="0"/>
            </w:tcBorders>
            <w:noWrap w:val="0"/>
            <w:vAlign w:val="bottom"/>
          </w:tcPr>
          <w:p w14:paraId="11512BF7">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信息传输业</w:t>
            </w:r>
          </w:p>
        </w:tc>
        <w:tc>
          <w:tcPr>
            <w:tcW w:w="831" w:type="pct"/>
            <w:tcBorders>
              <w:top w:val="nil"/>
              <w:left w:val="nil"/>
              <w:bottom w:val="single" w:color="auto" w:sz="4" w:space="0"/>
              <w:right w:val="single" w:color="auto" w:sz="4" w:space="0"/>
            </w:tcBorders>
            <w:noWrap w:val="0"/>
            <w:vAlign w:val="center"/>
          </w:tcPr>
          <w:p w14:paraId="1E63D73D">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748" w:type="pct"/>
            <w:tcBorders>
              <w:top w:val="nil"/>
              <w:left w:val="nil"/>
              <w:bottom w:val="single" w:color="auto" w:sz="4" w:space="0"/>
              <w:right w:val="single" w:color="auto" w:sz="4" w:space="0"/>
            </w:tcBorders>
            <w:noWrap w:val="0"/>
            <w:vAlign w:val="center"/>
          </w:tcPr>
          <w:p w14:paraId="073A7132">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962" w:type="pct"/>
            <w:tcBorders>
              <w:top w:val="nil"/>
              <w:left w:val="nil"/>
              <w:bottom w:val="single" w:color="auto" w:sz="4" w:space="0"/>
              <w:right w:val="single" w:color="auto" w:sz="4" w:space="0"/>
            </w:tcBorders>
            <w:noWrap w:val="0"/>
            <w:vAlign w:val="center"/>
          </w:tcPr>
          <w:p w14:paraId="3E802C84">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100≤X＜2000</w:t>
            </w:r>
          </w:p>
        </w:tc>
        <w:tc>
          <w:tcPr>
            <w:tcW w:w="902" w:type="pct"/>
            <w:tcBorders>
              <w:top w:val="nil"/>
              <w:left w:val="nil"/>
              <w:bottom w:val="single" w:color="auto" w:sz="4" w:space="0"/>
              <w:right w:val="single" w:color="auto" w:sz="4" w:space="0"/>
            </w:tcBorders>
            <w:noWrap w:val="0"/>
            <w:vAlign w:val="center"/>
          </w:tcPr>
          <w:p w14:paraId="007744F7">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10≤X＜100</w:t>
            </w:r>
          </w:p>
        </w:tc>
        <w:tc>
          <w:tcPr>
            <w:tcW w:w="579" w:type="pct"/>
            <w:tcBorders>
              <w:top w:val="nil"/>
              <w:left w:val="nil"/>
              <w:bottom w:val="single" w:color="auto" w:sz="4" w:space="0"/>
              <w:right w:val="single" w:color="auto" w:sz="4" w:space="0"/>
            </w:tcBorders>
            <w:noWrap w:val="0"/>
            <w:vAlign w:val="center"/>
          </w:tcPr>
          <w:p w14:paraId="00A2BB74">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X＜10</w:t>
            </w:r>
          </w:p>
        </w:tc>
      </w:tr>
      <w:tr w14:paraId="0984CC25">
        <w:tblPrEx>
          <w:tblCellMar>
            <w:top w:w="0" w:type="dxa"/>
            <w:left w:w="108" w:type="dxa"/>
            <w:bottom w:w="0" w:type="dxa"/>
            <w:right w:w="108" w:type="dxa"/>
          </w:tblCellMar>
        </w:tblPrEx>
        <w:trPr>
          <w:trHeight w:val="284" w:hRule="atLeast"/>
        </w:trPr>
        <w:tc>
          <w:tcPr>
            <w:tcW w:w="978" w:type="pct"/>
            <w:vMerge w:val="continue"/>
            <w:tcBorders>
              <w:top w:val="nil"/>
              <w:left w:val="single" w:color="auto" w:sz="4" w:space="0"/>
              <w:bottom w:val="single" w:color="auto" w:sz="4" w:space="0"/>
              <w:right w:val="single" w:color="auto" w:sz="4" w:space="0"/>
            </w:tcBorders>
            <w:noWrap w:val="0"/>
            <w:vAlign w:val="center"/>
          </w:tcPr>
          <w:p w14:paraId="4724EEE0">
            <w:pPr>
              <w:widowControl/>
              <w:jc w:val="left"/>
              <w:rPr>
                <w:rFonts w:ascii="仿宋_GB2312" w:hAnsi="仿宋" w:eastAsia="仿宋_GB2312" w:cs="宋体"/>
                <w:b/>
                <w:bCs/>
                <w:color w:val="auto"/>
                <w:kern w:val="0"/>
                <w:sz w:val="18"/>
                <w:szCs w:val="18"/>
                <w:highlight w:val="none"/>
              </w:rPr>
            </w:pPr>
          </w:p>
        </w:tc>
        <w:tc>
          <w:tcPr>
            <w:tcW w:w="831" w:type="pct"/>
            <w:tcBorders>
              <w:top w:val="nil"/>
              <w:left w:val="nil"/>
              <w:bottom w:val="single" w:color="auto" w:sz="4" w:space="0"/>
              <w:right w:val="single" w:color="auto" w:sz="4" w:space="0"/>
            </w:tcBorders>
            <w:noWrap w:val="0"/>
            <w:vAlign w:val="center"/>
          </w:tcPr>
          <w:p w14:paraId="30BDCB1A">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748" w:type="pct"/>
            <w:tcBorders>
              <w:top w:val="nil"/>
              <w:left w:val="nil"/>
              <w:bottom w:val="single" w:color="auto" w:sz="4" w:space="0"/>
              <w:right w:val="single" w:color="auto" w:sz="4" w:space="0"/>
            </w:tcBorders>
            <w:noWrap w:val="0"/>
            <w:vAlign w:val="center"/>
          </w:tcPr>
          <w:p w14:paraId="48524FE6">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962" w:type="pct"/>
            <w:tcBorders>
              <w:top w:val="nil"/>
              <w:left w:val="nil"/>
              <w:bottom w:val="single" w:color="auto" w:sz="4" w:space="0"/>
              <w:right w:val="single" w:color="auto" w:sz="4" w:space="0"/>
            </w:tcBorders>
            <w:noWrap w:val="0"/>
            <w:vAlign w:val="center"/>
          </w:tcPr>
          <w:p w14:paraId="20B2B89E">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1000≤Y＜100000</w:t>
            </w:r>
          </w:p>
        </w:tc>
        <w:tc>
          <w:tcPr>
            <w:tcW w:w="902" w:type="pct"/>
            <w:tcBorders>
              <w:top w:val="nil"/>
              <w:left w:val="nil"/>
              <w:bottom w:val="single" w:color="auto" w:sz="4" w:space="0"/>
              <w:right w:val="single" w:color="auto" w:sz="4" w:space="0"/>
            </w:tcBorders>
            <w:noWrap w:val="0"/>
            <w:vAlign w:val="center"/>
          </w:tcPr>
          <w:p w14:paraId="5A15597C">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100≤Y＜1000</w:t>
            </w:r>
          </w:p>
        </w:tc>
        <w:tc>
          <w:tcPr>
            <w:tcW w:w="579" w:type="pct"/>
            <w:tcBorders>
              <w:top w:val="nil"/>
              <w:left w:val="nil"/>
              <w:bottom w:val="single" w:color="auto" w:sz="4" w:space="0"/>
              <w:right w:val="single" w:color="auto" w:sz="4" w:space="0"/>
            </w:tcBorders>
            <w:noWrap w:val="0"/>
            <w:vAlign w:val="center"/>
          </w:tcPr>
          <w:p w14:paraId="1FB857EE">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Y＜100</w:t>
            </w:r>
          </w:p>
        </w:tc>
      </w:tr>
      <w:tr w14:paraId="3624CF4F">
        <w:tblPrEx>
          <w:tblCellMar>
            <w:top w:w="0" w:type="dxa"/>
            <w:left w:w="108" w:type="dxa"/>
            <w:bottom w:w="0" w:type="dxa"/>
            <w:right w:w="108" w:type="dxa"/>
          </w:tblCellMar>
        </w:tblPrEx>
        <w:trPr>
          <w:trHeight w:val="284" w:hRule="atLeast"/>
        </w:trPr>
        <w:tc>
          <w:tcPr>
            <w:tcW w:w="978" w:type="pct"/>
            <w:vMerge w:val="restart"/>
            <w:tcBorders>
              <w:top w:val="nil"/>
              <w:left w:val="single" w:color="auto" w:sz="4" w:space="0"/>
              <w:bottom w:val="single" w:color="auto" w:sz="4" w:space="0"/>
              <w:right w:val="single" w:color="auto" w:sz="4" w:space="0"/>
            </w:tcBorders>
            <w:noWrap w:val="0"/>
            <w:vAlign w:val="bottom"/>
          </w:tcPr>
          <w:p w14:paraId="083A962B">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软件和信息技术服务业</w:t>
            </w:r>
          </w:p>
        </w:tc>
        <w:tc>
          <w:tcPr>
            <w:tcW w:w="831" w:type="pct"/>
            <w:tcBorders>
              <w:top w:val="nil"/>
              <w:left w:val="nil"/>
              <w:bottom w:val="single" w:color="auto" w:sz="4" w:space="0"/>
              <w:right w:val="single" w:color="auto" w:sz="4" w:space="0"/>
            </w:tcBorders>
            <w:noWrap w:val="0"/>
            <w:vAlign w:val="center"/>
          </w:tcPr>
          <w:p w14:paraId="5C44DEA1">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748" w:type="pct"/>
            <w:tcBorders>
              <w:top w:val="nil"/>
              <w:left w:val="nil"/>
              <w:bottom w:val="single" w:color="auto" w:sz="4" w:space="0"/>
              <w:right w:val="single" w:color="auto" w:sz="4" w:space="0"/>
            </w:tcBorders>
            <w:noWrap w:val="0"/>
            <w:vAlign w:val="center"/>
          </w:tcPr>
          <w:p w14:paraId="285980BA">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962" w:type="pct"/>
            <w:tcBorders>
              <w:top w:val="nil"/>
              <w:left w:val="nil"/>
              <w:bottom w:val="single" w:color="auto" w:sz="4" w:space="0"/>
              <w:right w:val="single" w:color="auto" w:sz="4" w:space="0"/>
            </w:tcBorders>
            <w:noWrap w:val="0"/>
            <w:vAlign w:val="center"/>
          </w:tcPr>
          <w:p w14:paraId="373F9DBC">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100≤X＜300</w:t>
            </w:r>
          </w:p>
        </w:tc>
        <w:tc>
          <w:tcPr>
            <w:tcW w:w="902" w:type="pct"/>
            <w:tcBorders>
              <w:top w:val="nil"/>
              <w:left w:val="nil"/>
              <w:bottom w:val="single" w:color="auto" w:sz="4" w:space="0"/>
              <w:right w:val="single" w:color="auto" w:sz="4" w:space="0"/>
            </w:tcBorders>
            <w:noWrap w:val="0"/>
            <w:vAlign w:val="center"/>
          </w:tcPr>
          <w:p w14:paraId="6E7A5478">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10≤X＜100</w:t>
            </w:r>
          </w:p>
        </w:tc>
        <w:tc>
          <w:tcPr>
            <w:tcW w:w="579" w:type="pct"/>
            <w:tcBorders>
              <w:top w:val="nil"/>
              <w:left w:val="nil"/>
              <w:bottom w:val="single" w:color="auto" w:sz="4" w:space="0"/>
              <w:right w:val="single" w:color="auto" w:sz="4" w:space="0"/>
            </w:tcBorders>
            <w:noWrap w:val="0"/>
            <w:vAlign w:val="center"/>
          </w:tcPr>
          <w:p w14:paraId="32394117">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X＜10</w:t>
            </w:r>
          </w:p>
        </w:tc>
      </w:tr>
      <w:tr w14:paraId="1F9A7069">
        <w:tblPrEx>
          <w:tblCellMar>
            <w:top w:w="0" w:type="dxa"/>
            <w:left w:w="108" w:type="dxa"/>
            <w:bottom w:w="0" w:type="dxa"/>
            <w:right w:w="108" w:type="dxa"/>
          </w:tblCellMar>
        </w:tblPrEx>
        <w:trPr>
          <w:trHeight w:val="284" w:hRule="atLeast"/>
        </w:trPr>
        <w:tc>
          <w:tcPr>
            <w:tcW w:w="978" w:type="pct"/>
            <w:vMerge w:val="continue"/>
            <w:tcBorders>
              <w:top w:val="nil"/>
              <w:left w:val="single" w:color="auto" w:sz="4" w:space="0"/>
              <w:bottom w:val="single" w:color="auto" w:sz="4" w:space="0"/>
              <w:right w:val="single" w:color="auto" w:sz="4" w:space="0"/>
            </w:tcBorders>
            <w:noWrap w:val="0"/>
            <w:vAlign w:val="center"/>
          </w:tcPr>
          <w:p w14:paraId="4211DA6C">
            <w:pPr>
              <w:widowControl/>
              <w:jc w:val="left"/>
              <w:rPr>
                <w:rFonts w:ascii="仿宋_GB2312" w:hAnsi="仿宋" w:eastAsia="仿宋_GB2312" w:cs="宋体"/>
                <w:b/>
                <w:bCs/>
                <w:color w:val="auto"/>
                <w:kern w:val="0"/>
                <w:sz w:val="18"/>
                <w:szCs w:val="18"/>
                <w:highlight w:val="none"/>
              </w:rPr>
            </w:pPr>
          </w:p>
        </w:tc>
        <w:tc>
          <w:tcPr>
            <w:tcW w:w="831" w:type="pct"/>
            <w:tcBorders>
              <w:top w:val="nil"/>
              <w:left w:val="nil"/>
              <w:bottom w:val="single" w:color="auto" w:sz="4" w:space="0"/>
              <w:right w:val="single" w:color="auto" w:sz="4" w:space="0"/>
            </w:tcBorders>
            <w:noWrap w:val="0"/>
            <w:vAlign w:val="center"/>
          </w:tcPr>
          <w:p w14:paraId="0B7E2A0B">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748" w:type="pct"/>
            <w:tcBorders>
              <w:top w:val="nil"/>
              <w:left w:val="nil"/>
              <w:bottom w:val="single" w:color="auto" w:sz="4" w:space="0"/>
              <w:right w:val="single" w:color="auto" w:sz="4" w:space="0"/>
            </w:tcBorders>
            <w:noWrap w:val="0"/>
            <w:vAlign w:val="center"/>
          </w:tcPr>
          <w:p w14:paraId="3F38881B">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962" w:type="pct"/>
            <w:tcBorders>
              <w:top w:val="nil"/>
              <w:left w:val="nil"/>
              <w:bottom w:val="single" w:color="auto" w:sz="4" w:space="0"/>
              <w:right w:val="single" w:color="auto" w:sz="4" w:space="0"/>
            </w:tcBorders>
            <w:noWrap w:val="0"/>
            <w:vAlign w:val="center"/>
          </w:tcPr>
          <w:p w14:paraId="16D200F6">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1000≤Y＜10000</w:t>
            </w:r>
          </w:p>
        </w:tc>
        <w:tc>
          <w:tcPr>
            <w:tcW w:w="902" w:type="pct"/>
            <w:tcBorders>
              <w:top w:val="nil"/>
              <w:left w:val="nil"/>
              <w:bottom w:val="single" w:color="auto" w:sz="4" w:space="0"/>
              <w:right w:val="single" w:color="auto" w:sz="4" w:space="0"/>
            </w:tcBorders>
            <w:noWrap w:val="0"/>
            <w:vAlign w:val="center"/>
          </w:tcPr>
          <w:p w14:paraId="4E59917B">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50≤Y＜1000</w:t>
            </w:r>
          </w:p>
        </w:tc>
        <w:tc>
          <w:tcPr>
            <w:tcW w:w="579" w:type="pct"/>
            <w:tcBorders>
              <w:top w:val="nil"/>
              <w:left w:val="nil"/>
              <w:bottom w:val="single" w:color="auto" w:sz="4" w:space="0"/>
              <w:right w:val="single" w:color="auto" w:sz="4" w:space="0"/>
            </w:tcBorders>
            <w:noWrap w:val="0"/>
            <w:vAlign w:val="center"/>
          </w:tcPr>
          <w:p w14:paraId="2CF22DB1">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Y＜50</w:t>
            </w:r>
          </w:p>
        </w:tc>
      </w:tr>
      <w:tr w14:paraId="0296BF7A">
        <w:tblPrEx>
          <w:tblCellMar>
            <w:top w:w="0" w:type="dxa"/>
            <w:left w:w="108" w:type="dxa"/>
            <w:bottom w:w="0" w:type="dxa"/>
            <w:right w:w="108" w:type="dxa"/>
          </w:tblCellMar>
        </w:tblPrEx>
        <w:trPr>
          <w:trHeight w:val="284" w:hRule="atLeast"/>
        </w:trPr>
        <w:tc>
          <w:tcPr>
            <w:tcW w:w="978" w:type="pct"/>
            <w:vMerge w:val="restart"/>
            <w:tcBorders>
              <w:top w:val="nil"/>
              <w:left w:val="single" w:color="auto" w:sz="4" w:space="0"/>
              <w:bottom w:val="single" w:color="auto" w:sz="4" w:space="0"/>
              <w:right w:val="single" w:color="auto" w:sz="4" w:space="0"/>
            </w:tcBorders>
            <w:noWrap w:val="0"/>
            <w:vAlign w:val="bottom"/>
          </w:tcPr>
          <w:p w14:paraId="00E7C1B0">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房地产开发经营</w:t>
            </w:r>
          </w:p>
        </w:tc>
        <w:tc>
          <w:tcPr>
            <w:tcW w:w="831" w:type="pct"/>
            <w:tcBorders>
              <w:top w:val="nil"/>
              <w:left w:val="nil"/>
              <w:bottom w:val="single" w:color="auto" w:sz="4" w:space="0"/>
              <w:right w:val="single" w:color="auto" w:sz="4" w:space="0"/>
            </w:tcBorders>
            <w:noWrap w:val="0"/>
            <w:vAlign w:val="center"/>
          </w:tcPr>
          <w:p w14:paraId="406CF735">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748" w:type="pct"/>
            <w:tcBorders>
              <w:top w:val="nil"/>
              <w:left w:val="nil"/>
              <w:bottom w:val="single" w:color="auto" w:sz="4" w:space="0"/>
              <w:right w:val="single" w:color="auto" w:sz="4" w:space="0"/>
            </w:tcBorders>
            <w:noWrap w:val="0"/>
            <w:vAlign w:val="center"/>
          </w:tcPr>
          <w:p w14:paraId="13FC9146">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962" w:type="pct"/>
            <w:tcBorders>
              <w:top w:val="nil"/>
              <w:left w:val="nil"/>
              <w:bottom w:val="single" w:color="auto" w:sz="4" w:space="0"/>
              <w:right w:val="single" w:color="auto" w:sz="4" w:space="0"/>
            </w:tcBorders>
            <w:noWrap w:val="0"/>
            <w:vAlign w:val="center"/>
          </w:tcPr>
          <w:p w14:paraId="66772F3A">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1000≤Y＜200000</w:t>
            </w:r>
          </w:p>
        </w:tc>
        <w:tc>
          <w:tcPr>
            <w:tcW w:w="902" w:type="pct"/>
            <w:tcBorders>
              <w:top w:val="nil"/>
              <w:left w:val="nil"/>
              <w:bottom w:val="single" w:color="auto" w:sz="4" w:space="0"/>
              <w:right w:val="single" w:color="auto" w:sz="4" w:space="0"/>
            </w:tcBorders>
            <w:noWrap w:val="0"/>
            <w:vAlign w:val="center"/>
          </w:tcPr>
          <w:p w14:paraId="3CD92536">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100≤X＜1000</w:t>
            </w:r>
          </w:p>
        </w:tc>
        <w:tc>
          <w:tcPr>
            <w:tcW w:w="579" w:type="pct"/>
            <w:tcBorders>
              <w:top w:val="nil"/>
              <w:left w:val="nil"/>
              <w:bottom w:val="single" w:color="auto" w:sz="4" w:space="0"/>
              <w:right w:val="single" w:color="auto" w:sz="4" w:space="0"/>
            </w:tcBorders>
            <w:noWrap w:val="0"/>
            <w:vAlign w:val="center"/>
          </w:tcPr>
          <w:p w14:paraId="737C7510">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X＜100</w:t>
            </w:r>
          </w:p>
        </w:tc>
      </w:tr>
      <w:tr w14:paraId="61F1A676">
        <w:tblPrEx>
          <w:tblCellMar>
            <w:top w:w="0" w:type="dxa"/>
            <w:left w:w="108" w:type="dxa"/>
            <w:bottom w:w="0" w:type="dxa"/>
            <w:right w:w="108" w:type="dxa"/>
          </w:tblCellMar>
        </w:tblPrEx>
        <w:trPr>
          <w:trHeight w:val="284" w:hRule="atLeast"/>
        </w:trPr>
        <w:tc>
          <w:tcPr>
            <w:tcW w:w="978" w:type="pct"/>
            <w:vMerge w:val="continue"/>
            <w:tcBorders>
              <w:top w:val="nil"/>
              <w:left w:val="single" w:color="auto" w:sz="4" w:space="0"/>
              <w:bottom w:val="single" w:color="auto" w:sz="4" w:space="0"/>
              <w:right w:val="single" w:color="auto" w:sz="4" w:space="0"/>
            </w:tcBorders>
            <w:noWrap w:val="0"/>
            <w:vAlign w:val="center"/>
          </w:tcPr>
          <w:p w14:paraId="1DDAC88E">
            <w:pPr>
              <w:widowControl/>
              <w:jc w:val="left"/>
              <w:rPr>
                <w:rFonts w:ascii="仿宋_GB2312" w:hAnsi="仿宋" w:eastAsia="仿宋_GB2312" w:cs="宋体"/>
                <w:b/>
                <w:bCs/>
                <w:color w:val="auto"/>
                <w:kern w:val="0"/>
                <w:sz w:val="18"/>
                <w:szCs w:val="18"/>
                <w:highlight w:val="none"/>
              </w:rPr>
            </w:pPr>
          </w:p>
        </w:tc>
        <w:tc>
          <w:tcPr>
            <w:tcW w:w="831" w:type="pct"/>
            <w:tcBorders>
              <w:top w:val="nil"/>
              <w:left w:val="nil"/>
              <w:bottom w:val="single" w:color="auto" w:sz="4" w:space="0"/>
              <w:right w:val="single" w:color="auto" w:sz="4" w:space="0"/>
            </w:tcBorders>
            <w:noWrap w:val="0"/>
            <w:vAlign w:val="center"/>
          </w:tcPr>
          <w:p w14:paraId="27D0971C">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资产总额（Z）</w:t>
            </w:r>
          </w:p>
        </w:tc>
        <w:tc>
          <w:tcPr>
            <w:tcW w:w="748" w:type="pct"/>
            <w:tcBorders>
              <w:top w:val="nil"/>
              <w:left w:val="nil"/>
              <w:bottom w:val="single" w:color="auto" w:sz="4" w:space="0"/>
              <w:right w:val="single" w:color="auto" w:sz="4" w:space="0"/>
            </w:tcBorders>
            <w:noWrap w:val="0"/>
            <w:vAlign w:val="center"/>
          </w:tcPr>
          <w:p w14:paraId="425AE03E">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962" w:type="pct"/>
            <w:tcBorders>
              <w:top w:val="nil"/>
              <w:left w:val="nil"/>
              <w:bottom w:val="single" w:color="auto" w:sz="4" w:space="0"/>
              <w:right w:val="single" w:color="auto" w:sz="4" w:space="0"/>
            </w:tcBorders>
            <w:noWrap w:val="0"/>
            <w:vAlign w:val="center"/>
          </w:tcPr>
          <w:p w14:paraId="2486B903">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5000≤Z＜10000</w:t>
            </w:r>
          </w:p>
        </w:tc>
        <w:tc>
          <w:tcPr>
            <w:tcW w:w="902" w:type="pct"/>
            <w:tcBorders>
              <w:top w:val="nil"/>
              <w:left w:val="nil"/>
              <w:bottom w:val="single" w:color="auto" w:sz="4" w:space="0"/>
              <w:right w:val="single" w:color="auto" w:sz="4" w:space="0"/>
            </w:tcBorders>
            <w:noWrap w:val="0"/>
            <w:vAlign w:val="center"/>
          </w:tcPr>
          <w:p w14:paraId="331A6773">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2000≤Y＜5000</w:t>
            </w:r>
          </w:p>
        </w:tc>
        <w:tc>
          <w:tcPr>
            <w:tcW w:w="579" w:type="pct"/>
            <w:tcBorders>
              <w:top w:val="nil"/>
              <w:left w:val="nil"/>
              <w:bottom w:val="single" w:color="auto" w:sz="4" w:space="0"/>
              <w:right w:val="single" w:color="auto" w:sz="4" w:space="0"/>
            </w:tcBorders>
            <w:noWrap w:val="0"/>
            <w:vAlign w:val="center"/>
          </w:tcPr>
          <w:p w14:paraId="76F36894">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Y＜2000</w:t>
            </w:r>
          </w:p>
        </w:tc>
      </w:tr>
      <w:tr w14:paraId="3B361F73">
        <w:tblPrEx>
          <w:tblCellMar>
            <w:top w:w="0" w:type="dxa"/>
            <w:left w:w="108" w:type="dxa"/>
            <w:bottom w:w="0" w:type="dxa"/>
            <w:right w:w="108" w:type="dxa"/>
          </w:tblCellMar>
        </w:tblPrEx>
        <w:trPr>
          <w:trHeight w:val="284" w:hRule="atLeast"/>
        </w:trPr>
        <w:tc>
          <w:tcPr>
            <w:tcW w:w="978" w:type="pct"/>
            <w:vMerge w:val="restart"/>
            <w:tcBorders>
              <w:top w:val="nil"/>
              <w:left w:val="single" w:color="auto" w:sz="4" w:space="0"/>
              <w:bottom w:val="single" w:color="auto" w:sz="4" w:space="0"/>
              <w:right w:val="single" w:color="auto" w:sz="4" w:space="0"/>
            </w:tcBorders>
            <w:noWrap w:val="0"/>
            <w:vAlign w:val="bottom"/>
          </w:tcPr>
          <w:p w14:paraId="13B30E9A">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物业管理</w:t>
            </w:r>
          </w:p>
        </w:tc>
        <w:tc>
          <w:tcPr>
            <w:tcW w:w="831" w:type="pct"/>
            <w:tcBorders>
              <w:top w:val="nil"/>
              <w:left w:val="nil"/>
              <w:bottom w:val="single" w:color="auto" w:sz="4" w:space="0"/>
              <w:right w:val="single" w:color="auto" w:sz="4" w:space="0"/>
            </w:tcBorders>
            <w:noWrap w:val="0"/>
            <w:vAlign w:val="center"/>
          </w:tcPr>
          <w:p w14:paraId="228963AA">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748" w:type="pct"/>
            <w:tcBorders>
              <w:top w:val="nil"/>
              <w:left w:val="nil"/>
              <w:bottom w:val="single" w:color="auto" w:sz="4" w:space="0"/>
              <w:right w:val="single" w:color="auto" w:sz="4" w:space="0"/>
            </w:tcBorders>
            <w:noWrap w:val="0"/>
            <w:vAlign w:val="center"/>
          </w:tcPr>
          <w:p w14:paraId="126395C8">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962" w:type="pct"/>
            <w:tcBorders>
              <w:top w:val="nil"/>
              <w:left w:val="nil"/>
              <w:bottom w:val="single" w:color="auto" w:sz="4" w:space="0"/>
              <w:right w:val="single" w:color="auto" w:sz="4" w:space="0"/>
            </w:tcBorders>
            <w:noWrap w:val="0"/>
            <w:vAlign w:val="center"/>
          </w:tcPr>
          <w:p w14:paraId="4C7715CA">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300≤X＜1000</w:t>
            </w:r>
          </w:p>
        </w:tc>
        <w:tc>
          <w:tcPr>
            <w:tcW w:w="902" w:type="pct"/>
            <w:tcBorders>
              <w:top w:val="nil"/>
              <w:left w:val="nil"/>
              <w:bottom w:val="single" w:color="auto" w:sz="4" w:space="0"/>
              <w:right w:val="single" w:color="auto" w:sz="4" w:space="0"/>
            </w:tcBorders>
            <w:noWrap w:val="0"/>
            <w:vAlign w:val="center"/>
          </w:tcPr>
          <w:p w14:paraId="35140E73">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100≤X＜300</w:t>
            </w:r>
          </w:p>
        </w:tc>
        <w:tc>
          <w:tcPr>
            <w:tcW w:w="579" w:type="pct"/>
            <w:tcBorders>
              <w:top w:val="nil"/>
              <w:left w:val="nil"/>
              <w:bottom w:val="single" w:color="auto" w:sz="4" w:space="0"/>
              <w:right w:val="single" w:color="auto" w:sz="4" w:space="0"/>
            </w:tcBorders>
            <w:noWrap w:val="0"/>
            <w:vAlign w:val="center"/>
          </w:tcPr>
          <w:p w14:paraId="13F5FD30">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X＜100</w:t>
            </w:r>
          </w:p>
        </w:tc>
      </w:tr>
      <w:tr w14:paraId="67096FA6">
        <w:tblPrEx>
          <w:tblCellMar>
            <w:top w:w="0" w:type="dxa"/>
            <w:left w:w="108" w:type="dxa"/>
            <w:bottom w:w="0" w:type="dxa"/>
            <w:right w:w="108" w:type="dxa"/>
          </w:tblCellMar>
        </w:tblPrEx>
        <w:trPr>
          <w:trHeight w:val="284" w:hRule="atLeast"/>
        </w:trPr>
        <w:tc>
          <w:tcPr>
            <w:tcW w:w="978" w:type="pct"/>
            <w:vMerge w:val="continue"/>
            <w:tcBorders>
              <w:top w:val="nil"/>
              <w:left w:val="single" w:color="auto" w:sz="4" w:space="0"/>
              <w:bottom w:val="single" w:color="auto" w:sz="4" w:space="0"/>
              <w:right w:val="single" w:color="auto" w:sz="4" w:space="0"/>
            </w:tcBorders>
            <w:noWrap w:val="0"/>
            <w:vAlign w:val="center"/>
          </w:tcPr>
          <w:p w14:paraId="7E0B9C64">
            <w:pPr>
              <w:widowControl/>
              <w:jc w:val="left"/>
              <w:rPr>
                <w:rFonts w:ascii="仿宋_GB2312" w:hAnsi="仿宋" w:eastAsia="仿宋_GB2312" w:cs="宋体"/>
                <w:b/>
                <w:bCs/>
                <w:color w:val="auto"/>
                <w:kern w:val="0"/>
                <w:sz w:val="18"/>
                <w:szCs w:val="18"/>
                <w:highlight w:val="none"/>
              </w:rPr>
            </w:pPr>
          </w:p>
        </w:tc>
        <w:tc>
          <w:tcPr>
            <w:tcW w:w="831" w:type="pct"/>
            <w:tcBorders>
              <w:top w:val="nil"/>
              <w:left w:val="nil"/>
              <w:bottom w:val="single" w:color="auto" w:sz="4" w:space="0"/>
              <w:right w:val="single" w:color="auto" w:sz="4" w:space="0"/>
            </w:tcBorders>
            <w:noWrap w:val="0"/>
            <w:vAlign w:val="center"/>
          </w:tcPr>
          <w:p w14:paraId="48A8D099">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748" w:type="pct"/>
            <w:tcBorders>
              <w:top w:val="nil"/>
              <w:left w:val="nil"/>
              <w:bottom w:val="single" w:color="auto" w:sz="4" w:space="0"/>
              <w:right w:val="single" w:color="auto" w:sz="4" w:space="0"/>
            </w:tcBorders>
            <w:noWrap w:val="0"/>
            <w:vAlign w:val="center"/>
          </w:tcPr>
          <w:p w14:paraId="4BBB44C9">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962" w:type="pct"/>
            <w:tcBorders>
              <w:top w:val="nil"/>
              <w:left w:val="nil"/>
              <w:bottom w:val="single" w:color="auto" w:sz="4" w:space="0"/>
              <w:right w:val="single" w:color="auto" w:sz="4" w:space="0"/>
            </w:tcBorders>
            <w:noWrap w:val="0"/>
            <w:vAlign w:val="center"/>
          </w:tcPr>
          <w:p w14:paraId="6EA99D34">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1000≤Y＜5000</w:t>
            </w:r>
          </w:p>
        </w:tc>
        <w:tc>
          <w:tcPr>
            <w:tcW w:w="902" w:type="pct"/>
            <w:tcBorders>
              <w:top w:val="nil"/>
              <w:left w:val="nil"/>
              <w:bottom w:val="single" w:color="auto" w:sz="4" w:space="0"/>
              <w:right w:val="single" w:color="auto" w:sz="4" w:space="0"/>
            </w:tcBorders>
            <w:noWrap w:val="0"/>
            <w:vAlign w:val="center"/>
          </w:tcPr>
          <w:p w14:paraId="6AB2E6F0">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500≤Y＜1000</w:t>
            </w:r>
          </w:p>
        </w:tc>
        <w:tc>
          <w:tcPr>
            <w:tcW w:w="579" w:type="pct"/>
            <w:tcBorders>
              <w:top w:val="nil"/>
              <w:left w:val="nil"/>
              <w:bottom w:val="single" w:color="auto" w:sz="4" w:space="0"/>
              <w:right w:val="single" w:color="auto" w:sz="4" w:space="0"/>
            </w:tcBorders>
            <w:noWrap w:val="0"/>
            <w:vAlign w:val="center"/>
          </w:tcPr>
          <w:p w14:paraId="3C6F3417">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Y＜500</w:t>
            </w:r>
          </w:p>
        </w:tc>
      </w:tr>
      <w:tr w14:paraId="4AB74C83">
        <w:tblPrEx>
          <w:tblCellMar>
            <w:top w:w="0" w:type="dxa"/>
            <w:left w:w="108" w:type="dxa"/>
            <w:bottom w:w="0" w:type="dxa"/>
            <w:right w:w="108" w:type="dxa"/>
          </w:tblCellMar>
        </w:tblPrEx>
        <w:trPr>
          <w:trHeight w:val="284" w:hRule="atLeast"/>
        </w:trPr>
        <w:tc>
          <w:tcPr>
            <w:tcW w:w="978" w:type="pct"/>
            <w:vMerge w:val="restart"/>
            <w:tcBorders>
              <w:top w:val="nil"/>
              <w:left w:val="single" w:color="auto" w:sz="4" w:space="0"/>
              <w:bottom w:val="single" w:color="auto" w:sz="4" w:space="0"/>
              <w:right w:val="single" w:color="auto" w:sz="4" w:space="0"/>
            </w:tcBorders>
            <w:noWrap w:val="0"/>
            <w:vAlign w:val="bottom"/>
          </w:tcPr>
          <w:p w14:paraId="6F6C266B">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租赁和商务服务业</w:t>
            </w:r>
          </w:p>
        </w:tc>
        <w:tc>
          <w:tcPr>
            <w:tcW w:w="831" w:type="pct"/>
            <w:tcBorders>
              <w:top w:val="nil"/>
              <w:left w:val="nil"/>
              <w:bottom w:val="single" w:color="auto" w:sz="4" w:space="0"/>
              <w:right w:val="single" w:color="auto" w:sz="4" w:space="0"/>
            </w:tcBorders>
            <w:noWrap w:val="0"/>
            <w:vAlign w:val="center"/>
          </w:tcPr>
          <w:p w14:paraId="1ACAB762">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748" w:type="pct"/>
            <w:tcBorders>
              <w:top w:val="nil"/>
              <w:left w:val="nil"/>
              <w:bottom w:val="single" w:color="auto" w:sz="4" w:space="0"/>
              <w:right w:val="single" w:color="auto" w:sz="4" w:space="0"/>
            </w:tcBorders>
            <w:noWrap w:val="0"/>
            <w:vAlign w:val="center"/>
          </w:tcPr>
          <w:p w14:paraId="02FDE7B8">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962" w:type="pct"/>
            <w:tcBorders>
              <w:top w:val="nil"/>
              <w:left w:val="nil"/>
              <w:bottom w:val="single" w:color="auto" w:sz="4" w:space="0"/>
              <w:right w:val="single" w:color="auto" w:sz="4" w:space="0"/>
            </w:tcBorders>
            <w:noWrap w:val="0"/>
            <w:vAlign w:val="center"/>
          </w:tcPr>
          <w:p w14:paraId="3281B319">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100≤X＜300</w:t>
            </w:r>
          </w:p>
        </w:tc>
        <w:tc>
          <w:tcPr>
            <w:tcW w:w="902" w:type="pct"/>
            <w:tcBorders>
              <w:top w:val="nil"/>
              <w:left w:val="nil"/>
              <w:bottom w:val="single" w:color="auto" w:sz="4" w:space="0"/>
              <w:right w:val="single" w:color="auto" w:sz="4" w:space="0"/>
            </w:tcBorders>
            <w:noWrap w:val="0"/>
            <w:vAlign w:val="center"/>
          </w:tcPr>
          <w:p w14:paraId="1D1B962B">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10≤X＜100</w:t>
            </w:r>
          </w:p>
        </w:tc>
        <w:tc>
          <w:tcPr>
            <w:tcW w:w="579" w:type="pct"/>
            <w:tcBorders>
              <w:top w:val="nil"/>
              <w:left w:val="nil"/>
              <w:bottom w:val="single" w:color="auto" w:sz="4" w:space="0"/>
              <w:right w:val="single" w:color="auto" w:sz="4" w:space="0"/>
            </w:tcBorders>
            <w:noWrap w:val="0"/>
            <w:vAlign w:val="center"/>
          </w:tcPr>
          <w:p w14:paraId="3C366A58">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X＜10</w:t>
            </w:r>
          </w:p>
        </w:tc>
      </w:tr>
      <w:tr w14:paraId="7F1DF9BB">
        <w:tblPrEx>
          <w:tblCellMar>
            <w:top w:w="0" w:type="dxa"/>
            <w:left w:w="108" w:type="dxa"/>
            <w:bottom w:w="0" w:type="dxa"/>
            <w:right w:w="108" w:type="dxa"/>
          </w:tblCellMar>
        </w:tblPrEx>
        <w:trPr>
          <w:trHeight w:val="284" w:hRule="atLeast"/>
        </w:trPr>
        <w:tc>
          <w:tcPr>
            <w:tcW w:w="978" w:type="pct"/>
            <w:vMerge w:val="continue"/>
            <w:tcBorders>
              <w:top w:val="nil"/>
              <w:left w:val="single" w:color="auto" w:sz="4" w:space="0"/>
              <w:bottom w:val="single" w:color="auto" w:sz="4" w:space="0"/>
              <w:right w:val="single" w:color="auto" w:sz="4" w:space="0"/>
            </w:tcBorders>
            <w:noWrap w:val="0"/>
            <w:vAlign w:val="center"/>
          </w:tcPr>
          <w:p w14:paraId="2A1B991A">
            <w:pPr>
              <w:widowControl/>
              <w:jc w:val="left"/>
              <w:rPr>
                <w:rFonts w:ascii="仿宋_GB2312" w:hAnsi="仿宋" w:eastAsia="仿宋_GB2312" w:cs="宋体"/>
                <w:b/>
                <w:bCs/>
                <w:color w:val="auto"/>
                <w:kern w:val="0"/>
                <w:sz w:val="18"/>
                <w:szCs w:val="18"/>
                <w:highlight w:val="none"/>
              </w:rPr>
            </w:pPr>
          </w:p>
        </w:tc>
        <w:tc>
          <w:tcPr>
            <w:tcW w:w="831" w:type="pct"/>
            <w:tcBorders>
              <w:top w:val="nil"/>
              <w:left w:val="nil"/>
              <w:bottom w:val="single" w:color="auto" w:sz="4" w:space="0"/>
              <w:right w:val="single" w:color="auto" w:sz="4" w:space="0"/>
            </w:tcBorders>
            <w:noWrap w:val="0"/>
            <w:vAlign w:val="center"/>
          </w:tcPr>
          <w:p w14:paraId="566B0886">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资产总额（Z）</w:t>
            </w:r>
          </w:p>
        </w:tc>
        <w:tc>
          <w:tcPr>
            <w:tcW w:w="748" w:type="pct"/>
            <w:tcBorders>
              <w:top w:val="nil"/>
              <w:left w:val="nil"/>
              <w:bottom w:val="single" w:color="auto" w:sz="4" w:space="0"/>
              <w:right w:val="single" w:color="auto" w:sz="4" w:space="0"/>
            </w:tcBorders>
            <w:noWrap w:val="0"/>
            <w:vAlign w:val="center"/>
          </w:tcPr>
          <w:p w14:paraId="3379D31D">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962" w:type="pct"/>
            <w:tcBorders>
              <w:top w:val="nil"/>
              <w:left w:val="nil"/>
              <w:bottom w:val="single" w:color="auto" w:sz="4" w:space="0"/>
              <w:right w:val="single" w:color="auto" w:sz="4" w:space="0"/>
            </w:tcBorders>
            <w:noWrap w:val="0"/>
            <w:vAlign w:val="center"/>
          </w:tcPr>
          <w:p w14:paraId="3CF32106">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8000≤Z＜120000</w:t>
            </w:r>
          </w:p>
        </w:tc>
        <w:tc>
          <w:tcPr>
            <w:tcW w:w="902" w:type="pct"/>
            <w:tcBorders>
              <w:top w:val="nil"/>
              <w:left w:val="nil"/>
              <w:bottom w:val="single" w:color="auto" w:sz="4" w:space="0"/>
              <w:right w:val="single" w:color="auto" w:sz="4" w:space="0"/>
            </w:tcBorders>
            <w:noWrap w:val="0"/>
            <w:vAlign w:val="center"/>
          </w:tcPr>
          <w:p w14:paraId="65042939">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100≤Z＜8000</w:t>
            </w:r>
          </w:p>
        </w:tc>
        <w:tc>
          <w:tcPr>
            <w:tcW w:w="579" w:type="pct"/>
            <w:tcBorders>
              <w:top w:val="nil"/>
              <w:left w:val="nil"/>
              <w:bottom w:val="single" w:color="auto" w:sz="4" w:space="0"/>
              <w:right w:val="single" w:color="auto" w:sz="4" w:space="0"/>
            </w:tcBorders>
            <w:noWrap w:val="0"/>
            <w:vAlign w:val="center"/>
          </w:tcPr>
          <w:p w14:paraId="0E343728">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Y＜100</w:t>
            </w:r>
          </w:p>
        </w:tc>
      </w:tr>
      <w:tr w14:paraId="2ADF3F58">
        <w:tblPrEx>
          <w:tblCellMar>
            <w:top w:w="0" w:type="dxa"/>
            <w:left w:w="108" w:type="dxa"/>
            <w:bottom w:w="0" w:type="dxa"/>
            <w:right w:w="108" w:type="dxa"/>
          </w:tblCellMar>
        </w:tblPrEx>
        <w:trPr>
          <w:trHeight w:val="284" w:hRule="atLeast"/>
        </w:trPr>
        <w:tc>
          <w:tcPr>
            <w:tcW w:w="978" w:type="pct"/>
            <w:tcBorders>
              <w:top w:val="nil"/>
              <w:left w:val="single" w:color="auto" w:sz="4" w:space="0"/>
              <w:bottom w:val="single" w:color="auto" w:sz="4" w:space="0"/>
              <w:right w:val="single" w:color="auto" w:sz="4" w:space="0"/>
            </w:tcBorders>
            <w:noWrap w:val="0"/>
            <w:vAlign w:val="bottom"/>
          </w:tcPr>
          <w:p w14:paraId="10C3342B">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其他未列明行业</w:t>
            </w:r>
          </w:p>
        </w:tc>
        <w:tc>
          <w:tcPr>
            <w:tcW w:w="831" w:type="pct"/>
            <w:tcBorders>
              <w:top w:val="nil"/>
              <w:left w:val="nil"/>
              <w:bottom w:val="single" w:color="auto" w:sz="4" w:space="0"/>
              <w:right w:val="single" w:color="auto" w:sz="4" w:space="0"/>
            </w:tcBorders>
            <w:noWrap w:val="0"/>
            <w:vAlign w:val="center"/>
          </w:tcPr>
          <w:p w14:paraId="1FE726FA">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748" w:type="pct"/>
            <w:tcBorders>
              <w:top w:val="nil"/>
              <w:left w:val="nil"/>
              <w:bottom w:val="single" w:color="auto" w:sz="4" w:space="0"/>
              <w:right w:val="single" w:color="auto" w:sz="4" w:space="0"/>
            </w:tcBorders>
            <w:noWrap w:val="0"/>
            <w:vAlign w:val="center"/>
          </w:tcPr>
          <w:p w14:paraId="54FB5975">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962" w:type="pct"/>
            <w:tcBorders>
              <w:top w:val="nil"/>
              <w:left w:val="nil"/>
              <w:bottom w:val="single" w:color="auto" w:sz="4" w:space="0"/>
              <w:right w:val="single" w:color="auto" w:sz="4" w:space="0"/>
            </w:tcBorders>
            <w:noWrap w:val="0"/>
            <w:vAlign w:val="center"/>
          </w:tcPr>
          <w:p w14:paraId="4FF492B6">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100≤X＜300</w:t>
            </w:r>
          </w:p>
        </w:tc>
        <w:tc>
          <w:tcPr>
            <w:tcW w:w="902" w:type="pct"/>
            <w:tcBorders>
              <w:top w:val="nil"/>
              <w:left w:val="nil"/>
              <w:bottom w:val="single" w:color="auto" w:sz="4" w:space="0"/>
              <w:right w:val="single" w:color="auto" w:sz="4" w:space="0"/>
            </w:tcBorders>
            <w:noWrap w:val="0"/>
            <w:vAlign w:val="center"/>
          </w:tcPr>
          <w:p w14:paraId="319E1CE7">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10≤X＜100</w:t>
            </w:r>
          </w:p>
        </w:tc>
        <w:tc>
          <w:tcPr>
            <w:tcW w:w="579" w:type="pct"/>
            <w:tcBorders>
              <w:top w:val="nil"/>
              <w:left w:val="nil"/>
              <w:bottom w:val="single" w:color="auto" w:sz="4" w:space="0"/>
              <w:right w:val="single" w:color="auto" w:sz="4" w:space="0"/>
            </w:tcBorders>
            <w:noWrap w:val="0"/>
            <w:vAlign w:val="center"/>
          </w:tcPr>
          <w:p w14:paraId="7FBA430A">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X＜10</w:t>
            </w:r>
          </w:p>
        </w:tc>
      </w:tr>
    </w:tbl>
    <w:p w14:paraId="04D0E56F">
      <w:pPr>
        <w:widowControl/>
        <w:jc w:val="left"/>
        <w:rPr>
          <w:rFonts w:ascii="宋体" w:hAnsi="宋体" w:cs="宋体"/>
          <w:color w:val="auto"/>
          <w:sz w:val="20"/>
          <w:szCs w:val="20"/>
          <w:highlight w:val="none"/>
        </w:rPr>
      </w:pPr>
      <w:r>
        <w:rPr>
          <w:rFonts w:hint="eastAsia" w:ascii="仿宋_GB2312" w:hAnsi="仿宋" w:eastAsia="仿宋_GB2312"/>
          <w:color w:val="auto"/>
          <w:szCs w:val="21"/>
          <w:highlight w:val="none"/>
        </w:rPr>
        <w:t>说明：上述标准参照《关于印发中小企业划型标准规定的通知》（工信部联企业[2011]300号），大型、中型和小型企业须同时满足所列指标的下限，否则下划一档；微型企业只须满足所列指标中的一项即可。</w:t>
      </w:r>
    </w:p>
    <w:p w14:paraId="40F9F01E">
      <w:pPr>
        <w:widowControl/>
        <w:jc w:val="left"/>
        <w:rPr>
          <w:rFonts w:ascii="宋体" w:hAnsi="宋体" w:cs="宋体"/>
          <w:color w:val="auto"/>
          <w:sz w:val="20"/>
          <w:szCs w:val="20"/>
          <w:highlight w:val="none"/>
        </w:rPr>
      </w:pPr>
    </w:p>
    <w:p w14:paraId="0520D710">
      <w:pPr>
        <w:pStyle w:val="2"/>
        <w:jc w:val="center"/>
        <w:rPr>
          <w:rFonts w:hint="eastAsia"/>
          <w:color w:val="auto"/>
          <w:highlight w:val="none"/>
        </w:rPr>
      </w:pPr>
      <w:r>
        <w:rPr>
          <w:rFonts w:ascii="宋体" w:hAnsi="宋体" w:cs="宋体"/>
          <w:color w:val="auto"/>
          <w:sz w:val="20"/>
          <w:szCs w:val="20"/>
          <w:highlight w:val="none"/>
        </w:rPr>
        <w:br w:type="page"/>
      </w:r>
      <w:bookmarkStart w:id="105" w:name="_Toc74322011"/>
      <w:r>
        <w:rPr>
          <w:rFonts w:hint="eastAsia"/>
          <w:color w:val="auto"/>
          <w:highlight w:val="none"/>
        </w:rPr>
        <w:t xml:space="preserve">第四章  </w:t>
      </w:r>
      <w:bookmarkStart w:id="106" w:name="_Hlk68601507"/>
      <w:r>
        <w:rPr>
          <w:rFonts w:hint="eastAsia"/>
          <w:color w:val="auto"/>
          <w:highlight w:val="none"/>
        </w:rPr>
        <w:t>评审程序和评定成交的标准</w:t>
      </w:r>
      <w:bookmarkEnd w:id="105"/>
      <w:bookmarkEnd w:id="106"/>
    </w:p>
    <w:p w14:paraId="22E9C0C7">
      <w:pPr>
        <w:spacing w:line="360" w:lineRule="auto"/>
        <w:jc w:val="center"/>
        <w:rPr>
          <w:rFonts w:hint="eastAsia" w:ascii="宋体" w:hAnsi="宋体"/>
          <w:b/>
          <w:color w:val="auto"/>
          <w:sz w:val="32"/>
          <w:szCs w:val="32"/>
          <w:highlight w:val="none"/>
        </w:rPr>
      </w:pPr>
      <w:r>
        <w:rPr>
          <w:rFonts w:hint="eastAsia" w:ascii="宋体" w:hAnsi="宋体"/>
          <w:b/>
          <w:color w:val="auto"/>
          <w:sz w:val="32"/>
          <w:szCs w:val="32"/>
          <w:highlight w:val="none"/>
        </w:rPr>
        <w:t>一、评审程序</w:t>
      </w:r>
    </w:p>
    <w:p w14:paraId="45B7A3BE">
      <w:pPr>
        <w:spacing w:line="360" w:lineRule="auto"/>
        <w:ind w:firstLine="482" w:firstLineChars="200"/>
        <w:rPr>
          <w:rFonts w:ascii="黑体" w:hAnsi="黑体" w:eastAsia="黑体" w:cs="宋体"/>
          <w:b/>
          <w:bCs/>
          <w:color w:val="auto"/>
          <w:sz w:val="24"/>
          <w:highlight w:val="none"/>
        </w:rPr>
      </w:pPr>
      <w:r>
        <w:rPr>
          <w:rFonts w:ascii="黑体" w:hAnsi="黑体" w:eastAsia="黑体" w:cs="宋体"/>
          <w:b/>
          <w:bCs/>
          <w:color w:val="auto"/>
          <w:sz w:val="24"/>
          <w:highlight w:val="none"/>
        </w:rPr>
        <w:t>1</w:t>
      </w:r>
      <w:r>
        <w:rPr>
          <w:rFonts w:hint="eastAsia" w:ascii="黑体" w:hAnsi="黑体" w:eastAsia="黑体" w:cs="宋体"/>
          <w:b/>
          <w:bCs/>
          <w:color w:val="auto"/>
          <w:sz w:val="24"/>
          <w:highlight w:val="none"/>
        </w:rPr>
        <w:t>.确认谈判文件</w:t>
      </w:r>
    </w:p>
    <w:p w14:paraId="687299C9">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由谈判小组确认谈判文件。</w:t>
      </w:r>
    </w:p>
    <w:p w14:paraId="0931B6B8">
      <w:pPr>
        <w:spacing w:line="360" w:lineRule="auto"/>
        <w:ind w:firstLine="482" w:firstLineChars="200"/>
        <w:rPr>
          <w:rFonts w:hint="eastAsia" w:ascii="黑体" w:hAnsi="黑体" w:eastAsia="黑体" w:cs="宋体"/>
          <w:b/>
          <w:bCs/>
          <w:color w:val="auto"/>
          <w:sz w:val="24"/>
          <w:highlight w:val="none"/>
        </w:rPr>
      </w:pPr>
      <w:r>
        <w:rPr>
          <w:rFonts w:ascii="黑体" w:hAnsi="黑体" w:eastAsia="黑体" w:cs="宋体"/>
          <w:b/>
          <w:bCs/>
          <w:color w:val="auto"/>
          <w:sz w:val="24"/>
          <w:highlight w:val="none"/>
        </w:rPr>
        <w:t>2</w:t>
      </w:r>
      <w:r>
        <w:rPr>
          <w:rFonts w:hint="eastAsia" w:ascii="黑体" w:hAnsi="黑体" w:eastAsia="黑体" w:cs="宋体"/>
          <w:b/>
          <w:bCs/>
          <w:color w:val="auto"/>
          <w:sz w:val="24"/>
          <w:highlight w:val="none"/>
        </w:rPr>
        <w:t>.资格审查</w:t>
      </w:r>
    </w:p>
    <w:p w14:paraId="744D8DA0">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2</w:t>
      </w:r>
      <w:r>
        <w:rPr>
          <w:rFonts w:hint="eastAsia" w:ascii="宋体" w:hAnsi="宋体" w:cs="宋体"/>
          <w:color w:val="auto"/>
          <w:szCs w:val="21"/>
          <w:highlight w:val="none"/>
        </w:rPr>
        <w:t>.1响应文件开启后，谈判小组依法对供应商的资格证明文件进行审查。</w:t>
      </w:r>
    </w:p>
    <w:p w14:paraId="40B56490">
      <w:pPr>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注：</w:t>
      </w:r>
      <w:r>
        <w:rPr>
          <w:rFonts w:hint="eastAsia"/>
          <w:color w:val="auto"/>
          <w:highlight w:val="none"/>
        </w:rPr>
        <w:t>谈判小组</w:t>
      </w:r>
      <w:r>
        <w:rPr>
          <w:rFonts w:hint="eastAsia" w:ascii="宋体" w:hAnsi="宋体" w:cs="宋体"/>
          <w:color w:val="auto"/>
          <w:szCs w:val="21"/>
          <w:highlight w:val="none"/>
        </w:rPr>
        <w:t>在资格审查结束前，对供应商进行信用查询。</w:t>
      </w:r>
    </w:p>
    <w:p w14:paraId="2567F718">
      <w:pPr>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（1）查询渠道：广西政府采购云平台“信用中国”网站(www.creditchina.gov.cn)、中国政府采购网(www.ccgp.gov.cn)链接入口。</w:t>
      </w:r>
    </w:p>
    <w:p w14:paraId="34F89596">
      <w:pPr>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（2）信用查询截止时点：资格审查结束前。</w:t>
      </w:r>
    </w:p>
    <w:p w14:paraId="09CEF5A8">
      <w:pPr>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（3）查询记录和证据留存方式：在查询网站中直接查询，截图另存为电子文档作为评审资料保存。</w:t>
      </w:r>
    </w:p>
    <w:p w14:paraId="1EB77E39">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（4）信用信息使用规则：对在“信用中国”网站（www.creditchina.gov.cn） 、中国政府采购网（www.ccgp.gov.cn）被列入失信被执行人、重大税收违法失信主体、政府采购严重违法失信行为记录名单及其他不符合《中华人民共和国政府采购法》第二十二条规定条件的供应商，资格审查不通过，不得参与政府采购活动。</w:t>
      </w:r>
      <w:r>
        <w:rPr>
          <w:rFonts w:hint="eastAsia" w:ascii="宋体" w:hAnsi="宋体"/>
          <w:color w:val="auto"/>
          <w:szCs w:val="21"/>
          <w:highlight w:val="none"/>
        </w:rPr>
        <w:t>两个以上的自然人、法人或者其他组织组成一个联合体，以一个供应商的身份共同参加政府采购活动的，应当对所有联合体成员进行信用记录查询，联合体成员存在不良信用记录（被列入失信被执行人、重大税收违法失信主体、政府采购严重违法失信行为记录名单及其他不符合《中华人民共和国政府采购法》第二十二条规定条件的供应商）的，视同联合体存在不良信用记录</w:t>
      </w:r>
      <w:r>
        <w:rPr>
          <w:rFonts w:hint="eastAsia" w:ascii="宋体" w:hAnsi="宋体" w:cs="宋体"/>
          <w:color w:val="auto"/>
          <w:szCs w:val="21"/>
          <w:highlight w:val="none"/>
        </w:rPr>
        <w:t>。</w:t>
      </w:r>
    </w:p>
    <w:p w14:paraId="68B4D329">
      <w:pPr>
        <w:spacing w:line="360" w:lineRule="auto"/>
        <w:ind w:firstLine="420" w:firstLineChars="200"/>
        <w:rPr>
          <w:rFonts w:hint="eastAsia" w:ascii="宋体" w:hAnsi="宋体" w:cs="宋体"/>
          <w:color w:val="auto"/>
          <w:szCs w:val="21"/>
          <w:highlight w:val="none"/>
        </w:rPr>
      </w:pPr>
      <w:r>
        <w:rPr>
          <w:rFonts w:ascii="宋体" w:hAnsi="宋体" w:cs="宋体"/>
          <w:color w:val="auto"/>
          <w:szCs w:val="21"/>
          <w:highlight w:val="none"/>
        </w:rPr>
        <w:t>2</w:t>
      </w:r>
      <w:r>
        <w:rPr>
          <w:rFonts w:hint="eastAsia" w:ascii="宋体" w:hAnsi="宋体" w:cs="宋体"/>
          <w:color w:val="auto"/>
          <w:szCs w:val="21"/>
          <w:highlight w:val="none"/>
        </w:rPr>
        <w:t>.2资格审查标准为本谈判文件中载明对供应商资格要求的条件。本项目资格审查采用合格制，凡符合谈判文件规定的供应商资格要求的供应商均通过资格审查。</w:t>
      </w:r>
    </w:p>
    <w:p w14:paraId="04510FD8">
      <w:pPr>
        <w:spacing w:line="360" w:lineRule="auto"/>
        <w:ind w:firstLine="420" w:firstLineChars="200"/>
        <w:rPr>
          <w:rFonts w:hint="eastAsia" w:ascii="宋体" w:hAnsi="宋体" w:cs="宋体"/>
          <w:color w:val="auto"/>
          <w:szCs w:val="21"/>
          <w:highlight w:val="none"/>
        </w:rPr>
      </w:pPr>
      <w:r>
        <w:rPr>
          <w:rFonts w:ascii="宋体" w:hAnsi="宋体" w:cs="宋体"/>
          <w:color w:val="auto"/>
          <w:szCs w:val="21"/>
          <w:highlight w:val="none"/>
        </w:rPr>
        <w:t>2</w:t>
      </w:r>
      <w:r>
        <w:rPr>
          <w:rFonts w:hint="eastAsia" w:ascii="宋体" w:hAnsi="宋体" w:cs="宋体"/>
          <w:color w:val="auto"/>
          <w:szCs w:val="21"/>
          <w:highlight w:val="none"/>
        </w:rPr>
        <w:t>.3 供应商有下列情形之一的，资格审查不通过，其响应文件按无效处理：</w:t>
      </w:r>
    </w:p>
    <w:p w14:paraId="1B18D503">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w:t>
      </w:r>
      <w:r>
        <w:rPr>
          <w:rFonts w:ascii="宋体" w:hAnsi="宋体" w:cs="宋体"/>
          <w:color w:val="auto"/>
          <w:szCs w:val="21"/>
          <w:highlight w:val="none"/>
        </w:rPr>
        <w:t>1</w:t>
      </w:r>
      <w:r>
        <w:rPr>
          <w:rFonts w:hint="eastAsia" w:ascii="宋体" w:hAnsi="宋体" w:cs="宋体"/>
          <w:color w:val="auto"/>
          <w:szCs w:val="21"/>
          <w:highlight w:val="none"/>
        </w:rPr>
        <w:t>）不具备谈判文件中规定的资格要求的；</w:t>
      </w:r>
    </w:p>
    <w:p w14:paraId="27A4FBA5">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（2）未按谈判文件规定的方式获取本谈判文件的供应商；</w:t>
      </w:r>
    </w:p>
    <w:p w14:paraId="665B41FF">
      <w:pPr>
        <w:spacing w:line="360" w:lineRule="auto"/>
        <w:ind w:firstLine="420" w:firstLineChars="200"/>
        <w:contextualSpacing/>
        <w:rPr>
          <w:rFonts w:hint="eastAsia" w:ascii="宋体" w:hAnsi="宋体" w:cs="宋体"/>
          <w:color w:val="auto"/>
          <w:szCs w:val="21"/>
          <w:highlight w:val="none"/>
        </w:rPr>
      </w:pPr>
      <w:r>
        <w:rPr>
          <w:rFonts w:hint="eastAsia" w:ascii="宋体" w:hAnsi="宋体" w:cs="宋体"/>
          <w:color w:val="auto"/>
          <w:szCs w:val="21"/>
          <w:highlight w:val="none"/>
        </w:rPr>
        <w:t>（</w:t>
      </w:r>
      <w:r>
        <w:rPr>
          <w:rFonts w:ascii="宋体" w:hAnsi="宋体" w:cs="宋体"/>
          <w:color w:val="auto"/>
          <w:szCs w:val="21"/>
          <w:highlight w:val="none"/>
        </w:rPr>
        <w:t>3</w:t>
      </w:r>
      <w:r>
        <w:rPr>
          <w:rFonts w:hint="eastAsia" w:ascii="宋体" w:hAnsi="宋体" w:cs="宋体"/>
          <w:color w:val="auto"/>
          <w:szCs w:val="21"/>
          <w:highlight w:val="none"/>
        </w:rPr>
        <w:t>）响应文件中的资格证明文件缺少任一项“供应商须知前附表”资格证明文件规定的“必须提供”的文件资料的；</w:t>
      </w:r>
    </w:p>
    <w:p w14:paraId="7B2DCB66">
      <w:pPr>
        <w:spacing w:line="360" w:lineRule="auto"/>
        <w:ind w:firstLine="420" w:firstLineChars="200"/>
        <w:contextualSpacing/>
        <w:rPr>
          <w:rFonts w:hint="eastAsia" w:ascii="宋体" w:hAnsi="宋体" w:cs="宋体"/>
          <w:color w:val="auto"/>
          <w:szCs w:val="21"/>
          <w:highlight w:val="none"/>
        </w:rPr>
      </w:pPr>
      <w:r>
        <w:rPr>
          <w:rFonts w:hint="eastAsia" w:ascii="宋体" w:hAnsi="宋体" w:cs="宋体"/>
          <w:color w:val="auto"/>
          <w:szCs w:val="21"/>
          <w:highlight w:val="none"/>
        </w:rPr>
        <w:t>（</w:t>
      </w:r>
      <w:r>
        <w:rPr>
          <w:rFonts w:ascii="宋体" w:hAnsi="宋体" w:cs="宋体"/>
          <w:color w:val="auto"/>
          <w:szCs w:val="21"/>
          <w:highlight w:val="none"/>
        </w:rPr>
        <w:t>4</w:t>
      </w:r>
      <w:r>
        <w:rPr>
          <w:rFonts w:hint="eastAsia" w:ascii="宋体" w:hAnsi="宋体" w:cs="宋体"/>
          <w:color w:val="auto"/>
          <w:szCs w:val="21"/>
          <w:highlight w:val="none"/>
        </w:rPr>
        <w:t>）响应文件中的资格证明文件出现任一项不符合“供应商须知前附表”资格证明文件规定的“必须提供”的文件资料要求或者无效的；</w:t>
      </w:r>
    </w:p>
    <w:p w14:paraId="6D10841B">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w:t>
      </w:r>
      <w:r>
        <w:rPr>
          <w:rFonts w:ascii="宋体" w:hAnsi="宋体" w:cs="宋体"/>
          <w:color w:val="auto"/>
          <w:szCs w:val="21"/>
          <w:highlight w:val="none"/>
        </w:rPr>
        <w:t>5</w:t>
      </w:r>
      <w:r>
        <w:rPr>
          <w:rFonts w:hint="eastAsia" w:ascii="宋体" w:hAnsi="宋体" w:cs="宋体"/>
          <w:color w:val="auto"/>
          <w:szCs w:val="21"/>
          <w:highlight w:val="none"/>
        </w:rPr>
        <w:t>）同一合同项下的不同供应商，单位负责人为同一人或者存在直接控股、管理关系的；为本项目提供过整体设计、规范编制或者项目管理、监理、检测等服务的供应商，再参加该采购项目的其他采购活动的。</w:t>
      </w:r>
    </w:p>
    <w:p w14:paraId="332DB71A">
      <w:pPr>
        <w:spacing w:line="360" w:lineRule="auto"/>
        <w:ind w:firstLine="420" w:firstLineChars="200"/>
        <w:rPr>
          <w:rFonts w:hint="eastAsia" w:ascii="宋体" w:hAnsi="宋体" w:cs="宋体"/>
          <w:color w:val="auto"/>
          <w:szCs w:val="21"/>
          <w:highlight w:val="none"/>
        </w:rPr>
      </w:pPr>
      <w:r>
        <w:rPr>
          <w:rFonts w:ascii="宋体" w:hAnsi="宋体" w:cs="宋体"/>
          <w:color w:val="auto"/>
          <w:szCs w:val="21"/>
          <w:highlight w:val="none"/>
        </w:rPr>
        <w:t>2</w:t>
      </w:r>
      <w:r>
        <w:rPr>
          <w:rFonts w:hint="eastAsia" w:ascii="宋体" w:hAnsi="宋体" w:cs="宋体"/>
          <w:color w:val="auto"/>
          <w:szCs w:val="21"/>
          <w:highlight w:val="none"/>
        </w:rPr>
        <w:t>.4通过资格审查的合格供应商不足3家（本章</w:t>
      </w:r>
      <w:r>
        <w:rPr>
          <w:rFonts w:ascii="宋体" w:hAnsi="宋体" w:cs="宋体"/>
          <w:color w:val="auto"/>
          <w:szCs w:val="21"/>
          <w:highlight w:val="none"/>
        </w:rPr>
        <w:t>3.7</w:t>
      </w:r>
      <w:r>
        <w:rPr>
          <w:rFonts w:hint="eastAsia" w:ascii="宋体" w:hAnsi="宋体" w:cs="宋体"/>
          <w:color w:val="auto"/>
          <w:szCs w:val="21"/>
          <w:highlight w:val="none"/>
        </w:rPr>
        <w:t>条规定除外）的，不得进入符合性审查环节，应当重新开展采购活动。</w:t>
      </w:r>
    </w:p>
    <w:p w14:paraId="5FEE2454">
      <w:pPr>
        <w:spacing w:line="360" w:lineRule="auto"/>
        <w:ind w:firstLine="482" w:firstLineChars="200"/>
        <w:rPr>
          <w:rFonts w:hint="eastAsia" w:ascii="黑体" w:hAnsi="黑体" w:eastAsia="黑体" w:cs="宋体"/>
          <w:b/>
          <w:bCs/>
          <w:color w:val="auto"/>
          <w:sz w:val="24"/>
          <w:highlight w:val="none"/>
        </w:rPr>
      </w:pPr>
      <w:r>
        <w:rPr>
          <w:rFonts w:ascii="黑体" w:hAnsi="黑体" w:eastAsia="黑体" w:cs="宋体"/>
          <w:b/>
          <w:bCs/>
          <w:color w:val="auto"/>
          <w:sz w:val="24"/>
          <w:highlight w:val="none"/>
        </w:rPr>
        <w:t>3</w:t>
      </w:r>
      <w:r>
        <w:rPr>
          <w:rFonts w:hint="eastAsia" w:ascii="黑体" w:hAnsi="黑体" w:eastAsia="黑体" w:cs="宋体"/>
          <w:b/>
          <w:bCs/>
          <w:color w:val="auto"/>
          <w:sz w:val="24"/>
          <w:highlight w:val="none"/>
        </w:rPr>
        <w:t>.符合性审查</w:t>
      </w:r>
    </w:p>
    <w:p w14:paraId="03A2C1BB">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w:t>
      </w:r>
      <w:r>
        <w:rPr>
          <w:rFonts w:ascii="宋体" w:hAnsi="宋体" w:cs="宋体"/>
          <w:color w:val="auto"/>
          <w:szCs w:val="21"/>
          <w:highlight w:val="none"/>
        </w:rPr>
        <w:t>.1</w:t>
      </w:r>
      <w:r>
        <w:rPr>
          <w:rFonts w:hint="eastAsia" w:ascii="宋体" w:hAnsi="宋体" w:cs="宋体"/>
          <w:color w:val="auto"/>
          <w:szCs w:val="21"/>
          <w:highlight w:val="none"/>
        </w:rPr>
        <w:t>谈判小组应当对符合资格的供应商的响应文件进行竞标报价、商务、技术等实质性要求符合性审查，以确定其是否满足谈判文件的实质性要求。</w:t>
      </w:r>
    </w:p>
    <w:p w14:paraId="3D94C750">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w:t>
      </w:r>
      <w:r>
        <w:rPr>
          <w:rFonts w:ascii="宋体" w:hAnsi="宋体" w:cs="宋体"/>
          <w:color w:val="auto"/>
          <w:szCs w:val="21"/>
          <w:highlight w:val="none"/>
        </w:rPr>
        <w:t>.2</w:t>
      </w:r>
      <w:r>
        <w:rPr>
          <w:rFonts w:hint="eastAsia" w:ascii="宋体" w:hAnsi="宋体" w:cs="宋体"/>
          <w:color w:val="auto"/>
          <w:szCs w:val="21"/>
          <w:highlight w:val="none"/>
        </w:rPr>
        <w:t>谈判小组在对响应文件进行符合性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395E117E">
      <w:pPr>
        <w:spacing w:line="360" w:lineRule="auto"/>
        <w:ind w:firstLine="420" w:firstLineChars="200"/>
        <w:rPr>
          <w:rFonts w:hint="eastAsia" w:ascii="宋体" w:hAnsi="宋体" w:cs="宋体"/>
          <w:color w:val="auto"/>
          <w:spacing w:val="-6"/>
          <w:szCs w:val="21"/>
          <w:highlight w:val="none"/>
        </w:rPr>
      </w:pPr>
      <w:r>
        <w:rPr>
          <w:rFonts w:ascii="宋体" w:hAnsi="宋体" w:cs="宋体"/>
          <w:color w:val="auto"/>
          <w:szCs w:val="21"/>
          <w:highlight w:val="none"/>
        </w:rPr>
        <w:t>3</w:t>
      </w:r>
      <w:r>
        <w:rPr>
          <w:rFonts w:hint="eastAsia" w:ascii="宋体" w:hAnsi="宋体" w:cs="宋体"/>
          <w:color w:val="auto"/>
          <w:szCs w:val="21"/>
          <w:highlight w:val="none"/>
        </w:rPr>
        <w:t>.3谈判小组要求供应商澄清、说明或者更正响应文件应当以电子澄清函形式作出。供应商的澄清、说明或者更正应当已电子回函形式按照谈判小组的要求作出明确的澄清、说明或者更正，未按谈判小组的要求作出明确澄清、说明或者更正的供应商的响应文件将按照有利于采购人的原则由谈判小组进行判定。供应商的澄清、说明或者更正必须加盖电子</w:t>
      </w:r>
      <w:r>
        <w:rPr>
          <w:rFonts w:hint="eastAsia" w:hAnsi="宋体"/>
          <w:color w:val="auto"/>
          <w:highlight w:val="none"/>
        </w:rPr>
        <w:t>签章</w:t>
      </w:r>
      <w:r>
        <w:rPr>
          <w:rFonts w:hint="eastAsia" w:ascii="宋体" w:hAnsi="宋体" w:cs="宋体"/>
          <w:color w:val="auto"/>
          <w:spacing w:val="-6"/>
          <w:szCs w:val="21"/>
          <w:highlight w:val="none"/>
        </w:rPr>
        <w:t>。</w:t>
      </w:r>
    </w:p>
    <w:p w14:paraId="16E017E3">
      <w:pPr>
        <w:spacing w:line="360" w:lineRule="auto"/>
        <w:ind w:firstLine="420" w:firstLineChars="200"/>
        <w:rPr>
          <w:rFonts w:ascii="宋体" w:hAnsi="宋体" w:cs="Courier New"/>
          <w:color w:val="auto"/>
          <w:szCs w:val="21"/>
          <w:highlight w:val="none"/>
        </w:rPr>
      </w:pPr>
      <w:r>
        <w:rPr>
          <w:rFonts w:hint="eastAsia" w:ascii="宋体" w:hAnsi="宋体" w:cs="Courier New"/>
          <w:color w:val="auto"/>
          <w:szCs w:val="21"/>
          <w:highlight w:val="none"/>
        </w:rPr>
        <w:t>异常情况处理：如遇无法正常使用线上发送澄清函的情况，将启动书面形式办理。启动书面形式办理的情况下，谈判小组以书面形式要求供应商在规定时间内作出必要的澄清、说明或者补正。供应商的澄清、说明或者补正必须采用书面形式，并加盖公章，或者由法定代表人或者其授权的代表签字。</w:t>
      </w:r>
    </w:p>
    <w:p w14:paraId="55078128">
      <w:pPr>
        <w:spacing w:line="360" w:lineRule="auto"/>
        <w:ind w:firstLine="396" w:firstLineChars="200"/>
        <w:rPr>
          <w:rFonts w:hint="eastAsia" w:ascii="宋体" w:hAnsi="宋体" w:cs="宋体"/>
          <w:color w:val="auto"/>
          <w:szCs w:val="21"/>
          <w:highlight w:val="none"/>
        </w:rPr>
      </w:pPr>
      <w:r>
        <w:rPr>
          <w:rFonts w:ascii="宋体" w:hAnsi="宋体" w:cs="宋体"/>
          <w:color w:val="auto"/>
          <w:spacing w:val="-6"/>
          <w:szCs w:val="21"/>
          <w:highlight w:val="none"/>
        </w:rPr>
        <w:t>3.4</w:t>
      </w:r>
      <w:r>
        <w:rPr>
          <w:rFonts w:hint="eastAsia" w:ascii="宋体" w:hAnsi="宋体" w:cs="宋体"/>
          <w:color w:val="auto"/>
          <w:szCs w:val="21"/>
          <w:highlight w:val="none"/>
        </w:rPr>
        <w:t xml:space="preserve">首次响应文件报价出现前后不一致的，按照下列规定修正： </w:t>
      </w:r>
    </w:p>
    <w:p w14:paraId="1E7B0295">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（1）响应文件中报价表内容与响应文件中相应内容不一致的，以报价表为准；</w:t>
      </w:r>
    </w:p>
    <w:p w14:paraId="03C5B562">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（2）大写金额和小写金额不一致的，以大写金额为准；</w:t>
      </w:r>
    </w:p>
    <w:p w14:paraId="108A4B42">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（3）单价金额小数点或者百分比有明显错位的，以报价表的总价为准，并修改单价；</w:t>
      </w:r>
    </w:p>
    <w:p w14:paraId="095D98AE">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（4）总价金额与按单价汇总金额不一致的，以单价金额计算结果为准。</w:t>
      </w:r>
    </w:p>
    <w:p w14:paraId="7E4C9BB4">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同时出现两种以上不一致的，按照以上（1）-（4）规定的顺序逐条进行修正。修正后的报价经供应商确认后产生约束力，供应商不确认的，其响应文件按无效响应处理。</w:t>
      </w:r>
    </w:p>
    <w:p w14:paraId="1CE89F46">
      <w:pPr>
        <w:spacing w:line="360" w:lineRule="auto"/>
        <w:ind w:firstLine="420" w:firstLineChars="200"/>
        <w:rPr>
          <w:rFonts w:hint="eastAsia" w:ascii="宋体" w:hAnsi="宋体" w:cs="宋体"/>
          <w:color w:val="auto"/>
          <w:szCs w:val="21"/>
          <w:highlight w:val="none"/>
        </w:rPr>
      </w:pPr>
      <w:r>
        <w:rPr>
          <w:rFonts w:ascii="宋体" w:hAnsi="宋体" w:cs="宋体"/>
          <w:color w:val="auto"/>
          <w:szCs w:val="21"/>
          <w:highlight w:val="none"/>
        </w:rPr>
        <w:t>3</w:t>
      </w:r>
      <w:r>
        <w:rPr>
          <w:rFonts w:hint="eastAsia" w:ascii="宋体" w:hAnsi="宋体" w:cs="宋体"/>
          <w:color w:val="auto"/>
          <w:szCs w:val="21"/>
          <w:highlight w:val="none"/>
        </w:rPr>
        <w:t>.</w:t>
      </w:r>
      <w:r>
        <w:rPr>
          <w:rFonts w:ascii="宋体" w:hAnsi="宋体" w:cs="宋体"/>
          <w:color w:val="auto"/>
          <w:szCs w:val="21"/>
          <w:highlight w:val="none"/>
        </w:rPr>
        <w:t>5</w:t>
      </w:r>
      <w:r>
        <w:rPr>
          <w:rFonts w:hint="eastAsia" w:ascii="宋体" w:hAnsi="宋体" w:cs="宋体"/>
          <w:color w:val="auto"/>
          <w:szCs w:val="21"/>
          <w:highlight w:val="none"/>
        </w:rPr>
        <w:t>商务技术报价评审</w:t>
      </w:r>
    </w:p>
    <w:p w14:paraId="1A6F09A4">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在评审时，如发现下列情形之一的，将被视为响应文件无效处理：</w:t>
      </w:r>
    </w:p>
    <w:p w14:paraId="7181873E">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（1）商务技术评审</w:t>
      </w:r>
    </w:p>
    <w:p w14:paraId="73CB3E56">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1）响应文件未按谈判文件要求签署、盖章的；</w:t>
      </w:r>
    </w:p>
    <w:p w14:paraId="72758055">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 xml:space="preserve">2）委托代理人未能出具有效身份证或者出具的身份证与授权委托书中的信息不符的； </w:t>
      </w:r>
    </w:p>
    <w:p w14:paraId="14F5F1FF">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3）提交的竞标保证金无效的或者未按照谈判文件的规定提交竞标保证金；</w:t>
      </w:r>
    </w:p>
    <w:p w14:paraId="03C6E29C">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4）响应文件未提供任一项“供应商须知前附表”商务技术文件中 “必须提供”或者“委托时必须提供”的文件资料；响应文件提供的商务技术文件出现任一项不符合“供应商须知前附表”商务技术文件中 “必须提供”或者“委托时必须提供”文件资料要求的规定或者提供的商务技术文件无效；</w:t>
      </w:r>
    </w:p>
    <w:p w14:paraId="12F3DC50">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5）商务要求允许负偏离的条款数超过“供应商须知前附表”规定项数的；</w:t>
      </w:r>
    </w:p>
    <w:p w14:paraId="2F025137">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6）未对竞标有效期作出响应或者响应文件承诺的竞标有效期不满足谈判文件要求；</w:t>
      </w:r>
    </w:p>
    <w:p w14:paraId="7AC92CDA">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7）响应文件的实质性内容未使用中文表述、使用计量单位不符合谈判文件要求的；</w:t>
      </w:r>
    </w:p>
    <w:p w14:paraId="3BC78B18">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8）响应文件中的文件资料因填写不齐全或者内容虚假或者出现其他情形而导致被谈判小组认定无效的；</w:t>
      </w:r>
    </w:p>
    <w:p w14:paraId="5428CBA2">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9）响应文件含有采购人不能接受的附加条件的；</w:t>
      </w:r>
    </w:p>
    <w:p w14:paraId="18922B3E">
      <w:pPr>
        <w:spacing w:line="360" w:lineRule="auto"/>
        <w:ind w:firstLine="420" w:firstLineChars="200"/>
        <w:rPr>
          <w:rFonts w:hint="eastAsia" w:ascii="宋体" w:hAnsi="宋体" w:cs="宋体"/>
          <w:color w:val="auto"/>
          <w:szCs w:val="21"/>
          <w:highlight w:val="none"/>
        </w:rPr>
      </w:pPr>
      <w:r>
        <w:rPr>
          <w:rFonts w:ascii="宋体" w:hAnsi="宋体" w:cs="宋体"/>
          <w:color w:val="auto"/>
          <w:szCs w:val="21"/>
          <w:highlight w:val="none"/>
        </w:rPr>
        <w:t>1</w:t>
      </w:r>
      <w:r>
        <w:rPr>
          <w:rFonts w:hint="eastAsia" w:ascii="宋体" w:hAnsi="宋体" w:cs="宋体"/>
          <w:color w:val="auto"/>
          <w:szCs w:val="21"/>
          <w:highlight w:val="none"/>
        </w:rPr>
        <w:t>0）属于“供应商须知正文”第7.</w:t>
      </w:r>
      <w:r>
        <w:rPr>
          <w:rFonts w:ascii="宋体" w:hAnsi="宋体" w:cs="宋体"/>
          <w:color w:val="auto"/>
          <w:szCs w:val="21"/>
          <w:highlight w:val="none"/>
        </w:rPr>
        <w:t>5</w:t>
      </w:r>
      <w:r>
        <w:rPr>
          <w:rFonts w:hint="eastAsia" w:ascii="宋体" w:hAnsi="宋体" w:cs="宋体"/>
          <w:color w:val="auto"/>
          <w:szCs w:val="21"/>
          <w:highlight w:val="none"/>
        </w:rPr>
        <w:t>条的情形的；</w:t>
      </w:r>
    </w:p>
    <w:p w14:paraId="3B8EC271">
      <w:pPr>
        <w:spacing w:line="360" w:lineRule="auto"/>
        <w:ind w:firstLine="420" w:firstLineChars="200"/>
        <w:rPr>
          <w:rFonts w:hint="eastAsia" w:ascii="宋体" w:hAnsi="宋体" w:cs="宋体"/>
          <w:b/>
          <w:bCs/>
          <w:color w:val="auto"/>
          <w:szCs w:val="21"/>
          <w:highlight w:val="none"/>
        </w:rPr>
      </w:pPr>
      <w:r>
        <w:rPr>
          <w:rFonts w:hint="eastAsia" w:ascii="宋体" w:hAnsi="宋体" w:cs="宋体"/>
          <w:color w:val="auto"/>
          <w:szCs w:val="21"/>
          <w:highlight w:val="none"/>
        </w:rPr>
        <w:t>11）</w:t>
      </w:r>
      <w:r>
        <w:rPr>
          <w:rFonts w:hint="eastAsia" w:ascii="宋体" w:hAnsi="宋体" w:cs="宋体"/>
          <w:b/>
          <w:bCs/>
          <w:color w:val="auto"/>
          <w:szCs w:val="21"/>
          <w:highlight w:val="none"/>
        </w:rPr>
        <w:t>技术评审允许负偏离的条款数超过“供应商须知前附表”规定项数的；</w:t>
      </w:r>
    </w:p>
    <w:p w14:paraId="1C67562B">
      <w:pPr>
        <w:spacing w:line="360" w:lineRule="auto"/>
        <w:ind w:firstLine="420" w:firstLineChars="200"/>
        <w:rPr>
          <w:rFonts w:hint="eastAsia" w:ascii="宋体" w:hAnsi="宋体" w:cs="宋体"/>
          <w:color w:val="auto"/>
          <w:szCs w:val="21"/>
          <w:highlight w:val="none"/>
        </w:rPr>
      </w:pPr>
      <w:r>
        <w:rPr>
          <w:rFonts w:ascii="宋体" w:hAnsi="宋体" w:cs="宋体"/>
          <w:color w:val="auto"/>
          <w:szCs w:val="21"/>
          <w:highlight w:val="none"/>
        </w:rPr>
        <w:t>1</w:t>
      </w:r>
      <w:r>
        <w:rPr>
          <w:rFonts w:hint="eastAsia" w:ascii="宋体" w:hAnsi="宋体" w:cs="宋体"/>
          <w:color w:val="auto"/>
          <w:szCs w:val="21"/>
          <w:highlight w:val="none"/>
        </w:rPr>
        <w:t>2）虚假竞标，或者出现其他情形而导致被谈判小组认定无效的；</w:t>
      </w:r>
    </w:p>
    <w:p w14:paraId="7B2748A2">
      <w:pPr>
        <w:spacing w:line="360" w:lineRule="auto"/>
        <w:ind w:firstLine="420" w:firstLineChars="200"/>
        <w:rPr>
          <w:rFonts w:hint="eastAsia" w:ascii="宋体" w:hAnsi="宋体" w:cs="宋体"/>
          <w:color w:val="auto"/>
          <w:szCs w:val="21"/>
          <w:highlight w:val="none"/>
        </w:rPr>
      </w:pPr>
      <w:r>
        <w:rPr>
          <w:rFonts w:ascii="宋体" w:hAnsi="宋体" w:cs="宋体"/>
          <w:color w:val="auto"/>
          <w:szCs w:val="21"/>
          <w:highlight w:val="none"/>
        </w:rPr>
        <w:t>1</w:t>
      </w:r>
      <w:r>
        <w:rPr>
          <w:rFonts w:hint="eastAsia" w:ascii="宋体" w:hAnsi="宋体" w:cs="宋体"/>
          <w:color w:val="auto"/>
          <w:szCs w:val="21"/>
          <w:highlight w:val="none"/>
        </w:rPr>
        <w:t>3）</w:t>
      </w:r>
      <w:bookmarkStart w:id="107" w:name="_Hlk71704147"/>
      <w:r>
        <w:rPr>
          <w:rFonts w:hint="eastAsia" w:ascii="宋体" w:hAnsi="宋体" w:cs="宋体"/>
          <w:color w:val="auto"/>
          <w:szCs w:val="21"/>
          <w:highlight w:val="none"/>
        </w:rPr>
        <w:t>谈判文件未载明允许提供备选（替代）竞标方案或明确不允许提供备选（替代）竞标方案时，供应商提供了备选（替代）竞标方案的；</w:t>
      </w:r>
      <w:bookmarkEnd w:id="107"/>
    </w:p>
    <w:p w14:paraId="40CD47BC">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1</w:t>
      </w:r>
      <w:r>
        <w:rPr>
          <w:rFonts w:hint="eastAsia" w:ascii="宋体" w:hAnsi="宋体" w:cs="宋体"/>
          <w:color w:val="auto"/>
          <w:szCs w:val="21"/>
          <w:highlight w:val="none"/>
        </w:rPr>
        <w:t>4）响应文件标注的项目名称或者项目编号与谈判文件标注的项目名称或者项目编号不一致的；</w:t>
      </w:r>
    </w:p>
    <w:p w14:paraId="62CB62CA">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15）</w:t>
      </w:r>
      <w:r>
        <w:rPr>
          <w:rFonts w:hint="eastAsia" w:ascii="宋体" w:hAnsi="宋体"/>
          <w:color w:val="auto"/>
          <w:szCs w:val="21"/>
          <w:highlight w:val="none"/>
        </w:rPr>
        <w:t>谈判文件明确不允许分包，响应文件拟分包的；</w:t>
      </w:r>
    </w:p>
    <w:p w14:paraId="68263A91">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1</w:t>
      </w:r>
      <w:r>
        <w:rPr>
          <w:rFonts w:hint="eastAsia" w:ascii="宋体" w:hAnsi="宋体" w:cs="宋体"/>
          <w:color w:val="auto"/>
          <w:szCs w:val="21"/>
          <w:highlight w:val="none"/>
        </w:rPr>
        <w:t>6）未响应谈判文件实质性要求；</w:t>
      </w:r>
    </w:p>
    <w:p w14:paraId="66F231A2">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17）法律、法规和谈判文件规定的其他无效情形。</w:t>
      </w:r>
    </w:p>
    <w:p w14:paraId="6FCC654E">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w:t>
      </w:r>
      <w:r>
        <w:rPr>
          <w:rFonts w:ascii="宋体" w:hAnsi="宋体" w:cs="宋体"/>
          <w:color w:val="auto"/>
          <w:szCs w:val="21"/>
          <w:highlight w:val="none"/>
        </w:rPr>
        <w:t>2）报</w:t>
      </w:r>
      <w:r>
        <w:rPr>
          <w:rFonts w:hint="eastAsia" w:ascii="宋体" w:hAnsi="宋体" w:cs="宋体"/>
          <w:color w:val="auto"/>
          <w:szCs w:val="21"/>
          <w:highlight w:val="none"/>
        </w:rPr>
        <w:t>价评审</w:t>
      </w:r>
    </w:p>
    <w:p w14:paraId="52D10CD1">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1）响应文件未提供“供应商须知前附表”报价文件中规定的“竞标报价表”的；</w:t>
      </w:r>
    </w:p>
    <w:p w14:paraId="520852B5">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2）未采用人民币报价或者未按照谈判文件标明的币种报价的；</w:t>
      </w:r>
    </w:p>
    <w:p w14:paraId="291C6F14">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供应商未就所竞标分标进行报价或者存在漏项报价；供应商未就所竞标分标的单项内容作唯一报价；供应商未就所竞标分标的全部内容作完整唯一总价报价；供应商响应文件中存在有选择、有条件报价的（谈判文件允许有备选方案或者其他约定的除外）；</w:t>
      </w:r>
    </w:p>
    <w:p w14:paraId="71EFD5AC">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竞标报价（包含首次报价、最后报价）超过所竞标分标规定的采购预算金额或者最高限价的（如本项目公布了最高限价）；竞标报价（包含首次报价、最后报价）超过谈判文件分项采购预算金额或者最高限价的（如本项目公布了最高限价）；</w:t>
      </w:r>
    </w:p>
    <w:p w14:paraId="5A00DCC9">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修正后的报价，供应商不确认的；或者经供应商确认修正后的竞标报价（包含首次报价、最后报价）超过所竞标分标规定的采购预算金额或者最高限价（如本项目公布了最高限价）；或者经供应商确认修正后竞标报价（包含首次报价、最后报价）超过谈判文件分项采购预算金额或者最高限价的（如本项目公布了最高限价）。</w:t>
      </w:r>
    </w:p>
    <w:p w14:paraId="74F7B474">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6）</w:t>
      </w:r>
      <w:r>
        <w:rPr>
          <w:rFonts w:hint="eastAsia" w:ascii="宋体" w:hAnsi="宋体"/>
          <w:color w:val="auto"/>
          <w:szCs w:val="21"/>
          <w:highlight w:val="none"/>
        </w:rPr>
        <w:t>响应文件响应的标的数量及单位与竞争性谈判采购文件要求实质性不一致的。</w:t>
      </w:r>
    </w:p>
    <w:p w14:paraId="7CCB4C47">
      <w:pPr>
        <w:spacing w:line="360" w:lineRule="auto"/>
        <w:ind w:firstLine="420" w:firstLineChars="200"/>
        <w:rPr>
          <w:rFonts w:hint="eastAsia" w:ascii="宋体" w:hAnsi="宋体" w:cs="宋体"/>
          <w:color w:val="auto"/>
          <w:szCs w:val="21"/>
          <w:highlight w:val="none"/>
        </w:rPr>
      </w:pPr>
      <w:r>
        <w:rPr>
          <w:rFonts w:ascii="宋体" w:hAnsi="宋体" w:cs="宋体"/>
          <w:color w:val="auto"/>
          <w:szCs w:val="21"/>
          <w:highlight w:val="none"/>
        </w:rPr>
        <w:t>3</w:t>
      </w:r>
      <w:r>
        <w:rPr>
          <w:rFonts w:hint="eastAsia" w:ascii="宋体" w:hAnsi="宋体" w:cs="宋体"/>
          <w:color w:val="auto"/>
          <w:szCs w:val="21"/>
          <w:highlight w:val="none"/>
        </w:rPr>
        <w:t>.6谈判小组对响应文件进行评审，未实质性响应谈判文件的响应文件按无效处理。谈判小组应当将资格和符合性不通过的情况告知有关供应商。谈判小组从符合谈判文件规定的相应资格条件的供应商名单中确定不少于3家的供应商参加谈判。</w:t>
      </w:r>
    </w:p>
    <w:p w14:paraId="3D53784C">
      <w:pPr>
        <w:spacing w:line="360" w:lineRule="auto"/>
        <w:ind w:firstLine="420" w:firstLineChars="200"/>
        <w:rPr>
          <w:rFonts w:hint="eastAsia" w:ascii="宋体" w:hAnsi="宋体" w:cs="宋体"/>
          <w:color w:val="auto"/>
          <w:szCs w:val="21"/>
          <w:highlight w:val="none"/>
        </w:rPr>
      </w:pPr>
      <w:r>
        <w:rPr>
          <w:rFonts w:ascii="宋体" w:hAnsi="宋体" w:cs="宋体"/>
          <w:color w:val="auto"/>
          <w:szCs w:val="21"/>
          <w:highlight w:val="none"/>
        </w:rPr>
        <w:t>3</w:t>
      </w:r>
      <w:r>
        <w:rPr>
          <w:rFonts w:hint="eastAsia" w:ascii="宋体" w:hAnsi="宋体" w:cs="宋体"/>
          <w:color w:val="auto"/>
          <w:szCs w:val="21"/>
          <w:highlight w:val="none"/>
        </w:rPr>
        <w:t>.7公开招标的货物、服务采购项目，招标过程中提交响应文件或者经评审实质性响应谈判文件要求的供应商只有两家时，采购人、采购代理机构按照《政府采购非招标采购方式管理办法》（财政部74号令）第四条经本级财政部门批准后可以与该两家供应商进行竞争性谈判采购。</w:t>
      </w:r>
    </w:p>
    <w:p w14:paraId="3900FEAC">
      <w:pPr>
        <w:spacing w:line="360" w:lineRule="auto"/>
        <w:ind w:firstLine="420" w:firstLineChars="200"/>
        <w:rPr>
          <w:rFonts w:hint="eastAsia" w:ascii="宋体" w:hAnsi="宋体" w:cs="宋体"/>
          <w:color w:val="auto"/>
          <w:szCs w:val="21"/>
          <w:highlight w:val="none"/>
        </w:rPr>
      </w:pPr>
      <w:r>
        <w:rPr>
          <w:rFonts w:ascii="宋体" w:hAnsi="宋体" w:cs="宋体"/>
          <w:color w:val="auto"/>
          <w:szCs w:val="21"/>
          <w:highlight w:val="none"/>
        </w:rPr>
        <w:t>3</w:t>
      </w:r>
      <w:r>
        <w:rPr>
          <w:rFonts w:hint="eastAsia" w:ascii="宋体" w:hAnsi="宋体" w:cs="宋体"/>
          <w:color w:val="auto"/>
          <w:szCs w:val="21"/>
          <w:highlight w:val="none"/>
        </w:rPr>
        <w:t>.8除本章3.7条规定的情形外，通过符合性审查的合格供应商不足3家的，不得进入谈判环节，应当重新开展采购活动。</w:t>
      </w:r>
    </w:p>
    <w:p w14:paraId="2EB5EC31">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4</w:t>
      </w:r>
      <w:r>
        <w:rPr>
          <w:rFonts w:ascii="黑体" w:hAnsi="黑体" w:eastAsia="黑体" w:cs="宋体"/>
          <w:b/>
          <w:bCs/>
          <w:color w:val="auto"/>
          <w:sz w:val="24"/>
          <w:highlight w:val="none"/>
        </w:rPr>
        <w:t>.</w:t>
      </w:r>
      <w:r>
        <w:rPr>
          <w:rFonts w:hint="eastAsia" w:ascii="黑体" w:hAnsi="黑体" w:eastAsia="黑体" w:cs="宋体"/>
          <w:b/>
          <w:bCs/>
          <w:color w:val="auto"/>
          <w:sz w:val="24"/>
          <w:highlight w:val="none"/>
        </w:rPr>
        <w:t>谈判程序</w:t>
      </w:r>
    </w:p>
    <w:p w14:paraId="2118A5B2">
      <w:pPr>
        <w:spacing w:line="360" w:lineRule="auto"/>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4</w:t>
      </w:r>
      <w:r>
        <w:rPr>
          <w:rFonts w:ascii="宋体" w:hAnsi="宋体" w:cs="宋体"/>
          <w:color w:val="auto"/>
          <w:kern w:val="0"/>
          <w:szCs w:val="21"/>
          <w:highlight w:val="none"/>
        </w:rPr>
        <w:t>.1</w:t>
      </w:r>
      <w:r>
        <w:rPr>
          <w:rFonts w:hint="eastAsia" w:ascii="宋体" w:hAnsi="宋体" w:cs="宋体"/>
          <w:color w:val="auto"/>
          <w:kern w:val="0"/>
          <w:szCs w:val="21"/>
          <w:highlight w:val="none"/>
        </w:rPr>
        <w:t>谈判小组</w:t>
      </w:r>
      <w:r>
        <w:rPr>
          <w:rFonts w:hint="eastAsia" w:ascii="宋体" w:hAnsi="宋体" w:cs="宋体"/>
          <w:color w:val="auto"/>
          <w:szCs w:val="21"/>
          <w:highlight w:val="none"/>
        </w:rPr>
        <w:t>集中与单一供应商分别进行谈判，并给予所有参加谈判的供应商平等的谈判机会。符合谈判资格的供应商必须在接到谈判通知后规定时间内参加谈判，未在规定时间内参加谈判的，视同放弃参加谈判权利，其响应文件按无效处理。</w:t>
      </w:r>
    </w:p>
    <w:p w14:paraId="58EEF6B3">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w:t>
      </w:r>
      <w:r>
        <w:rPr>
          <w:rFonts w:ascii="宋体" w:hAnsi="宋体" w:cs="宋体"/>
          <w:color w:val="auto"/>
          <w:szCs w:val="21"/>
          <w:highlight w:val="none"/>
        </w:rPr>
        <w:t>.2</w:t>
      </w:r>
      <w:r>
        <w:rPr>
          <w:rFonts w:hint="eastAsia" w:ascii="宋体" w:hAnsi="宋体" w:cs="宋体"/>
          <w:color w:val="auto"/>
          <w:szCs w:val="21"/>
          <w:highlight w:val="none"/>
        </w:rPr>
        <w:t>在谈判过程中，谈判小组可以根据谈判文件和谈判情况实质性变动采购需求中的技术、服务要求以及合同草案条款，但不得变动谈判文件中的其他内容，实质性变动的内容须经采购人代表确认。可能实质性变动的内容为采购需求中的技术、服务要求以及合同草案条款。</w:t>
      </w:r>
    </w:p>
    <w:p w14:paraId="2726D8DB">
      <w:pPr>
        <w:spacing w:line="360" w:lineRule="auto"/>
        <w:ind w:firstLine="420" w:firstLineChars="200"/>
        <w:rPr>
          <w:rFonts w:hint="eastAsia" w:ascii="宋体" w:hAnsi="宋体" w:cs="宋体"/>
          <w:color w:val="auto"/>
          <w:szCs w:val="21"/>
          <w:highlight w:val="none"/>
        </w:rPr>
      </w:pPr>
      <w:r>
        <w:rPr>
          <w:rFonts w:ascii="宋体" w:hAnsi="宋体" w:cs="宋体"/>
          <w:color w:val="auto"/>
          <w:szCs w:val="21"/>
          <w:highlight w:val="none"/>
        </w:rPr>
        <w:t>4.3</w:t>
      </w:r>
      <w:r>
        <w:rPr>
          <w:rFonts w:hint="eastAsia" w:ascii="宋体" w:hAnsi="宋体" w:cs="宋体"/>
          <w:color w:val="auto"/>
          <w:szCs w:val="21"/>
          <w:highlight w:val="none"/>
        </w:rPr>
        <w:t>对谈判文件作出的实质性变动是谈判文件的有效组成部分，由谈判小组及时以电子澄清函形式同时通知所有参加谈判的供应商。</w:t>
      </w:r>
    </w:p>
    <w:p w14:paraId="176A13D0">
      <w:pPr>
        <w:spacing w:line="360" w:lineRule="auto"/>
        <w:ind w:firstLine="420" w:firstLineChars="200"/>
        <w:rPr>
          <w:rFonts w:hint="eastAsia" w:ascii="宋体" w:hAnsi="宋体" w:cs="宋体"/>
          <w:color w:val="auto"/>
          <w:szCs w:val="21"/>
          <w:highlight w:val="none"/>
        </w:rPr>
      </w:pPr>
      <w:r>
        <w:rPr>
          <w:rFonts w:ascii="宋体" w:hAnsi="宋体" w:cs="宋体"/>
          <w:color w:val="auto"/>
          <w:szCs w:val="21"/>
          <w:highlight w:val="none"/>
        </w:rPr>
        <w:t>4.4</w:t>
      </w:r>
      <w:r>
        <w:rPr>
          <w:rFonts w:hint="eastAsia" w:ascii="宋体" w:hAnsi="宋体" w:cs="宋体"/>
          <w:color w:val="auto"/>
          <w:szCs w:val="21"/>
          <w:highlight w:val="none"/>
        </w:rPr>
        <w:t>供应商必须按照谈判文件的变动情况和谈判小组的要求以回函的形式重新提交响应文件，并加盖电子签章。参加谈判的供应商未在规定时间内重新提交响应文件的，视同退出谈判，其响应文件按无效处理。</w:t>
      </w:r>
    </w:p>
    <w:p w14:paraId="66C978B1">
      <w:pPr>
        <w:spacing w:line="360" w:lineRule="auto"/>
        <w:ind w:firstLine="420" w:firstLineChars="200"/>
        <w:rPr>
          <w:rFonts w:hint="eastAsia" w:ascii="宋体" w:hAnsi="宋体" w:cs="宋体"/>
          <w:color w:val="auto"/>
          <w:szCs w:val="21"/>
          <w:highlight w:val="none"/>
        </w:rPr>
      </w:pPr>
      <w:r>
        <w:rPr>
          <w:rFonts w:ascii="宋体" w:hAnsi="宋体" w:cs="宋体"/>
          <w:color w:val="auto"/>
          <w:szCs w:val="21"/>
          <w:highlight w:val="none"/>
        </w:rPr>
        <w:t>4.5</w:t>
      </w:r>
      <w:r>
        <w:rPr>
          <w:rFonts w:hint="eastAsia" w:ascii="宋体" w:hAnsi="宋体" w:cs="宋体"/>
          <w:color w:val="auto"/>
          <w:szCs w:val="21"/>
          <w:highlight w:val="none"/>
        </w:rPr>
        <w:t>谈判中，谈判的任何一方不得透露与谈判有关的其他供应商的技术资料、价格和其他信息。</w:t>
      </w:r>
    </w:p>
    <w:p w14:paraId="7A4529FA">
      <w:pPr>
        <w:widowControl/>
        <w:tabs>
          <w:tab w:val="left" w:pos="540"/>
        </w:tabs>
        <w:spacing w:line="360" w:lineRule="auto"/>
        <w:ind w:firstLine="420" w:firstLineChars="200"/>
        <w:jc w:val="left"/>
        <w:rPr>
          <w:rFonts w:hint="eastAsia" w:ascii="宋体" w:hAnsi="宋体" w:cs="宋体"/>
          <w:color w:val="auto"/>
          <w:szCs w:val="21"/>
          <w:highlight w:val="none"/>
        </w:rPr>
      </w:pPr>
      <w:r>
        <w:rPr>
          <w:rFonts w:ascii="宋体" w:hAnsi="宋体" w:cs="宋体"/>
          <w:color w:val="auto"/>
          <w:szCs w:val="21"/>
          <w:highlight w:val="none"/>
        </w:rPr>
        <w:t>4.6</w:t>
      </w:r>
      <w:r>
        <w:rPr>
          <w:rFonts w:hint="eastAsia" w:ascii="宋体" w:hAnsi="宋体" w:cs="宋体"/>
          <w:color w:val="auto"/>
          <w:szCs w:val="21"/>
          <w:highlight w:val="none"/>
        </w:rPr>
        <w:t>谈判小组应对谈判过程和重要谈判内容进行记录。</w:t>
      </w:r>
    </w:p>
    <w:p w14:paraId="66E7E6AD">
      <w:pPr>
        <w:tabs>
          <w:tab w:val="left" w:pos="2835"/>
        </w:tabs>
        <w:spacing w:line="360" w:lineRule="auto"/>
        <w:ind w:firstLine="420" w:firstLineChars="200"/>
        <w:rPr>
          <w:rFonts w:hint="eastAsia" w:ascii="宋体" w:hAnsi="宋体" w:cs="宋体"/>
          <w:color w:val="auto"/>
          <w:szCs w:val="21"/>
          <w:highlight w:val="none"/>
        </w:rPr>
      </w:pPr>
      <w:r>
        <w:rPr>
          <w:rFonts w:ascii="宋体" w:hAnsi="宋体" w:cs="宋体"/>
          <w:color w:val="auto"/>
          <w:szCs w:val="21"/>
          <w:highlight w:val="none"/>
        </w:rPr>
        <w:t>4.</w:t>
      </w:r>
      <w:r>
        <w:rPr>
          <w:rFonts w:hint="eastAsia" w:ascii="宋体" w:hAnsi="宋体" w:cs="宋体"/>
          <w:color w:val="auto"/>
          <w:szCs w:val="21"/>
          <w:highlight w:val="none"/>
        </w:rPr>
        <w:t>7除本章第3.7条外，</w:t>
      </w:r>
      <w:r>
        <w:rPr>
          <w:rFonts w:hint="eastAsia" w:ascii="宋体" w:hAnsi="宋体"/>
          <w:color w:val="auto"/>
          <w:szCs w:val="21"/>
          <w:highlight w:val="none"/>
        </w:rPr>
        <w:t>对谈判过程提交的响应文件进行有效性、完整性和响应程度审查，通过审查的合格供应商不足3家的，采购人或者采购代理机构应当重新开展采购活动</w:t>
      </w:r>
      <w:r>
        <w:rPr>
          <w:rFonts w:hint="eastAsia" w:ascii="宋体" w:hAnsi="宋体" w:cs="宋体"/>
          <w:color w:val="auto"/>
          <w:szCs w:val="21"/>
          <w:highlight w:val="none"/>
        </w:rPr>
        <w:t>。</w:t>
      </w:r>
    </w:p>
    <w:p w14:paraId="2824CA74">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5</w:t>
      </w:r>
      <w:r>
        <w:rPr>
          <w:rFonts w:ascii="黑体" w:hAnsi="黑体" w:eastAsia="黑体" w:cs="宋体"/>
          <w:b/>
          <w:bCs/>
          <w:color w:val="auto"/>
          <w:sz w:val="24"/>
          <w:highlight w:val="none"/>
        </w:rPr>
        <w:t>.</w:t>
      </w:r>
      <w:r>
        <w:rPr>
          <w:rFonts w:hint="eastAsia" w:ascii="黑体" w:hAnsi="黑体" w:eastAsia="黑体" w:cs="宋体"/>
          <w:b/>
          <w:bCs/>
          <w:color w:val="auto"/>
          <w:sz w:val="24"/>
          <w:highlight w:val="none"/>
        </w:rPr>
        <w:t xml:space="preserve"> 最后报价</w:t>
      </w:r>
    </w:p>
    <w:p w14:paraId="7BEC06E1">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w:t>
      </w:r>
      <w:r>
        <w:rPr>
          <w:rFonts w:ascii="宋体" w:hAnsi="宋体" w:cs="宋体"/>
          <w:color w:val="auto"/>
          <w:szCs w:val="21"/>
          <w:highlight w:val="none"/>
        </w:rPr>
        <w:t>.1</w:t>
      </w:r>
      <w:r>
        <w:rPr>
          <w:rFonts w:hint="eastAsia" w:ascii="宋体" w:hAnsi="宋体" w:cs="宋体"/>
          <w:color w:val="auto"/>
          <w:szCs w:val="21"/>
          <w:highlight w:val="none"/>
        </w:rPr>
        <w:t>谈判文件能够详细列明采购标的的技术、服务要求的，谈判结束后，谈判小组应当要求所有继续参加谈判的供应商在规定时间内在</w:t>
      </w:r>
      <w:r>
        <w:rPr>
          <w:rFonts w:hint="eastAsia" w:ascii="宋体" w:hAnsi="宋体"/>
          <w:color w:val="auto"/>
          <w:szCs w:val="21"/>
          <w:highlight w:val="none"/>
        </w:rPr>
        <w:t>广西政府采购云平台</w:t>
      </w:r>
      <w:r>
        <w:rPr>
          <w:rFonts w:hint="eastAsia" w:ascii="宋体" w:hAnsi="宋体" w:cs="宋体"/>
          <w:color w:val="auto"/>
          <w:szCs w:val="21"/>
          <w:highlight w:val="none"/>
        </w:rPr>
        <w:t>开标大厅提交最后报价，除本章第3.7条外，提交最后报价的供应商不得少于3家，否则应当重新采购。</w:t>
      </w:r>
    </w:p>
    <w:p w14:paraId="258D00A5">
      <w:pPr>
        <w:spacing w:line="360" w:lineRule="auto"/>
        <w:ind w:firstLine="420" w:firstLineChars="200"/>
        <w:rPr>
          <w:rFonts w:hint="eastAsia" w:ascii="宋体" w:hAnsi="宋体" w:cs="宋体"/>
          <w:color w:val="auto"/>
          <w:szCs w:val="21"/>
          <w:highlight w:val="none"/>
        </w:rPr>
      </w:pPr>
      <w:r>
        <w:rPr>
          <w:rFonts w:ascii="宋体" w:hAnsi="宋体" w:cs="宋体"/>
          <w:color w:val="auto"/>
          <w:szCs w:val="21"/>
          <w:highlight w:val="none"/>
        </w:rPr>
        <w:t>5</w:t>
      </w:r>
      <w:r>
        <w:rPr>
          <w:rFonts w:hint="eastAsia" w:ascii="宋体" w:hAnsi="宋体" w:cs="宋体"/>
          <w:color w:val="auto"/>
          <w:szCs w:val="21"/>
          <w:highlight w:val="none"/>
        </w:rPr>
        <w:t>.</w:t>
      </w:r>
      <w:r>
        <w:rPr>
          <w:rFonts w:ascii="宋体" w:hAnsi="宋体" w:cs="宋体"/>
          <w:color w:val="auto"/>
          <w:szCs w:val="21"/>
          <w:highlight w:val="none"/>
        </w:rPr>
        <w:t>2</w:t>
      </w:r>
      <w:r>
        <w:rPr>
          <w:rFonts w:hint="eastAsia" w:ascii="宋体" w:hAnsi="宋体" w:cs="宋体"/>
          <w:color w:val="auto"/>
          <w:szCs w:val="21"/>
          <w:highlight w:val="none"/>
        </w:rPr>
        <w:t>谈判文件不能详细列明采购标的的技术、服务要求，需经谈判由供应商提供最后设计方案或者解决方案的，谈判结束后，谈判小组应当按照少数服从多数的原则投票推荐3家以上供应商的设计方案或者解决方案，并要求其在规定时间内在</w:t>
      </w:r>
      <w:r>
        <w:rPr>
          <w:rFonts w:hint="eastAsia" w:ascii="宋体" w:hAnsi="宋体"/>
          <w:color w:val="auto"/>
          <w:szCs w:val="21"/>
          <w:highlight w:val="none"/>
        </w:rPr>
        <w:t>广西政府采购云平台</w:t>
      </w:r>
      <w:r>
        <w:rPr>
          <w:rFonts w:hint="eastAsia" w:ascii="宋体" w:hAnsi="宋体" w:cs="宋体"/>
          <w:color w:val="auto"/>
          <w:szCs w:val="21"/>
          <w:highlight w:val="none"/>
        </w:rPr>
        <w:t>大厅提交最后报价。</w:t>
      </w:r>
    </w:p>
    <w:p w14:paraId="310843CE">
      <w:pPr>
        <w:spacing w:line="360" w:lineRule="auto"/>
        <w:ind w:firstLine="420" w:firstLineChars="200"/>
        <w:rPr>
          <w:rFonts w:hint="eastAsia" w:ascii="宋体" w:hAnsi="宋体" w:cs="宋体"/>
          <w:color w:val="auto"/>
          <w:szCs w:val="21"/>
          <w:highlight w:val="none"/>
        </w:rPr>
      </w:pPr>
      <w:r>
        <w:rPr>
          <w:rFonts w:ascii="宋体" w:hAnsi="宋体" w:cs="宋体"/>
          <w:color w:val="auto"/>
          <w:szCs w:val="21"/>
          <w:highlight w:val="none"/>
        </w:rPr>
        <w:t>5.3</w:t>
      </w:r>
      <w:r>
        <w:rPr>
          <w:rFonts w:hint="eastAsia" w:ascii="宋体" w:hAnsi="宋体" w:cs="宋体"/>
          <w:color w:val="auto"/>
          <w:szCs w:val="21"/>
          <w:highlight w:val="none"/>
        </w:rPr>
        <w:t>最后报价是供应商响应文件的有效组成部分。</w:t>
      </w:r>
    </w:p>
    <w:p w14:paraId="793BB317">
      <w:pPr>
        <w:spacing w:line="360" w:lineRule="auto"/>
        <w:ind w:firstLine="420" w:firstLineChars="200"/>
        <w:rPr>
          <w:rFonts w:hint="eastAsia" w:ascii="宋体" w:hAnsi="宋体" w:cs="宋体"/>
          <w:color w:val="auto"/>
          <w:szCs w:val="21"/>
          <w:highlight w:val="none"/>
        </w:rPr>
      </w:pPr>
      <w:r>
        <w:rPr>
          <w:rFonts w:ascii="宋体" w:hAnsi="宋体" w:cs="宋体"/>
          <w:color w:val="auto"/>
          <w:szCs w:val="21"/>
          <w:highlight w:val="none"/>
        </w:rPr>
        <w:t>5.4</w:t>
      </w:r>
      <w:r>
        <w:rPr>
          <w:rFonts w:hint="eastAsia" w:ascii="宋体" w:hAnsi="宋体" w:cs="宋体"/>
          <w:color w:val="auto"/>
          <w:szCs w:val="21"/>
          <w:highlight w:val="none"/>
        </w:rPr>
        <w:t>已经提交响应文件的供应商，在提交最后报价之前，可以根据谈判情况退出谈判，退出谈判的供应商的响应文件按无效响应处理。采购人、采购代理机构将退还退出谈判的供应商的保证金。</w:t>
      </w:r>
    </w:p>
    <w:p w14:paraId="336A1A32">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5.5</w:t>
      </w:r>
      <w:r>
        <w:rPr>
          <w:rFonts w:hint="eastAsia" w:ascii="宋体" w:hAnsi="宋体" w:cs="宋体"/>
          <w:color w:val="auto"/>
          <w:szCs w:val="21"/>
          <w:highlight w:val="none"/>
        </w:rPr>
        <w:t>供应商未在规定时间内提交最后报价的，视为退出谈判，其响应文件按无效处理。</w:t>
      </w:r>
    </w:p>
    <w:p w14:paraId="59C8C7EE">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w:t>
      </w:r>
      <w:r>
        <w:rPr>
          <w:rFonts w:ascii="宋体" w:hAnsi="宋体" w:cs="宋体"/>
          <w:color w:val="auto"/>
          <w:szCs w:val="21"/>
          <w:highlight w:val="none"/>
        </w:rPr>
        <w:t>.6</w:t>
      </w:r>
      <w:r>
        <w:rPr>
          <w:rFonts w:hint="eastAsia" w:ascii="宋体" w:hAnsi="宋体" w:cs="宋体"/>
          <w:color w:val="auto"/>
          <w:szCs w:val="21"/>
          <w:highlight w:val="none"/>
        </w:rPr>
        <w:t>最后报价统一开启后，谈判小组对最后报价进行有效性、完整性和响应程度的审查。</w:t>
      </w:r>
    </w:p>
    <w:p w14:paraId="6D13DD4E">
      <w:pPr>
        <w:spacing w:line="360" w:lineRule="auto"/>
        <w:ind w:firstLine="420" w:firstLineChars="200"/>
        <w:rPr>
          <w:rFonts w:hint="eastAsia" w:ascii="宋体" w:hAnsi="宋体" w:cs="宋体"/>
          <w:color w:val="auto"/>
          <w:szCs w:val="21"/>
          <w:highlight w:val="none"/>
        </w:rPr>
      </w:pPr>
      <w:r>
        <w:rPr>
          <w:rFonts w:ascii="宋体" w:hAnsi="宋体" w:cs="宋体"/>
          <w:color w:val="auto"/>
          <w:szCs w:val="21"/>
          <w:highlight w:val="none"/>
        </w:rPr>
        <w:t>5.7</w:t>
      </w:r>
      <w:r>
        <w:rPr>
          <w:rFonts w:hint="eastAsia" w:ascii="宋体" w:hAnsi="宋体" w:cs="宋体"/>
          <w:color w:val="auto"/>
          <w:szCs w:val="21"/>
          <w:highlight w:val="none"/>
        </w:rPr>
        <w:t>最后报价出现前后不一致的，按照本章第</w:t>
      </w:r>
      <w:r>
        <w:rPr>
          <w:rFonts w:ascii="宋体" w:hAnsi="宋体" w:cs="宋体"/>
          <w:color w:val="auto"/>
          <w:szCs w:val="21"/>
          <w:highlight w:val="none"/>
        </w:rPr>
        <w:t>3.4</w:t>
      </w:r>
      <w:r>
        <w:rPr>
          <w:rFonts w:hint="eastAsia" w:ascii="宋体" w:hAnsi="宋体" w:cs="宋体"/>
          <w:color w:val="auto"/>
          <w:szCs w:val="21"/>
          <w:highlight w:val="none"/>
        </w:rPr>
        <w:t xml:space="preserve">条的规定修正。 </w:t>
      </w:r>
    </w:p>
    <w:p w14:paraId="16CB8743">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5.8</w:t>
      </w:r>
      <w:r>
        <w:rPr>
          <w:rFonts w:hint="eastAsia" w:ascii="宋体" w:hAnsi="宋体" w:cs="宋体"/>
          <w:color w:val="auto"/>
          <w:szCs w:val="21"/>
          <w:highlight w:val="none"/>
        </w:rPr>
        <w:t>修正后的报价出现下列情形的，按无效响应处理：</w:t>
      </w:r>
    </w:p>
    <w:p w14:paraId="0C66098D">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（1）供应商不确认的（全流程电子化评标采取在线确认）；</w:t>
      </w:r>
    </w:p>
    <w:p w14:paraId="7512835D">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（2）经供应商确认修正后的竞标报价（包含首次报价、最后报价）超过所竞标分标规定的采购预算金额或者最高限价的（如本项目公布了最高限价）；</w:t>
      </w:r>
    </w:p>
    <w:p w14:paraId="79A86B03">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（3）经供应商确认修正后的竞标报价（包含首次报价、最后报价）超过分项采购预算金额或者最高限价的（如本项目公布了最高限价）。</w:t>
      </w:r>
    </w:p>
    <w:p w14:paraId="791077F7">
      <w:pPr>
        <w:spacing w:line="360" w:lineRule="auto"/>
        <w:ind w:firstLine="420" w:firstLineChars="200"/>
        <w:rPr>
          <w:rFonts w:hint="eastAsia" w:ascii="宋体" w:hAnsi="宋体" w:cs="宋体"/>
          <w:color w:val="auto"/>
          <w:szCs w:val="21"/>
          <w:highlight w:val="none"/>
        </w:rPr>
      </w:pPr>
      <w:r>
        <w:rPr>
          <w:rFonts w:ascii="宋体" w:hAnsi="宋体" w:cs="宋体"/>
          <w:color w:val="auto"/>
          <w:szCs w:val="21"/>
          <w:highlight w:val="none"/>
        </w:rPr>
        <w:t>5.9</w:t>
      </w:r>
      <w:r>
        <w:rPr>
          <w:rFonts w:hint="eastAsia" w:ascii="宋体" w:hAnsi="宋体" w:cs="宋体"/>
          <w:color w:val="auto"/>
          <w:szCs w:val="21"/>
          <w:highlight w:val="none"/>
        </w:rPr>
        <w:t>经供应商确认修正后的最后报价作为评审及签订合同的依据。</w:t>
      </w:r>
    </w:p>
    <w:p w14:paraId="7B96F316">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5.10供应商出现最后报价按无效响应处理或者响应文件按无效处理时</w:t>
      </w:r>
      <w:r>
        <w:rPr>
          <w:rFonts w:hint="eastAsia" w:ascii="宋体" w:hAnsi="宋体"/>
          <w:color w:val="auto"/>
          <w:sz w:val="22"/>
          <w:szCs w:val="22"/>
          <w:highlight w:val="none"/>
        </w:rPr>
        <w:t>，谈判小组应当告知有关供应商</w:t>
      </w:r>
      <w:r>
        <w:rPr>
          <w:rFonts w:hint="eastAsia" w:ascii="宋体" w:hAnsi="宋体" w:cs="宋体"/>
          <w:color w:val="auto"/>
          <w:szCs w:val="21"/>
          <w:highlight w:val="none"/>
        </w:rPr>
        <w:t>。</w:t>
      </w:r>
    </w:p>
    <w:p w14:paraId="148ECFCB">
      <w:pPr>
        <w:spacing w:line="360" w:lineRule="auto"/>
        <w:ind w:firstLine="420" w:firstLineChars="200"/>
        <w:rPr>
          <w:rFonts w:hint="eastAsia" w:ascii="宋体" w:hAnsi="宋体" w:cs="宋体"/>
          <w:color w:val="auto"/>
          <w:szCs w:val="21"/>
          <w:highlight w:val="none"/>
        </w:rPr>
      </w:pPr>
      <w:r>
        <w:rPr>
          <w:rFonts w:ascii="宋体" w:hAnsi="宋体" w:cs="宋体"/>
          <w:color w:val="auto"/>
          <w:szCs w:val="21"/>
          <w:highlight w:val="none"/>
        </w:rPr>
        <w:t>5.1</w:t>
      </w:r>
      <w:r>
        <w:rPr>
          <w:rFonts w:hint="eastAsia" w:ascii="宋体" w:hAnsi="宋体" w:cs="宋体"/>
          <w:color w:val="auto"/>
          <w:szCs w:val="21"/>
          <w:highlight w:val="none"/>
        </w:rPr>
        <w:t>1最后报价结束后，谈判小组不得再与供应商进行任何形式的商谈。</w:t>
      </w:r>
    </w:p>
    <w:p w14:paraId="75557852">
      <w:pPr>
        <w:spacing w:line="360" w:lineRule="auto"/>
        <w:ind w:firstLine="472" w:firstLineChars="196"/>
        <w:rPr>
          <w:rFonts w:ascii="黑体" w:hAnsi="黑体" w:eastAsia="黑体" w:cs="宋体"/>
          <w:b/>
          <w:bCs/>
          <w:color w:val="auto"/>
          <w:sz w:val="24"/>
          <w:highlight w:val="none"/>
        </w:rPr>
      </w:pPr>
      <w:r>
        <w:rPr>
          <w:rFonts w:ascii="黑体" w:hAnsi="黑体" w:eastAsia="黑体" w:cs="宋体"/>
          <w:b/>
          <w:bCs/>
          <w:color w:val="auto"/>
          <w:sz w:val="24"/>
          <w:highlight w:val="none"/>
        </w:rPr>
        <w:t>6.</w:t>
      </w:r>
      <w:r>
        <w:rPr>
          <w:rFonts w:hint="eastAsia" w:ascii="黑体" w:hAnsi="黑体" w:eastAsia="黑体" w:cs="宋体"/>
          <w:b/>
          <w:bCs/>
          <w:color w:val="auto"/>
          <w:sz w:val="24"/>
          <w:highlight w:val="none"/>
        </w:rPr>
        <w:t xml:space="preserve"> 最后报价政府采购政策性扣除</w:t>
      </w:r>
    </w:p>
    <w:p w14:paraId="7AF97084">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6</w:t>
      </w:r>
      <w:r>
        <w:rPr>
          <w:rFonts w:ascii="宋体" w:hAnsi="宋体" w:cs="宋体"/>
          <w:color w:val="auto"/>
          <w:szCs w:val="21"/>
        </w:rPr>
        <w:t>.1</w:t>
      </w:r>
      <w:r>
        <w:rPr>
          <w:rFonts w:hint="eastAsia" w:ascii="宋体" w:hAnsi="宋体" w:cs="宋体"/>
          <w:color w:val="auto"/>
          <w:szCs w:val="21"/>
        </w:rPr>
        <w:t>评审价为供应商的最后报价进行政策性扣除后的价格，评审价只是作为评审时使用。最终成交供应商的成交金额等于最后报价（如有修正，以确认修正后的最后报价为准）。</w:t>
      </w:r>
    </w:p>
    <w:p w14:paraId="25F0C63A">
      <w:pPr>
        <w:snapToGrid w:val="0"/>
        <w:spacing w:line="360" w:lineRule="auto"/>
        <w:ind w:firstLine="424" w:firstLineChars="202"/>
        <w:jc w:val="left"/>
        <w:rPr>
          <w:rFonts w:hint="eastAsia" w:ascii="宋体" w:hAnsi="宋体"/>
          <w:color w:val="auto"/>
          <w:spacing w:val="-6"/>
          <w:szCs w:val="21"/>
        </w:rPr>
      </w:pPr>
      <w:r>
        <w:rPr>
          <w:rFonts w:ascii="宋体" w:hAnsi="宋体" w:cs="宋体"/>
          <w:color w:val="auto"/>
          <w:szCs w:val="21"/>
        </w:rPr>
        <w:t>6.2</w:t>
      </w:r>
      <w:r>
        <w:rPr>
          <w:rFonts w:hint="eastAsia" w:ascii="宋体" w:hAnsi="宋体"/>
          <w:color w:val="auto"/>
          <w:szCs w:val="21"/>
        </w:rPr>
        <w:t>异常低价响应审查</w:t>
      </w:r>
    </w:p>
    <w:p w14:paraId="26A53DE6">
      <w:pPr>
        <w:snapToGrid w:val="0"/>
        <w:spacing w:line="360" w:lineRule="auto"/>
        <w:ind w:firstLine="420" w:firstLineChars="200"/>
        <w:rPr>
          <w:rFonts w:ascii="宋体" w:hAnsi="宋体"/>
          <w:color w:val="auto"/>
          <w:szCs w:val="21"/>
        </w:rPr>
      </w:pPr>
      <w:r>
        <w:rPr>
          <w:rFonts w:hint="eastAsia" w:ascii="宋体" w:hAnsi="宋体"/>
          <w:color w:val="auto"/>
          <w:szCs w:val="21"/>
        </w:rPr>
        <w:t>（1）谈判小组在评审中发现下列情形之一的，应当启动异常低价响应审查程序：</w:t>
      </w:r>
    </w:p>
    <w:p w14:paraId="034394BB">
      <w:pPr>
        <w:snapToGrid w:val="0"/>
        <w:spacing w:line="360" w:lineRule="auto"/>
        <w:ind w:firstLine="420" w:firstLineChars="200"/>
        <w:rPr>
          <w:rFonts w:hint="eastAsia" w:ascii="宋体" w:hAnsi="宋体" w:cs="宋体"/>
          <w:color w:val="auto"/>
          <w:szCs w:val="21"/>
        </w:rPr>
      </w:pPr>
      <w:r>
        <w:rPr>
          <w:rFonts w:hint="eastAsia" w:ascii="宋体" w:hAnsi="宋体"/>
          <w:color w:val="auto"/>
          <w:szCs w:val="21"/>
        </w:rPr>
        <w:t>①响应报价低于全部通过符合性审查供应商响应报价平均值</w:t>
      </w:r>
      <w:r>
        <w:rPr>
          <w:rFonts w:hint="eastAsia" w:ascii="宋体" w:hAnsi="宋体" w:cs="宋体"/>
          <w:color w:val="auto"/>
          <w:szCs w:val="21"/>
          <w:u w:val="single"/>
        </w:rPr>
        <w:t xml:space="preserve"> </w:t>
      </w:r>
      <w:r>
        <w:rPr>
          <w:rFonts w:hint="eastAsia" w:ascii="宋体" w:hAnsi="宋体" w:cs="宋体"/>
          <w:color w:val="auto"/>
          <w:u w:val="single"/>
          <w:lang w:val="en-US" w:eastAsia="zh-CN"/>
        </w:rPr>
        <w:t>50</w:t>
      </w:r>
      <w:r>
        <w:rPr>
          <w:rFonts w:hint="eastAsia" w:ascii="宋体" w:hAnsi="宋体" w:cs="宋体"/>
          <w:color w:val="auto"/>
          <w:u w:val="single"/>
        </w:rPr>
        <w:t>%</w:t>
      </w:r>
      <w:r>
        <w:rPr>
          <w:rFonts w:hint="eastAsia" w:ascii="宋体" w:hAnsi="宋体" w:cs="宋体"/>
          <w:color w:val="auto"/>
          <w:szCs w:val="21"/>
          <w:u w:val="single"/>
        </w:rPr>
        <w:t xml:space="preserve">  </w:t>
      </w:r>
      <w:r>
        <w:rPr>
          <w:rFonts w:hint="eastAsia" w:ascii="宋体" w:hAnsi="宋体" w:cs="宋体"/>
          <w:color w:val="auto"/>
          <w:szCs w:val="21"/>
        </w:rPr>
        <w:t>的，即响应报价＜全部通过符合性审查供应商响应报价平均值×</w:t>
      </w:r>
      <w:r>
        <w:rPr>
          <w:rFonts w:hint="eastAsia" w:ascii="宋体" w:hAnsi="宋体" w:cs="宋体"/>
          <w:color w:val="auto"/>
          <w:szCs w:val="21"/>
          <w:u w:val="single"/>
        </w:rPr>
        <w:t xml:space="preserve">   </w:t>
      </w:r>
      <w:r>
        <w:rPr>
          <w:rFonts w:hint="eastAsia" w:ascii="宋体" w:hAnsi="宋体" w:cs="宋体"/>
          <w:color w:val="auto"/>
          <w:u w:val="single"/>
          <w:lang w:val="en-US" w:eastAsia="zh-CN"/>
        </w:rPr>
        <w:t>50</w:t>
      </w:r>
      <w:r>
        <w:rPr>
          <w:rFonts w:hint="eastAsia" w:ascii="宋体" w:hAnsi="宋体" w:cs="宋体"/>
          <w:color w:val="auto"/>
          <w:u w:val="single"/>
        </w:rPr>
        <w:t>%</w:t>
      </w:r>
      <w:r>
        <w:rPr>
          <w:rFonts w:hint="eastAsia" w:ascii="宋体" w:hAnsi="宋体" w:cs="宋体"/>
          <w:color w:val="auto"/>
          <w:szCs w:val="21"/>
          <w:u w:val="single"/>
        </w:rPr>
        <w:t xml:space="preserve">  </w:t>
      </w:r>
      <w:r>
        <w:rPr>
          <w:rFonts w:hint="eastAsia" w:ascii="宋体" w:hAnsi="宋体" w:cs="宋体"/>
          <w:color w:val="auto"/>
          <w:szCs w:val="21"/>
        </w:rPr>
        <w:t>；</w:t>
      </w:r>
    </w:p>
    <w:p w14:paraId="17C3D842">
      <w:pPr>
        <w:snapToGrid w:val="0"/>
        <w:spacing w:line="360" w:lineRule="auto"/>
        <w:ind w:firstLine="420" w:firstLineChars="200"/>
        <w:rPr>
          <w:rFonts w:hint="eastAsia" w:ascii="宋体" w:hAnsi="宋体" w:cs="宋体"/>
          <w:color w:val="auto"/>
          <w:szCs w:val="21"/>
        </w:rPr>
      </w:pPr>
      <w:r>
        <w:rPr>
          <w:rFonts w:hint="eastAsia" w:ascii="宋体" w:hAnsi="宋体" w:cs="宋体"/>
          <w:color w:val="auto"/>
          <w:szCs w:val="21"/>
        </w:rPr>
        <w:t>②响应报价低于通过符合性审查的次低报价供应商响应报价</w:t>
      </w:r>
      <w:r>
        <w:rPr>
          <w:rFonts w:hint="eastAsia" w:ascii="宋体" w:hAnsi="宋体" w:cs="宋体"/>
          <w:color w:val="auto"/>
          <w:szCs w:val="21"/>
          <w:u w:val="single"/>
        </w:rPr>
        <w:t xml:space="preserve">  </w:t>
      </w:r>
      <w:r>
        <w:rPr>
          <w:rFonts w:hint="eastAsia" w:ascii="宋体" w:hAnsi="宋体" w:cs="宋体"/>
          <w:color w:val="auto"/>
          <w:u w:val="single"/>
          <w:lang w:val="en-US" w:eastAsia="zh-CN"/>
        </w:rPr>
        <w:t>50</w:t>
      </w:r>
      <w:r>
        <w:rPr>
          <w:rFonts w:hint="eastAsia" w:ascii="宋体" w:hAnsi="宋体" w:cs="宋体"/>
          <w:color w:val="auto"/>
          <w:u w:val="single"/>
        </w:rPr>
        <w:t>%</w:t>
      </w:r>
      <w:r>
        <w:rPr>
          <w:rFonts w:hint="eastAsia" w:ascii="宋体" w:hAnsi="宋体" w:cs="宋体"/>
          <w:color w:val="auto"/>
          <w:szCs w:val="21"/>
          <w:u w:val="single"/>
        </w:rPr>
        <w:t xml:space="preserve"> </w:t>
      </w:r>
      <w:r>
        <w:rPr>
          <w:rFonts w:hint="eastAsia" w:ascii="宋体" w:hAnsi="宋体" w:cs="宋体"/>
          <w:color w:val="auto"/>
          <w:szCs w:val="21"/>
        </w:rPr>
        <w:t>的，即响应报价＜通过符合性审查的次低报价供应商响应报价×</w:t>
      </w:r>
      <w:r>
        <w:rPr>
          <w:rFonts w:hint="eastAsia" w:ascii="宋体" w:hAnsi="宋体" w:cs="宋体"/>
          <w:color w:val="auto"/>
          <w:szCs w:val="21"/>
          <w:u w:val="single"/>
        </w:rPr>
        <w:t xml:space="preserve">  </w:t>
      </w:r>
      <w:r>
        <w:rPr>
          <w:rFonts w:hint="eastAsia" w:ascii="宋体" w:hAnsi="宋体" w:cs="宋体"/>
          <w:color w:val="auto"/>
          <w:szCs w:val="21"/>
          <w:u w:val="single"/>
          <w:lang w:val="en-US" w:eastAsia="zh-CN"/>
        </w:rPr>
        <w:t>50</w:t>
      </w:r>
      <w:r>
        <w:rPr>
          <w:rFonts w:hint="eastAsia" w:ascii="宋体" w:hAnsi="宋体" w:cs="宋体"/>
          <w:color w:val="auto"/>
          <w:u w:val="single"/>
        </w:rPr>
        <w:t>%</w:t>
      </w:r>
      <w:r>
        <w:rPr>
          <w:rFonts w:hint="eastAsia" w:ascii="宋体" w:hAnsi="宋体" w:cs="宋体"/>
          <w:color w:val="auto"/>
          <w:szCs w:val="21"/>
          <w:u w:val="single"/>
        </w:rPr>
        <w:t xml:space="preserve"> </w:t>
      </w:r>
      <w:r>
        <w:rPr>
          <w:rFonts w:hint="eastAsia" w:ascii="宋体" w:hAnsi="宋体" w:cs="宋体"/>
          <w:color w:val="auto"/>
          <w:szCs w:val="21"/>
        </w:rPr>
        <w:t>；</w:t>
      </w:r>
    </w:p>
    <w:p w14:paraId="2E798A6F">
      <w:pPr>
        <w:snapToGrid w:val="0"/>
        <w:spacing w:line="360" w:lineRule="auto"/>
        <w:ind w:firstLine="420" w:firstLineChars="200"/>
        <w:rPr>
          <w:rFonts w:hint="eastAsia" w:ascii="宋体" w:hAnsi="宋体" w:cs="宋体"/>
          <w:color w:val="auto"/>
          <w:szCs w:val="21"/>
        </w:rPr>
      </w:pPr>
      <w:r>
        <w:rPr>
          <w:rFonts w:hint="eastAsia" w:ascii="宋体" w:hAnsi="宋体" w:cs="宋体"/>
          <w:color w:val="auto"/>
          <w:szCs w:val="21"/>
        </w:rPr>
        <w:t>③响应报价低于采购项目最高限价</w:t>
      </w:r>
      <w:r>
        <w:rPr>
          <w:rFonts w:hint="eastAsia" w:ascii="宋体" w:hAnsi="宋体" w:cs="宋体"/>
          <w:color w:val="auto"/>
          <w:szCs w:val="21"/>
          <w:u w:val="single"/>
        </w:rPr>
        <w:t xml:space="preserve">  </w:t>
      </w:r>
      <w:r>
        <w:rPr>
          <w:rFonts w:hint="eastAsia" w:ascii="宋体" w:hAnsi="宋体" w:cs="宋体"/>
          <w:color w:val="auto"/>
          <w:szCs w:val="21"/>
          <w:u w:val="single"/>
          <w:lang w:val="en-US" w:eastAsia="zh-CN"/>
        </w:rPr>
        <w:t>45</w:t>
      </w:r>
      <w:r>
        <w:rPr>
          <w:rFonts w:hint="eastAsia" w:ascii="宋体" w:hAnsi="宋体" w:cs="宋体"/>
          <w:color w:val="auto"/>
          <w:u w:val="single"/>
        </w:rPr>
        <w:t>%</w:t>
      </w:r>
      <w:r>
        <w:rPr>
          <w:rFonts w:hint="eastAsia" w:ascii="宋体" w:hAnsi="宋体" w:cs="宋体"/>
          <w:color w:val="auto"/>
          <w:szCs w:val="21"/>
          <w:u w:val="single"/>
        </w:rPr>
        <w:t xml:space="preserve"> </w:t>
      </w:r>
      <w:r>
        <w:rPr>
          <w:rFonts w:hint="eastAsia" w:ascii="宋体" w:hAnsi="宋体" w:cs="宋体"/>
          <w:color w:val="auto"/>
          <w:szCs w:val="21"/>
        </w:rPr>
        <w:t>的，即响应报价＜采购项目最高限价×</w:t>
      </w:r>
      <w:r>
        <w:rPr>
          <w:rFonts w:hint="eastAsia" w:ascii="宋体" w:hAnsi="宋体" w:cs="宋体"/>
          <w:color w:val="auto"/>
          <w:szCs w:val="21"/>
          <w:u w:val="single"/>
        </w:rPr>
        <w:t xml:space="preserve">  </w:t>
      </w:r>
      <w:r>
        <w:rPr>
          <w:rFonts w:hint="eastAsia" w:ascii="宋体" w:hAnsi="宋体" w:cs="宋体"/>
          <w:color w:val="auto"/>
          <w:u w:val="single"/>
          <w:lang w:val="en-US" w:eastAsia="zh-CN"/>
        </w:rPr>
        <w:t>45</w:t>
      </w:r>
      <w:r>
        <w:rPr>
          <w:rFonts w:hint="eastAsia" w:ascii="宋体" w:hAnsi="宋体" w:cs="宋体"/>
          <w:color w:val="auto"/>
          <w:u w:val="single"/>
        </w:rPr>
        <w:t>%</w:t>
      </w:r>
      <w:r>
        <w:rPr>
          <w:rFonts w:hint="eastAsia" w:ascii="宋体" w:hAnsi="宋体" w:cs="宋体"/>
          <w:color w:val="auto"/>
          <w:szCs w:val="21"/>
          <w:u w:val="single"/>
        </w:rPr>
        <w:t xml:space="preserve">  </w:t>
      </w:r>
      <w:r>
        <w:rPr>
          <w:rFonts w:hint="eastAsia" w:ascii="宋体" w:hAnsi="宋体" w:cs="宋体"/>
          <w:color w:val="auto"/>
          <w:szCs w:val="21"/>
        </w:rPr>
        <w:t>；</w:t>
      </w:r>
    </w:p>
    <w:p w14:paraId="2D0782C6">
      <w:pPr>
        <w:snapToGrid w:val="0"/>
        <w:spacing w:line="360" w:lineRule="auto"/>
        <w:ind w:firstLine="420" w:firstLineChars="200"/>
        <w:rPr>
          <w:rFonts w:hint="eastAsia" w:ascii="宋体" w:hAnsi="宋体"/>
          <w:color w:val="auto"/>
          <w:szCs w:val="21"/>
        </w:rPr>
      </w:pPr>
      <w:r>
        <w:rPr>
          <w:rFonts w:hint="eastAsia" w:ascii="宋体" w:hAnsi="宋体"/>
          <w:color w:val="auto"/>
          <w:szCs w:val="21"/>
        </w:rPr>
        <w:t>④谈判小组基于专业判断，认为供应商报价过低，有可能影响产品质量或者不能诚信履约的其他情形。</w:t>
      </w:r>
    </w:p>
    <w:p w14:paraId="56CB0C91">
      <w:pPr>
        <w:snapToGrid w:val="0"/>
        <w:spacing w:line="360" w:lineRule="auto"/>
        <w:ind w:firstLine="420" w:firstLineChars="200"/>
        <w:rPr>
          <w:rFonts w:hint="eastAsia" w:ascii="宋体" w:hAnsi="宋体"/>
          <w:color w:val="auto"/>
          <w:szCs w:val="21"/>
        </w:rPr>
      </w:pPr>
      <w:r>
        <w:rPr>
          <w:rFonts w:hint="eastAsia" w:ascii="宋体" w:hAnsi="宋体"/>
          <w:color w:val="auto"/>
          <w:szCs w:val="21"/>
        </w:rPr>
        <w:t>（2）谈判小组启动异常低价响应审查后，属于前述第1项至第4项情形的，应当要求相关供应商在评审现场合理的时间内对响应价格作出解释，提供项目具体成本测算等与报价合理性相关的书面说明及必要的证明材料，包括但不限于原材料成本、人工成本、制造费用等，给予相关供应商的合理时间一般不少于30分钟。其中，属于第③项情形，供应商已随响应文件一并提交相关书面说明及必要的证明材料的，可不再重复提交。</w:t>
      </w:r>
    </w:p>
    <w:p w14:paraId="5B6B23B5">
      <w:pPr>
        <w:snapToGrid w:val="0"/>
        <w:spacing w:line="360" w:lineRule="auto"/>
        <w:ind w:firstLine="420" w:firstLineChars="200"/>
        <w:rPr>
          <w:rFonts w:hint="eastAsia" w:ascii="宋体" w:hAnsi="宋体"/>
          <w:color w:val="auto"/>
          <w:szCs w:val="21"/>
        </w:rPr>
      </w:pPr>
      <w:r>
        <w:rPr>
          <w:rFonts w:hint="eastAsia" w:ascii="宋体" w:hAnsi="宋体"/>
          <w:color w:val="auto"/>
          <w:szCs w:val="21"/>
        </w:rPr>
        <w:t>谈判小组依据专业经验，参考同类项目中标（成交）价格、类似产品市场价格水平、行业人工费用标准、国家有关部门指导行业协会发布的行业平均成本等情况，对报价合理性进行判断。</w:t>
      </w:r>
      <w:r>
        <w:rPr>
          <w:rFonts w:hint="eastAsia" w:ascii="宋体" w:hAnsi="宋体"/>
          <w:b/>
          <w:color w:val="auto"/>
          <w:szCs w:val="21"/>
        </w:rPr>
        <w:t>相关供应商不能提供书面说明、证明材料，或者提供的书面说明、证明材料不能证明其报价合理性的，谈判小组应当将其作为无效响应处理。</w:t>
      </w:r>
    </w:p>
    <w:p w14:paraId="610133C4">
      <w:pPr>
        <w:snapToGrid w:val="0"/>
        <w:spacing w:line="360" w:lineRule="auto"/>
        <w:ind w:firstLine="420" w:firstLineChars="200"/>
        <w:rPr>
          <w:rFonts w:hint="eastAsia" w:ascii="宋体" w:hAnsi="宋体"/>
          <w:color w:val="auto"/>
          <w:szCs w:val="21"/>
        </w:rPr>
      </w:pPr>
      <w:r>
        <w:rPr>
          <w:rFonts w:hint="eastAsia" w:ascii="宋体" w:hAnsi="宋体"/>
          <w:color w:val="auto"/>
          <w:szCs w:val="21"/>
        </w:rPr>
        <w:t>采购人、采购代理机构应当为谈判小组在评审现场及时获取同类项目中标（成交）价格、类似产品市场价格水平、行业人工费用标准、国家有关部门指导行业协会发布的行业平均成本等相关信息资料提供便利。谈判小组借助互联网等渠道查询相关信息的，应当严格遵守评审工作纪律，不得实施影响评审公正的行为。</w:t>
      </w:r>
    </w:p>
    <w:p w14:paraId="6B08A33F">
      <w:pPr>
        <w:spacing w:line="360" w:lineRule="auto"/>
        <w:ind w:firstLine="420" w:firstLineChars="200"/>
        <w:rPr>
          <w:rFonts w:ascii="宋体" w:hAnsi="宋体" w:cs="宋体"/>
          <w:color w:val="auto"/>
          <w:szCs w:val="21"/>
        </w:rPr>
      </w:pPr>
      <w:r>
        <w:rPr>
          <w:rFonts w:hint="eastAsia" w:ascii="宋体" w:hAnsi="宋体"/>
          <w:color w:val="auto"/>
          <w:szCs w:val="21"/>
        </w:rPr>
        <w:t>异常低价响应审查的启动原因、审查意见和审查结果应当在评审报告中记录，并随供应商提供的相关书面说明及证明材料，以及谈判小组有关互联网浏览、查询历史一并归档。</w:t>
      </w:r>
    </w:p>
    <w:p w14:paraId="016B4B7D">
      <w:pPr>
        <w:spacing w:line="360" w:lineRule="auto"/>
        <w:ind w:firstLine="420" w:firstLineChars="200"/>
        <w:rPr>
          <w:rFonts w:hint="eastAsia" w:ascii="宋体" w:hAnsi="宋体" w:cs="宋体"/>
          <w:color w:val="auto"/>
        </w:rPr>
      </w:pPr>
      <w:r>
        <w:rPr>
          <w:rFonts w:hint="eastAsia" w:hAnsi="宋体" w:cs="Courier New"/>
          <w:bCs/>
          <w:color w:val="auto"/>
        </w:rPr>
        <w:t>6</w:t>
      </w:r>
      <w:r>
        <w:rPr>
          <w:rFonts w:hAnsi="宋体" w:cs="Courier New"/>
          <w:bCs/>
          <w:color w:val="auto"/>
        </w:rPr>
        <w:t>.3</w:t>
      </w:r>
      <w:r>
        <w:rPr>
          <w:rFonts w:hint="eastAsia" w:hAnsi="宋体" w:cs="Courier New"/>
          <w:bCs/>
          <w:color w:val="auto"/>
        </w:rPr>
        <w:t>中小企业政策性扣除计算方法</w:t>
      </w:r>
    </w:p>
    <w:p w14:paraId="3096C04B">
      <w:pPr>
        <w:spacing w:line="360" w:lineRule="auto"/>
        <w:ind w:firstLine="369" w:firstLineChars="176"/>
        <w:rPr>
          <w:rFonts w:hint="eastAsia" w:ascii="宋体" w:hAnsi="宋体"/>
          <w:color w:val="auto"/>
          <w:szCs w:val="21"/>
          <w:highlight w:val="none"/>
          <w:lang w:val="en-US" w:eastAsia="zh-CN"/>
        </w:rPr>
      </w:pPr>
      <w:r>
        <w:rPr>
          <w:rFonts w:hint="eastAsia" w:ascii="宋体" w:hAnsi="宋体" w:cs="宋体"/>
          <w:color w:val="auto"/>
          <w:szCs w:val="21"/>
          <w:lang w:val="en-US" w:eastAsia="zh-CN"/>
        </w:rPr>
        <w:t>标项一：</w:t>
      </w:r>
      <w:r>
        <w:rPr>
          <w:rFonts w:hint="eastAsia" w:ascii="宋体" w:hAnsi="宋体"/>
          <w:color w:val="auto"/>
          <w:szCs w:val="21"/>
          <w:highlight w:val="none"/>
          <w:lang w:eastAsia="zh-CN"/>
        </w:rPr>
        <w:t>考试保障监测、反制设备</w:t>
      </w:r>
      <w:r>
        <w:rPr>
          <w:rFonts w:hint="eastAsia" w:ascii="宋体" w:hAnsi="宋体"/>
          <w:color w:val="auto"/>
          <w:szCs w:val="21"/>
          <w:highlight w:val="none"/>
          <w:lang w:val="en-US" w:eastAsia="zh-CN"/>
        </w:rPr>
        <w:t xml:space="preserve">   本标项为专门面向中小企业采购的项目，不再执行价格评审的优惠政策；</w:t>
      </w:r>
    </w:p>
    <w:p w14:paraId="603A3647">
      <w:pPr>
        <w:spacing w:line="360" w:lineRule="auto"/>
        <w:ind w:firstLine="369" w:firstLineChars="176"/>
        <w:rPr>
          <w:rFonts w:hint="default" w:ascii="宋体" w:hAnsi="宋体" w:eastAsia="宋体" w:cs="宋体"/>
          <w:color w:val="auto"/>
          <w:szCs w:val="21"/>
          <w:lang w:val="en-US" w:eastAsia="zh-CN"/>
        </w:rPr>
      </w:pPr>
      <w:r>
        <w:rPr>
          <w:rFonts w:hint="eastAsia" w:ascii="宋体" w:hAnsi="宋体" w:cs="宋体"/>
          <w:color w:val="auto"/>
          <w:szCs w:val="21"/>
          <w:lang w:val="en-US" w:eastAsia="zh-CN"/>
        </w:rPr>
        <w:t>标项二：航空GNSS干扰实时预警系统</w:t>
      </w:r>
      <w:r>
        <w:rPr>
          <w:rFonts w:hint="eastAsia" w:ascii="宋体" w:hAnsi="宋体"/>
          <w:color w:val="auto"/>
          <w:szCs w:val="21"/>
          <w:highlight w:val="none"/>
          <w:lang w:val="en-US" w:eastAsia="zh-CN"/>
        </w:rPr>
        <w:t xml:space="preserve">   本标项为非专门面向中小企业采购的项目，评审时按以下条款进行价格扣除：</w:t>
      </w:r>
    </w:p>
    <w:p w14:paraId="253CB7C4">
      <w:pPr>
        <w:spacing w:line="360" w:lineRule="auto"/>
        <w:ind w:firstLine="369" w:firstLineChars="176"/>
        <w:rPr>
          <w:rFonts w:ascii="宋体" w:hAnsi="宋体" w:cs="宋体"/>
          <w:color w:val="auto"/>
        </w:rPr>
      </w:pPr>
      <w:r>
        <w:rPr>
          <w:rFonts w:hint="eastAsia" w:ascii="宋体" w:hAnsi="宋体" w:cs="宋体"/>
          <w:color w:val="auto"/>
          <w:szCs w:val="21"/>
          <w:lang w:eastAsia="zh-CN"/>
        </w:rPr>
        <w:t>（</w:t>
      </w:r>
      <w:r>
        <w:rPr>
          <w:rFonts w:hint="eastAsia" w:ascii="宋体" w:hAnsi="宋体" w:cs="宋体"/>
          <w:color w:val="auto"/>
          <w:szCs w:val="21"/>
          <w:lang w:val="en-US" w:eastAsia="zh-CN"/>
        </w:rPr>
        <w:t>1</w:t>
      </w:r>
      <w:r>
        <w:rPr>
          <w:rFonts w:hint="eastAsia" w:ascii="宋体" w:hAnsi="宋体" w:cs="宋体"/>
          <w:color w:val="auto"/>
          <w:szCs w:val="21"/>
          <w:lang w:eastAsia="zh-CN"/>
        </w:rPr>
        <w:t>）</w:t>
      </w:r>
      <w:r>
        <w:rPr>
          <w:rFonts w:hint="eastAsia" w:ascii="宋体" w:hAnsi="宋体" w:cs="宋体"/>
          <w:color w:val="auto"/>
          <w:szCs w:val="21"/>
        </w:rPr>
        <w:t>根据《政府采购促进中小企业发展管理办法》（财库〔2020〕46号）</w:t>
      </w:r>
      <w:r>
        <w:rPr>
          <w:rFonts w:hint="eastAsia" w:ascii="宋体" w:hAnsi="宋体"/>
          <w:bCs/>
          <w:color w:val="auto"/>
          <w:szCs w:val="21"/>
        </w:rPr>
        <w:t>及《广西壮族自治区财政厅关于持续优化政府采购营商环境推动高质量发展的通知》（桂财采〔2024〕55号）的规定，供应商在其响应文件中提供《中小企业声明函》，且响应货物全部由小微企业制造，对供应商的竞标报价给予</w:t>
      </w:r>
      <w:r>
        <w:rPr>
          <w:rFonts w:hint="eastAsia" w:ascii="宋体" w:hAnsi="宋体"/>
          <w:bCs/>
          <w:color w:val="auto"/>
          <w:szCs w:val="21"/>
          <w:u w:val="single"/>
        </w:rPr>
        <w:t xml:space="preserve"> 10%  </w:t>
      </w:r>
      <w:r>
        <w:rPr>
          <w:rFonts w:hint="eastAsia" w:ascii="宋体" w:hAnsi="宋体"/>
          <w:bCs/>
          <w:color w:val="auto"/>
          <w:szCs w:val="21"/>
        </w:rPr>
        <w:t>的扣除，扣除后的价格为评审价，即中小企业政策性折扣=竞标报价×</w:t>
      </w:r>
      <w:r>
        <w:rPr>
          <w:rFonts w:hint="eastAsia" w:ascii="宋体" w:hAnsi="宋体"/>
          <w:bCs/>
          <w:color w:val="auto"/>
          <w:szCs w:val="21"/>
          <w:u w:val="single"/>
        </w:rPr>
        <w:t xml:space="preserve"> 10% </w:t>
      </w:r>
      <w:r>
        <w:rPr>
          <w:rFonts w:hint="eastAsia" w:ascii="宋体" w:hAnsi="宋体"/>
          <w:bCs/>
          <w:color w:val="auto"/>
          <w:szCs w:val="21"/>
        </w:rPr>
        <w:t>。接受大中型企业与小微企业组成联合体或者允许大中型企业向一家或者多家小微企业分包的采购项目，联合协议或者分包意向协议约定小微企业的合同份额占到合同总金额30%以上的，采购人、采购代理机构应当对联合体或者大中型企业的报价给予</w:t>
      </w:r>
      <w:r>
        <w:rPr>
          <w:rFonts w:hint="eastAsia" w:ascii="宋体" w:hAnsi="宋体"/>
          <w:bCs/>
          <w:color w:val="auto"/>
          <w:szCs w:val="21"/>
          <w:u w:val="single"/>
        </w:rPr>
        <w:t xml:space="preserve"> 4%</w:t>
      </w:r>
      <w:r>
        <w:rPr>
          <w:rFonts w:hint="eastAsia" w:ascii="宋体" w:hAnsi="宋体"/>
          <w:bCs/>
          <w:color w:val="auto"/>
          <w:szCs w:val="21"/>
        </w:rPr>
        <w:t>的扣除，用扣除后的价格参加评审，扣除后的价格为评审价，即中小企业政策性折扣=竞标报价×4%。除上述情况外，评审价=竞标报价。</w:t>
      </w:r>
    </w:p>
    <w:p w14:paraId="01C7CCD2">
      <w:pPr>
        <w:spacing w:line="360" w:lineRule="auto"/>
        <w:ind w:firstLine="420" w:firstLineChars="200"/>
        <w:rPr>
          <w:rFonts w:hint="eastAsia" w:ascii="宋体" w:hAnsi="宋体" w:cs="宋体"/>
          <w:color w:val="auto"/>
          <w:szCs w:val="21"/>
        </w:rPr>
      </w:pPr>
      <w:r>
        <w:rPr>
          <w:rFonts w:hint="eastAsia" w:ascii="宋体" w:hAnsi="宋体" w:cs="宋体"/>
          <w:color w:val="auto"/>
          <w:szCs w:val="21"/>
          <w:lang w:eastAsia="zh-CN"/>
        </w:rPr>
        <w:t>（</w:t>
      </w:r>
      <w:r>
        <w:rPr>
          <w:rFonts w:hint="eastAsia" w:ascii="宋体" w:hAnsi="宋体" w:cs="宋体"/>
          <w:color w:val="auto"/>
          <w:szCs w:val="21"/>
          <w:lang w:val="en-US" w:eastAsia="zh-CN"/>
        </w:rPr>
        <w:t>2</w:t>
      </w:r>
      <w:r>
        <w:rPr>
          <w:rFonts w:hint="eastAsia" w:ascii="宋体" w:hAnsi="宋体" w:cs="宋体"/>
          <w:color w:val="auto"/>
          <w:szCs w:val="21"/>
          <w:lang w:eastAsia="zh-CN"/>
        </w:rPr>
        <w:t>）</w:t>
      </w:r>
      <w:r>
        <w:rPr>
          <w:rFonts w:hint="eastAsia" w:ascii="宋体" w:hAnsi="宋体" w:cs="宋体"/>
          <w:color w:val="auto"/>
          <w:szCs w:val="21"/>
        </w:rPr>
        <w:t>按照《财政部、司法部关于政府采购支持监狱企业发展有关问题的通知》（财库〔2014〕68号）的规定，监狱企业视同小型、微型企业，享受预留份额、评审中价格扣除等促进中小企业发展的政府采购政策。监狱企业参加政府采购活动时，应当提供由省级以上监狱管理局、戒毒管理局（含新疆生产建设兵团）出具的属于监狱企业的证明文件。</w:t>
      </w:r>
      <w:r>
        <w:rPr>
          <w:rFonts w:hint="eastAsia" w:ascii="宋体" w:hAnsi="宋体"/>
          <w:bCs/>
          <w:color w:val="auto"/>
          <w:szCs w:val="21"/>
        </w:rPr>
        <w:t>监狱企业属于小型、微型企业的，</w:t>
      </w:r>
      <w:r>
        <w:rPr>
          <w:rFonts w:hint="eastAsia" w:ascii="宋体" w:hAnsi="宋体" w:cs="宋体"/>
          <w:color w:val="auto"/>
          <w:szCs w:val="21"/>
        </w:rPr>
        <w:t>不重复享受政策。</w:t>
      </w:r>
    </w:p>
    <w:p w14:paraId="6DCC405B">
      <w:pPr>
        <w:spacing w:line="360" w:lineRule="auto"/>
        <w:ind w:firstLine="420" w:firstLineChars="200"/>
        <w:rPr>
          <w:rFonts w:hint="eastAsia" w:ascii="宋体" w:hAnsi="宋体" w:cs="宋体"/>
          <w:color w:val="auto"/>
        </w:rPr>
      </w:pPr>
      <w:r>
        <w:rPr>
          <w:rFonts w:hint="eastAsia" w:ascii="宋体" w:hAnsi="宋体" w:cs="宋体"/>
          <w:color w:val="auto"/>
          <w:szCs w:val="21"/>
          <w:lang w:eastAsia="zh-CN"/>
        </w:rPr>
        <w:t>（</w:t>
      </w:r>
      <w:r>
        <w:rPr>
          <w:rFonts w:hint="eastAsia" w:ascii="宋体" w:hAnsi="宋体" w:cs="宋体"/>
          <w:color w:val="auto"/>
          <w:szCs w:val="21"/>
          <w:lang w:val="en-US" w:eastAsia="zh-CN"/>
        </w:rPr>
        <w:t>3</w:t>
      </w:r>
      <w:r>
        <w:rPr>
          <w:rFonts w:hint="eastAsia" w:ascii="宋体" w:hAnsi="宋体" w:cs="宋体"/>
          <w:color w:val="auto"/>
          <w:szCs w:val="21"/>
          <w:lang w:eastAsia="zh-CN"/>
        </w:rPr>
        <w:t>）</w:t>
      </w:r>
      <w:r>
        <w:rPr>
          <w:rFonts w:hint="eastAsia" w:ascii="宋体" w:hAnsi="宋体" w:cs="宋体"/>
          <w:color w:val="auto"/>
          <w:szCs w:val="21"/>
        </w:rPr>
        <w:t>按照《关于促进残疾人就业政府采购政策的通知》（财库〔2017〕141号）的规定，残疾人福利性单位视同小型、微型企业，享受预留份额、评审中价格扣除等</w:t>
      </w:r>
      <w:r>
        <w:rPr>
          <w:rFonts w:hint="eastAsia" w:ascii="宋体" w:hAnsi="宋体" w:cs="宋体"/>
          <w:color w:val="auto"/>
        </w:rPr>
        <w:t>促进中小企业发展的政府采购政策。残疾人福利性单位参加政府采购活动时，应当提供该通知规定的《残疾人福利性单位声明函》，并对声明的真实性负责。残疾人福利性单位属于小型、微型企业的，不重复享受政策。</w:t>
      </w:r>
    </w:p>
    <w:p w14:paraId="695E5FE9">
      <w:pPr>
        <w:spacing w:line="360" w:lineRule="auto"/>
        <w:ind w:firstLine="420" w:firstLineChars="200"/>
        <w:rPr>
          <w:rFonts w:hint="eastAsia" w:ascii="宋体" w:hAnsi="宋体"/>
          <w:color w:val="auto"/>
          <w:szCs w:val="21"/>
        </w:rPr>
      </w:pPr>
      <w:r>
        <w:rPr>
          <w:rFonts w:hint="eastAsia" w:ascii="宋体" w:hAnsi="宋体"/>
          <w:color w:val="auto"/>
          <w:szCs w:val="21"/>
        </w:rPr>
        <w:t>6</w:t>
      </w:r>
      <w:r>
        <w:rPr>
          <w:rFonts w:ascii="宋体" w:hAnsi="宋体"/>
          <w:color w:val="auto"/>
          <w:szCs w:val="21"/>
        </w:rPr>
        <w:t>.</w:t>
      </w:r>
      <w:r>
        <w:rPr>
          <w:rFonts w:hint="eastAsia" w:ascii="宋体" w:hAnsi="宋体"/>
          <w:color w:val="auto"/>
          <w:szCs w:val="21"/>
          <w:lang w:val="en-US" w:eastAsia="zh-CN"/>
        </w:rPr>
        <w:t>4</w:t>
      </w:r>
      <w:r>
        <w:rPr>
          <w:rFonts w:hint="eastAsia" w:ascii="宋体" w:hAnsi="宋体"/>
          <w:color w:val="auto"/>
          <w:szCs w:val="21"/>
        </w:rPr>
        <w:t>本国产品政策性扣除计算方法。</w:t>
      </w:r>
    </w:p>
    <w:p w14:paraId="2D1D9410">
      <w:pPr>
        <w:spacing w:line="360" w:lineRule="auto"/>
        <w:ind w:firstLine="420" w:firstLineChars="200"/>
        <w:rPr>
          <w:rFonts w:hint="eastAsia" w:ascii="宋体" w:hAnsi="宋体"/>
          <w:color w:val="auto"/>
          <w:szCs w:val="21"/>
        </w:rPr>
      </w:pPr>
      <w:r>
        <w:rPr>
          <w:rFonts w:hint="eastAsia" w:ascii="宋体" w:hAnsi="宋体"/>
          <w:color w:val="auto"/>
          <w:szCs w:val="21"/>
        </w:rPr>
        <w:t>根据《国务院办公厅关于在政府采购中实施本国产品标准及相关政策的通知》（国办发〔2025〕34号）的规定，政府采购活动中既有本国产品又有非本国产品参与竞争的，依法对本国产品给予价格评审优惠，对本国产品的报价给予20%的价格扣除，用扣除后的价格参与评审。</w:t>
      </w:r>
    </w:p>
    <w:p w14:paraId="5136554D">
      <w:pPr>
        <w:spacing w:line="360" w:lineRule="auto"/>
        <w:ind w:firstLine="420" w:firstLineChars="200"/>
        <w:rPr>
          <w:rFonts w:ascii="宋体" w:hAnsi="宋体"/>
          <w:color w:val="auto"/>
          <w:szCs w:val="21"/>
        </w:rPr>
      </w:pPr>
      <w:r>
        <w:rPr>
          <w:rFonts w:hint="eastAsia" w:ascii="宋体" w:hAnsi="宋体"/>
          <w:color w:val="auto"/>
          <w:szCs w:val="21"/>
        </w:rPr>
        <w:t>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总报价给予20%的价格扣除，用扣除后的价格参与评审。</w:t>
      </w:r>
      <w:bookmarkStart w:id="108" w:name="OLE_LINK4"/>
      <w:bookmarkStart w:id="109" w:name="OLE_LINK3"/>
      <w:r>
        <w:rPr>
          <w:rFonts w:hint="eastAsia" w:hAnsi="宋体"/>
          <w:color w:val="auto"/>
        </w:rPr>
        <w:t>未达到80%，不享受价格评审优惠。</w:t>
      </w:r>
      <w:bookmarkEnd w:id="108"/>
      <w:bookmarkEnd w:id="109"/>
    </w:p>
    <w:p w14:paraId="74530824">
      <w:pPr>
        <w:spacing w:line="360" w:lineRule="auto"/>
        <w:ind w:firstLine="420" w:firstLineChars="200"/>
        <w:rPr>
          <w:rFonts w:hint="eastAsia" w:ascii="宋体" w:hAnsi="宋体"/>
          <w:color w:val="auto"/>
          <w:szCs w:val="21"/>
        </w:rPr>
      </w:pPr>
      <w:r>
        <w:rPr>
          <w:rFonts w:hint="eastAsia" w:hAnsi="宋体"/>
          <w:color w:val="auto"/>
        </w:rPr>
        <w:t>如果所有参与竞争的供应商均可享受本国产品价格评审优惠，则统一不进行价格扣除。</w:t>
      </w:r>
    </w:p>
    <w:p w14:paraId="44396151">
      <w:pPr>
        <w:spacing w:line="360" w:lineRule="auto"/>
        <w:ind w:firstLine="420" w:firstLineChars="200"/>
        <w:rPr>
          <w:rFonts w:hint="eastAsia" w:ascii="宋体" w:hAnsi="宋体"/>
          <w:color w:val="auto"/>
          <w:szCs w:val="21"/>
        </w:rPr>
      </w:pPr>
      <w:r>
        <w:rPr>
          <w:rFonts w:hint="eastAsia" w:ascii="宋体" w:hAnsi="宋体"/>
          <w:color w:val="auto"/>
          <w:szCs w:val="21"/>
        </w:rPr>
        <w:t>供应商在其响应文件中提供《关于符合本国产品标准的声明函》或财政部会同有关部门规定的有关证明文件，出具符合要求的《声明函》或有关证明文件的，该产品视为本国产品。</w:t>
      </w:r>
    </w:p>
    <w:p w14:paraId="6CD480E2">
      <w:pPr>
        <w:spacing w:line="360" w:lineRule="auto"/>
        <w:ind w:firstLine="420" w:firstLineChars="200"/>
        <w:rPr>
          <w:rFonts w:hint="eastAsia" w:ascii="宋体" w:hAnsi="宋体"/>
          <w:i/>
          <w:color w:val="auto"/>
          <w:szCs w:val="21"/>
        </w:rPr>
      </w:pPr>
      <w:r>
        <w:rPr>
          <w:rFonts w:hint="eastAsia" w:ascii="宋体" w:hAnsi="宋体"/>
          <w:color w:val="auto"/>
          <w:szCs w:val="21"/>
        </w:rPr>
        <w:t>6</w:t>
      </w:r>
      <w:r>
        <w:rPr>
          <w:rFonts w:ascii="宋体" w:hAnsi="宋体"/>
          <w:color w:val="auto"/>
          <w:szCs w:val="21"/>
        </w:rPr>
        <w:t>.</w:t>
      </w:r>
      <w:r>
        <w:rPr>
          <w:rFonts w:hint="eastAsia" w:ascii="宋体" w:hAnsi="宋体"/>
          <w:color w:val="auto"/>
          <w:szCs w:val="21"/>
          <w:lang w:val="en-US" w:eastAsia="zh-CN"/>
        </w:rPr>
        <w:t>5</w:t>
      </w:r>
      <w:r>
        <w:rPr>
          <w:rFonts w:hint="eastAsia" w:ascii="宋体" w:hAnsi="宋体"/>
          <w:color w:val="auto"/>
          <w:szCs w:val="21"/>
        </w:rPr>
        <w:t>中小企业政策性折扣与本国产品政策性折扣进行叠加计算，用扣除后的价格参加评审。即评审价=竞标报价-</w:t>
      </w:r>
      <w:r>
        <w:rPr>
          <w:rFonts w:hint="eastAsia" w:hAnsi="宋体" w:cs="Courier New"/>
          <w:bCs/>
          <w:color w:val="auto"/>
        </w:rPr>
        <w:t>中小企业政策性</w:t>
      </w:r>
      <w:r>
        <w:rPr>
          <w:rFonts w:hint="eastAsia" w:ascii="宋体" w:hAnsi="宋体"/>
          <w:color w:val="auto"/>
          <w:szCs w:val="21"/>
        </w:rPr>
        <w:t>折扣-本国产品政策性折扣，除上述情况外，评审价=竞标报价。</w:t>
      </w:r>
    </w:p>
    <w:p w14:paraId="60910B09">
      <w:pPr>
        <w:spacing w:line="360" w:lineRule="auto"/>
        <w:jc w:val="center"/>
        <w:rPr>
          <w:rFonts w:hint="eastAsia" w:ascii="宋体" w:hAnsi="宋体"/>
          <w:b/>
          <w:color w:val="auto"/>
          <w:sz w:val="32"/>
          <w:szCs w:val="32"/>
          <w:highlight w:val="none"/>
        </w:rPr>
      </w:pPr>
      <w:r>
        <w:rPr>
          <w:rFonts w:hint="eastAsia" w:ascii="宋体" w:hAnsi="宋体"/>
          <w:b/>
          <w:color w:val="auto"/>
          <w:sz w:val="32"/>
          <w:szCs w:val="32"/>
          <w:highlight w:val="none"/>
        </w:rPr>
        <w:t>二、评定成交的标准</w:t>
      </w:r>
    </w:p>
    <w:p w14:paraId="00E905F6">
      <w:pPr>
        <w:spacing w:line="360" w:lineRule="auto"/>
        <w:ind w:firstLine="482" w:firstLineChars="200"/>
        <w:rPr>
          <w:rFonts w:ascii="黑体" w:hAnsi="黑体" w:eastAsia="黑体" w:cs="宋体"/>
          <w:b/>
          <w:bCs/>
          <w:color w:val="auto"/>
          <w:sz w:val="24"/>
          <w:highlight w:val="none"/>
        </w:rPr>
      </w:pPr>
      <w:r>
        <w:rPr>
          <w:rFonts w:ascii="黑体" w:hAnsi="黑体" w:eastAsia="黑体" w:cs="宋体"/>
          <w:b/>
          <w:bCs/>
          <w:color w:val="auto"/>
          <w:sz w:val="24"/>
          <w:highlight w:val="none"/>
        </w:rPr>
        <w:t>7.</w:t>
      </w:r>
      <w:r>
        <w:rPr>
          <w:rFonts w:hint="eastAsia" w:ascii="黑体" w:hAnsi="黑体" w:eastAsia="黑体" w:cs="宋体"/>
          <w:b/>
          <w:bCs/>
          <w:color w:val="auto"/>
          <w:sz w:val="24"/>
          <w:highlight w:val="none"/>
        </w:rPr>
        <w:t xml:space="preserve"> 成交候选人推荐</w:t>
      </w:r>
    </w:p>
    <w:p w14:paraId="01639F2F">
      <w:pPr>
        <w:spacing w:line="360" w:lineRule="auto"/>
        <w:ind w:firstLine="420" w:firstLineChars="200"/>
        <w:contextualSpacing/>
        <w:rPr>
          <w:rFonts w:hint="eastAsia" w:hAnsi="宋体"/>
          <w:color w:val="auto"/>
          <w:highlight w:val="none"/>
        </w:rPr>
      </w:pPr>
      <w:r>
        <w:rPr>
          <w:rFonts w:hint="eastAsia" w:ascii="宋体" w:hAnsi="宋体" w:cs="宋体"/>
          <w:color w:val="auto"/>
          <w:highlight w:val="none"/>
        </w:rPr>
        <w:t>谈判小组应当从质量和服务均能满足谈判文件实质性响应要求的供应商中，按照评审价由低到高的顺序提出3名以上成交候选人（评审价相同时，按照最后报价由低到高顺序依次推荐；最后报价相同时，由谈判小组按“供应商须知前附表”第2</w:t>
      </w:r>
      <w:r>
        <w:rPr>
          <w:rFonts w:ascii="宋体" w:hAnsi="宋体" w:cs="宋体"/>
          <w:color w:val="auto"/>
          <w:highlight w:val="none"/>
        </w:rPr>
        <w:t>6</w:t>
      </w:r>
      <w:r>
        <w:rPr>
          <w:rFonts w:hint="eastAsia" w:ascii="宋体" w:hAnsi="宋体" w:cs="宋体"/>
          <w:color w:val="auto"/>
          <w:highlight w:val="none"/>
        </w:rPr>
        <w:t>条规定的顺序推荐），并编写评审报告，评审报告</w:t>
      </w:r>
      <w:r>
        <w:rPr>
          <w:rFonts w:hint="eastAsia" w:hAnsi="宋体"/>
          <w:color w:val="auto"/>
          <w:highlight w:val="none"/>
        </w:rPr>
        <w:t>通过电子交易平台向采购人、采购代理机构提交。</w:t>
      </w:r>
    </w:p>
    <w:p w14:paraId="5F42D716">
      <w:pPr>
        <w:spacing w:line="360" w:lineRule="auto"/>
        <w:ind w:firstLine="420" w:firstLineChars="200"/>
        <w:contextualSpacing/>
        <w:rPr>
          <w:rFonts w:hint="eastAsia" w:ascii="宋体" w:hAnsi="宋体" w:cs="宋体"/>
          <w:color w:val="auto"/>
          <w:highlight w:val="none"/>
        </w:rPr>
      </w:pPr>
      <w:r>
        <w:rPr>
          <w:rFonts w:hint="eastAsia" w:hAnsi="宋体"/>
          <w:color w:val="auto"/>
          <w:highlight w:val="none"/>
        </w:rPr>
        <w:t>谈判小组认为，某谈判供应商的有效报价或者某些分项报价明显不合理或者低于成本，有可能影响商品质量和不能诚信履约的，应要求其在规定的期限内提供书面文件予以解释说明，并提交相关证明材料，否则，谈判小组将不推荐该谈判供应商为成交候选供应商。</w:t>
      </w:r>
    </w:p>
    <w:p w14:paraId="6916A8DE">
      <w:pPr>
        <w:pStyle w:val="2"/>
        <w:spacing w:line="480" w:lineRule="auto"/>
        <w:jc w:val="center"/>
        <w:rPr>
          <w:rFonts w:hint="eastAsia"/>
          <w:color w:val="auto"/>
          <w:highlight w:val="none"/>
        </w:rPr>
      </w:pPr>
      <w:r>
        <w:rPr>
          <w:color w:val="auto"/>
          <w:highlight w:val="none"/>
        </w:rPr>
        <w:br w:type="page"/>
      </w:r>
      <w:bookmarkStart w:id="110" w:name="_Toc74322012"/>
      <w:r>
        <w:rPr>
          <w:rFonts w:hint="eastAsia"/>
          <w:color w:val="auto"/>
          <w:highlight w:val="none"/>
        </w:rPr>
        <w:t>第五章 响应文件格式</w:t>
      </w:r>
      <w:bookmarkEnd w:id="110"/>
    </w:p>
    <w:p w14:paraId="0306DAE9">
      <w:pPr>
        <w:spacing w:line="240" w:lineRule="atLeast"/>
        <w:rPr>
          <w:rFonts w:hint="eastAsia" w:ascii="宋体" w:hAnsi="宋体"/>
          <w:b/>
          <w:color w:val="auto"/>
          <w:sz w:val="32"/>
          <w:szCs w:val="32"/>
          <w:highlight w:val="none"/>
        </w:rPr>
      </w:pPr>
    </w:p>
    <w:p w14:paraId="1329F11C">
      <w:pPr>
        <w:rPr>
          <w:rFonts w:hint="eastAsia"/>
          <w:b/>
          <w:color w:val="auto"/>
          <w:sz w:val="32"/>
          <w:szCs w:val="32"/>
          <w:highlight w:val="none"/>
        </w:rPr>
      </w:pPr>
      <w:bookmarkStart w:id="111" w:name="_Toc71366060"/>
      <w:bookmarkStart w:id="112" w:name="_Toc71365382"/>
      <w:r>
        <w:rPr>
          <w:rFonts w:hint="eastAsia"/>
          <w:b/>
          <w:color w:val="auto"/>
          <w:sz w:val="32"/>
          <w:szCs w:val="32"/>
          <w:highlight w:val="none"/>
        </w:rPr>
        <w:t>一、资格证明文件格式</w:t>
      </w:r>
      <w:bookmarkEnd w:id="111"/>
      <w:bookmarkEnd w:id="112"/>
    </w:p>
    <w:p w14:paraId="496A66A1">
      <w:pPr>
        <w:snapToGrid w:val="0"/>
        <w:spacing w:before="120" w:beforeLines="50" w:after="50" w:line="360" w:lineRule="auto"/>
        <w:jc w:val="left"/>
        <w:rPr>
          <w:rFonts w:hint="eastAsia" w:ascii="宋体" w:hAnsi="宋体"/>
          <w:b/>
          <w:color w:val="auto"/>
          <w:sz w:val="24"/>
          <w:highlight w:val="none"/>
        </w:rPr>
      </w:pPr>
      <w:r>
        <w:rPr>
          <w:rFonts w:hint="eastAsia" w:ascii="宋体" w:hAnsi="宋体"/>
          <w:b/>
          <w:color w:val="auto"/>
          <w:sz w:val="32"/>
          <w:szCs w:val="32"/>
          <w:highlight w:val="none"/>
        </w:rPr>
        <w:t>1.资格证明文件封面格式：</w:t>
      </w:r>
      <w:r>
        <w:rPr>
          <w:rFonts w:hint="eastAsia" w:ascii="宋体" w:hAnsi="宋体"/>
          <w:b/>
          <w:color w:val="auto"/>
          <w:sz w:val="24"/>
          <w:highlight w:val="none"/>
        </w:rPr>
        <w:t xml:space="preserve"> </w:t>
      </w:r>
    </w:p>
    <w:p w14:paraId="64BDB9A4">
      <w:pPr>
        <w:snapToGrid w:val="0"/>
        <w:spacing w:before="120" w:beforeLines="50" w:after="50"/>
        <w:rPr>
          <w:rFonts w:hint="eastAsia" w:ascii="宋体" w:hAnsi="宋体"/>
          <w:bCs/>
          <w:color w:val="auto"/>
          <w:sz w:val="32"/>
          <w:szCs w:val="20"/>
          <w:highlight w:val="none"/>
        </w:rPr>
      </w:pPr>
      <w:r>
        <w:rPr>
          <w:rFonts w:hint="eastAsia" w:ascii="宋体" w:hAnsi="宋体"/>
          <w:color w:val="auto"/>
          <w:sz w:val="24"/>
          <w:highlight w:val="none"/>
        </w:rPr>
        <w:t xml:space="preserve">                                                    </w:t>
      </w:r>
    </w:p>
    <w:p w14:paraId="10C94B6D">
      <w:pPr>
        <w:snapToGrid w:val="0"/>
        <w:spacing w:before="120" w:beforeLines="50" w:after="50"/>
        <w:jc w:val="center"/>
        <w:rPr>
          <w:rFonts w:ascii="宋体" w:hAnsi="宋体"/>
          <w:color w:val="auto"/>
          <w:sz w:val="44"/>
          <w:szCs w:val="44"/>
          <w:highlight w:val="none"/>
        </w:rPr>
      </w:pPr>
      <w:r>
        <w:rPr>
          <w:rFonts w:hint="eastAsia" w:ascii="宋体" w:hAnsi="宋体"/>
          <w:color w:val="auto"/>
          <w:sz w:val="44"/>
          <w:szCs w:val="44"/>
          <w:highlight w:val="none"/>
        </w:rPr>
        <w:t>电 子 响 应 文 件</w:t>
      </w:r>
    </w:p>
    <w:p w14:paraId="5B84E2E5">
      <w:pPr>
        <w:snapToGrid w:val="0"/>
        <w:spacing w:before="120" w:beforeLines="50" w:after="50"/>
        <w:rPr>
          <w:rFonts w:hint="eastAsia" w:ascii="宋体" w:hAnsi="宋体"/>
          <w:color w:val="auto"/>
          <w:sz w:val="24"/>
          <w:szCs w:val="20"/>
          <w:highlight w:val="none"/>
        </w:rPr>
      </w:pPr>
    </w:p>
    <w:p w14:paraId="1EF873C2">
      <w:pPr>
        <w:snapToGrid w:val="0"/>
        <w:spacing w:before="120" w:beforeLines="50" w:after="50"/>
        <w:jc w:val="center"/>
        <w:rPr>
          <w:rFonts w:hint="eastAsia" w:ascii="方正小标宋简体" w:hAnsi="方正小标宋简体" w:eastAsia="方正小标宋简体" w:cs="方正小标宋简体"/>
          <w:bCs/>
          <w:color w:val="auto"/>
          <w:sz w:val="44"/>
          <w:szCs w:val="44"/>
          <w:highlight w:val="none"/>
        </w:rPr>
      </w:pPr>
      <w:r>
        <w:rPr>
          <w:rFonts w:hint="eastAsia" w:ascii="方正小标宋简体" w:hAnsi="方正小标宋简体" w:eastAsia="方正小标宋简体" w:cs="方正小标宋简体"/>
          <w:bCs/>
          <w:color w:val="auto"/>
          <w:sz w:val="44"/>
          <w:szCs w:val="44"/>
          <w:highlight w:val="none"/>
        </w:rPr>
        <w:t>资  格  证  明  文  件</w:t>
      </w:r>
    </w:p>
    <w:p w14:paraId="1ADBB59B">
      <w:pPr>
        <w:snapToGrid w:val="0"/>
        <w:spacing w:before="120" w:beforeLines="50" w:after="50"/>
        <w:rPr>
          <w:rFonts w:hint="eastAsia" w:ascii="宋体" w:hAnsi="宋体"/>
          <w:bCs/>
          <w:color w:val="auto"/>
          <w:sz w:val="24"/>
          <w:szCs w:val="20"/>
          <w:highlight w:val="none"/>
        </w:rPr>
      </w:pPr>
    </w:p>
    <w:p w14:paraId="09F9E705">
      <w:pPr>
        <w:snapToGrid w:val="0"/>
        <w:spacing w:before="120" w:beforeLines="50" w:after="50"/>
        <w:rPr>
          <w:rFonts w:hint="eastAsia" w:ascii="宋体" w:hAnsi="宋体"/>
          <w:bCs/>
          <w:color w:val="auto"/>
          <w:sz w:val="24"/>
          <w:szCs w:val="20"/>
          <w:highlight w:val="none"/>
        </w:rPr>
      </w:pPr>
    </w:p>
    <w:p w14:paraId="78550C89">
      <w:pPr>
        <w:snapToGrid w:val="0"/>
        <w:spacing w:before="120" w:beforeLines="50" w:after="50"/>
        <w:rPr>
          <w:rFonts w:hint="eastAsia" w:ascii="宋体" w:hAnsi="宋体"/>
          <w:bCs/>
          <w:color w:val="auto"/>
          <w:sz w:val="24"/>
          <w:szCs w:val="20"/>
          <w:highlight w:val="none"/>
        </w:rPr>
      </w:pPr>
    </w:p>
    <w:p w14:paraId="567AC51E">
      <w:pPr>
        <w:snapToGrid w:val="0"/>
        <w:spacing w:before="120" w:beforeLines="50" w:after="50"/>
        <w:rPr>
          <w:rFonts w:hint="eastAsia" w:ascii="宋体" w:hAnsi="宋体"/>
          <w:bCs/>
          <w:color w:val="auto"/>
          <w:sz w:val="24"/>
          <w:szCs w:val="20"/>
          <w:highlight w:val="none"/>
        </w:rPr>
      </w:pPr>
    </w:p>
    <w:p w14:paraId="670FBBC1">
      <w:pPr>
        <w:snapToGrid w:val="0"/>
        <w:spacing w:before="120" w:beforeLines="50" w:after="50"/>
        <w:rPr>
          <w:rFonts w:hint="eastAsia" w:ascii="宋体" w:hAnsi="宋体"/>
          <w:bCs/>
          <w:color w:val="auto"/>
          <w:sz w:val="24"/>
          <w:szCs w:val="20"/>
          <w:highlight w:val="none"/>
        </w:rPr>
      </w:pPr>
    </w:p>
    <w:p w14:paraId="63C8400F">
      <w:pPr>
        <w:snapToGrid w:val="0"/>
        <w:spacing w:before="120" w:beforeLines="50" w:after="50"/>
        <w:ind w:firstLine="640" w:firstLineChars="200"/>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项目名称：</w:t>
      </w:r>
    </w:p>
    <w:p w14:paraId="3DB8ACB5">
      <w:pPr>
        <w:snapToGrid w:val="0"/>
        <w:spacing w:before="120" w:beforeLines="50" w:after="50"/>
        <w:ind w:firstLine="720" w:firstLineChars="225"/>
        <w:rPr>
          <w:rFonts w:hint="eastAsia" w:ascii="宋体" w:hAnsi="宋体" w:cs="仿宋_GB2312"/>
          <w:bCs/>
          <w:color w:val="auto"/>
          <w:sz w:val="32"/>
          <w:szCs w:val="32"/>
          <w:highlight w:val="none"/>
        </w:rPr>
      </w:pPr>
    </w:p>
    <w:p w14:paraId="545C4BB2">
      <w:pPr>
        <w:snapToGrid w:val="0"/>
        <w:spacing w:before="120" w:beforeLines="50" w:after="50"/>
        <w:ind w:firstLine="720" w:firstLineChars="225"/>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项目编号：</w:t>
      </w:r>
    </w:p>
    <w:p w14:paraId="69B9BA75">
      <w:pPr>
        <w:snapToGrid w:val="0"/>
        <w:spacing w:before="120" w:beforeLines="50" w:after="50"/>
        <w:ind w:firstLine="720" w:firstLineChars="225"/>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 xml:space="preserve"> </w:t>
      </w:r>
    </w:p>
    <w:p w14:paraId="71830330">
      <w:pPr>
        <w:snapToGrid w:val="0"/>
        <w:spacing w:before="120" w:beforeLines="50" w:after="50"/>
        <w:ind w:firstLine="720" w:firstLineChars="225"/>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所竞分标（如有则填写，无分标时填写“无”或者留空）：</w:t>
      </w:r>
    </w:p>
    <w:p w14:paraId="7FD34453">
      <w:pPr>
        <w:snapToGrid w:val="0"/>
        <w:spacing w:before="120" w:beforeLines="50" w:after="50"/>
        <w:ind w:firstLine="720" w:firstLineChars="225"/>
        <w:rPr>
          <w:rFonts w:hint="eastAsia" w:ascii="宋体" w:hAnsi="宋体" w:cs="仿宋_GB2312"/>
          <w:bCs/>
          <w:color w:val="auto"/>
          <w:sz w:val="32"/>
          <w:szCs w:val="32"/>
          <w:highlight w:val="none"/>
        </w:rPr>
      </w:pPr>
    </w:p>
    <w:p w14:paraId="1A7EB5F7">
      <w:pPr>
        <w:pStyle w:val="7"/>
        <w:snapToGrid w:val="0"/>
        <w:spacing w:before="50" w:after="50"/>
        <w:ind w:firstLine="720" w:firstLineChars="225"/>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供应商名称：</w:t>
      </w:r>
    </w:p>
    <w:p w14:paraId="3DE6C1CE">
      <w:pPr>
        <w:snapToGrid w:val="0"/>
        <w:spacing w:before="120" w:beforeLines="50" w:after="50"/>
        <w:ind w:firstLine="640" w:firstLineChars="200"/>
        <w:rPr>
          <w:rFonts w:hint="eastAsia" w:ascii="宋体" w:hAnsi="宋体" w:cs="仿宋_GB2312"/>
          <w:bCs/>
          <w:color w:val="auto"/>
          <w:sz w:val="32"/>
          <w:szCs w:val="32"/>
          <w:highlight w:val="none"/>
        </w:rPr>
      </w:pPr>
    </w:p>
    <w:p w14:paraId="502E4990">
      <w:pPr>
        <w:pStyle w:val="7"/>
        <w:snapToGrid w:val="0"/>
        <w:spacing w:before="50" w:after="50"/>
        <w:ind w:firstLine="720" w:firstLineChars="225"/>
        <w:rPr>
          <w:rFonts w:hint="eastAsia" w:ascii="宋体" w:hAnsi="宋体" w:cs="仿宋_GB2312"/>
          <w:bCs/>
          <w:color w:val="auto"/>
          <w:sz w:val="32"/>
          <w:szCs w:val="32"/>
          <w:highlight w:val="none"/>
        </w:rPr>
      </w:pPr>
    </w:p>
    <w:p w14:paraId="646A5496">
      <w:pPr>
        <w:pStyle w:val="7"/>
        <w:snapToGrid w:val="0"/>
        <w:spacing w:before="50" w:after="50"/>
        <w:ind w:firstLine="1280" w:firstLineChars="400"/>
        <w:rPr>
          <w:rFonts w:hint="eastAsia" w:ascii="宋体" w:hAnsi="宋体" w:cs="仿宋_GB2312"/>
          <w:bCs/>
          <w:color w:val="auto"/>
          <w:sz w:val="32"/>
          <w:szCs w:val="32"/>
          <w:highlight w:val="none"/>
        </w:rPr>
      </w:pPr>
    </w:p>
    <w:p w14:paraId="120B5737">
      <w:pPr>
        <w:snapToGrid w:val="0"/>
        <w:spacing w:before="120" w:beforeLines="50" w:after="50"/>
        <w:jc w:val="center"/>
        <w:rPr>
          <w:rFonts w:hint="eastAsia" w:ascii="宋体" w:hAnsi="宋体" w:cs="仿宋_GB2312"/>
          <w:color w:val="auto"/>
          <w:sz w:val="32"/>
          <w:szCs w:val="32"/>
          <w:highlight w:val="none"/>
        </w:rPr>
      </w:pPr>
      <w:r>
        <w:rPr>
          <w:rFonts w:hint="eastAsia" w:ascii="宋体" w:hAnsi="宋体" w:cs="仿宋_GB2312"/>
          <w:color w:val="auto"/>
          <w:sz w:val="32"/>
          <w:szCs w:val="32"/>
          <w:highlight w:val="none"/>
        </w:rPr>
        <w:t>年    月    日</w:t>
      </w:r>
    </w:p>
    <w:p w14:paraId="05F3C581">
      <w:pPr>
        <w:snapToGrid w:val="0"/>
        <w:spacing w:before="120" w:beforeLines="50" w:after="50" w:line="360" w:lineRule="auto"/>
        <w:ind w:left="142"/>
        <w:jc w:val="left"/>
        <w:rPr>
          <w:rFonts w:hint="eastAsia" w:ascii="宋体" w:hAnsi="宋体"/>
          <w:b/>
          <w:bCs/>
          <w:color w:val="auto"/>
          <w:sz w:val="32"/>
          <w:szCs w:val="32"/>
          <w:highlight w:val="none"/>
        </w:rPr>
      </w:pPr>
      <w:r>
        <w:rPr>
          <w:rFonts w:ascii="宋体" w:hAnsi="宋体"/>
          <w:color w:val="auto"/>
          <w:sz w:val="24"/>
          <w:highlight w:val="none"/>
        </w:rPr>
        <w:br w:type="page"/>
      </w:r>
      <w:r>
        <w:rPr>
          <w:rFonts w:hint="eastAsia" w:ascii="宋体" w:hAnsi="宋体"/>
          <w:b/>
          <w:bCs/>
          <w:color w:val="auto"/>
          <w:sz w:val="32"/>
          <w:szCs w:val="32"/>
          <w:highlight w:val="none"/>
        </w:rPr>
        <w:t>2.资格证明文件目录</w:t>
      </w:r>
    </w:p>
    <w:p w14:paraId="063C0C62">
      <w:pPr>
        <w:snapToGrid w:val="0"/>
        <w:spacing w:before="120" w:beforeLines="50" w:after="50" w:line="360" w:lineRule="auto"/>
        <w:ind w:firstLine="645"/>
        <w:rPr>
          <w:rFonts w:ascii="宋体" w:hAnsi="宋体"/>
          <w:color w:val="auto"/>
          <w:sz w:val="32"/>
          <w:szCs w:val="32"/>
          <w:highlight w:val="none"/>
        </w:rPr>
      </w:pPr>
      <w:r>
        <w:rPr>
          <w:rFonts w:hint="eastAsia" w:ascii="宋体" w:hAnsi="宋体"/>
          <w:color w:val="auto"/>
          <w:sz w:val="32"/>
          <w:szCs w:val="32"/>
          <w:highlight w:val="none"/>
        </w:rPr>
        <w:t>根据谈判文件规定及供应商提供的材料自行编写目录（部分格式后附）。</w:t>
      </w:r>
    </w:p>
    <w:p w14:paraId="7A397FB7">
      <w:pPr>
        <w:snapToGrid w:val="0"/>
        <w:spacing w:before="120" w:beforeLines="50" w:after="50" w:line="360" w:lineRule="auto"/>
        <w:rPr>
          <w:rFonts w:ascii="宋体" w:hAnsi="宋体"/>
          <w:color w:val="auto"/>
          <w:sz w:val="24"/>
          <w:szCs w:val="20"/>
          <w:highlight w:val="none"/>
        </w:rPr>
      </w:pPr>
      <w:r>
        <w:rPr>
          <w:rFonts w:ascii="宋体" w:hAnsi="宋体"/>
          <w:color w:val="auto"/>
          <w:sz w:val="24"/>
          <w:szCs w:val="20"/>
          <w:highlight w:val="none"/>
        </w:rPr>
        <w:t xml:space="preserve"> </w:t>
      </w:r>
    </w:p>
    <w:p w14:paraId="78C4BB6B">
      <w:pPr>
        <w:spacing w:line="360" w:lineRule="auto"/>
        <w:rPr>
          <w:rFonts w:hint="eastAsia" w:ascii="宋体" w:hAnsi="宋体"/>
          <w:color w:val="auto"/>
          <w:szCs w:val="21"/>
          <w:highlight w:val="none"/>
        </w:rPr>
      </w:pPr>
    </w:p>
    <w:p w14:paraId="495B3F6A">
      <w:pPr>
        <w:spacing w:line="360" w:lineRule="auto"/>
        <w:rPr>
          <w:rFonts w:hint="eastAsia" w:ascii="宋体" w:hAnsi="宋体"/>
          <w:color w:val="auto"/>
          <w:szCs w:val="21"/>
          <w:highlight w:val="none"/>
        </w:rPr>
      </w:pPr>
    </w:p>
    <w:p w14:paraId="27A7932C">
      <w:pPr>
        <w:spacing w:line="360" w:lineRule="auto"/>
        <w:rPr>
          <w:rFonts w:hint="eastAsia" w:ascii="宋体" w:hAnsi="宋体"/>
          <w:color w:val="auto"/>
          <w:szCs w:val="21"/>
          <w:highlight w:val="none"/>
        </w:rPr>
      </w:pPr>
    </w:p>
    <w:p w14:paraId="1C1272C6">
      <w:pPr>
        <w:spacing w:line="360" w:lineRule="auto"/>
        <w:rPr>
          <w:rFonts w:hint="eastAsia" w:ascii="宋体" w:hAnsi="宋体"/>
          <w:color w:val="auto"/>
          <w:szCs w:val="21"/>
          <w:highlight w:val="none"/>
        </w:rPr>
      </w:pPr>
    </w:p>
    <w:p w14:paraId="76F9E3E4">
      <w:pPr>
        <w:spacing w:line="300" w:lineRule="auto"/>
        <w:rPr>
          <w:rFonts w:hint="eastAsia" w:ascii="宋体" w:hAnsi="宋体"/>
          <w:color w:val="auto"/>
          <w:szCs w:val="21"/>
          <w:highlight w:val="none"/>
        </w:rPr>
      </w:pPr>
    </w:p>
    <w:p w14:paraId="47A2B878">
      <w:pPr>
        <w:spacing w:line="300" w:lineRule="auto"/>
        <w:rPr>
          <w:rFonts w:hint="eastAsia" w:ascii="宋体" w:hAnsi="宋体"/>
          <w:color w:val="auto"/>
          <w:szCs w:val="21"/>
          <w:highlight w:val="none"/>
        </w:rPr>
      </w:pPr>
    </w:p>
    <w:p w14:paraId="0AC4B9A3">
      <w:pPr>
        <w:spacing w:line="300" w:lineRule="auto"/>
        <w:rPr>
          <w:rFonts w:hint="eastAsia" w:ascii="宋体" w:hAnsi="宋体"/>
          <w:color w:val="auto"/>
          <w:szCs w:val="21"/>
          <w:highlight w:val="none"/>
        </w:rPr>
      </w:pPr>
    </w:p>
    <w:p w14:paraId="0F193077">
      <w:pPr>
        <w:spacing w:line="300" w:lineRule="auto"/>
        <w:rPr>
          <w:rFonts w:hint="eastAsia" w:ascii="宋体" w:hAnsi="宋体"/>
          <w:color w:val="auto"/>
          <w:szCs w:val="21"/>
          <w:highlight w:val="none"/>
        </w:rPr>
      </w:pPr>
    </w:p>
    <w:p w14:paraId="0DC33C9F">
      <w:pPr>
        <w:spacing w:line="300" w:lineRule="auto"/>
        <w:rPr>
          <w:rFonts w:hint="eastAsia" w:ascii="宋体" w:hAnsi="宋体"/>
          <w:color w:val="auto"/>
          <w:szCs w:val="21"/>
          <w:highlight w:val="none"/>
        </w:rPr>
      </w:pPr>
    </w:p>
    <w:p w14:paraId="1AB8A435">
      <w:pPr>
        <w:spacing w:line="300" w:lineRule="auto"/>
        <w:rPr>
          <w:rFonts w:hint="eastAsia" w:ascii="宋体" w:hAnsi="宋体"/>
          <w:color w:val="auto"/>
          <w:szCs w:val="21"/>
          <w:highlight w:val="none"/>
        </w:rPr>
      </w:pPr>
    </w:p>
    <w:p w14:paraId="6A3117ED">
      <w:pPr>
        <w:spacing w:line="300" w:lineRule="auto"/>
        <w:rPr>
          <w:rFonts w:hint="eastAsia" w:ascii="宋体" w:hAnsi="宋体"/>
          <w:color w:val="auto"/>
          <w:szCs w:val="21"/>
          <w:highlight w:val="none"/>
        </w:rPr>
      </w:pPr>
    </w:p>
    <w:p w14:paraId="6A7BCDC8">
      <w:pPr>
        <w:spacing w:line="300" w:lineRule="auto"/>
        <w:rPr>
          <w:rFonts w:hint="eastAsia" w:ascii="宋体" w:hAnsi="宋体"/>
          <w:color w:val="auto"/>
          <w:szCs w:val="21"/>
          <w:highlight w:val="none"/>
        </w:rPr>
      </w:pPr>
    </w:p>
    <w:p w14:paraId="7026B3C9">
      <w:pPr>
        <w:spacing w:line="300" w:lineRule="auto"/>
        <w:rPr>
          <w:rFonts w:hint="eastAsia" w:ascii="宋体" w:hAnsi="宋体"/>
          <w:color w:val="auto"/>
          <w:szCs w:val="21"/>
          <w:highlight w:val="none"/>
        </w:rPr>
      </w:pPr>
    </w:p>
    <w:p w14:paraId="5B641265">
      <w:pPr>
        <w:spacing w:line="300" w:lineRule="auto"/>
        <w:rPr>
          <w:rFonts w:hint="eastAsia" w:ascii="宋体" w:hAnsi="宋体"/>
          <w:color w:val="auto"/>
          <w:szCs w:val="21"/>
          <w:highlight w:val="none"/>
        </w:rPr>
      </w:pPr>
    </w:p>
    <w:p w14:paraId="3A1301CD">
      <w:pPr>
        <w:spacing w:line="300" w:lineRule="auto"/>
        <w:rPr>
          <w:rFonts w:hint="eastAsia" w:ascii="宋体" w:hAnsi="宋体"/>
          <w:color w:val="auto"/>
          <w:szCs w:val="21"/>
          <w:highlight w:val="none"/>
        </w:rPr>
      </w:pPr>
    </w:p>
    <w:p w14:paraId="22741175">
      <w:pPr>
        <w:spacing w:line="320" w:lineRule="exact"/>
        <w:jc w:val="left"/>
        <w:rPr>
          <w:rFonts w:hint="eastAsia" w:ascii="宋体" w:hAnsi="宋体"/>
          <w:color w:val="auto"/>
          <w:szCs w:val="21"/>
          <w:highlight w:val="none"/>
        </w:rPr>
      </w:pPr>
    </w:p>
    <w:p w14:paraId="75226543">
      <w:pPr>
        <w:snapToGrid w:val="0"/>
        <w:spacing w:before="120" w:beforeLines="50" w:after="50"/>
        <w:jc w:val="center"/>
        <w:rPr>
          <w:rFonts w:hint="eastAsia" w:ascii="宋体" w:hAnsi="宋体"/>
          <w:b/>
          <w:color w:val="auto"/>
          <w:sz w:val="32"/>
          <w:szCs w:val="32"/>
          <w:highlight w:val="none"/>
        </w:rPr>
      </w:pPr>
      <w:r>
        <w:rPr>
          <w:rFonts w:ascii="宋体" w:hAnsi="宋体"/>
          <w:b/>
          <w:color w:val="auto"/>
          <w:sz w:val="32"/>
          <w:szCs w:val="32"/>
          <w:highlight w:val="none"/>
        </w:rPr>
        <w:br w:type="page"/>
      </w:r>
      <w:r>
        <w:rPr>
          <w:rFonts w:hint="eastAsia" w:ascii="宋体" w:hAnsi="宋体"/>
          <w:b/>
          <w:color w:val="auto"/>
          <w:sz w:val="32"/>
          <w:szCs w:val="32"/>
          <w:highlight w:val="none"/>
        </w:rPr>
        <w:t>供应商直接控股、管理关系信息表</w:t>
      </w:r>
    </w:p>
    <w:p w14:paraId="3924E587">
      <w:pPr>
        <w:snapToGrid w:val="0"/>
        <w:spacing w:before="120" w:beforeLines="50" w:after="50"/>
        <w:jc w:val="center"/>
        <w:rPr>
          <w:rFonts w:hint="eastAsia" w:ascii="宋体" w:hAnsi="宋体"/>
          <w:b/>
          <w:color w:val="auto"/>
          <w:sz w:val="32"/>
          <w:szCs w:val="32"/>
          <w:highlight w:val="none"/>
        </w:rPr>
      </w:pPr>
    </w:p>
    <w:p w14:paraId="52561DC4">
      <w:pPr>
        <w:snapToGrid w:val="0"/>
        <w:spacing w:before="120" w:beforeLines="50" w:after="50"/>
        <w:jc w:val="center"/>
        <w:rPr>
          <w:rFonts w:hint="eastAsia" w:ascii="宋体" w:hAnsi="宋体"/>
          <w:b/>
          <w:color w:val="auto"/>
          <w:sz w:val="32"/>
          <w:szCs w:val="32"/>
          <w:highlight w:val="none"/>
        </w:rPr>
      </w:pPr>
      <w:r>
        <w:rPr>
          <w:rFonts w:hint="eastAsia" w:ascii="宋体" w:hAnsi="宋体"/>
          <w:b/>
          <w:color w:val="auto"/>
          <w:sz w:val="32"/>
          <w:szCs w:val="32"/>
          <w:highlight w:val="none"/>
        </w:rPr>
        <w:t>供应商直接控股股东信息表</w:t>
      </w:r>
    </w:p>
    <w:p w14:paraId="587C6900">
      <w:pPr>
        <w:snapToGrid w:val="0"/>
        <w:spacing w:before="50" w:after="120" w:afterLines="50"/>
        <w:jc w:val="center"/>
        <w:rPr>
          <w:rFonts w:hint="eastAsia" w:ascii="宋体" w:hAnsi="宋体"/>
          <w:b/>
          <w:color w:val="auto"/>
          <w:sz w:val="32"/>
          <w:szCs w:val="32"/>
          <w:highlight w:val="none"/>
        </w:rPr>
      </w:pPr>
    </w:p>
    <w:tbl>
      <w:tblPr>
        <w:tblStyle w:val="24"/>
        <w:tblW w:w="10147" w:type="dxa"/>
        <w:jc w:val="center"/>
        <w:shd w:val="clear" w:color="auto" w:fill="FBFBFB"/>
        <w:tblLayout w:type="fixed"/>
        <w:tblCellMar>
          <w:top w:w="0" w:type="dxa"/>
          <w:left w:w="0" w:type="dxa"/>
          <w:bottom w:w="0" w:type="dxa"/>
          <w:right w:w="0" w:type="dxa"/>
        </w:tblCellMar>
      </w:tblPr>
      <w:tblGrid>
        <w:gridCol w:w="880"/>
        <w:gridCol w:w="2655"/>
        <w:gridCol w:w="1455"/>
        <w:gridCol w:w="4287"/>
        <w:gridCol w:w="870"/>
      </w:tblGrid>
      <w:tr w14:paraId="30D2F2C5">
        <w:tblPrEx>
          <w:shd w:val="clear" w:color="auto" w:fill="FBFBFB"/>
        </w:tblPrEx>
        <w:trPr>
          <w:tblHeader/>
          <w:jc w:val="center"/>
        </w:trPr>
        <w:tc>
          <w:tcPr>
            <w:tcW w:w="880"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15ACEFB7">
            <w:pPr>
              <w:widowControl/>
              <w:spacing w:line="360" w:lineRule="auto"/>
              <w:jc w:val="center"/>
              <w:rPr>
                <w:rFonts w:hint="eastAsia" w:ascii="宋体" w:hAnsi="宋体" w:cs="宋体"/>
                <w:b/>
                <w:bCs/>
                <w:color w:val="auto"/>
                <w:kern w:val="0"/>
                <w:sz w:val="28"/>
                <w:szCs w:val="28"/>
                <w:highlight w:val="none"/>
              </w:rPr>
            </w:pPr>
            <w:r>
              <w:rPr>
                <w:rFonts w:hint="eastAsia" w:ascii="宋体" w:hAnsi="宋体" w:cs="宋体"/>
                <w:b/>
                <w:bCs/>
                <w:color w:val="auto"/>
                <w:kern w:val="0"/>
                <w:sz w:val="28"/>
                <w:szCs w:val="28"/>
                <w:highlight w:val="none"/>
              </w:rPr>
              <w:t>序号</w:t>
            </w:r>
          </w:p>
        </w:tc>
        <w:tc>
          <w:tcPr>
            <w:tcW w:w="2655"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1BC26C91">
            <w:pPr>
              <w:widowControl/>
              <w:spacing w:line="360" w:lineRule="auto"/>
              <w:jc w:val="center"/>
              <w:rPr>
                <w:rFonts w:hint="eastAsia" w:ascii="宋体" w:hAnsi="宋体" w:cs="宋体"/>
                <w:b/>
                <w:bCs/>
                <w:color w:val="auto"/>
                <w:kern w:val="0"/>
                <w:sz w:val="28"/>
                <w:szCs w:val="28"/>
                <w:highlight w:val="none"/>
              </w:rPr>
            </w:pPr>
            <w:r>
              <w:rPr>
                <w:rFonts w:hint="eastAsia" w:ascii="宋体" w:hAnsi="宋体" w:cs="宋体"/>
                <w:b/>
                <w:bCs/>
                <w:color w:val="auto"/>
                <w:kern w:val="0"/>
                <w:sz w:val="28"/>
                <w:szCs w:val="28"/>
                <w:highlight w:val="none"/>
              </w:rPr>
              <w:t>直接控股股东名称</w:t>
            </w:r>
          </w:p>
        </w:tc>
        <w:tc>
          <w:tcPr>
            <w:tcW w:w="1455"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0E8ED21E">
            <w:pPr>
              <w:widowControl/>
              <w:spacing w:line="360" w:lineRule="auto"/>
              <w:jc w:val="center"/>
              <w:rPr>
                <w:rFonts w:hint="eastAsia" w:ascii="宋体" w:hAnsi="宋体" w:cs="宋体"/>
                <w:b/>
                <w:bCs/>
                <w:color w:val="auto"/>
                <w:kern w:val="0"/>
                <w:sz w:val="28"/>
                <w:szCs w:val="28"/>
                <w:highlight w:val="none"/>
              </w:rPr>
            </w:pPr>
            <w:r>
              <w:rPr>
                <w:rFonts w:hint="eastAsia" w:ascii="宋体" w:hAnsi="宋体" w:cs="宋体"/>
                <w:b/>
                <w:bCs/>
                <w:color w:val="auto"/>
                <w:kern w:val="0"/>
                <w:sz w:val="28"/>
                <w:szCs w:val="28"/>
                <w:highlight w:val="none"/>
              </w:rPr>
              <w:t>出资比例</w:t>
            </w:r>
          </w:p>
        </w:tc>
        <w:tc>
          <w:tcPr>
            <w:tcW w:w="4287"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14C5807A">
            <w:pPr>
              <w:widowControl/>
              <w:spacing w:line="360" w:lineRule="auto"/>
              <w:jc w:val="center"/>
              <w:rPr>
                <w:rFonts w:hint="eastAsia" w:ascii="宋体" w:hAnsi="宋体" w:cs="宋体"/>
                <w:b/>
                <w:bCs/>
                <w:color w:val="auto"/>
                <w:kern w:val="0"/>
                <w:sz w:val="28"/>
                <w:szCs w:val="28"/>
                <w:highlight w:val="none"/>
              </w:rPr>
            </w:pPr>
            <w:r>
              <w:rPr>
                <w:rFonts w:hint="eastAsia" w:ascii="宋体" w:hAnsi="宋体" w:cs="宋体"/>
                <w:b/>
                <w:bCs/>
                <w:color w:val="auto"/>
                <w:kern w:val="0"/>
                <w:sz w:val="28"/>
                <w:szCs w:val="28"/>
                <w:highlight w:val="none"/>
              </w:rPr>
              <w:t>身份证号码或者统一社会信用代码</w:t>
            </w:r>
          </w:p>
        </w:tc>
        <w:tc>
          <w:tcPr>
            <w:tcW w:w="870"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41A13E0E">
            <w:pPr>
              <w:widowControl/>
              <w:spacing w:line="360" w:lineRule="auto"/>
              <w:jc w:val="center"/>
              <w:rPr>
                <w:rFonts w:hint="eastAsia" w:ascii="宋体" w:hAnsi="宋体" w:cs="宋体"/>
                <w:b/>
                <w:bCs/>
                <w:color w:val="auto"/>
                <w:kern w:val="0"/>
                <w:sz w:val="28"/>
                <w:szCs w:val="28"/>
                <w:highlight w:val="none"/>
              </w:rPr>
            </w:pPr>
            <w:r>
              <w:rPr>
                <w:rFonts w:hint="eastAsia" w:ascii="宋体" w:hAnsi="宋体" w:cs="宋体"/>
                <w:b/>
                <w:bCs/>
                <w:color w:val="auto"/>
                <w:kern w:val="0"/>
                <w:sz w:val="28"/>
                <w:szCs w:val="28"/>
                <w:highlight w:val="none"/>
              </w:rPr>
              <w:t>备注</w:t>
            </w:r>
          </w:p>
        </w:tc>
      </w:tr>
      <w:tr w14:paraId="5A1BE967">
        <w:tblPrEx>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7864B6E6">
            <w:pPr>
              <w:widowControl/>
              <w:spacing w:line="360" w:lineRule="auto"/>
              <w:jc w:val="center"/>
              <w:rPr>
                <w:rFonts w:hint="eastAsia" w:ascii="宋体" w:hAnsi="宋体" w:cs="宋体"/>
                <w:color w:val="auto"/>
                <w:kern w:val="0"/>
                <w:sz w:val="28"/>
                <w:szCs w:val="28"/>
                <w:highlight w:val="none"/>
              </w:rPr>
            </w:pPr>
            <w:r>
              <w:rPr>
                <w:rFonts w:hint="eastAsia" w:ascii="宋体" w:hAnsi="宋体" w:cs="宋体"/>
                <w:color w:val="auto"/>
                <w:kern w:val="0"/>
                <w:sz w:val="28"/>
                <w:szCs w:val="28"/>
                <w:highlight w:val="none"/>
              </w:rPr>
              <w:t>1</w:t>
            </w:r>
          </w:p>
        </w:tc>
        <w:tc>
          <w:tcPr>
            <w:tcW w:w="2655"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35D8F5FF">
            <w:pPr>
              <w:widowControl/>
              <w:spacing w:line="360" w:lineRule="auto"/>
              <w:jc w:val="center"/>
              <w:rPr>
                <w:rFonts w:hint="eastAsia" w:ascii="宋体" w:hAnsi="宋体" w:cs="宋体"/>
                <w:color w:val="auto"/>
                <w:kern w:val="0"/>
                <w:sz w:val="28"/>
                <w:szCs w:val="28"/>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7E3BE72B">
            <w:pPr>
              <w:widowControl/>
              <w:spacing w:line="360" w:lineRule="auto"/>
              <w:jc w:val="center"/>
              <w:rPr>
                <w:rFonts w:hint="eastAsia" w:ascii="宋体" w:hAnsi="宋体" w:cs="宋体"/>
                <w:color w:val="auto"/>
                <w:kern w:val="0"/>
                <w:sz w:val="28"/>
                <w:szCs w:val="28"/>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76D9C58C">
            <w:pPr>
              <w:widowControl/>
              <w:spacing w:line="360" w:lineRule="auto"/>
              <w:jc w:val="center"/>
              <w:rPr>
                <w:rFonts w:hint="eastAsia" w:ascii="宋体" w:hAnsi="宋体" w:cs="宋体"/>
                <w:color w:val="auto"/>
                <w:kern w:val="0"/>
                <w:sz w:val="28"/>
                <w:szCs w:val="28"/>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74751BFA">
            <w:pPr>
              <w:widowControl/>
              <w:spacing w:line="360" w:lineRule="auto"/>
              <w:jc w:val="center"/>
              <w:rPr>
                <w:rFonts w:hint="eastAsia" w:ascii="宋体" w:hAnsi="宋体" w:cs="宋体"/>
                <w:color w:val="auto"/>
                <w:kern w:val="0"/>
                <w:sz w:val="28"/>
                <w:szCs w:val="28"/>
                <w:highlight w:val="none"/>
              </w:rPr>
            </w:pPr>
          </w:p>
        </w:tc>
      </w:tr>
      <w:tr w14:paraId="6321A991">
        <w:tblPrEx>
          <w:shd w:val="clear" w:color="auto" w:fill="FBFBFB"/>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33C8768B">
            <w:pPr>
              <w:widowControl/>
              <w:spacing w:line="360" w:lineRule="auto"/>
              <w:jc w:val="center"/>
              <w:rPr>
                <w:rFonts w:hint="eastAsia" w:ascii="宋体" w:hAnsi="宋体" w:cs="宋体"/>
                <w:color w:val="auto"/>
                <w:kern w:val="0"/>
                <w:sz w:val="28"/>
                <w:szCs w:val="28"/>
                <w:highlight w:val="none"/>
              </w:rPr>
            </w:pPr>
            <w:r>
              <w:rPr>
                <w:rFonts w:hint="eastAsia" w:ascii="宋体" w:hAnsi="宋体" w:cs="宋体"/>
                <w:color w:val="auto"/>
                <w:kern w:val="0"/>
                <w:sz w:val="28"/>
                <w:szCs w:val="28"/>
                <w:highlight w:val="none"/>
              </w:rPr>
              <w:t>2</w:t>
            </w:r>
          </w:p>
        </w:tc>
        <w:tc>
          <w:tcPr>
            <w:tcW w:w="2655"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68269D90">
            <w:pPr>
              <w:widowControl/>
              <w:spacing w:line="360" w:lineRule="auto"/>
              <w:jc w:val="center"/>
              <w:rPr>
                <w:rFonts w:hint="eastAsia" w:ascii="宋体" w:hAnsi="宋体" w:cs="宋体"/>
                <w:color w:val="auto"/>
                <w:kern w:val="0"/>
                <w:sz w:val="28"/>
                <w:szCs w:val="28"/>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387BEBA4">
            <w:pPr>
              <w:widowControl/>
              <w:spacing w:line="360" w:lineRule="auto"/>
              <w:jc w:val="center"/>
              <w:rPr>
                <w:rFonts w:hint="eastAsia" w:ascii="宋体" w:hAnsi="宋体" w:cs="宋体"/>
                <w:color w:val="auto"/>
                <w:kern w:val="0"/>
                <w:sz w:val="28"/>
                <w:szCs w:val="28"/>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096A4C70">
            <w:pPr>
              <w:widowControl/>
              <w:spacing w:line="360" w:lineRule="auto"/>
              <w:jc w:val="center"/>
              <w:rPr>
                <w:rFonts w:hint="eastAsia" w:ascii="宋体" w:hAnsi="宋体" w:cs="宋体"/>
                <w:color w:val="auto"/>
                <w:kern w:val="0"/>
                <w:sz w:val="28"/>
                <w:szCs w:val="28"/>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620218D1">
            <w:pPr>
              <w:widowControl/>
              <w:spacing w:line="360" w:lineRule="auto"/>
              <w:jc w:val="center"/>
              <w:rPr>
                <w:rFonts w:hint="eastAsia" w:ascii="宋体" w:hAnsi="宋体" w:cs="宋体"/>
                <w:color w:val="auto"/>
                <w:kern w:val="0"/>
                <w:sz w:val="28"/>
                <w:szCs w:val="28"/>
                <w:highlight w:val="none"/>
              </w:rPr>
            </w:pPr>
          </w:p>
        </w:tc>
      </w:tr>
      <w:tr w14:paraId="774DE1A7">
        <w:tblPrEx>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05B18613">
            <w:pPr>
              <w:widowControl/>
              <w:spacing w:line="360" w:lineRule="auto"/>
              <w:jc w:val="center"/>
              <w:rPr>
                <w:rFonts w:hint="eastAsia" w:ascii="宋体" w:hAnsi="宋体" w:cs="宋体"/>
                <w:color w:val="auto"/>
                <w:kern w:val="0"/>
                <w:sz w:val="28"/>
                <w:szCs w:val="28"/>
                <w:highlight w:val="none"/>
              </w:rPr>
            </w:pPr>
            <w:r>
              <w:rPr>
                <w:rFonts w:hint="eastAsia" w:ascii="宋体" w:hAnsi="宋体" w:cs="宋体"/>
                <w:color w:val="auto"/>
                <w:kern w:val="0"/>
                <w:sz w:val="28"/>
                <w:szCs w:val="28"/>
                <w:highlight w:val="none"/>
              </w:rPr>
              <w:t>3</w:t>
            </w:r>
          </w:p>
        </w:tc>
        <w:tc>
          <w:tcPr>
            <w:tcW w:w="2655"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4BD6A6D0">
            <w:pPr>
              <w:widowControl/>
              <w:spacing w:line="360" w:lineRule="auto"/>
              <w:jc w:val="center"/>
              <w:rPr>
                <w:rFonts w:hint="eastAsia" w:ascii="宋体" w:hAnsi="宋体" w:cs="宋体"/>
                <w:color w:val="auto"/>
                <w:kern w:val="0"/>
                <w:sz w:val="28"/>
                <w:szCs w:val="28"/>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1F20CA74">
            <w:pPr>
              <w:widowControl/>
              <w:spacing w:line="360" w:lineRule="auto"/>
              <w:jc w:val="center"/>
              <w:rPr>
                <w:rFonts w:hint="eastAsia" w:ascii="宋体" w:hAnsi="宋体" w:cs="宋体"/>
                <w:color w:val="auto"/>
                <w:kern w:val="0"/>
                <w:sz w:val="28"/>
                <w:szCs w:val="28"/>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7E8812C4">
            <w:pPr>
              <w:widowControl/>
              <w:spacing w:line="360" w:lineRule="auto"/>
              <w:jc w:val="center"/>
              <w:rPr>
                <w:rFonts w:hint="eastAsia" w:ascii="宋体" w:hAnsi="宋体" w:cs="宋体"/>
                <w:color w:val="auto"/>
                <w:kern w:val="0"/>
                <w:sz w:val="28"/>
                <w:szCs w:val="28"/>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1231018A">
            <w:pPr>
              <w:widowControl/>
              <w:spacing w:line="360" w:lineRule="auto"/>
              <w:jc w:val="center"/>
              <w:rPr>
                <w:rFonts w:hint="eastAsia" w:ascii="宋体" w:hAnsi="宋体" w:cs="宋体"/>
                <w:color w:val="auto"/>
                <w:kern w:val="0"/>
                <w:sz w:val="28"/>
                <w:szCs w:val="28"/>
                <w:highlight w:val="none"/>
              </w:rPr>
            </w:pPr>
          </w:p>
        </w:tc>
      </w:tr>
      <w:tr w14:paraId="47B215E8">
        <w:tblPrEx>
          <w:shd w:val="clear" w:color="auto" w:fill="FBFBFB"/>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65FC9636">
            <w:pPr>
              <w:widowControl/>
              <w:spacing w:line="360" w:lineRule="auto"/>
              <w:jc w:val="center"/>
              <w:rPr>
                <w:rFonts w:hint="eastAsia" w:ascii="宋体" w:hAnsi="宋体" w:cs="宋体"/>
                <w:color w:val="auto"/>
                <w:kern w:val="0"/>
                <w:sz w:val="28"/>
                <w:szCs w:val="28"/>
                <w:highlight w:val="none"/>
              </w:rPr>
            </w:pPr>
            <w:r>
              <w:rPr>
                <w:rFonts w:hint="eastAsia" w:ascii="宋体" w:hAnsi="宋体" w:cs="宋体"/>
                <w:color w:val="auto"/>
                <w:kern w:val="0"/>
                <w:sz w:val="28"/>
                <w:szCs w:val="28"/>
                <w:highlight w:val="none"/>
              </w:rPr>
              <w:t>……</w:t>
            </w:r>
          </w:p>
        </w:tc>
        <w:tc>
          <w:tcPr>
            <w:tcW w:w="2655"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60FAB06C">
            <w:pPr>
              <w:widowControl/>
              <w:spacing w:line="360" w:lineRule="auto"/>
              <w:jc w:val="center"/>
              <w:rPr>
                <w:rFonts w:hint="eastAsia" w:ascii="宋体" w:hAnsi="宋体" w:cs="宋体"/>
                <w:color w:val="auto"/>
                <w:kern w:val="0"/>
                <w:sz w:val="28"/>
                <w:szCs w:val="28"/>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3F8AE2E5">
            <w:pPr>
              <w:widowControl/>
              <w:spacing w:line="360" w:lineRule="auto"/>
              <w:jc w:val="center"/>
              <w:rPr>
                <w:rFonts w:hint="eastAsia" w:ascii="宋体" w:hAnsi="宋体" w:cs="宋体"/>
                <w:color w:val="auto"/>
                <w:kern w:val="0"/>
                <w:sz w:val="28"/>
                <w:szCs w:val="28"/>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58E811AC">
            <w:pPr>
              <w:widowControl/>
              <w:spacing w:line="360" w:lineRule="auto"/>
              <w:jc w:val="center"/>
              <w:rPr>
                <w:rFonts w:hint="eastAsia" w:ascii="宋体" w:hAnsi="宋体" w:cs="宋体"/>
                <w:color w:val="auto"/>
                <w:kern w:val="0"/>
                <w:sz w:val="28"/>
                <w:szCs w:val="28"/>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37535712">
            <w:pPr>
              <w:widowControl/>
              <w:spacing w:line="360" w:lineRule="auto"/>
              <w:jc w:val="center"/>
              <w:rPr>
                <w:rFonts w:hint="eastAsia" w:ascii="宋体" w:hAnsi="宋体" w:cs="宋体"/>
                <w:color w:val="auto"/>
                <w:kern w:val="0"/>
                <w:sz w:val="28"/>
                <w:szCs w:val="28"/>
                <w:highlight w:val="none"/>
              </w:rPr>
            </w:pPr>
          </w:p>
        </w:tc>
      </w:tr>
    </w:tbl>
    <w:p w14:paraId="3C9F55B9">
      <w:pPr>
        <w:spacing w:line="360" w:lineRule="auto"/>
        <w:contextualSpacing/>
        <w:jc w:val="left"/>
        <w:rPr>
          <w:rFonts w:hint="eastAsia" w:ascii="宋体" w:hAnsi="宋体" w:cs="宋体"/>
          <w:color w:val="auto"/>
          <w:sz w:val="24"/>
          <w:highlight w:val="none"/>
        </w:rPr>
      </w:pPr>
      <w:r>
        <w:rPr>
          <w:rFonts w:hint="eastAsia" w:ascii="宋体" w:hAnsi="宋体" w:cs="宋体"/>
          <w:color w:val="auto"/>
          <w:sz w:val="24"/>
          <w:highlight w:val="none"/>
        </w:rPr>
        <w:t>注：</w:t>
      </w:r>
    </w:p>
    <w:p w14:paraId="2419E446">
      <w:pPr>
        <w:spacing w:line="360" w:lineRule="auto"/>
        <w:ind w:firstLine="480" w:firstLineChars="200"/>
        <w:contextualSpacing/>
        <w:jc w:val="left"/>
        <w:rPr>
          <w:rFonts w:hint="eastAsia" w:ascii="宋体" w:hAnsi="宋体" w:cs="宋体"/>
          <w:color w:val="auto"/>
          <w:sz w:val="24"/>
          <w:highlight w:val="none"/>
        </w:rPr>
      </w:pPr>
      <w:r>
        <w:rPr>
          <w:rFonts w:hint="eastAsia" w:ascii="宋体" w:hAnsi="宋体" w:cs="宋体"/>
          <w:color w:val="auto"/>
          <w:sz w:val="24"/>
          <w:highlight w:val="none"/>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14:paraId="7C9F6FF3">
      <w:pPr>
        <w:spacing w:line="360" w:lineRule="auto"/>
        <w:ind w:firstLine="480" w:firstLineChars="200"/>
        <w:contextualSpacing/>
        <w:jc w:val="left"/>
        <w:rPr>
          <w:rFonts w:hint="eastAsia" w:ascii="宋体" w:hAnsi="宋体" w:cs="宋体"/>
          <w:color w:val="auto"/>
          <w:sz w:val="24"/>
          <w:highlight w:val="none"/>
        </w:rPr>
      </w:pPr>
      <w:r>
        <w:rPr>
          <w:rFonts w:hint="eastAsia" w:ascii="宋体" w:hAnsi="宋体" w:cs="宋体"/>
          <w:color w:val="auto"/>
          <w:sz w:val="24"/>
          <w:highlight w:val="none"/>
        </w:rPr>
        <w:t>2.本表所指的控股关系仅限于直接控股关系，不包括间接的控股关系。公司实际控制人与公司之间的关系不属于本表所指的直接控股关系。</w:t>
      </w:r>
    </w:p>
    <w:p w14:paraId="6C1F1C74">
      <w:pPr>
        <w:spacing w:line="360" w:lineRule="auto"/>
        <w:ind w:firstLine="480" w:firstLineChars="200"/>
        <w:contextualSpacing/>
        <w:jc w:val="left"/>
        <w:rPr>
          <w:rFonts w:ascii="宋体" w:hAnsi="宋体" w:cs="宋体"/>
          <w:color w:val="auto"/>
          <w:sz w:val="24"/>
          <w:highlight w:val="none"/>
        </w:rPr>
      </w:pPr>
      <w:r>
        <w:rPr>
          <w:rFonts w:hint="eastAsia" w:ascii="宋体" w:hAnsi="宋体" w:cs="宋体"/>
          <w:color w:val="auto"/>
          <w:sz w:val="24"/>
          <w:highlight w:val="none"/>
        </w:rPr>
        <w:t>3.供应商不存在直接控股股东的，</w:t>
      </w:r>
      <w:r>
        <w:rPr>
          <w:rFonts w:hint="eastAsia" w:ascii="宋体" w:hAnsi="宋体"/>
          <w:color w:val="auto"/>
          <w:sz w:val="24"/>
          <w:highlight w:val="none"/>
        </w:rPr>
        <w:t>则在“直接控股股东名称”填“无”</w:t>
      </w:r>
      <w:r>
        <w:rPr>
          <w:rFonts w:hint="eastAsia" w:ascii="宋体" w:hAnsi="宋体" w:cs="宋体"/>
          <w:color w:val="auto"/>
          <w:sz w:val="24"/>
          <w:highlight w:val="none"/>
        </w:rPr>
        <w:t>。</w:t>
      </w:r>
    </w:p>
    <w:p w14:paraId="70F727E3">
      <w:pPr>
        <w:spacing w:line="360" w:lineRule="auto"/>
        <w:ind w:firstLine="420" w:firstLineChars="200"/>
        <w:contextualSpacing/>
        <w:jc w:val="left"/>
        <w:rPr>
          <w:rFonts w:ascii="宋体" w:hAnsi="宋体" w:cs="宋体"/>
          <w:color w:val="auto"/>
          <w:szCs w:val="21"/>
          <w:highlight w:val="none"/>
        </w:rPr>
      </w:pPr>
    </w:p>
    <w:p w14:paraId="70CE39D2">
      <w:pPr>
        <w:spacing w:line="360" w:lineRule="auto"/>
        <w:ind w:firstLine="560" w:firstLineChars="200"/>
        <w:contextualSpacing/>
        <w:jc w:val="left"/>
        <w:rPr>
          <w:rFonts w:hint="eastAsia" w:ascii="宋体" w:hAnsi="宋体" w:cs="宋体"/>
          <w:color w:val="auto"/>
          <w:sz w:val="28"/>
          <w:szCs w:val="28"/>
          <w:highlight w:val="none"/>
        </w:rPr>
      </w:pPr>
    </w:p>
    <w:p w14:paraId="4C59C130">
      <w:pPr>
        <w:spacing w:line="360" w:lineRule="auto"/>
        <w:ind w:right="480"/>
        <w:contextualSpacing/>
        <w:jc w:val="center"/>
        <w:rPr>
          <w:rFonts w:hint="eastAsia" w:ascii="宋体" w:hAnsi="宋体" w:cs="宋体"/>
          <w:color w:val="auto"/>
          <w:sz w:val="24"/>
          <w:highlight w:val="none"/>
          <w:u w:val="single"/>
        </w:rPr>
      </w:pPr>
      <w:r>
        <w:rPr>
          <w:rFonts w:hint="eastAsia" w:ascii="宋体" w:hAnsi="宋体" w:cs="宋体"/>
          <w:color w:val="auto"/>
          <w:sz w:val="24"/>
          <w:highlight w:val="none"/>
        </w:rPr>
        <w:t xml:space="preserve"> </w:t>
      </w:r>
      <w:r>
        <w:rPr>
          <w:rFonts w:ascii="宋体" w:hAnsi="宋体" w:cs="宋体"/>
          <w:color w:val="auto"/>
          <w:sz w:val="24"/>
          <w:highlight w:val="none"/>
        </w:rPr>
        <w:t xml:space="preserve">       </w:t>
      </w:r>
      <w:r>
        <w:rPr>
          <w:rFonts w:hint="eastAsia" w:ascii="宋体" w:hAnsi="宋体" w:cs="宋体"/>
          <w:color w:val="auto"/>
          <w:sz w:val="24"/>
          <w:highlight w:val="none"/>
        </w:rPr>
        <w:t>法定代表人或者委托代理人</w:t>
      </w:r>
      <w:r>
        <w:rPr>
          <w:rFonts w:hint="eastAsia" w:ascii="宋体" w:hAnsi="宋体"/>
          <w:color w:val="auto"/>
          <w:sz w:val="24"/>
          <w:highlight w:val="none"/>
        </w:rPr>
        <w:t>（签字或者电子签名）</w:t>
      </w:r>
      <w:r>
        <w:rPr>
          <w:rFonts w:hint="eastAsia" w:ascii="宋体" w:hAnsi="宋体" w:cs="宋体"/>
          <w:color w:val="auto"/>
          <w:sz w:val="24"/>
          <w:highlight w:val="none"/>
        </w:rPr>
        <w:t>：</w:t>
      </w:r>
      <w:r>
        <w:rPr>
          <w:rFonts w:hint="eastAsia" w:ascii="宋体" w:hAnsi="宋体" w:cs="宋体"/>
          <w:color w:val="auto"/>
          <w:sz w:val="24"/>
          <w:highlight w:val="none"/>
          <w:u w:val="single"/>
        </w:rPr>
        <w:t xml:space="preserve"> </w:t>
      </w:r>
      <w:r>
        <w:rPr>
          <w:rFonts w:ascii="宋体" w:hAnsi="宋体" w:cs="宋体"/>
          <w:color w:val="auto"/>
          <w:sz w:val="24"/>
          <w:highlight w:val="none"/>
          <w:u w:val="single"/>
        </w:rPr>
        <w:t xml:space="preserve">                   </w:t>
      </w:r>
    </w:p>
    <w:p w14:paraId="29148009">
      <w:pPr>
        <w:spacing w:line="360" w:lineRule="auto"/>
        <w:ind w:right="480" w:firstLine="3000" w:firstLineChars="1250"/>
        <w:contextualSpacing/>
        <w:rPr>
          <w:rFonts w:hint="eastAsia" w:ascii="宋体" w:hAnsi="宋体" w:cs="宋体"/>
          <w:color w:val="auto"/>
          <w:sz w:val="24"/>
          <w:highlight w:val="none"/>
          <w:u w:val="single"/>
        </w:rPr>
      </w:pPr>
      <w:r>
        <w:rPr>
          <w:rFonts w:hint="eastAsia" w:ascii="宋体" w:hAnsi="宋体" w:cs="宋体"/>
          <w:color w:val="auto"/>
          <w:sz w:val="24"/>
          <w:highlight w:val="none"/>
        </w:rPr>
        <w:t>供应商</w:t>
      </w:r>
      <w:r>
        <w:rPr>
          <w:rFonts w:hint="eastAsia" w:ascii="宋体" w:hAnsi="宋体"/>
          <w:color w:val="auto"/>
          <w:sz w:val="24"/>
          <w:highlight w:val="none"/>
        </w:rPr>
        <w:t>（电子签章）</w:t>
      </w:r>
      <w:r>
        <w:rPr>
          <w:rFonts w:hint="eastAsia" w:ascii="宋体" w:hAnsi="宋体" w:cs="宋体"/>
          <w:color w:val="auto"/>
          <w:sz w:val="24"/>
          <w:highlight w:val="none"/>
        </w:rPr>
        <w:t xml:space="preserve">： </w:t>
      </w:r>
      <w:r>
        <w:rPr>
          <w:rFonts w:hint="eastAsia" w:ascii="宋体" w:hAnsi="宋体" w:cs="宋体"/>
          <w:color w:val="auto"/>
          <w:sz w:val="24"/>
          <w:highlight w:val="none"/>
          <w:u w:val="single"/>
        </w:rPr>
        <w:t xml:space="preserve">                              </w:t>
      </w:r>
    </w:p>
    <w:p w14:paraId="0F3FC923">
      <w:pPr>
        <w:spacing w:line="360" w:lineRule="auto"/>
        <w:ind w:right="480" w:firstLine="5280" w:firstLineChars="2200"/>
        <w:contextualSpacing/>
        <w:rPr>
          <w:rFonts w:hint="eastAsia" w:ascii="宋体" w:hAnsi="宋体" w:cs="宋体"/>
          <w:color w:val="auto"/>
          <w:sz w:val="28"/>
          <w:szCs w:val="28"/>
          <w:highlight w:val="none"/>
        </w:rPr>
      </w:pPr>
      <w:r>
        <w:rPr>
          <w:rFonts w:hint="eastAsia" w:ascii="宋体" w:hAnsi="宋体" w:cs="宋体"/>
          <w:color w:val="auto"/>
          <w:sz w:val="24"/>
          <w:highlight w:val="none"/>
        </w:rPr>
        <w:t>年    月    日</w:t>
      </w:r>
    </w:p>
    <w:p w14:paraId="6E3FB2B4">
      <w:pPr>
        <w:snapToGrid w:val="0"/>
        <w:jc w:val="center"/>
        <w:rPr>
          <w:rFonts w:hint="eastAsia" w:ascii="宋体" w:hAnsi="宋体"/>
          <w:b/>
          <w:color w:val="auto"/>
          <w:sz w:val="28"/>
          <w:szCs w:val="28"/>
          <w:highlight w:val="none"/>
        </w:rPr>
      </w:pPr>
      <w:r>
        <w:rPr>
          <w:rFonts w:ascii="宋体" w:hAnsi="宋体"/>
          <w:b/>
          <w:color w:val="auto"/>
          <w:sz w:val="28"/>
          <w:szCs w:val="28"/>
          <w:highlight w:val="none"/>
        </w:rPr>
        <w:br w:type="page"/>
      </w:r>
    </w:p>
    <w:p w14:paraId="4E983CD0">
      <w:pPr>
        <w:snapToGrid w:val="0"/>
        <w:jc w:val="center"/>
        <w:rPr>
          <w:rFonts w:hint="eastAsia" w:ascii="宋体" w:hAnsi="宋体"/>
          <w:b/>
          <w:color w:val="auto"/>
          <w:sz w:val="32"/>
          <w:szCs w:val="32"/>
          <w:highlight w:val="none"/>
        </w:rPr>
      </w:pPr>
      <w:r>
        <w:rPr>
          <w:rFonts w:hint="eastAsia" w:ascii="宋体" w:hAnsi="宋体"/>
          <w:b/>
          <w:color w:val="auto"/>
          <w:sz w:val="32"/>
          <w:szCs w:val="32"/>
          <w:highlight w:val="none"/>
        </w:rPr>
        <w:t>供应商直接管理关系信息表</w:t>
      </w:r>
    </w:p>
    <w:p w14:paraId="0CD6192B">
      <w:pPr>
        <w:snapToGrid w:val="0"/>
        <w:jc w:val="center"/>
        <w:rPr>
          <w:rFonts w:hint="eastAsia" w:ascii="宋体" w:hAnsi="宋体"/>
          <w:b/>
          <w:color w:val="auto"/>
          <w:sz w:val="32"/>
          <w:szCs w:val="32"/>
          <w:highlight w:val="none"/>
        </w:rPr>
      </w:pPr>
    </w:p>
    <w:tbl>
      <w:tblPr>
        <w:tblStyle w:val="24"/>
        <w:tblW w:w="9652" w:type="dxa"/>
        <w:jc w:val="center"/>
        <w:shd w:val="clear" w:color="auto" w:fill="FBFBFB"/>
        <w:tblLayout w:type="fixed"/>
        <w:tblCellMar>
          <w:top w:w="0" w:type="dxa"/>
          <w:left w:w="0" w:type="dxa"/>
          <w:bottom w:w="0" w:type="dxa"/>
          <w:right w:w="0" w:type="dxa"/>
        </w:tblCellMar>
      </w:tblPr>
      <w:tblGrid>
        <w:gridCol w:w="808"/>
        <w:gridCol w:w="3600"/>
        <w:gridCol w:w="3555"/>
        <w:gridCol w:w="1689"/>
      </w:tblGrid>
      <w:tr w14:paraId="2A63E832">
        <w:tblPrEx>
          <w:shd w:val="clear" w:color="auto" w:fill="FBFBFB"/>
        </w:tblPrEx>
        <w:trPr>
          <w:tblHeader/>
          <w:jc w:val="center"/>
        </w:trPr>
        <w:tc>
          <w:tcPr>
            <w:tcW w:w="808"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10F17778">
            <w:pPr>
              <w:widowControl/>
              <w:jc w:val="center"/>
              <w:rPr>
                <w:rFonts w:ascii="宋体" w:hAnsi="宋体" w:cs="宋体"/>
                <w:b/>
                <w:bCs/>
                <w:color w:val="auto"/>
                <w:kern w:val="0"/>
                <w:sz w:val="28"/>
                <w:szCs w:val="28"/>
                <w:highlight w:val="none"/>
              </w:rPr>
            </w:pPr>
            <w:r>
              <w:rPr>
                <w:rFonts w:hint="eastAsia" w:ascii="宋体" w:hAnsi="宋体" w:cs="宋体"/>
                <w:b/>
                <w:bCs/>
                <w:color w:val="auto"/>
                <w:kern w:val="0"/>
                <w:sz w:val="28"/>
                <w:szCs w:val="28"/>
                <w:highlight w:val="none"/>
              </w:rPr>
              <w:t>序号</w:t>
            </w:r>
          </w:p>
        </w:tc>
        <w:tc>
          <w:tcPr>
            <w:tcW w:w="3600"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419DADBB">
            <w:pPr>
              <w:widowControl/>
              <w:jc w:val="center"/>
              <w:rPr>
                <w:rFonts w:ascii="宋体" w:hAnsi="宋体" w:cs="宋体"/>
                <w:b/>
                <w:bCs/>
                <w:color w:val="auto"/>
                <w:kern w:val="0"/>
                <w:sz w:val="28"/>
                <w:szCs w:val="28"/>
                <w:highlight w:val="none"/>
              </w:rPr>
            </w:pPr>
            <w:r>
              <w:rPr>
                <w:rFonts w:hint="eastAsia" w:ascii="宋体" w:hAnsi="宋体" w:cs="宋体"/>
                <w:b/>
                <w:bCs/>
                <w:color w:val="auto"/>
                <w:kern w:val="0"/>
                <w:sz w:val="28"/>
                <w:szCs w:val="28"/>
                <w:highlight w:val="none"/>
              </w:rPr>
              <w:t>直接管理关系单位名称</w:t>
            </w:r>
          </w:p>
        </w:tc>
        <w:tc>
          <w:tcPr>
            <w:tcW w:w="3555"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6CC6D67C">
            <w:pPr>
              <w:widowControl/>
              <w:jc w:val="center"/>
              <w:rPr>
                <w:rFonts w:ascii="宋体" w:hAnsi="宋体" w:cs="宋体"/>
                <w:b/>
                <w:bCs/>
                <w:color w:val="auto"/>
                <w:kern w:val="0"/>
                <w:sz w:val="28"/>
                <w:szCs w:val="28"/>
                <w:highlight w:val="none"/>
              </w:rPr>
            </w:pPr>
            <w:r>
              <w:rPr>
                <w:rFonts w:hint="eastAsia" w:ascii="宋体" w:hAnsi="宋体" w:cs="宋体"/>
                <w:b/>
                <w:bCs/>
                <w:color w:val="auto"/>
                <w:kern w:val="0"/>
                <w:sz w:val="28"/>
                <w:szCs w:val="28"/>
                <w:highlight w:val="none"/>
              </w:rPr>
              <w:t>统一社会信用代码</w:t>
            </w:r>
          </w:p>
        </w:tc>
        <w:tc>
          <w:tcPr>
            <w:tcW w:w="1689"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779282C2">
            <w:pPr>
              <w:widowControl/>
              <w:jc w:val="center"/>
              <w:rPr>
                <w:rFonts w:ascii="宋体" w:hAnsi="宋体" w:cs="宋体"/>
                <w:b/>
                <w:bCs/>
                <w:color w:val="auto"/>
                <w:kern w:val="0"/>
                <w:sz w:val="28"/>
                <w:szCs w:val="28"/>
                <w:highlight w:val="none"/>
              </w:rPr>
            </w:pPr>
            <w:r>
              <w:rPr>
                <w:rFonts w:hint="eastAsia" w:ascii="宋体" w:hAnsi="宋体" w:cs="宋体"/>
                <w:b/>
                <w:bCs/>
                <w:color w:val="auto"/>
                <w:kern w:val="0"/>
                <w:sz w:val="28"/>
                <w:szCs w:val="28"/>
                <w:highlight w:val="none"/>
              </w:rPr>
              <w:t>备注</w:t>
            </w:r>
          </w:p>
        </w:tc>
      </w:tr>
      <w:tr w14:paraId="3072BCA2">
        <w:tblPrEx>
          <w:shd w:val="clear" w:color="auto" w:fill="FBFBFB"/>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3B9EEFC0">
            <w:pPr>
              <w:widowControl/>
              <w:wordWrap w:val="0"/>
              <w:spacing w:line="200" w:lineRule="atLeast"/>
              <w:jc w:val="center"/>
              <w:rPr>
                <w:rFonts w:ascii="宋体" w:hAnsi="宋体" w:cs="宋体"/>
                <w:color w:val="auto"/>
                <w:kern w:val="0"/>
                <w:sz w:val="28"/>
                <w:szCs w:val="28"/>
                <w:highlight w:val="none"/>
              </w:rPr>
            </w:pPr>
            <w:r>
              <w:rPr>
                <w:rFonts w:hint="eastAsia" w:ascii="宋体" w:hAnsi="宋体" w:cs="宋体"/>
                <w:color w:val="auto"/>
                <w:kern w:val="0"/>
                <w:sz w:val="28"/>
                <w:szCs w:val="28"/>
                <w:highlight w:val="none"/>
              </w:rPr>
              <w:t>1</w:t>
            </w:r>
          </w:p>
        </w:tc>
        <w:tc>
          <w:tcPr>
            <w:tcW w:w="3600"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4309C054">
            <w:pPr>
              <w:widowControl/>
              <w:wordWrap w:val="0"/>
              <w:spacing w:line="200" w:lineRule="atLeast"/>
              <w:jc w:val="center"/>
              <w:rPr>
                <w:rFonts w:ascii="宋体" w:hAnsi="宋体" w:cs="宋体"/>
                <w:color w:val="auto"/>
                <w:kern w:val="0"/>
                <w:sz w:val="28"/>
                <w:szCs w:val="28"/>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7CAE4A4E">
            <w:pPr>
              <w:widowControl/>
              <w:wordWrap w:val="0"/>
              <w:spacing w:line="200" w:lineRule="atLeast"/>
              <w:jc w:val="center"/>
              <w:rPr>
                <w:rFonts w:ascii="宋体" w:hAnsi="宋体" w:cs="宋体"/>
                <w:color w:val="auto"/>
                <w:kern w:val="0"/>
                <w:sz w:val="28"/>
                <w:szCs w:val="28"/>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52E3CBE4">
            <w:pPr>
              <w:widowControl/>
              <w:wordWrap w:val="0"/>
              <w:spacing w:line="200" w:lineRule="atLeast"/>
              <w:jc w:val="center"/>
              <w:rPr>
                <w:rFonts w:ascii="宋体" w:hAnsi="宋体" w:cs="宋体"/>
                <w:color w:val="auto"/>
                <w:kern w:val="0"/>
                <w:sz w:val="28"/>
                <w:szCs w:val="28"/>
                <w:highlight w:val="none"/>
              </w:rPr>
            </w:pPr>
          </w:p>
        </w:tc>
      </w:tr>
      <w:tr w14:paraId="30412840">
        <w:tblPrEx>
          <w:shd w:val="clear" w:color="auto" w:fill="FBFBFB"/>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3485D902">
            <w:pPr>
              <w:widowControl/>
              <w:wordWrap w:val="0"/>
              <w:spacing w:line="200" w:lineRule="atLeast"/>
              <w:jc w:val="center"/>
              <w:rPr>
                <w:rFonts w:ascii="宋体" w:hAnsi="宋体" w:cs="宋体"/>
                <w:color w:val="auto"/>
                <w:kern w:val="0"/>
                <w:sz w:val="28"/>
                <w:szCs w:val="28"/>
                <w:highlight w:val="none"/>
              </w:rPr>
            </w:pPr>
            <w:r>
              <w:rPr>
                <w:rFonts w:hint="eastAsia" w:ascii="宋体" w:hAnsi="宋体" w:cs="宋体"/>
                <w:color w:val="auto"/>
                <w:kern w:val="0"/>
                <w:sz w:val="28"/>
                <w:szCs w:val="28"/>
                <w:highlight w:val="none"/>
              </w:rPr>
              <w:t>2</w:t>
            </w:r>
          </w:p>
        </w:tc>
        <w:tc>
          <w:tcPr>
            <w:tcW w:w="3600"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54FAACA9">
            <w:pPr>
              <w:widowControl/>
              <w:wordWrap w:val="0"/>
              <w:spacing w:line="200" w:lineRule="atLeast"/>
              <w:jc w:val="center"/>
              <w:rPr>
                <w:rFonts w:ascii="宋体" w:hAnsi="宋体" w:cs="宋体"/>
                <w:color w:val="auto"/>
                <w:kern w:val="0"/>
                <w:sz w:val="28"/>
                <w:szCs w:val="28"/>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2F851938">
            <w:pPr>
              <w:widowControl/>
              <w:wordWrap w:val="0"/>
              <w:spacing w:line="200" w:lineRule="atLeast"/>
              <w:jc w:val="center"/>
              <w:rPr>
                <w:rFonts w:ascii="宋体" w:hAnsi="宋体" w:cs="宋体"/>
                <w:color w:val="auto"/>
                <w:kern w:val="0"/>
                <w:sz w:val="28"/>
                <w:szCs w:val="28"/>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067981C8">
            <w:pPr>
              <w:widowControl/>
              <w:wordWrap w:val="0"/>
              <w:spacing w:line="200" w:lineRule="atLeast"/>
              <w:jc w:val="center"/>
              <w:rPr>
                <w:rFonts w:ascii="宋体" w:hAnsi="宋体" w:cs="宋体"/>
                <w:color w:val="auto"/>
                <w:kern w:val="0"/>
                <w:sz w:val="28"/>
                <w:szCs w:val="28"/>
                <w:highlight w:val="none"/>
              </w:rPr>
            </w:pPr>
          </w:p>
        </w:tc>
      </w:tr>
      <w:tr w14:paraId="7303DAE0">
        <w:tblPrEx>
          <w:shd w:val="clear" w:color="auto" w:fill="FBFBFB"/>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20E5B6EA">
            <w:pPr>
              <w:widowControl/>
              <w:wordWrap w:val="0"/>
              <w:spacing w:line="200" w:lineRule="atLeast"/>
              <w:jc w:val="center"/>
              <w:rPr>
                <w:rFonts w:ascii="宋体" w:hAnsi="宋体" w:cs="宋体"/>
                <w:color w:val="auto"/>
                <w:kern w:val="0"/>
                <w:sz w:val="28"/>
                <w:szCs w:val="28"/>
                <w:highlight w:val="none"/>
              </w:rPr>
            </w:pPr>
            <w:r>
              <w:rPr>
                <w:rFonts w:hint="eastAsia" w:ascii="宋体" w:hAnsi="宋体" w:cs="宋体"/>
                <w:color w:val="auto"/>
                <w:kern w:val="0"/>
                <w:sz w:val="28"/>
                <w:szCs w:val="28"/>
                <w:highlight w:val="none"/>
              </w:rPr>
              <w:t>3</w:t>
            </w:r>
          </w:p>
        </w:tc>
        <w:tc>
          <w:tcPr>
            <w:tcW w:w="3600"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3A7F2470">
            <w:pPr>
              <w:widowControl/>
              <w:wordWrap w:val="0"/>
              <w:spacing w:line="200" w:lineRule="atLeast"/>
              <w:jc w:val="center"/>
              <w:rPr>
                <w:rFonts w:ascii="宋体" w:hAnsi="宋体" w:cs="宋体"/>
                <w:color w:val="auto"/>
                <w:kern w:val="0"/>
                <w:sz w:val="28"/>
                <w:szCs w:val="28"/>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3F33BD86">
            <w:pPr>
              <w:widowControl/>
              <w:wordWrap w:val="0"/>
              <w:spacing w:line="200" w:lineRule="atLeast"/>
              <w:jc w:val="center"/>
              <w:rPr>
                <w:rFonts w:ascii="宋体" w:hAnsi="宋体" w:cs="宋体"/>
                <w:color w:val="auto"/>
                <w:kern w:val="0"/>
                <w:sz w:val="28"/>
                <w:szCs w:val="28"/>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6205A534">
            <w:pPr>
              <w:widowControl/>
              <w:wordWrap w:val="0"/>
              <w:spacing w:line="200" w:lineRule="atLeast"/>
              <w:jc w:val="center"/>
              <w:rPr>
                <w:rFonts w:ascii="宋体" w:hAnsi="宋体" w:cs="宋体"/>
                <w:color w:val="auto"/>
                <w:kern w:val="0"/>
                <w:sz w:val="28"/>
                <w:szCs w:val="28"/>
                <w:highlight w:val="none"/>
              </w:rPr>
            </w:pPr>
          </w:p>
        </w:tc>
      </w:tr>
      <w:tr w14:paraId="1A142722">
        <w:tblPrEx>
          <w:shd w:val="clear" w:color="auto" w:fill="FBFBFB"/>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6A2DC7BB">
            <w:pPr>
              <w:widowControl/>
              <w:wordWrap w:val="0"/>
              <w:spacing w:line="200" w:lineRule="atLeast"/>
              <w:jc w:val="center"/>
              <w:rPr>
                <w:rFonts w:ascii="宋体" w:hAnsi="宋体" w:cs="宋体"/>
                <w:color w:val="auto"/>
                <w:kern w:val="0"/>
                <w:sz w:val="28"/>
                <w:szCs w:val="28"/>
                <w:highlight w:val="none"/>
              </w:rPr>
            </w:pPr>
            <w:r>
              <w:rPr>
                <w:rFonts w:hint="eastAsia" w:ascii="宋体" w:hAnsi="宋体" w:cs="宋体"/>
                <w:color w:val="auto"/>
                <w:kern w:val="0"/>
                <w:sz w:val="28"/>
                <w:szCs w:val="28"/>
                <w:highlight w:val="none"/>
              </w:rPr>
              <w:t>……</w:t>
            </w:r>
          </w:p>
        </w:tc>
        <w:tc>
          <w:tcPr>
            <w:tcW w:w="3600"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3D40A8AE">
            <w:pPr>
              <w:widowControl/>
              <w:wordWrap w:val="0"/>
              <w:spacing w:line="200" w:lineRule="atLeast"/>
              <w:jc w:val="center"/>
              <w:rPr>
                <w:rFonts w:ascii="宋体" w:hAnsi="宋体" w:cs="宋体"/>
                <w:color w:val="auto"/>
                <w:kern w:val="0"/>
                <w:sz w:val="28"/>
                <w:szCs w:val="28"/>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600CB745">
            <w:pPr>
              <w:widowControl/>
              <w:wordWrap w:val="0"/>
              <w:spacing w:line="200" w:lineRule="atLeast"/>
              <w:jc w:val="center"/>
              <w:rPr>
                <w:rFonts w:ascii="宋体" w:hAnsi="宋体" w:cs="宋体"/>
                <w:color w:val="auto"/>
                <w:kern w:val="0"/>
                <w:sz w:val="28"/>
                <w:szCs w:val="28"/>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71D7AC13">
            <w:pPr>
              <w:widowControl/>
              <w:wordWrap w:val="0"/>
              <w:spacing w:line="200" w:lineRule="atLeast"/>
              <w:jc w:val="center"/>
              <w:rPr>
                <w:rFonts w:ascii="宋体" w:hAnsi="宋体" w:cs="宋体"/>
                <w:color w:val="auto"/>
                <w:kern w:val="0"/>
                <w:sz w:val="28"/>
                <w:szCs w:val="28"/>
                <w:highlight w:val="none"/>
              </w:rPr>
            </w:pPr>
          </w:p>
        </w:tc>
      </w:tr>
    </w:tbl>
    <w:p w14:paraId="2288694E">
      <w:pPr>
        <w:spacing w:line="360" w:lineRule="auto"/>
        <w:contextualSpacing/>
        <w:jc w:val="left"/>
        <w:rPr>
          <w:rFonts w:hint="eastAsia" w:ascii="宋体" w:hAnsi="宋体"/>
          <w:color w:val="auto"/>
          <w:sz w:val="24"/>
          <w:highlight w:val="none"/>
        </w:rPr>
      </w:pPr>
      <w:r>
        <w:rPr>
          <w:rFonts w:hint="eastAsia" w:ascii="宋体" w:hAnsi="宋体"/>
          <w:color w:val="auto"/>
          <w:sz w:val="24"/>
          <w:highlight w:val="none"/>
        </w:rPr>
        <w:t>注：</w:t>
      </w:r>
    </w:p>
    <w:p w14:paraId="6AC096CC">
      <w:pPr>
        <w:spacing w:line="360" w:lineRule="auto"/>
        <w:ind w:firstLine="480" w:firstLineChars="200"/>
        <w:contextualSpacing/>
        <w:jc w:val="left"/>
        <w:rPr>
          <w:rFonts w:hint="eastAsia" w:ascii="宋体" w:hAnsi="宋体"/>
          <w:color w:val="auto"/>
          <w:sz w:val="24"/>
          <w:highlight w:val="none"/>
        </w:rPr>
      </w:pPr>
      <w:r>
        <w:rPr>
          <w:rFonts w:hint="eastAsia" w:ascii="宋体" w:hAnsi="宋体"/>
          <w:color w:val="auto"/>
          <w:sz w:val="24"/>
          <w:highlight w:val="none"/>
        </w:rPr>
        <w:t>1.管理关系：是指不具有出资持股关系的其他单位之间存在的管理与被管理关系，如一些上下级关系的事业单位和团体组织。</w:t>
      </w:r>
    </w:p>
    <w:p w14:paraId="78E123C6">
      <w:pPr>
        <w:spacing w:line="360" w:lineRule="auto"/>
        <w:ind w:firstLine="480" w:firstLineChars="200"/>
        <w:contextualSpacing/>
        <w:jc w:val="left"/>
        <w:rPr>
          <w:rFonts w:hint="eastAsia" w:ascii="宋体" w:hAnsi="宋体"/>
          <w:color w:val="auto"/>
          <w:sz w:val="24"/>
          <w:highlight w:val="none"/>
        </w:rPr>
      </w:pPr>
      <w:r>
        <w:rPr>
          <w:rFonts w:hint="eastAsia" w:ascii="宋体" w:hAnsi="宋体"/>
          <w:color w:val="auto"/>
          <w:sz w:val="24"/>
          <w:highlight w:val="none"/>
        </w:rPr>
        <w:t>2.</w:t>
      </w:r>
      <w:r>
        <w:rPr>
          <w:rFonts w:hint="eastAsia" w:ascii="宋体" w:hAnsi="宋体"/>
          <w:color w:val="auto"/>
          <w:spacing w:val="-6"/>
          <w:sz w:val="24"/>
          <w:highlight w:val="none"/>
        </w:rPr>
        <w:t>本表所指的管理关系仅限于直接管理关系，不包括间接的管理关系。</w:t>
      </w:r>
    </w:p>
    <w:p w14:paraId="0974437D">
      <w:pPr>
        <w:spacing w:line="360" w:lineRule="auto"/>
        <w:ind w:firstLine="480" w:firstLineChars="200"/>
        <w:contextualSpacing/>
        <w:jc w:val="left"/>
        <w:rPr>
          <w:rFonts w:hint="eastAsia" w:ascii="宋体" w:hAnsi="宋体"/>
          <w:color w:val="auto"/>
          <w:sz w:val="24"/>
          <w:highlight w:val="none"/>
        </w:rPr>
      </w:pPr>
      <w:r>
        <w:rPr>
          <w:rFonts w:hint="eastAsia" w:ascii="宋体" w:hAnsi="宋体"/>
          <w:color w:val="auto"/>
          <w:sz w:val="24"/>
          <w:highlight w:val="none"/>
        </w:rPr>
        <w:t>3.供应商不存在直接管理关系的，则在“直接管理关系单位名称”填“无”。</w:t>
      </w:r>
    </w:p>
    <w:p w14:paraId="42E65CFA">
      <w:pPr>
        <w:spacing w:line="360" w:lineRule="auto"/>
        <w:contextualSpacing/>
        <w:jc w:val="left"/>
        <w:rPr>
          <w:rFonts w:hint="eastAsia" w:ascii="宋体" w:hAnsi="宋体"/>
          <w:color w:val="auto"/>
          <w:sz w:val="28"/>
          <w:szCs w:val="28"/>
          <w:highlight w:val="none"/>
        </w:rPr>
      </w:pPr>
    </w:p>
    <w:p w14:paraId="733240A1">
      <w:pPr>
        <w:spacing w:line="360" w:lineRule="auto"/>
        <w:contextualSpacing/>
        <w:jc w:val="left"/>
        <w:rPr>
          <w:rFonts w:hint="eastAsia" w:ascii="宋体" w:hAnsi="宋体"/>
          <w:color w:val="auto"/>
          <w:sz w:val="28"/>
          <w:szCs w:val="28"/>
          <w:highlight w:val="none"/>
        </w:rPr>
      </w:pPr>
    </w:p>
    <w:p w14:paraId="255C53F8">
      <w:pPr>
        <w:spacing w:line="360" w:lineRule="auto"/>
        <w:contextualSpacing/>
        <w:jc w:val="left"/>
        <w:rPr>
          <w:rFonts w:hint="eastAsia"/>
          <w:color w:val="auto"/>
          <w:sz w:val="28"/>
          <w:szCs w:val="28"/>
          <w:highlight w:val="none"/>
        </w:rPr>
      </w:pPr>
    </w:p>
    <w:p w14:paraId="06452501">
      <w:pPr>
        <w:spacing w:line="360" w:lineRule="auto"/>
        <w:contextualSpacing/>
        <w:jc w:val="left"/>
        <w:rPr>
          <w:rFonts w:hint="eastAsia"/>
          <w:color w:val="auto"/>
          <w:sz w:val="28"/>
          <w:szCs w:val="28"/>
          <w:highlight w:val="none"/>
        </w:rPr>
      </w:pPr>
    </w:p>
    <w:p w14:paraId="02018A75">
      <w:pPr>
        <w:spacing w:line="360" w:lineRule="auto"/>
        <w:contextualSpacing/>
        <w:jc w:val="left"/>
        <w:rPr>
          <w:rFonts w:hint="eastAsia"/>
          <w:color w:val="auto"/>
          <w:sz w:val="28"/>
          <w:szCs w:val="28"/>
          <w:highlight w:val="none"/>
        </w:rPr>
      </w:pPr>
    </w:p>
    <w:p w14:paraId="686499B4">
      <w:pPr>
        <w:spacing w:line="360" w:lineRule="auto"/>
        <w:contextualSpacing/>
        <w:jc w:val="left"/>
        <w:rPr>
          <w:rFonts w:hint="eastAsia" w:ascii="宋体" w:hAnsi="宋体"/>
          <w:color w:val="auto"/>
          <w:sz w:val="28"/>
          <w:szCs w:val="28"/>
          <w:highlight w:val="none"/>
        </w:rPr>
      </w:pPr>
    </w:p>
    <w:p w14:paraId="12A7E488">
      <w:pPr>
        <w:spacing w:line="360" w:lineRule="auto"/>
        <w:ind w:right="480"/>
        <w:contextualSpacing/>
        <w:jc w:val="center"/>
        <w:rPr>
          <w:rFonts w:hint="eastAsia" w:ascii="宋体" w:hAnsi="宋体"/>
          <w:color w:val="auto"/>
          <w:sz w:val="24"/>
          <w:highlight w:val="none"/>
          <w:u w:val="single"/>
        </w:rPr>
      </w:pPr>
      <w:r>
        <w:rPr>
          <w:rFonts w:hint="eastAsia" w:ascii="宋体" w:hAnsi="宋体"/>
          <w:color w:val="auto"/>
          <w:sz w:val="24"/>
          <w:highlight w:val="none"/>
        </w:rPr>
        <w:t xml:space="preserve"> </w:t>
      </w:r>
      <w:r>
        <w:rPr>
          <w:rFonts w:ascii="宋体" w:hAnsi="宋体"/>
          <w:color w:val="auto"/>
          <w:sz w:val="24"/>
          <w:highlight w:val="none"/>
        </w:rPr>
        <w:t xml:space="preserve">             </w:t>
      </w:r>
      <w:r>
        <w:rPr>
          <w:rFonts w:hint="eastAsia" w:ascii="宋体" w:hAnsi="宋体"/>
          <w:color w:val="auto"/>
          <w:sz w:val="24"/>
          <w:highlight w:val="none"/>
        </w:rPr>
        <w:t>法定代表人或者委托代理人（签字或者电子签名）：</w:t>
      </w:r>
      <w:r>
        <w:rPr>
          <w:rFonts w:hint="eastAsia" w:ascii="宋体" w:hAnsi="宋体"/>
          <w:color w:val="auto"/>
          <w:sz w:val="24"/>
          <w:highlight w:val="none"/>
          <w:u w:val="single"/>
        </w:rPr>
        <w:t xml:space="preserve"> </w:t>
      </w:r>
      <w:r>
        <w:rPr>
          <w:rFonts w:ascii="宋体" w:hAnsi="宋体"/>
          <w:color w:val="auto"/>
          <w:sz w:val="24"/>
          <w:highlight w:val="none"/>
          <w:u w:val="single"/>
        </w:rPr>
        <w:t xml:space="preserve">                  </w:t>
      </w:r>
    </w:p>
    <w:p w14:paraId="6D38F596">
      <w:pPr>
        <w:spacing w:line="360" w:lineRule="auto"/>
        <w:ind w:right="480" w:firstLine="3360" w:firstLineChars="1400"/>
        <w:contextualSpacing/>
        <w:rPr>
          <w:rFonts w:hint="eastAsia" w:ascii="宋体" w:hAnsi="宋体"/>
          <w:color w:val="auto"/>
          <w:sz w:val="24"/>
          <w:highlight w:val="none"/>
        </w:rPr>
      </w:pPr>
      <w:r>
        <w:rPr>
          <w:rFonts w:hint="eastAsia" w:ascii="宋体" w:hAnsi="宋体"/>
          <w:color w:val="auto"/>
          <w:sz w:val="24"/>
          <w:highlight w:val="none"/>
        </w:rPr>
        <w:t>供应商（电子签章）：</w:t>
      </w:r>
      <w:r>
        <w:rPr>
          <w:rFonts w:hint="eastAsia" w:ascii="宋体" w:hAnsi="宋体"/>
          <w:color w:val="auto"/>
          <w:sz w:val="24"/>
          <w:highlight w:val="none"/>
          <w:u w:val="single"/>
        </w:rPr>
        <w:t xml:space="preserve">                </w:t>
      </w:r>
    </w:p>
    <w:p w14:paraId="17EFD0D0">
      <w:pPr>
        <w:spacing w:line="360" w:lineRule="auto"/>
        <w:ind w:right="480" w:firstLine="240" w:firstLineChars="100"/>
        <w:contextualSpacing/>
        <w:jc w:val="center"/>
        <w:rPr>
          <w:rFonts w:hint="eastAsia" w:ascii="宋体" w:hAnsi="宋体"/>
          <w:color w:val="auto"/>
          <w:sz w:val="28"/>
          <w:szCs w:val="28"/>
          <w:highlight w:val="none"/>
        </w:rPr>
      </w:pPr>
      <w:r>
        <w:rPr>
          <w:rFonts w:hint="eastAsia" w:ascii="宋体" w:hAnsi="宋体"/>
          <w:color w:val="auto"/>
          <w:sz w:val="24"/>
          <w:highlight w:val="none"/>
        </w:rPr>
        <w:t xml:space="preserve">                                        年    月    日</w:t>
      </w:r>
    </w:p>
    <w:p w14:paraId="30879402">
      <w:pPr>
        <w:spacing w:line="500" w:lineRule="exact"/>
        <w:jc w:val="center"/>
        <w:rPr>
          <w:rFonts w:hint="eastAsia" w:ascii="方正小标宋简体" w:hAnsi="宋体" w:eastAsia="方正小标宋简体"/>
          <w:b/>
          <w:color w:val="auto"/>
          <w:sz w:val="32"/>
          <w:szCs w:val="32"/>
          <w:highlight w:val="none"/>
        </w:rPr>
      </w:pPr>
      <w:r>
        <w:rPr>
          <w:rFonts w:ascii="宋体" w:hAnsi="宋体"/>
          <w:b/>
          <w:color w:val="auto"/>
          <w:sz w:val="32"/>
          <w:szCs w:val="32"/>
          <w:highlight w:val="none"/>
        </w:rPr>
        <w:br w:type="page"/>
      </w:r>
      <w:r>
        <w:rPr>
          <w:rFonts w:hint="eastAsia" w:ascii="方正小标宋简体" w:hAnsi="宋体" w:eastAsia="方正小标宋简体"/>
          <w:b/>
          <w:color w:val="auto"/>
          <w:sz w:val="32"/>
          <w:szCs w:val="32"/>
          <w:highlight w:val="none"/>
        </w:rPr>
        <w:t>竞标声明</w:t>
      </w:r>
    </w:p>
    <w:p w14:paraId="756C9619">
      <w:pPr>
        <w:spacing w:line="320" w:lineRule="exact"/>
        <w:jc w:val="center"/>
        <w:rPr>
          <w:rFonts w:hint="eastAsia" w:ascii="宋体" w:hAnsi="宋体"/>
          <w:color w:val="auto"/>
          <w:sz w:val="24"/>
          <w:szCs w:val="20"/>
          <w:highlight w:val="none"/>
        </w:rPr>
      </w:pPr>
    </w:p>
    <w:p w14:paraId="55CAEC44">
      <w:pPr>
        <w:spacing w:line="360" w:lineRule="auto"/>
        <w:contextualSpacing/>
        <w:rPr>
          <w:rFonts w:hint="eastAsia" w:ascii="宋体" w:hAnsi="宋体" w:cs="宋体"/>
          <w:color w:val="auto"/>
          <w:sz w:val="24"/>
          <w:highlight w:val="none"/>
        </w:rPr>
      </w:pPr>
      <w:r>
        <w:rPr>
          <w:rFonts w:hint="eastAsia" w:ascii="宋体" w:hAnsi="宋体" w:cs="宋体"/>
          <w:color w:val="auto"/>
          <w:sz w:val="24"/>
          <w:highlight w:val="none"/>
        </w:rPr>
        <w:t>致：</w:t>
      </w:r>
      <w:r>
        <w:rPr>
          <w:rFonts w:hint="eastAsia" w:ascii="宋体" w:hAnsi="宋体" w:cs="宋体"/>
          <w:color w:val="auto"/>
          <w:sz w:val="24"/>
          <w:highlight w:val="none"/>
          <w:u w:val="single"/>
        </w:rPr>
        <w:t>（采购人名称）</w:t>
      </w:r>
      <w:r>
        <w:rPr>
          <w:rFonts w:hint="eastAsia" w:ascii="宋体" w:hAnsi="宋体" w:cs="宋体"/>
          <w:color w:val="auto"/>
          <w:sz w:val="24"/>
          <w:highlight w:val="none"/>
        </w:rPr>
        <w:t>：</w:t>
      </w:r>
    </w:p>
    <w:p w14:paraId="32D6727B">
      <w:pPr>
        <w:spacing w:line="360" w:lineRule="auto"/>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我方</w:t>
      </w:r>
      <w:r>
        <w:rPr>
          <w:rFonts w:hint="eastAsia" w:ascii="宋体" w:hAnsi="宋体" w:cs="宋体"/>
          <w:color w:val="auto"/>
          <w:sz w:val="24"/>
          <w:highlight w:val="none"/>
          <w:u w:val="single"/>
        </w:rPr>
        <w:t>（供应商名称）</w:t>
      </w:r>
      <w:r>
        <w:rPr>
          <w:rFonts w:hint="eastAsia" w:ascii="宋体" w:hAnsi="宋体" w:cs="宋体"/>
          <w:color w:val="auto"/>
          <w:sz w:val="24"/>
          <w:highlight w:val="none"/>
        </w:rPr>
        <w:t>系中华人民共和国合法供应商，经营地址</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p w14:paraId="13915700">
      <w:pPr>
        <w:spacing w:line="360" w:lineRule="auto"/>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我方愿意参加贵方组织的</w:t>
      </w:r>
      <w:r>
        <w:rPr>
          <w:rFonts w:hint="eastAsia" w:ascii="宋体" w:hAnsi="宋体" w:cs="宋体"/>
          <w:color w:val="auto"/>
          <w:sz w:val="24"/>
          <w:highlight w:val="none"/>
          <w:u w:val="single"/>
        </w:rPr>
        <w:t xml:space="preserve">   （项目名称）   </w:t>
      </w:r>
      <w:r>
        <w:rPr>
          <w:rFonts w:hint="eastAsia" w:ascii="宋体" w:hAnsi="宋体" w:cs="宋体"/>
          <w:color w:val="auto"/>
          <w:sz w:val="24"/>
          <w:highlight w:val="none"/>
        </w:rPr>
        <w:t>项目的竞标，为便于贵方公正、择优地确定成交供应商及其竞标产品和服务，我方就本次竞标有关事项郑重声明如下：</w:t>
      </w:r>
    </w:p>
    <w:p w14:paraId="4DB24180">
      <w:pPr>
        <w:spacing w:line="360" w:lineRule="auto"/>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1.我方向贵方提交的所有响应文件、资料都是准确的和真实的。</w:t>
      </w:r>
    </w:p>
    <w:p w14:paraId="3F0B5C92">
      <w:pPr>
        <w:spacing w:line="360" w:lineRule="auto"/>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2.</w:t>
      </w:r>
      <w:r>
        <w:rPr>
          <w:rFonts w:hint="eastAsia" w:ascii="宋体" w:hAnsi="宋体"/>
          <w:color w:val="auto"/>
          <w:sz w:val="24"/>
          <w:highlight w:val="none"/>
        </w:rPr>
        <w:t>我方不是为本次采购项目提供整体设计、规范编制或者项目管理、监理、检测等服务的供应商</w:t>
      </w:r>
      <w:r>
        <w:rPr>
          <w:rFonts w:hint="eastAsia" w:ascii="宋体" w:hAnsi="宋体" w:cs="宋体"/>
          <w:color w:val="auto"/>
          <w:sz w:val="24"/>
          <w:highlight w:val="none"/>
        </w:rPr>
        <w:t>。</w:t>
      </w:r>
    </w:p>
    <w:p w14:paraId="4CFFC557">
      <w:pPr>
        <w:spacing w:line="360" w:lineRule="auto"/>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3.在此，我方宣布同意如下：</w:t>
      </w:r>
    </w:p>
    <w:p w14:paraId="4056D063">
      <w:pPr>
        <w:spacing w:line="360" w:lineRule="auto"/>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（1）将按谈判文件的约定履行合同责任和义务；</w:t>
      </w:r>
    </w:p>
    <w:p w14:paraId="09ACBD29">
      <w:pPr>
        <w:spacing w:line="360" w:lineRule="auto"/>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（2）已详细审查全部谈判文件，包括补遗文件（如有）；</w:t>
      </w:r>
    </w:p>
    <w:p w14:paraId="30D0ADCC">
      <w:pPr>
        <w:spacing w:line="360" w:lineRule="auto"/>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（3）同意提供按照贵方可能要求的与谈判有关的一切数据或者资料；</w:t>
      </w:r>
    </w:p>
    <w:p w14:paraId="690C1FEA">
      <w:pPr>
        <w:spacing w:line="360" w:lineRule="auto"/>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（4）响应谈判文件规定的竞标有效期。</w:t>
      </w:r>
    </w:p>
    <w:p w14:paraId="3FD0DA60">
      <w:pPr>
        <w:spacing w:line="360" w:lineRule="auto"/>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4.我方承诺符合《中华人民共和国政府采购法》第二十二条规定：</w:t>
      </w:r>
    </w:p>
    <w:p w14:paraId="72A36912">
      <w:pPr>
        <w:spacing w:line="360" w:lineRule="auto"/>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（1）具有独立承担民事责任的能力；</w:t>
      </w:r>
    </w:p>
    <w:p w14:paraId="43AC2B15">
      <w:pPr>
        <w:spacing w:line="360" w:lineRule="auto"/>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（2）具有良好的商业信誉和健全的财务会计制度；</w:t>
      </w:r>
    </w:p>
    <w:p w14:paraId="26821849">
      <w:pPr>
        <w:spacing w:line="360" w:lineRule="auto"/>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（3）具有履行合同所必需的设备和专业技术能力；</w:t>
      </w:r>
    </w:p>
    <w:p w14:paraId="24AA8B50">
      <w:pPr>
        <w:spacing w:line="360" w:lineRule="auto"/>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（4）有依法缴纳税收和社会保障资金的良好记录；</w:t>
      </w:r>
    </w:p>
    <w:p w14:paraId="7D300C34">
      <w:pPr>
        <w:spacing w:line="360" w:lineRule="auto"/>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（5）参加政府采购活动前三年内，在经营活动中没有重大违法记录；</w:t>
      </w:r>
    </w:p>
    <w:p w14:paraId="0E57C009">
      <w:pPr>
        <w:spacing w:line="360" w:lineRule="auto"/>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（6）法律、行政法规规定的其他条件。</w:t>
      </w:r>
    </w:p>
    <w:p w14:paraId="5DC6A5F1">
      <w:pPr>
        <w:spacing w:line="360" w:lineRule="auto"/>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5.我方在此声明，我方在参加本项目的政府采购活动前三年内，在经营活动中没有重大违法记录（重大违法记录是指供应商因违法经营受到刑事处罚或者责令停产停业、吊销许可证或者执照、较大数额罚款等行政处罚），未被列入失信被执行人、重大税收违法失信主体、政府采购严重违法失信行为记录名单，完全符合《中华人民共和国政府采购法》第二十二条规定的供应商资格条件，我方对此声明负全部法律责任。</w:t>
      </w:r>
    </w:p>
    <w:p w14:paraId="4F2CB816">
      <w:pPr>
        <w:spacing w:line="360" w:lineRule="auto"/>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6.根据《中华人民共和国政府采购法实施条例》第五十条要求对政府采购合同进行公告，但政府采购合同中涉及国家秘密、商业秘密的内容除外。我方就对本次响应文件进行注明如下：（两项内容中必须选择一项）</w:t>
      </w:r>
    </w:p>
    <w:p w14:paraId="785B98A6">
      <w:pPr>
        <w:spacing w:line="360" w:lineRule="auto"/>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□我方本次响应文件</w:t>
      </w:r>
      <w:r>
        <w:rPr>
          <w:rFonts w:hint="eastAsia" w:ascii="宋体" w:hAnsi="宋体" w:cs="宋体"/>
          <w:color w:val="auto"/>
          <w:kern w:val="0"/>
          <w:sz w:val="24"/>
          <w:highlight w:val="none"/>
        </w:rPr>
        <w:t>内容中</w:t>
      </w:r>
      <w:r>
        <w:rPr>
          <w:rFonts w:hint="eastAsia" w:ascii="宋体" w:hAnsi="宋体" w:cs="宋体"/>
          <w:color w:val="auto"/>
          <w:sz w:val="24"/>
          <w:highlight w:val="none"/>
        </w:rPr>
        <w:t>未</w:t>
      </w:r>
      <w:r>
        <w:rPr>
          <w:rFonts w:hint="eastAsia" w:ascii="宋体" w:hAnsi="宋体" w:cs="宋体"/>
          <w:color w:val="auto"/>
          <w:kern w:val="0"/>
          <w:sz w:val="24"/>
          <w:highlight w:val="none"/>
        </w:rPr>
        <w:t>涉及商业秘密；</w:t>
      </w:r>
    </w:p>
    <w:p w14:paraId="5B0E0807">
      <w:pPr>
        <w:spacing w:line="360" w:lineRule="auto"/>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□我方本次响应文件</w:t>
      </w:r>
      <w:r>
        <w:rPr>
          <w:rFonts w:hint="eastAsia" w:ascii="宋体" w:hAnsi="宋体" w:cs="宋体"/>
          <w:color w:val="auto"/>
          <w:kern w:val="0"/>
          <w:sz w:val="24"/>
          <w:highlight w:val="none"/>
        </w:rPr>
        <w:t>涉及商业秘密的内容有：</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w:t>
      </w:r>
    </w:p>
    <w:p w14:paraId="6AAFA301">
      <w:pPr>
        <w:pStyle w:val="15"/>
        <w:spacing w:line="360" w:lineRule="auto"/>
        <w:ind w:firstLine="480" w:firstLineChars="200"/>
        <w:contextualSpacing/>
        <w:rPr>
          <w:rFonts w:hint="eastAsia" w:hAnsi="宋体" w:cs="宋体"/>
          <w:color w:val="auto"/>
          <w:sz w:val="24"/>
          <w:szCs w:val="24"/>
          <w:highlight w:val="none"/>
          <w:u w:val="single"/>
        </w:rPr>
      </w:pPr>
      <w:r>
        <w:rPr>
          <w:rFonts w:hint="eastAsia" w:hAnsi="宋体" w:cs="宋体"/>
          <w:color w:val="auto"/>
          <w:sz w:val="24"/>
          <w:szCs w:val="24"/>
          <w:highlight w:val="none"/>
        </w:rPr>
        <w:t>7.与本谈判有关的一切正式往来信函请寄：</w:t>
      </w:r>
      <w:r>
        <w:rPr>
          <w:rFonts w:hint="eastAsia" w:hAnsi="宋体" w:cs="宋体"/>
          <w:color w:val="auto"/>
          <w:sz w:val="24"/>
          <w:szCs w:val="24"/>
          <w:highlight w:val="none"/>
          <w:u w:val="single"/>
        </w:rPr>
        <w:t xml:space="preserve">                  </w:t>
      </w:r>
      <w:r>
        <w:rPr>
          <w:rFonts w:hint="eastAsia" w:hAnsi="宋体" w:cs="宋体"/>
          <w:color w:val="auto"/>
          <w:sz w:val="24"/>
          <w:szCs w:val="24"/>
          <w:highlight w:val="none"/>
        </w:rPr>
        <w:t>邮政编号：</w:t>
      </w:r>
      <w:r>
        <w:rPr>
          <w:rFonts w:hint="eastAsia" w:hAnsi="宋体" w:cs="宋体"/>
          <w:color w:val="auto"/>
          <w:sz w:val="24"/>
          <w:szCs w:val="24"/>
          <w:highlight w:val="none"/>
          <w:u w:val="single"/>
        </w:rPr>
        <w:t xml:space="preserve">    </w:t>
      </w:r>
    </w:p>
    <w:p w14:paraId="503F4541">
      <w:pPr>
        <w:pStyle w:val="15"/>
        <w:spacing w:line="360" w:lineRule="auto"/>
        <w:ind w:firstLine="480" w:firstLineChars="200"/>
        <w:contextualSpacing/>
        <w:rPr>
          <w:rFonts w:hint="eastAsia" w:hAnsi="宋体" w:cs="宋体"/>
          <w:color w:val="auto"/>
          <w:sz w:val="24"/>
          <w:szCs w:val="24"/>
          <w:highlight w:val="none"/>
        </w:rPr>
      </w:pPr>
      <w:r>
        <w:rPr>
          <w:rFonts w:hint="eastAsia" w:hAnsi="宋体" w:cs="宋体"/>
          <w:color w:val="auto"/>
          <w:sz w:val="24"/>
          <w:szCs w:val="24"/>
          <w:highlight w:val="none"/>
        </w:rPr>
        <w:t>电话/传真：</w:t>
      </w:r>
      <w:r>
        <w:rPr>
          <w:rFonts w:hint="eastAsia" w:hAnsi="宋体" w:cs="宋体"/>
          <w:color w:val="auto"/>
          <w:sz w:val="24"/>
          <w:szCs w:val="24"/>
          <w:highlight w:val="none"/>
          <w:u w:val="single"/>
        </w:rPr>
        <w:t xml:space="preserve">                        </w:t>
      </w:r>
      <w:r>
        <w:rPr>
          <w:rFonts w:hint="eastAsia" w:hAnsi="宋体" w:cs="宋体"/>
          <w:color w:val="auto"/>
          <w:sz w:val="24"/>
          <w:szCs w:val="24"/>
          <w:highlight w:val="none"/>
        </w:rPr>
        <w:t xml:space="preserve"> 电子邮箱：</w:t>
      </w:r>
      <w:r>
        <w:rPr>
          <w:rFonts w:hint="eastAsia" w:hAnsi="宋体" w:cs="宋体"/>
          <w:color w:val="auto"/>
          <w:sz w:val="24"/>
          <w:szCs w:val="24"/>
          <w:highlight w:val="none"/>
          <w:u w:val="single"/>
        </w:rPr>
        <w:t xml:space="preserve">             </w:t>
      </w:r>
      <w:r>
        <w:rPr>
          <w:rFonts w:hint="eastAsia" w:hAnsi="宋体" w:cs="宋体"/>
          <w:color w:val="auto"/>
          <w:sz w:val="24"/>
          <w:szCs w:val="24"/>
          <w:highlight w:val="none"/>
        </w:rPr>
        <w:t xml:space="preserve">    </w:t>
      </w:r>
    </w:p>
    <w:p w14:paraId="713355BC">
      <w:pPr>
        <w:pStyle w:val="14"/>
        <w:tabs>
          <w:tab w:val="left" w:pos="939"/>
        </w:tabs>
        <w:spacing w:line="360" w:lineRule="auto"/>
        <w:ind w:left="141" w:leftChars="67" w:firstLine="360" w:firstLineChars="150"/>
        <w:rPr>
          <w:rFonts w:hint="eastAsia" w:ascii="宋体" w:hAnsi="宋体" w:cs="宋体"/>
          <w:color w:val="auto"/>
          <w:sz w:val="24"/>
          <w:highlight w:val="none"/>
        </w:rPr>
      </w:pPr>
      <w:r>
        <w:rPr>
          <w:rFonts w:hint="eastAsia" w:ascii="宋体" w:hAnsi="宋体" w:cs="宋体"/>
          <w:color w:val="auto"/>
          <w:sz w:val="24"/>
          <w:highlight w:val="none"/>
        </w:rPr>
        <w:t>开户银行：</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  账号/行号：</w:t>
      </w:r>
      <w:r>
        <w:rPr>
          <w:rFonts w:hint="eastAsia" w:ascii="宋体" w:hAnsi="宋体" w:cs="宋体"/>
          <w:color w:val="auto"/>
          <w:sz w:val="24"/>
          <w:highlight w:val="none"/>
          <w:u w:val="single"/>
        </w:rPr>
        <w:t xml:space="preserve">           </w:t>
      </w:r>
    </w:p>
    <w:p w14:paraId="7EFD2996">
      <w:pPr>
        <w:pStyle w:val="14"/>
        <w:tabs>
          <w:tab w:val="left" w:pos="939"/>
        </w:tabs>
        <w:spacing w:line="360" w:lineRule="auto"/>
        <w:ind w:left="141" w:leftChars="67" w:firstLine="360" w:firstLineChars="150"/>
        <w:rPr>
          <w:rFonts w:hint="eastAsia" w:ascii="宋体" w:hAnsi="宋体" w:cs="宋体"/>
          <w:color w:val="auto"/>
          <w:sz w:val="24"/>
          <w:highlight w:val="none"/>
        </w:rPr>
      </w:pPr>
      <w:r>
        <w:rPr>
          <w:rFonts w:hint="eastAsia" w:ascii="宋体" w:hAnsi="宋体" w:cs="宋体"/>
          <w:color w:val="auto"/>
          <w:sz w:val="24"/>
          <w:highlight w:val="none"/>
        </w:rPr>
        <w:t>8.以上事项如有虚假或者隐瞒，我方愿意承担一切后果，并不再寻求任何旨在减轻或者免除法律责任的辩解。</w:t>
      </w:r>
    </w:p>
    <w:p w14:paraId="52AF24AD">
      <w:pPr>
        <w:pStyle w:val="14"/>
        <w:tabs>
          <w:tab w:val="left" w:pos="939"/>
        </w:tabs>
        <w:spacing w:line="360" w:lineRule="auto"/>
        <w:ind w:left="141" w:leftChars="67" w:firstLine="360" w:firstLineChars="150"/>
        <w:rPr>
          <w:rFonts w:hint="eastAsia" w:ascii="宋体" w:hAnsi="宋体" w:cs="宋体"/>
          <w:color w:val="auto"/>
          <w:szCs w:val="21"/>
          <w:highlight w:val="none"/>
        </w:rPr>
      </w:pPr>
      <w:r>
        <w:rPr>
          <w:rFonts w:hint="eastAsia" w:ascii="宋体" w:hAnsi="宋体" w:cs="宋体"/>
          <w:color w:val="auto"/>
          <w:sz w:val="24"/>
          <w:highlight w:val="none"/>
        </w:rPr>
        <w:t>特此承诺。</w:t>
      </w:r>
    </w:p>
    <w:p w14:paraId="48EE1164">
      <w:pPr>
        <w:spacing w:line="360" w:lineRule="auto"/>
        <w:contextualSpacing/>
        <w:jc w:val="left"/>
        <w:rPr>
          <w:rFonts w:hint="eastAsia" w:ascii="宋体" w:hAnsi="宋体"/>
          <w:b/>
          <w:color w:val="auto"/>
          <w:sz w:val="24"/>
          <w:highlight w:val="none"/>
        </w:rPr>
      </w:pPr>
      <w:r>
        <w:rPr>
          <w:rFonts w:hint="eastAsia" w:ascii="宋体" w:hAnsi="宋体"/>
          <w:b/>
          <w:color w:val="auto"/>
          <w:sz w:val="24"/>
          <w:highlight w:val="none"/>
        </w:rPr>
        <w:t xml:space="preserve">    注：如为联合体竞标，盖章处须加盖联合体牵头人电子签章并由联合体牵头人法定代表人分别签字或者盖章或者电子签名，否则响应文件按无效处理。</w:t>
      </w:r>
    </w:p>
    <w:p w14:paraId="02D1BB37">
      <w:pPr>
        <w:spacing w:line="360" w:lineRule="auto"/>
        <w:contextualSpacing/>
        <w:jc w:val="left"/>
        <w:rPr>
          <w:rFonts w:hint="eastAsia" w:ascii="宋体" w:hAnsi="宋体" w:cs="宋体"/>
          <w:color w:val="auto"/>
          <w:szCs w:val="21"/>
          <w:highlight w:val="none"/>
        </w:rPr>
      </w:pPr>
    </w:p>
    <w:p w14:paraId="240851D2">
      <w:pPr>
        <w:spacing w:line="360" w:lineRule="auto"/>
        <w:ind w:firstLine="1575" w:firstLineChars="750"/>
        <w:contextualSpacing/>
        <w:rPr>
          <w:rFonts w:hint="eastAsia"/>
          <w:color w:val="auto"/>
          <w:highlight w:val="none"/>
        </w:rPr>
      </w:pPr>
      <w:r>
        <w:rPr>
          <w:rFonts w:hint="eastAsia"/>
          <w:color w:val="auto"/>
          <w:highlight w:val="none"/>
        </w:rPr>
        <w:t>法定代表人（</w:t>
      </w:r>
      <w:r>
        <w:rPr>
          <w:rFonts w:hint="eastAsia" w:ascii="宋体" w:hAnsi="宋体"/>
          <w:color w:val="auto"/>
          <w:sz w:val="24"/>
          <w:highlight w:val="none"/>
        </w:rPr>
        <w:t>签字或者盖章或者电子签名</w:t>
      </w:r>
      <w:r>
        <w:rPr>
          <w:rFonts w:hint="eastAsia"/>
          <w:color w:val="auto"/>
          <w:highlight w:val="none"/>
        </w:rPr>
        <w:t>）：</w:t>
      </w:r>
      <w:r>
        <w:rPr>
          <w:rFonts w:hint="eastAsia"/>
          <w:color w:val="auto"/>
          <w:highlight w:val="none"/>
          <w:u w:val="single"/>
        </w:rPr>
        <w:t xml:space="preserve">           </w:t>
      </w:r>
      <w:r>
        <w:rPr>
          <w:rFonts w:hint="eastAsia"/>
          <w:color w:val="auto"/>
          <w:highlight w:val="none"/>
        </w:rPr>
        <w:t xml:space="preserve">                                     </w:t>
      </w:r>
    </w:p>
    <w:p w14:paraId="74D33248">
      <w:pPr>
        <w:spacing w:line="360" w:lineRule="auto"/>
        <w:ind w:firstLine="3780" w:firstLineChars="1800"/>
        <w:contextualSpacing/>
        <w:rPr>
          <w:rFonts w:hint="eastAsia" w:ascii="宋体" w:hAnsi="宋体" w:cs="宋体"/>
          <w:color w:val="auto"/>
          <w:szCs w:val="21"/>
          <w:highlight w:val="none"/>
          <w:u w:val="single"/>
        </w:rPr>
      </w:pPr>
      <w:r>
        <w:rPr>
          <w:rFonts w:hint="eastAsia"/>
          <w:color w:val="auto"/>
          <w:highlight w:val="none"/>
        </w:rPr>
        <w:t>供应商（电子签章）：</w:t>
      </w:r>
      <w:r>
        <w:rPr>
          <w:rFonts w:hint="eastAsia"/>
          <w:color w:val="auto"/>
          <w:highlight w:val="none"/>
          <w:u w:val="single"/>
        </w:rPr>
        <w:t xml:space="preserve">                               </w:t>
      </w:r>
      <w:r>
        <w:rPr>
          <w:rFonts w:hint="eastAsia"/>
          <w:color w:val="auto"/>
          <w:highlight w:val="none"/>
        </w:rPr>
        <w:t xml:space="preserve">       </w:t>
      </w:r>
      <w:r>
        <w:rPr>
          <w:rFonts w:hint="eastAsia" w:ascii="宋体" w:hAnsi="宋体" w:cs="宋体"/>
          <w:color w:val="auto"/>
          <w:szCs w:val="21"/>
          <w:highlight w:val="none"/>
        </w:rPr>
        <w:t xml:space="preserve">    </w:t>
      </w:r>
    </w:p>
    <w:p w14:paraId="5911F0AE">
      <w:pPr>
        <w:spacing w:line="360" w:lineRule="auto"/>
        <w:ind w:right="482" w:firstLine="210" w:firstLineChars="100"/>
        <w:contextualSpacing/>
        <w:jc w:val="center"/>
        <w:rPr>
          <w:rFonts w:hint="eastAsia" w:ascii="宋体" w:hAnsi="宋体"/>
          <w:color w:val="auto"/>
          <w:szCs w:val="21"/>
          <w:highlight w:val="none"/>
        </w:rPr>
      </w:pPr>
      <w:r>
        <w:rPr>
          <w:rFonts w:hint="eastAsia" w:ascii="宋体" w:hAnsi="宋体" w:cs="宋体"/>
          <w:color w:val="auto"/>
          <w:szCs w:val="21"/>
          <w:highlight w:val="none"/>
        </w:rPr>
        <w:t xml:space="preserve">                                                        </w:t>
      </w:r>
      <w:r>
        <w:rPr>
          <w:rFonts w:hint="eastAsia"/>
          <w:color w:val="auto"/>
          <w:highlight w:val="none"/>
        </w:rPr>
        <w:t xml:space="preserve"> 年    月    日 </w:t>
      </w:r>
    </w:p>
    <w:p w14:paraId="08EA80B3">
      <w:pPr>
        <w:spacing w:line="360" w:lineRule="auto"/>
        <w:ind w:right="420"/>
        <w:contextualSpacing/>
        <w:jc w:val="left"/>
        <w:rPr>
          <w:rFonts w:hint="eastAsia" w:ascii="方正小标宋简体" w:hAnsi="方正小标宋简体" w:eastAsia="方正小标宋简体" w:cs="方正小标宋简体"/>
          <w:color w:val="auto"/>
          <w:sz w:val="32"/>
          <w:szCs w:val="32"/>
          <w:highlight w:val="none"/>
        </w:rPr>
      </w:pPr>
    </w:p>
    <w:p w14:paraId="4CFF7B5A">
      <w:pPr>
        <w:spacing w:line="360" w:lineRule="auto"/>
        <w:ind w:right="420"/>
        <w:contextualSpacing/>
        <w:jc w:val="left"/>
        <w:rPr>
          <w:rFonts w:hint="eastAsia" w:ascii="宋体" w:hAnsi="宋体"/>
          <w:b/>
          <w:color w:val="auto"/>
          <w:sz w:val="32"/>
          <w:szCs w:val="32"/>
          <w:highlight w:val="none"/>
        </w:rPr>
      </w:pPr>
      <w:bookmarkStart w:id="113" w:name="_Toc71366061"/>
      <w:bookmarkStart w:id="114" w:name="_Toc71365383"/>
      <w:r>
        <w:rPr>
          <w:rFonts w:hint="eastAsia" w:ascii="方正小标宋简体" w:hAnsi="方正小标宋简体" w:eastAsia="方正小标宋简体" w:cs="方正小标宋简体"/>
          <w:bCs/>
          <w:color w:val="auto"/>
          <w:sz w:val="44"/>
          <w:szCs w:val="44"/>
          <w:highlight w:val="none"/>
        </w:rPr>
        <w:br w:type="page"/>
      </w:r>
      <w:bookmarkEnd w:id="113"/>
      <w:bookmarkEnd w:id="114"/>
      <w:r>
        <w:rPr>
          <w:rFonts w:hint="eastAsia" w:ascii="宋体" w:hAnsi="宋体"/>
          <w:b/>
          <w:bCs/>
          <w:color w:val="auto"/>
          <w:sz w:val="32"/>
          <w:szCs w:val="32"/>
          <w:highlight w:val="none"/>
        </w:rPr>
        <w:t>二、</w:t>
      </w:r>
      <w:r>
        <w:rPr>
          <w:rFonts w:hint="eastAsia" w:ascii="宋体" w:hAnsi="宋体"/>
          <w:b/>
          <w:color w:val="auto"/>
          <w:sz w:val="32"/>
          <w:szCs w:val="32"/>
          <w:highlight w:val="none"/>
        </w:rPr>
        <w:t xml:space="preserve">报价文件格式 </w:t>
      </w:r>
    </w:p>
    <w:p w14:paraId="0B59E7C3">
      <w:pPr>
        <w:snapToGrid w:val="0"/>
        <w:spacing w:before="120" w:beforeLines="50" w:after="50" w:line="360" w:lineRule="auto"/>
        <w:jc w:val="left"/>
        <w:rPr>
          <w:rFonts w:ascii="宋体" w:hAnsi="宋体"/>
          <w:b/>
          <w:color w:val="auto"/>
          <w:sz w:val="32"/>
          <w:szCs w:val="32"/>
          <w:highlight w:val="none"/>
        </w:rPr>
      </w:pPr>
      <w:r>
        <w:rPr>
          <w:rFonts w:hint="eastAsia" w:ascii="宋体" w:hAnsi="宋体"/>
          <w:b/>
          <w:color w:val="auto"/>
          <w:sz w:val="32"/>
          <w:szCs w:val="32"/>
          <w:highlight w:val="none"/>
        </w:rPr>
        <w:t>1.报价文件封面格式</w:t>
      </w:r>
    </w:p>
    <w:p w14:paraId="57CA8A6A">
      <w:pPr>
        <w:snapToGrid w:val="0"/>
        <w:spacing w:before="120" w:beforeLines="50" w:after="50"/>
        <w:rPr>
          <w:rFonts w:hint="eastAsia" w:ascii="宋体" w:hAnsi="宋体"/>
          <w:bCs/>
          <w:color w:val="auto"/>
          <w:sz w:val="32"/>
          <w:szCs w:val="20"/>
          <w:highlight w:val="none"/>
        </w:rPr>
      </w:pPr>
      <w:r>
        <w:rPr>
          <w:rFonts w:hint="eastAsia" w:ascii="宋体" w:hAnsi="宋体"/>
          <w:color w:val="auto"/>
          <w:sz w:val="24"/>
          <w:highlight w:val="none"/>
        </w:rPr>
        <w:t xml:space="preserve">                                                    </w:t>
      </w:r>
    </w:p>
    <w:p w14:paraId="6ACB4ABB">
      <w:pPr>
        <w:snapToGrid w:val="0"/>
        <w:spacing w:before="120" w:beforeLines="50" w:after="50"/>
        <w:jc w:val="center"/>
        <w:rPr>
          <w:rFonts w:hint="eastAsia" w:ascii="宋体" w:hAnsi="宋体"/>
          <w:color w:val="auto"/>
          <w:sz w:val="24"/>
          <w:szCs w:val="20"/>
          <w:highlight w:val="none"/>
        </w:rPr>
      </w:pPr>
      <w:r>
        <w:rPr>
          <w:rFonts w:hint="eastAsia" w:ascii="宋体" w:hAnsi="宋体"/>
          <w:color w:val="auto"/>
          <w:sz w:val="44"/>
          <w:szCs w:val="44"/>
          <w:highlight w:val="none"/>
        </w:rPr>
        <w:t>电 子 响 应 文 件</w:t>
      </w:r>
    </w:p>
    <w:p w14:paraId="1993C5D7">
      <w:pPr>
        <w:snapToGrid w:val="0"/>
        <w:spacing w:before="120" w:beforeLines="50" w:after="50"/>
        <w:rPr>
          <w:rFonts w:hint="eastAsia" w:ascii="宋体" w:hAnsi="宋体"/>
          <w:color w:val="auto"/>
          <w:sz w:val="24"/>
          <w:szCs w:val="20"/>
          <w:highlight w:val="none"/>
        </w:rPr>
      </w:pPr>
    </w:p>
    <w:p w14:paraId="7C0EF567">
      <w:pPr>
        <w:snapToGrid w:val="0"/>
        <w:spacing w:before="120" w:beforeLines="50" w:after="50"/>
        <w:rPr>
          <w:rFonts w:hint="eastAsia" w:ascii="宋体" w:hAnsi="宋体"/>
          <w:color w:val="auto"/>
          <w:sz w:val="24"/>
          <w:szCs w:val="20"/>
          <w:highlight w:val="none"/>
        </w:rPr>
      </w:pPr>
    </w:p>
    <w:p w14:paraId="73317CA9">
      <w:pPr>
        <w:snapToGrid w:val="0"/>
        <w:spacing w:before="120" w:beforeLines="50" w:after="50"/>
        <w:jc w:val="center"/>
        <w:rPr>
          <w:rFonts w:hint="eastAsia" w:ascii="方正小标宋简体" w:hAnsi="方正小标宋简体" w:eastAsia="方正小标宋简体" w:cs="方正小标宋简体"/>
          <w:bCs/>
          <w:color w:val="auto"/>
          <w:sz w:val="44"/>
          <w:szCs w:val="44"/>
          <w:highlight w:val="none"/>
        </w:rPr>
      </w:pPr>
      <w:r>
        <w:rPr>
          <w:rFonts w:hint="eastAsia" w:ascii="方正小标宋简体" w:hAnsi="方正小标宋简体" w:eastAsia="方正小标宋简体" w:cs="方正小标宋简体"/>
          <w:bCs/>
          <w:color w:val="auto"/>
          <w:sz w:val="44"/>
          <w:szCs w:val="44"/>
          <w:highlight w:val="none"/>
        </w:rPr>
        <w:t>报  价  文  件</w:t>
      </w:r>
    </w:p>
    <w:p w14:paraId="4E2EA20C">
      <w:pPr>
        <w:snapToGrid w:val="0"/>
        <w:spacing w:before="120" w:beforeLines="50" w:after="50"/>
        <w:rPr>
          <w:rFonts w:hint="eastAsia" w:ascii="宋体" w:hAnsi="宋体"/>
          <w:bCs/>
          <w:color w:val="auto"/>
          <w:sz w:val="24"/>
          <w:szCs w:val="20"/>
          <w:highlight w:val="none"/>
        </w:rPr>
      </w:pPr>
    </w:p>
    <w:p w14:paraId="6F9F5D31">
      <w:pPr>
        <w:snapToGrid w:val="0"/>
        <w:spacing w:before="120" w:beforeLines="50" w:after="50"/>
        <w:rPr>
          <w:rFonts w:hint="eastAsia" w:ascii="宋体" w:hAnsi="宋体"/>
          <w:bCs/>
          <w:color w:val="auto"/>
          <w:sz w:val="24"/>
          <w:szCs w:val="20"/>
          <w:highlight w:val="none"/>
        </w:rPr>
      </w:pPr>
    </w:p>
    <w:p w14:paraId="771D8923">
      <w:pPr>
        <w:snapToGrid w:val="0"/>
        <w:spacing w:before="120" w:beforeLines="50" w:after="50"/>
        <w:rPr>
          <w:rFonts w:hint="eastAsia" w:ascii="宋体" w:hAnsi="宋体"/>
          <w:bCs/>
          <w:color w:val="auto"/>
          <w:sz w:val="24"/>
          <w:szCs w:val="20"/>
          <w:highlight w:val="none"/>
        </w:rPr>
      </w:pPr>
    </w:p>
    <w:p w14:paraId="104ED0E8">
      <w:pPr>
        <w:snapToGrid w:val="0"/>
        <w:spacing w:before="120" w:beforeLines="50" w:after="50"/>
        <w:rPr>
          <w:rFonts w:hint="eastAsia" w:ascii="宋体" w:hAnsi="宋体"/>
          <w:bCs/>
          <w:color w:val="auto"/>
          <w:sz w:val="24"/>
          <w:szCs w:val="20"/>
          <w:highlight w:val="none"/>
        </w:rPr>
      </w:pPr>
    </w:p>
    <w:p w14:paraId="5025BD48">
      <w:pPr>
        <w:snapToGrid w:val="0"/>
        <w:spacing w:before="120" w:beforeLines="50" w:after="50"/>
        <w:rPr>
          <w:rFonts w:hint="eastAsia" w:ascii="宋体" w:hAnsi="宋体"/>
          <w:bCs/>
          <w:color w:val="auto"/>
          <w:sz w:val="24"/>
          <w:szCs w:val="20"/>
          <w:highlight w:val="none"/>
        </w:rPr>
      </w:pPr>
    </w:p>
    <w:p w14:paraId="19AD4014">
      <w:pPr>
        <w:snapToGrid w:val="0"/>
        <w:spacing w:before="120" w:beforeLines="50" w:after="50"/>
        <w:ind w:firstLine="640" w:firstLineChars="200"/>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项目名称：</w:t>
      </w:r>
    </w:p>
    <w:p w14:paraId="1E5A3C66">
      <w:pPr>
        <w:snapToGrid w:val="0"/>
        <w:spacing w:before="120" w:beforeLines="50" w:after="50"/>
        <w:ind w:firstLine="720" w:firstLineChars="225"/>
        <w:rPr>
          <w:rFonts w:hint="eastAsia" w:ascii="宋体" w:hAnsi="宋体" w:cs="仿宋_GB2312"/>
          <w:bCs/>
          <w:color w:val="auto"/>
          <w:sz w:val="32"/>
          <w:szCs w:val="32"/>
          <w:highlight w:val="none"/>
        </w:rPr>
      </w:pPr>
    </w:p>
    <w:p w14:paraId="40DB79FD">
      <w:pPr>
        <w:snapToGrid w:val="0"/>
        <w:spacing w:before="120" w:beforeLines="50" w:after="50"/>
        <w:ind w:firstLine="640" w:firstLineChars="200"/>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项目编号：</w:t>
      </w:r>
    </w:p>
    <w:p w14:paraId="224E0C7F">
      <w:pPr>
        <w:snapToGrid w:val="0"/>
        <w:spacing w:before="120" w:beforeLines="50" w:after="50"/>
        <w:ind w:firstLine="720" w:firstLineChars="225"/>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 xml:space="preserve"> </w:t>
      </w:r>
    </w:p>
    <w:p w14:paraId="69BB590A">
      <w:pPr>
        <w:snapToGrid w:val="0"/>
        <w:spacing w:before="120" w:beforeLines="50" w:after="50"/>
        <w:ind w:firstLine="640" w:firstLineChars="200"/>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所竞分标（如有则填写，无分标时填写“无”或者留空）：</w:t>
      </w:r>
    </w:p>
    <w:p w14:paraId="108483B4">
      <w:pPr>
        <w:snapToGrid w:val="0"/>
        <w:spacing w:before="120" w:beforeLines="50" w:after="50"/>
        <w:ind w:firstLine="720" w:firstLineChars="225"/>
        <w:rPr>
          <w:rFonts w:hint="eastAsia" w:ascii="宋体" w:hAnsi="宋体" w:cs="仿宋_GB2312"/>
          <w:bCs/>
          <w:color w:val="auto"/>
          <w:sz w:val="32"/>
          <w:szCs w:val="32"/>
          <w:highlight w:val="none"/>
        </w:rPr>
      </w:pPr>
    </w:p>
    <w:p w14:paraId="1376D0BB">
      <w:pPr>
        <w:pStyle w:val="7"/>
        <w:snapToGrid w:val="0"/>
        <w:spacing w:before="50" w:after="50"/>
        <w:ind w:firstLine="640" w:firstLineChars="200"/>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供应商名称：</w:t>
      </w:r>
    </w:p>
    <w:p w14:paraId="502DCD0B">
      <w:pPr>
        <w:pStyle w:val="7"/>
        <w:snapToGrid w:val="0"/>
        <w:spacing w:before="50" w:after="50"/>
        <w:ind w:firstLine="640" w:firstLineChars="200"/>
        <w:rPr>
          <w:rFonts w:hint="eastAsia" w:ascii="宋体" w:hAnsi="宋体" w:cs="仿宋_GB2312"/>
          <w:bCs/>
          <w:color w:val="auto"/>
          <w:sz w:val="32"/>
          <w:szCs w:val="32"/>
          <w:highlight w:val="none"/>
        </w:rPr>
      </w:pPr>
    </w:p>
    <w:p w14:paraId="64DACBE3">
      <w:pPr>
        <w:pStyle w:val="7"/>
        <w:snapToGrid w:val="0"/>
        <w:spacing w:before="50" w:after="50"/>
        <w:ind w:firstLine="720" w:firstLineChars="225"/>
        <w:rPr>
          <w:rFonts w:hint="eastAsia" w:ascii="宋体" w:hAnsi="宋体" w:cs="仿宋_GB2312"/>
          <w:bCs/>
          <w:color w:val="auto"/>
          <w:sz w:val="32"/>
          <w:szCs w:val="32"/>
          <w:highlight w:val="none"/>
        </w:rPr>
      </w:pPr>
    </w:p>
    <w:p w14:paraId="7BAA947B">
      <w:pPr>
        <w:pStyle w:val="7"/>
        <w:snapToGrid w:val="0"/>
        <w:spacing w:before="50" w:after="50"/>
        <w:ind w:firstLine="0"/>
        <w:rPr>
          <w:rFonts w:hint="eastAsia" w:ascii="宋体" w:hAnsi="宋体" w:cs="仿宋_GB2312"/>
          <w:bCs/>
          <w:color w:val="auto"/>
          <w:sz w:val="32"/>
          <w:szCs w:val="32"/>
          <w:highlight w:val="none"/>
        </w:rPr>
      </w:pPr>
    </w:p>
    <w:p w14:paraId="65D867EF">
      <w:pPr>
        <w:pStyle w:val="7"/>
        <w:snapToGrid w:val="0"/>
        <w:spacing w:before="50" w:after="50"/>
        <w:ind w:firstLine="1280" w:firstLineChars="400"/>
        <w:rPr>
          <w:rFonts w:hint="eastAsia" w:ascii="宋体" w:hAnsi="宋体" w:cs="仿宋_GB2312"/>
          <w:bCs/>
          <w:color w:val="auto"/>
          <w:sz w:val="32"/>
          <w:szCs w:val="32"/>
          <w:highlight w:val="none"/>
        </w:rPr>
      </w:pPr>
    </w:p>
    <w:p w14:paraId="7BF059B2">
      <w:pPr>
        <w:snapToGrid w:val="0"/>
        <w:spacing w:before="120" w:beforeLines="50" w:after="50"/>
        <w:jc w:val="center"/>
        <w:rPr>
          <w:rFonts w:hint="eastAsia" w:ascii="宋体" w:hAnsi="宋体" w:cs="仿宋_GB2312"/>
          <w:color w:val="auto"/>
          <w:sz w:val="32"/>
          <w:szCs w:val="32"/>
          <w:highlight w:val="none"/>
        </w:rPr>
      </w:pPr>
      <w:r>
        <w:rPr>
          <w:rFonts w:hint="eastAsia" w:ascii="宋体" w:hAnsi="宋体" w:cs="仿宋_GB2312"/>
          <w:color w:val="auto"/>
          <w:sz w:val="32"/>
          <w:szCs w:val="32"/>
          <w:highlight w:val="none"/>
        </w:rPr>
        <w:t>年    月    日</w:t>
      </w:r>
    </w:p>
    <w:p w14:paraId="42E4D9A7">
      <w:pPr>
        <w:snapToGrid w:val="0"/>
        <w:spacing w:before="120" w:beforeLines="50" w:after="50" w:line="360" w:lineRule="auto"/>
        <w:ind w:left="142"/>
        <w:jc w:val="left"/>
        <w:rPr>
          <w:rFonts w:hint="eastAsia" w:ascii="宋体" w:hAnsi="宋体"/>
          <w:b/>
          <w:bCs/>
          <w:color w:val="auto"/>
          <w:sz w:val="24"/>
          <w:highlight w:val="none"/>
        </w:rPr>
      </w:pPr>
      <w:r>
        <w:rPr>
          <w:rFonts w:ascii="宋体" w:hAnsi="宋体"/>
          <w:color w:val="auto"/>
          <w:szCs w:val="21"/>
          <w:highlight w:val="none"/>
        </w:rPr>
        <w:br w:type="page"/>
      </w:r>
      <w:r>
        <w:rPr>
          <w:rFonts w:hint="eastAsia" w:ascii="宋体" w:hAnsi="宋体"/>
          <w:b/>
          <w:bCs/>
          <w:color w:val="auto"/>
          <w:sz w:val="32"/>
          <w:szCs w:val="32"/>
          <w:highlight w:val="none"/>
        </w:rPr>
        <w:t>2.报价文件目录</w:t>
      </w:r>
    </w:p>
    <w:p w14:paraId="35A68B36">
      <w:pPr>
        <w:tabs>
          <w:tab w:val="left" w:pos="3479"/>
        </w:tabs>
        <w:spacing w:line="520" w:lineRule="exact"/>
        <w:jc w:val="left"/>
        <w:rPr>
          <w:rFonts w:hint="eastAsia" w:ascii="宋体" w:hAnsi="宋体"/>
          <w:color w:val="auto"/>
          <w:sz w:val="32"/>
          <w:szCs w:val="32"/>
          <w:highlight w:val="none"/>
        </w:rPr>
      </w:pPr>
      <w:r>
        <w:rPr>
          <w:rFonts w:hint="eastAsia" w:ascii="宋体" w:hAnsi="宋体"/>
          <w:color w:val="auto"/>
          <w:sz w:val="32"/>
          <w:szCs w:val="32"/>
          <w:highlight w:val="none"/>
        </w:rPr>
        <w:t>根据谈判文件规定及供应商提供的材料自行编写目录（部分格式后附）。</w:t>
      </w:r>
    </w:p>
    <w:p w14:paraId="0BD43D56">
      <w:pPr>
        <w:tabs>
          <w:tab w:val="left" w:pos="3479"/>
        </w:tabs>
        <w:spacing w:line="520" w:lineRule="exact"/>
        <w:jc w:val="center"/>
        <w:rPr>
          <w:rFonts w:hint="eastAsia" w:ascii="方正小标宋简体" w:hAnsi="方正小标宋简体" w:eastAsia="方正小标宋简体" w:cs="方正小标宋简体"/>
          <w:bCs/>
          <w:color w:val="auto"/>
          <w:sz w:val="32"/>
          <w:szCs w:val="32"/>
          <w:highlight w:val="none"/>
        </w:rPr>
      </w:pPr>
      <w:r>
        <w:rPr>
          <w:rFonts w:ascii="宋体" w:hAnsi="宋体"/>
          <w:color w:val="auto"/>
          <w:szCs w:val="21"/>
          <w:highlight w:val="none"/>
        </w:rPr>
        <w:br w:type="page"/>
      </w:r>
      <w:r>
        <w:rPr>
          <w:rFonts w:hint="eastAsia" w:ascii="方正小标宋简体" w:hAnsi="方正小标宋简体" w:eastAsia="方正小标宋简体" w:cs="方正小标宋简体"/>
          <w:bCs/>
          <w:color w:val="auto"/>
          <w:sz w:val="44"/>
          <w:szCs w:val="44"/>
          <w:highlight w:val="none"/>
        </w:rPr>
        <w:t>竞  标  报  价  表</w:t>
      </w:r>
    </w:p>
    <w:p w14:paraId="24F536AD">
      <w:pPr>
        <w:spacing w:line="520" w:lineRule="exact"/>
        <w:jc w:val="center"/>
        <w:rPr>
          <w:rFonts w:hint="eastAsia" w:ascii="方正小标宋简体" w:hAnsi="方正小标宋简体" w:eastAsia="方正小标宋简体" w:cs="方正小标宋简体"/>
          <w:bCs/>
          <w:color w:val="auto"/>
          <w:sz w:val="32"/>
          <w:szCs w:val="32"/>
          <w:highlight w:val="none"/>
        </w:rPr>
      </w:pPr>
    </w:p>
    <w:p w14:paraId="4E14D698">
      <w:pPr>
        <w:snapToGrid w:val="0"/>
        <w:spacing w:before="50" w:after="50" w:line="360" w:lineRule="auto"/>
        <w:rPr>
          <w:rFonts w:hint="eastAsia" w:ascii="宋体" w:hAnsi="宋体" w:cs="仿宋_GB2312"/>
          <w:color w:val="auto"/>
          <w:sz w:val="24"/>
          <w:highlight w:val="none"/>
        </w:rPr>
      </w:pPr>
      <w:r>
        <w:rPr>
          <w:rFonts w:hint="eastAsia" w:ascii="宋体" w:hAnsi="宋体" w:cs="仿宋_GB2312"/>
          <w:color w:val="auto"/>
          <w:sz w:val="24"/>
          <w:highlight w:val="none"/>
        </w:rPr>
        <w:t>项目名称：</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项目编号：</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 xml:space="preserve"> 分标（如有）：</w:t>
      </w:r>
      <w:r>
        <w:rPr>
          <w:rFonts w:hint="eastAsia" w:ascii="宋体" w:hAnsi="宋体" w:cs="仿宋_GB2312"/>
          <w:color w:val="auto"/>
          <w:sz w:val="24"/>
          <w:highlight w:val="none"/>
          <w:u w:val="single"/>
        </w:rPr>
        <w:t xml:space="preserve">            </w:t>
      </w:r>
    </w:p>
    <w:p w14:paraId="1CC80358">
      <w:pPr>
        <w:snapToGrid w:val="0"/>
        <w:spacing w:before="50" w:after="50" w:line="360" w:lineRule="auto"/>
        <w:rPr>
          <w:rFonts w:hint="eastAsia" w:ascii="宋体" w:hAnsi="宋体" w:cs="仿宋_GB2312"/>
          <w:color w:val="auto"/>
          <w:sz w:val="24"/>
          <w:highlight w:val="none"/>
        </w:rPr>
      </w:pPr>
      <w:r>
        <w:rPr>
          <w:rFonts w:hint="eastAsia" w:ascii="宋体" w:hAnsi="宋体" w:cs="仿宋_GB2312"/>
          <w:color w:val="auto"/>
          <w:sz w:val="24"/>
          <w:highlight w:val="none"/>
        </w:rPr>
        <w:t>供应商名称：</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 xml:space="preserve">                单位：元      </w:t>
      </w:r>
    </w:p>
    <w:tbl>
      <w:tblPr>
        <w:tblStyle w:val="24"/>
        <w:tblW w:w="10507"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07"/>
        <w:gridCol w:w="1065"/>
        <w:gridCol w:w="1174"/>
        <w:gridCol w:w="701"/>
        <w:gridCol w:w="1065"/>
        <w:gridCol w:w="913"/>
        <w:gridCol w:w="830"/>
        <w:gridCol w:w="1647"/>
        <w:gridCol w:w="780"/>
        <w:gridCol w:w="1725"/>
      </w:tblGrid>
      <w:tr w14:paraId="3506017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82" w:hRule="atLeast"/>
          <w:jc w:val="center"/>
        </w:trPr>
        <w:tc>
          <w:tcPr>
            <w:tcW w:w="607" w:type="dxa"/>
            <w:tcBorders>
              <w:top w:val="single" w:color="auto" w:sz="4" w:space="0"/>
              <w:left w:val="single" w:color="auto" w:sz="4" w:space="0"/>
              <w:bottom w:val="single" w:color="auto" w:sz="4" w:space="0"/>
              <w:right w:val="single" w:color="auto" w:sz="4" w:space="0"/>
            </w:tcBorders>
            <w:noWrap w:val="0"/>
            <w:vAlign w:val="center"/>
          </w:tcPr>
          <w:p w14:paraId="610E9DC5">
            <w:pPr>
              <w:spacing w:line="360" w:lineRule="auto"/>
              <w:jc w:val="center"/>
              <w:rPr>
                <w:rFonts w:hint="eastAsia" w:ascii="宋体" w:hAnsi="宋体" w:cs="仿宋_GB2312"/>
                <w:b/>
                <w:bCs/>
                <w:color w:val="auto"/>
                <w:sz w:val="24"/>
                <w:highlight w:val="none"/>
              </w:rPr>
            </w:pPr>
            <w:r>
              <w:rPr>
                <w:rFonts w:hint="eastAsia" w:ascii="宋体" w:hAnsi="宋体" w:cs="仿宋_GB2312"/>
                <w:b/>
                <w:bCs/>
                <w:color w:val="auto"/>
                <w:sz w:val="24"/>
                <w:highlight w:val="none"/>
              </w:rPr>
              <w:t>项号</w:t>
            </w:r>
          </w:p>
        </w:tc>
        <w:tc>
          <w:tcPr>
            <w:tcW w:w="1065" w:type="dxa"/>
            <w:tcBorders>
              <w:top w:val="single" w:color="auto" w:sz="4" w:space="0"/>
              <w:left w:val="single" w:color="auto" w:sz="4" w:space="0"/>
              <w:bottom w:val="single" w:color="auto" w:sz="4" w:space="0"/>
              <w:right w:val="single" w:color="auto" w:sz="4" w:space="0"/>
            </w:tcBorders>
            <w:noWrap w:val="0"/>
            <w:vAlign w:val="center"/>
          </w:tcPr>
          <w:p w14:paraId="33EBD590">
            <w:pPr>
              <w:spacing w:line="360" w:lineRule="auto"/>
              <w:jc w:val="center"/>
              <w:rPr>
                <w:rFonts w:ascii="宋体" w:hAnsi="宋体" w:cs="仿宋_GB2312"/>
                <w:b/>
                <w:bCs/>
                <w:color w:val="auto"/>
                <w:sz w:val="24"/>
                <w:highlight w:val="none"/>
              </w:rPr>
            </w:pPr>
            <w:r>
              <w:rPr>
                <w:rFonts w:hint="eastAsia" w:ascii="宋体" w:hAnsi="宋体" w:cs="仿宋_GB2312"/>
                <w:b/>
                <w:bCs/>
                <w:color w:val="auto"/>
                <w:sz w:val="24"/>
                <w:highlight w:val="none"/>
              </w:rPr>
              <w:t>标的的名称</w:t>
            </w:r>
          </w:p>
        </w:tc>
        <w:tc>
          <w:tcPr>
            <w:tcW w:w="1174" w:type="dxa"/>
            <w:tcBorders>
              <w:top w:val="single" w:color="auto" w:sz="4" w:space="0"/>
              <w:left w:val="single" w:color="auto" w:sz="4" w:space="0"/>
              <w:bottom w:val="single" w:color="auto" w:sz="4" w:space="0"/>
              <w:right w:val="single" w:color="auto" w:sz="4" w:space="0"/>
            </w:tcBorders>
            <w:noWrap w:val="0"/>
            <w:vAlign w:val="center"/>
          </w:tcPr>
          <w:p w14:paraId="46E4AC0B">
            <w:pPr>
              <w:spacing w:line="360" w:lineRule="auto"/>
              <w:jc w:val="center"/>
              <w:rPr>
                <w:rFonts w:hint="eastAsia" w:ascii="宋体" w:hAnsi="宋体" w:cs="仿宋_GB2312"/>
                <w:b/>
                <w:bCs/>
                <w:color w:val="auto"/>
                <w:sz w:val="24"/>
                <w:highlight w:val="none"/>
              </w:rPr>
            </w:pPr>
            <w:r>
              <w:rPr>
                <w:rFonts w:hint="eastAsia" w:ascii="宋体" w:hAnsi="宋体" w:cs="仿宋_GB2312"/>
                <w:b/>
                <w:bCs/>
                <w:color w:val="auto"/>
                <w:sz w:val="24"/>
                <w:highlight w:val="none"/>
              </w:rPr>
              <w:t>数量及单位①</w:t>
            </w:r>
          </w:p>
        </w:tc>
        <w:tc>
          <w:tcPr>
            <w:tcW w:w="701" w:type="dxa"/>
            <w:tcBorders>
              <w:top w:val="single" w:color="auto" w:sz="4" w:space="0"/>
              <w:left w:val="single" w:color="auto" w:sz="4" w:space="0"/>
              <w:bottom w:val="single" w:color="auto" w:sz="4" w:space="0"/>
              <w:right w:val="single" w:color="auto" w:sz="4" w:space="0"/>
            </w:tcBorders>
            <w:noWrap w:val="0"/>
            <w:vAlign w:val="center"/>
          </w:tcPr>
          <w:p w14:paraId="220A769B">
            <w:pPr>
              <w:spacing w:line="360" w:lineRule="auto"/>
              <w:jc w:val="center"/>
              <w:rPr>
                <w:rFonts w:hint="eastAsia" w:ascii="宋体" w:hAnsi="宋体" w:cs="仿宋_GB2312"/>
                <w:b/>
                <w:bCs/>
                <w:color w:val="auto"/>
                <w:sz w:val="24"/>
                <w:highlight w:val="none"/>
              </w:rPr>
            </w:pPr>
            <w:r>
              <w:rPr>
                <w:rFonts w:hint="eastAsia" w:ascii="宋体" w:hAnsi="宋体" w:cs="仿宋_GB2312"/>
                <w:b/>
                <w:bCs/>
                <w:color w:val="auto"/>
                <w:sz w:val="24"/>
                <w:highlight w:val="none"/>
              </w:rPr>
              <w:t>品牌</w:t>
            </w:r>
          </w:p>
        </w:tc>
        <w:tc>
          <w:tcPr>
            <w:tcW w:w="1065" w:type="dxa"/>
            <w:tcBorders>
              <w:top w:val="single" w:color="auto" w:sz="4" w:space="0"/>
              <w:left w:val="single" w:color="auto" w:sz="4" w:space="0"/>
              <w:bottom w:val="single" w:color="auto" w:sz="4" w:space="0"/>
              <w:right w:val="single" w:color="auto" w:sz="4" w:space="0"/>
            </w:tcBorders>
            <w:noWrap w:val="0"/>
            <w:vAlign w:val="center"/>
          </w:tcPr>
          <w:p w14:paraId="5922E568">
            <w:pPr>
              <w:spacing w:line="360" w:lineRule="auto"/>
              <w:jc w:val="center"/>
              <w:rPr>
                <w:rFonts w:ascii="宋体" w:hAnsi="宋体" w:cs="仿宋_GB2312"/>
                <w:b/>
                <w:bCs/>
                <w:color w:val="auto"/>
                <w:sz w:val="24"/>
                <w:highlight w:val="none"/>
              </w:rPr>
            </w:pPr>
            <w:r>
              <w:rPr>
                <w:rFonts w:hint="eastAsia" w:ascii="宋体" w:hAnsi="宋体" w:cs="仿宋_GB2312"/>
                <w:b/>
                <w:bCs/>
                <w:color w:val="auto"/>
                <w:sz w:val="24"/>
                <w:highlight w:val="none"/>
              </w:rPr>
              <w:t>规格</w:t>
            </w:r>
          </w:p>
          <w:p w14:paraId="7E7368AC">
            <w:pPr>
              <w:spacing w:line="360" w:lineRule="auto"/>
              <w:jc w:val="center"/>
              <w:rPr>
                <w:rFonts w:hint="eastAsia" w:ascii="宋体" w:hAnsi="宋体" w:cs="仿宋_GB2312"/>
                <w:b/>
                <w:bCs/>
                <w:color w:val="auto"/>
                <w:sz w:val="24"/>
                <w:highlight w:val="none"/>
              </w:rPr>
            </w:pPr>
            <w:r>
              <w:rPr>
                <w:rFonts w:hint="eastAsia" w:ascii="宋体" w:hAnsi="宋体" w:cs="仿宋_GB2312"/>
                <w:b/>
                <w:bCs/>
                <w:color w:val="auto"/>
                <w:sz w:val="24"/>
                <w:highlight w:val="none"/>
              </w:rPr>
              <w:t>型号</w:t>
            </w:r>
          </w:p>
        </w:tc>
        <w:tc>
          <w:tcPr>
            <w:tcW w:w="913" w:type="dxa"/>
            <w:tcBorders>
              <w:top w:val="single" w:color="auto" w:sz="4" w:space="0"/>
              <w:left w:val="single" w:color="auto" w:sz="4" w:space="0"/>
              <w:bottom w:val="single" w:color="auto" w:sz="4" w:space="0"/>
              <w:right w:val="single" w:color="auto" w:sz="4" w:space="0"/>
            </w:tcBorders>
            <w:noWrap w:val="0"/>
            <w:vAlign w:val="center"/>
          </w:tcPr>
          <w:p w14:paraId="6310E27A">
            <w:pPr>
              <w:spacing w:line="360" w:lineRule="auto"/>
              <w:jc w:val="center"/>
              <w:rPr>
                <w:rFonts w:hint="eastAsia" w:ascii="宋体" w:hAnsi="宋体" w:cs="仿宋_GB2312"/>
                <w:b/>
                <w:bCs/>
                <w:color w:val="auto"/>
                <w:sz w:val="24"/>
                <w:highlight w:val="none"/>
              </w:rPr>
            </w:pPr>
            <w:r>
              <w:rPr>
                <w:rFonts w:hint="eastAsia" w:ascii="宋体" w:hAnsi="宋体" w:cs="仿宋_GB2312"/>
                <w:b/>
                <w:bCs/>
                <w:color w:val="auto"/>
                <w:sz w:val="24"/>
                <w:highlight w:val="none"/>
              </w:rPr>
              <w:t>制造商</w:t>
            </w:r>
          </w:p>
        </w:tc>
        <w:tc>
          <w:tcPr>
            <w:tcW w:w="830" w:type="dxa"/>
            <w:tcBorders>
              <w:top w:val="single" w:color="auto" w:sz="4" w:space="0"/>
              <w:left w:val="single" w:color="auto" w:sz="4" w:space="0"/>
              <w:bottom w:val="single" w:color="auto" w:sz="4" w:space="0"/>
              <w:right w:val="single" w:color="auto" w:sz="4" w:space="0"/>
            </w:tcBorders>
            <w:noWrap w:val="0"/>
            <w:vAlign w:val="center"/>
          </w:tcPr>
          <w:p w14:paraId="02A3A912">
            <w:pPr>
              <w:spacing w:line="360" w:lineRule="auto"/>
              <w:jc w:val="center"/>
              <w:rPr>
                <w:rFonts w:hint="eastAsia" w:ascii="宋体" w:hAnsi="宋体" w:cs="仿宋_GB2312"/>
                <w:b/>
                <w:bCs/>
                <w:color w:val="auto"/>
                <w:sz w:val="24"/>
                <w:highlight w:val="none"/>
              </w:rPr>
            </w:pPr>
            <w:r>
              <w:rPr>
                <w:rFonts w:hint="eastAsia" w:ascii="宋体" w:hAnsi="宋体" w:cs="仿宋_GB2312"/>
                <w:b/>
                <w:bCs/>
                <w:color w:val="auto"/>
                <w:sz w:val="24"/>
                <w:highlight w:val="none"/>
              </w:rPr>
              <w:t>原产地</w:t>
            </w:r>
          </w:p>
        </w:tc>
        <w:tc>
          <w:tcPr>
            <w:tcW w:w="1647" w:type="dxa"/>
            <w:tcBorders>
              <w:top w:val="single" w:color="auto" w:sz="4" w:space="0"/>
              <w:left w:val="single" w:color="auto" w:sz="4" w:space="0"/>
              <w:bottom w:val="single" w:color="auto" w:sz="4" w:space="0"/>
              <w:right w:val="single" w:color="auto" w:sz="4" w:space="0"/>
            </w:tcBorders>
            <w:noWrap w:val="0"/>
            <w:vAlign w:val="center"/>
          </w:tcPr>
          <w:p w14:paraId="1A84CB44">
            <w:pPr>
              <w:spacing w:line="360" w:lineRule="auto"/>
              <w:jc w:val="center"/>
              <w:rPr>
                <w:rFonts w:hint="eastAsia" w:ascii="宋体" w:hAnsi="宋体" w:cs="仿宋_GB2312"/>
                <w:b/>
                <w:bCs/>
                <w:color w:val="auto"/>
                <w:sz w:val="24"/>
                <w:highlight w:val="none"/>
              </w:rPr>
            </w:pPr>
            <w:r>
              <w:rPr>
                <w:rFonts w:hint="eastAsia" w:ascii="宋体" w:hAnsi="宋体" w:cs="仿宋_GB2312"/>
                <w:b/>
                <w:bCs/>
                <w:color w:val="auto"/>
                <w:sz w:val="24"/>
                <w:highlight w:val="none"/>
              </w:rPr>
              <w:t>参数性能、指标及配置</w:t>
            </w:r>
          </w:p>
        </w:tc>
        <w:tc>
          <w:tcPr>
            <w:tcW w:w="780" w:type="dxa"/>
            <w:tcBorders>
              <w:top w:val="single" w:color="auto" w:sz="4" w:space="0"/>
              <w:left w:val="single" w:color="auto" w:sz="4" w:space="0"/>
              <w:bottom w:val="single" w:color="auto" w:sz="4" w:space="0"/>
              <w:right w:val="single" w:color="auto" w:sz="4" w:space="0"/>
            </w:tcBorders>
            <w:noWrap w:val="0"/>
            <w:vAlign w:val="center"/>
          </w:tcPr>
          <w:p w14:paraId="4249D215">
            <w:pPr>
              <w:spacing w:line="360" w:lineRule="auto"/>
              <w:jc w:val="center"/>
              <w:rPr>
                <w:rFonts w:hint="eastAsia" w:ascii="宋体" w:hAnsi="宋体" w:cs="仿宋_GB2312"/>
                <w:b/>
                <w:bCs/>
                <w:color w:val="auto"/>
                <w:sz w:val="24"/>
                <w:highlight w:val="none"/>
              </w:rPr>
            </w:pPr>
            <w:r>
              <w:rPr>
                <w:rFonts w:hint="eastAsia" w:ascii="宋体" w:hAnsi="宋体" w:cs="仿宋_GB2312"/>
                <w:b/>
                <w:bCs/>
                <w:color w:val="auto"/>
                <w:sz w:val="24"/>
                <w:highlight w:val="none"/>
              </w:rPr>
              <w:t>单价</w:t>
            </w:r>
          </w:p>
          <w:p w14:paraId="73BBADA9">
            <w:pPr>
              <w:spacing w:line="360" w:lineRule="auto"/>
              <w:jc w:val="center"/>
              <w:rPr>
                <w:rFonts w:hint="eastAsia" w:ascii="宋体" w:hAnsi="宋体" w:cs="仿宋_GB2312"/>
                <w:b/>
                <w:bCs/>
                <w:color w:val="auto"/>
                <w:sz w:val="24"/>
                <w:highlight w:val="none"/>
              </w:rPr>
            </w:pPr>
            <w:r>
              <w:rPr>
                <w:rFonts w:hint="eastAsia" w:ascii="宋体" w:hAnsi="宋体" w:cs="仿宋_GB2312"/>
                <w:b/>
                <w:bCs/>
                <w:color w:val="auto"/>
                <w:sz w:val="24"/>
                <w:highlight w:val="none"/>
              </w:rPr>
              <w:t>②</w:t>
            </w:r>
          </w:p>
        </w:tc>
        <w:tc>
          <w:tcPr>
            <w:tcW w:w="1725" w:type="dxa"/>
            <w:tcBorders>
              <w:top w:val="single" w:color="auto" w:sz="4" w:space="0"/>
              <w:left w:val="single" w:color="auto" w:sz="4" w:space="0"/>
              <w:bottom w:val="single" w:color="auto" w:sz="4" w:space="0"/>
              <w:right w:val="single" w:color="auto" w:sz="4" w:space="0"/>
            </w:tcBorders>
            <w:noWrap w:val="0"/>
            <w:vAlign w:val="center"/>
          </w:tcPr>
          <w:p w14:paraId="41BDE819">
            <w:pPr>
              <w:spacing w:line="360" w:lineRule="auto"/>
              <w:jc w:val="center"/>
              <w:rPr>
                <w:rFonts w:hint="eastAsia" w:ascii="宋体" w:hAnsi="宋体" w:cs="仿宋_GB2312"/>
                <w:b/>
                <w:bCs/>
                <w:color w:val="auto"/>
                <w:sz w:val="24"/>
                <w:highlight w:val="none"/>
              </w:rPr>
            </w:pPr>
            <w:r>
              <w:rPr>
                <w:rFonts w:hint="eastAsia" w:ascii="宋体" w:hAnsi="宋体" w:cs="仿宋_GB2312"/>
                <w:b/>
                <w:bCs/>
                <w:color w:val="auto"/>
                <w:sz w:val="24"/>
                <w:highlight w:val="none"/>
              </w:rPr>
              <w:t>竞标报价</w:t>
            </w:r>
          </w:p>
          <w:p w14:paraId="414E0C17">
            <w:pPr>
              <w:spacing w:line="360" w:lineRule="auto"/>
              <w:jc w:val="center"/>
              <w:rPr>
                <w:rFonts w:hint="eastAsia" w:ascii="宋体" w:hAnsi="宋体" w:cs="仿宋_GB2312"/>
                <w:b/>
                <w:bCs/>
                <w:color w:val="auto"/>
                <w:sz w:val="24"/>
                <w:highlight w:val="none"/>
              </w:rPr>
            </w:pPr>
            <w:r>
              <w:rPr>
                <w:rFonts w:hint="eastAsia" w:ascii="宋体" w:hAnsi="宋体" w:cs="仿宋_GB2312"/>
                <w:b/>
                <w:bCs/>
                <w:color w:val="auto"/>
                <w:sz w:val="24"/>
                <w:highlight w:val="none"/>
              </w:rPr>
              <w:t>③=①×②</w:t>
            </w:r>
          </w:p>
        </w:tc>
      </w:tr>
      <w:tr w14:paraId="1D66CB6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01" w:hRule="atLeast"/>
          <w:jc w:val="center"/>
        </w:trPr>
        <w:tc>
          <w:tcPr>
            <w:tcW w:w="607" w:type="dxa"/>
            <w:tcBorders>
              <w:top w:val="single" w:color="auto" w:sz="4" w:space="0"/>
              <w:left w:val="single" w:color="auto" w:sz="4" w:space="0"/>
              <w:bottom w:val="single" w:color="auto" w:sz="4" w:space="0"/>
              <w:right w:val="single" w:color="auto" w:sz="4" w:space="0"/>
            </w:tcBorders>
            <w:noWrap w:val="0"/>
            <w:vAlign w:val="center"/>
          </w:tcPr>
          <w:p w14:paraId="488EE3B0">
            <w:pPr>
              <w:spacing w:line="360" w:lineRule="auto"/>
              <w:jc w:val="center"/>
              <w:rPr>
                <w:rFonts w:hint="eastAsia" w:ascii="宋体" w:hAnsi="宋体" w:cs="仿宋_GB2312"/>
                <w:color w:val="auto"/>
                <w:sz w:val="24"/>
                <w:highlight w:val="none"/>
              </w:rPr>
            </w:pPr>
            <w:r>
              <w:rPr>
                <w:rFonts w:hint="eastAsia" w:ascii="宋体" w:hAnsi="宋体" w:cs="仿宋_GB2312"/>
                <w:color w:val="auto"/>
                <w:sz w:val="24"/>
                <w:highlight w:val="none"/>
              </w:rPr>
              <w:t>1</w:t>
            </w:r>
          </w:p>
        </w:tc>
        <w:tc>
          <w:tcPr>
            <w:tcW w:w="1065" w:type="dxa"/>
            <w:tcBorders>
              <w:top w:val="single" w:color="auto" w:sz="4" w:space="0"/>
              <w:left w:val="single" w:color="auto" w:sz="4" w:space="0"/>
              <w:bottom w:val="single" w:color="auto" w:sz="4" w:space="0"/>
              <w:right w:val="single" w:color="auto" w:sz="4" w:space="0"/>
            </w:tcBorders>
            <w:noWrap w:val="0"/>
            <w:vAlign w:val="center"/>
          </w:tcPr>
          <w:p w14:paraId="2B3A263B">
            <w:pPr>
              <w:spacing w:line="360" w:lineRule="auto"/>
              <w:jc w:val="center"/>
              <w:rPr>
                <w:rFonts w:hint="eastAsia" w:ascii="宋体" w:hAnsi="宋体" w:cs="仿宋_GB2312"/>
                <w:color w:val="auto"/>
                <w:sz w:val="24"/>
                <w:highlight w:val="none"/>
              </w:rPr>
            </w:pPr>
          </w:p>
        </w:tc>
        <w:tc>
          <w:tcPr>
            <w:tcW w:w="1174" w:type="dxa"/>
            <w:tcBorders>
              <w:top w:val="single" w:color="auto" w:sz="4" w:space="0"/>
              <w:left w:val="single" w:color="auto" w:sz="4" w:space="0"/>
              <w:bottom w:val="single" w:color="auto" w:sz="4" w:space="0"/>
              <w:right w:val="single" w:color="auto" w:sz="4" w:space="0"/>
            </w:tcBorders>
            <w:noWrap w:val="0"/>
            <w:vAlign w:val="center"/>
          </w:tcPr>
          <w:p w14:paraId="5FCE0619">
            <w:pPr>
              <w:spacing w:line="360" w:lineRule="auto"/>
              <w:jc w:val="center"/>
              <w:rPr>
                <w:rFonts w:hint="eastAsia" w:ascii="宋体" w:hAnsi="宋体" w:cs="仿宋_GB2312"/>
                <w:color w:val="auto"/>
                <w:sz w:val="24"/>
                <w:highlight w:val="none"/>
              </w:rPr>
            </w:pPr>
          </w:p>
        </w:tc>
        <w:tc>
          <w:tcPr>
            <w:tcW w:w="701" w:type="dxa"/>
            <w:tcBorders>
              <w:top w:val="single" w:color="auto" w:sz="4" w:space="0"/>
              <w:left w:val="single" w:color="auto" w:sz="4" w:space="0"/>
              <w:bottom w:val="single" w:color="auto" w:sz="4" w:space="0"/>
              <w:right w:val="single" w:color="auto" w:sz="4" w:space="0"/>
            </w:tcBorders>
            <w:noWrap w:val="0"/>
            <w:vAlign w:val="center"/>
          </w:tcPr>
          <w:p w14:paraId="5D0213D8">
            <w:pPr>
              <w:spacing w:line="360" w:lineRule="auto"/>
              <w:jc w:val="center"/>
              <w:rPr>
                <w:rFonts w:hint="eastAsia" w:ascii="宋体" w:hAnsi="宋体" w:cs="仿宋_GB2312"/>
                <w:color w:val="auto"/>
                <w:sz w:val="24"/>
                <w:highlight w:val="none"/>
              </w:rPr>
            </w:pPr>
          </w:p>
        </w:tc>
        <w:tc>
          <w:tcPr>
            <w:tcW w:w="1065" w:type="dxa"/>
            <w:tcBorders>
              <w:top w:val="single" w:color="auto" w:sz="4" w:space="0"/>
              <w:left w:val="single" w:color="auto" w:sz="4" w:space="0"/>
              <w:bottom w:val="single" w:color="auto" w:sz="4" w:space="0"/>
              <w:right w:val="single" w:color="auto" w:sz="4" w:space="0"/>
            </w:tcBorders>
            <w:noWrap w:val="0"/>
            <w:vAlign w:val="center"/>
          </w:tcPr>
          <w:p w14:paraId="365F740A">
            <w:pPr>
              <w:spacing w:line="360" w:lineRule="auto"/>
              <w:jc w:val="center"/>
              <w:rPr>
                <w:rFonts w:hint="eastAsia" w:ascii="宋体" w:hAnsi="宋体" w:cs="仿宋_GB2312"/>
                <w:color w:val="auto"/>
                <w:sz w:val="24"/>
                <w:highlight w:val="none"/>
              </w:rPr>
            </w:pPr>
          </w:p>
        </w:tc>
        <w:tc>
          <w:tcPr>
            <w:tcW w:w="913" w:type="dxa"/>
            <w:tcBorders>
              <w:top w:val="single" w:color="auto" w:sz="4" w:space="0"/>
              <w:left w:val="single" w:color="auto" w:sz="4" w:space="0"/>
              <w:bottom w:val="single" w:color="auto" w:sz="4" w:space="0"/>
              <w:right w:val="single" w:color="auto" w:sz="4" w:space="0"/>
            </w:tcBorders>
            <w:noWrap w:val="0"/>
            <w:vAlign w:val="center"/>
          </w:tcPr>
          <w:p w14:paraId="08F806F8">
            <w:pPr>
              <w:spacing w:line="360" w:lineRule="auto"/>
              <w:jc w:val="center"/>
              <w:rPr>
                <w:rFonts w:hint="eastAsia" w:ascii="宋体" w:hAnsi="宋体" w:cs="仿宋_GB2312"/>
                <w:color w:val="auto"/>
                <w:sz w:val="24"/>
                <w:highlight w:val="none"/>
              </w:rPr>
            </w:pPr>
          </w:p>
        </w:tc>
        <w:tc>
          <w:tcPr>
            <w:tcW w:w="830" w:type="dxa"/>
            <w:tcBorders>
              <w:top w:val="single" w:color="auto" w:sz="4" w:space="0"/>
              <w:left w:val="single" w:color="auto" w:sz="4" w:space="0"/>
              <w:bottom w:val="single" w:color="auto" w:sz="4" w:space="0"/>
              <w:right w:val="single" w:color="auto" w:sz="4" w:space="0"/>
            </w:tcBorders>
            <w:noWrap w:val="0"/>
            <w:vAlign w:val="top"/>
          </w:tcPr>
          <w:p w14:paraId="28DF4A67">
            <w:pPr>
              <w:spacing w:line="360" w:lineRule="auto"/>
              <w:jc w:val="center"/>
              <w:rPr>
                <w:rFonts w:hint="eastAsia" w:ascii="宋体" w:hAnsi="宋体" w:cs="仿宋_GB2312"/>
                <w:color w:val="auto"/>
                <w:sz w:val="24"/>
                <w:highlight w:val="none"/>
              </w:rPr>
            </w:pPr>
          </w:p>
        </w:tc>
        <w:tc>
          <w:tcPr>
            <w:tcW w:w="1647" w:type="dxa"/>
            <w:tcBorders>
              <w:top w:val="single" w:color="auto" w:sz="4" w:space="0"/>
              <w:left w:val="single" w:color="auto" w:sz="4" w:space="0"/>
              <w:bottom w:val="single" w:color="auto" w:sz="4" w:space="0"/>
              <w:right w:val="single" w:color="auto" w:sz="4" w:space="0"/>
            </w:tcBorders>
            <w:noWrap w:val="0"/>
            <w:vAlign w:val="center"/>
          </w:tcPr>
          <w:p w14:paraId="66FCFDC1">
            <w:pPr>
              <w:spacing w:line="360" w:lineRule="auto"/>
              <w:jc w:val="center"/>
              <w:rPr>
                <w:rFonts w:hint="eastAsia" w:ascii="宋体" w:hAnsi="宋体" w:cs="仿宋_GB2312"/>
                <w:color w:val="auto"/>
                <w:sz w:val="24"/>
                <w:highlight w:val="none"/>
              </w:rPr>
            </w:pPr>
          </w:p>
        </w:tc>
        <w:tc>
          <w:tcPr>
            <w:tcW w:w="780" w:type="dxa"/>
            <w:tcBorders>
              <w:top w:val="single" w:color="auto" w:sz="4" w:space="0"/>
              <w:left w:val="single" w:color="auto" w:sz="4" w:space="0"/>
              <w:bottom w:val="single" w:color="auto" w:sz="4" w:space="0"/>
              <w:right w:val="single" w:color="auto" w:sz="4" w:space="0"/>
            </w:tcBorders>
            <w:noWrap w:val="0"/>
            <w:vAlign w:val="center"/>
          </w:tcPr>
          <w:p w14:paraId="6D1CBC6B">
            <w:pPr>
              <w:spacing w:line="360" w:lineRule="auto"/>
              <w:jc w:val="center"/>
              <w:rPr>
                <w:rFonts w:hint="eastAsia" w:ascii="宋体" w:hAnsi="宋体" w:cs="仿宋_GB2312"/>
                <w:color w:val="auto"/>
                <w:sz w:val="24"/>
                <w:highlight w:val="none"/>
              </w:rPr>
            </w:pPr>
          </w:p>
        </w:tc>
        <w:tc>
          <w:tcPr>
            <w:tcW w:w="1725" w:type="dxa"/>
            <w:tcBorders>
              <w:top w:val="single" w:color="auto" w:sz="4" w:space="0"/>
              <w:left w:val="single" w:color="auto" w:sz="4" w:space="0"/>
              <w:bottom w:val="single" w:color="auto" w:sz="4" w:space="0"/>
              <w:right w:val="single" w:color="auto" w:sz="4" w:space="0"/>
            </w:tcBorders>
            <w:noWrap w:val="0"/>
            <w:vAlign w:val="center"/>
          </w:tcPr>
          <w:p w14:paraId="4EEE59D5">
            <w:pPr>
              <w:spacing w:line="360" w:lineRule="auto"/>
              <w:jc w:val="center"/>
              <w:rPr>
                <w:rFonts w:hint="eastAsia" w:ascii="宋体" w:hAnsi="宋体" w:cs="仿宋_GB2312"/>
                <w:color w:val="auto"/>
                <w:sz w:val="24"/>
                <w:highlight w:val="none"/>
              </w:rPr>
            </w:pPr>
          </w:p>
        </w:tc>
      </w:tr>
      <w:tr w14:paraId="69F140A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02" w:hRule="atLeast"/>
          <w:jc w:val="center"/>
        </w:trPr>
        <w:tc>
          <w:tcPr>
            <w:tcW w:w="607" w:type="dxa"/>
            <w:tcBorders>
              <w:top w:val="single" w:color="auto" w:sz="4" w:space="0"/>
              <w:left w:val="single" w:color="auto" w:sz="4" w:space="0"/>
              <w:bottom w:val="single" w:color="auto" w:sz="4" w:space="0"/>
              <w:right w:val="single" w:color="auto" w:sz="4" w:space="0"/>
            </w:tcBorders>
            <w:noWrap w:val="0"/>
            <w:vAlign w:val="center"/>
          </w:tcPr>
          <w:p w14:paraId="2CCE192E">
            <w:pPr>
              <w:spacing w:line="360" w:lineRule="auto"/>
              <w:jc w:val="center"/>
              <w:rPr>
                <w:rFonts w:hint="eastAsia" w:ascii="宋体" w:hAnsi="宋体" w:cs="仿宋_GB2312"/>
                <w:color w:val="auto"/>
                <w:sz w:val="24"/>
                <w:highlight w:val="none"/>
              </w:rPr>
            </w:pPr>
            <w:r>
              <w:rPr>
                <w:rFonts w:hint="eastAsia" w:ascii="宋体" w:hAnsi="宋体" w:cs="仿宋_GB2312"/>
                <w:color w:val="auto"/>
                <w:sz w:val="24"/>
                <w:highlight w:val="none"/>
              </w:rPr>
              <w:t>2</w:t>
            </w:r>
          </w:p>
        </w:tc>
        <w:tc>
          <w:tcPr>
            <w:tcW w:w="1065" w:type="dxa"/>
            <w:tcBorders>
              <w:top w:val="single" w:color="auto" w:sz="4" w:space="0"/>
              <w:left w:val="single" w:color="auto" w:sz="4" w:space="0"/>
              <w:bottom w:val="single" w:color="auto" w:sz="4" w:space="0"/>
              <w:right w:val="single" w:color="auto" w:sz="4" w:space="0"/>
            </w:tcBorders>
            <w:noWrap w:val="0"/>
            <w:vAlign w:val="center"/>
          </w:tcPr>
          <w:p w14:paraId="0D651301">
            <w:pPr>
              <w:spacing w:line="360" w:lineRule="auto"/>
              <w:jc w:val="center"/>
              <w:rPr>
                <w:rFonts w:hint="eastAsia" w:ascii="宋体" w:hAnsi="宋体" w:cs="仿宋_GB2312"/>
                <w:color w:val="auto"/>
                <w:sz w:val="24"/>
                <w:highlight w:val="none"/>
              </w:rPr>
            </w:pPr>
          </w:p>
        </w:tc>
        <w:tc>
          <w:tcPr>
            <w:tcW w:w="1174" w:type="dxa"/>
            <w:tcBorders>
              <w:top w:val="single" w:color="auto" w:sz="4" w:space="0"/>
              <w:left w:val="single" w:color="auto" w:sz="4" w:space="0"/>
              <w:bottom w:val="single" w:color="auto" w:sz="4" w:space="0"/>
              <w:right w:val="single" w:color="auto" w:sz="4" w:space="0"/>
            </w:tcBorders>
            <w:noWrap w:val="0"/>
            <w:vAlign w:val="center"/>
          </w:tcPr>
          <w:p w14:paraId="053A583A">
            <w:pPr>
              <w:spacing w:line="360" w:lineRule="auto"/>
              <w:jc w:val="center"/>
              <w:rPr>
                <w:rFonts w:hint="eastAsia" w:ascii="宋体" w:hAnsi="宋体" w:cs="仿宋_GB2312"/>
                <w:color w:val="auto"/>
                <w:sz w:val="24"/>
                <w:highlight w:val="none"/>
              </w:rPr>
            </w:pPr>
          </w:p>
        </w:tc>
        <w:tc>
          <w:tcPr>
            <w:tcW w:w="701" w:type="dxa"/>
            <w:tcBorders>
              <w:top w:val="single" w:color="auto" w:sz="4" w:space="0"/>
              <w:left w:val="single" w:color="auto" w:sz="4" w:space="0"/>
              <w:bottom w:val="single" w:color="auto" w:sz="4" w:space="0"/>
              <w:right w:val="single" w:color="auto" w:sz="4" w:space="0"/>
            </w:tcBorders>
            <w:noWrap w:val="0"/>
            <w:vAlign w:val="center"/>
          </w:tcPr>
          <w:p w14:paraId="0C61A019">
            <w:pPr>
              <w:spacing w:line="360" w:lineRule="auto"/>
              <w:jc w:val="center"/>
              <w:rPr>
                <w:rFonts w:hint="eastAsia" w:ascii="宋体" w:hAnsi="宋体" w:cs="仿宋_GB2312"/>
                <w:color w:val="auto"/>
                <w:sz w:val="24"/>
                <w:highlight w:val="none"/>
              </w:rPr>
            </w:pPr>
          </w:p>
        </w:tc>
        <w:tc>
          <w:tcPr>
            <w:tcW w:w="1065" w:type="dxa"/>
            <w:tcBorders>
              <w:top w:val="single" w:color="auto" w:sz="4" w:space="0"/>
              <w:left w:val="single" w:color="auto" w:sz="4" w:space="0"/>
              <w:bottom w:val="single" w:color="auto" w:sz="4" w:space="0"/>
              <w:right w:val="single" w:color="auto" w:sz="4" w:space="0"/>
            </w:tcBorders>
            <w:noWrap w:val="0"/>
            <w:vAlign w:val="center"/>
          </w:tcPr>
          <w:p w14:paraId="4C53FB45">
            <w:pPr>
              <w:spacing w:line="360" w:lineRule="auto"/>
              <w:jc w:val="center"/>
              <w:rPr>
                <w:rFonts w:hint="eastAsia" w:ascii="宋体" w:hAnsi="宋体" w:cs="仿宋_GB2312"/>
                <w:color w:val="auto"/>
                <w:sz w:val="24"/>
                <w:highlight w:val="none"/>
              </w:rPr>
            </w:pPr>
          </w:p>
        </w:tc>
        <w:tc>
          <w:tcPr>
            <w:tcW w:w="913" w:type="dxa"/>
            <w:tcBorders>
              <w:top w:val="single" w:color="auto" w:sz="4" w:space="0"/>
              <w:left w:val="single" w:color="auto" w:sz="4" w:space="0"/>
              <w:bottom w:val="single" w:color="auto" w:sz="4" w:space="0"/>
              <w:right w:val="single" w:color="auto" w:sz="4" w:space="0"/>
            </w:tcBorders>
            <w:noWrap w:val="0"/>
            <w:vAlign w:val="center"/>
          </w:tcPr>
          <w:p w14:paraId="0FA0266A">
            <w:pPr>
              <w:spacing w:line="360" w:lineRule="auto"/>
              <w:jc w:val="center"/>
              <w:rPr>
                <w:rFonts w:hint="eastAsia" w:ascii="宋体" w:hAnsi="宋体" w:cs="仿宋_GB2312"/>
                <w:color w:val="auto"/>
                <w:sz w:val="24"/>
                <w:highlight w:val="none"/>
              </w:rPr>
            </w:pPr>
          </w:p>
        </w:tc>
        <w:tc>
          <w:tcPr>
            <w:tcW w:w="830" w:type="dxa"/>
            <w:tcBorders>
              <w:top w:val="single" w:color="auto" w:sz="4" w:space="0"/>
              <w:left w:val="single" w:color="auto" w:sz="4" w:space="0"/>
              <w:bottom w:val="single" w:color="auto" w:sz="4" w:space="0"/>
              <w:right w:val="single" w:color="auto" w:sz="4" w:space="0"/>
            </w:tcBorders>
            <w:noWrap w:val="0"/>
            <w:vAlign w:val="top"/>
          </w:tcPr>
          <w:p w14:paraId="5A9A6C3F">
            <w:pPr>
              <w:spacing w:line="360" w:lineRule="auto"/>
              <w:jc w:val="center"/>
              <w:rPr>
                <w:rFonts w:hint="eastAsia" w:ascii="宋体" w:hAnsi="宋体" w:cs="仿宋_GB2312"/>
                <w:color w:val="auto"/>
                <w:sz w:val="24"/>
                <w:highlight w:val="none"/>
              </w:rPr>
            </w:pPr>
          </w:p>
        </w:tc>
        <w:tc>
          <w:tcPr>
            <w:tcW w:w="1647" w:type="dxa"/>
            <w:tcBorders>
              <w:top w:val="single" w:color="auto" w:sz="4" w:space="0"/>
              <w:left w:val="single" w:color="auto" w:sz="4" w:space="0"/>
              <w:bottom w:val="single" w:color="auto" w:sz="4" w:space="0"/>
              <w:right w:val="single" w:color="auto" w:sz="4" w:space="0"/>
            </w:tcBorders>
            <w:noWrap w:val="0"/>
            <w:vAlign w:val="center"/>
          </w:tcPr>
          <w:p w14:paraId="1BCB39EE">
            <w:pPr>
              <w:spacing w:line="360" w:lineRule="auto"/>
              <w:jc w:val="center"/>
              <w:rPr>
                <w:rFonts w:hint="eastAsia" w:ascii="宋体" w:hAnsi="宋体" w:cs="仿宋_GB2312"/>
                <w:color w:val="auto"/>
                <w:sz w:val="24"/>
                <w:highlight w:val="none"/>
              </w:rPr>
            </w:pPr>
          </w:p>
        </w:tc>
        <w:tc>
          <w:tcPr>
            <w:tcW w:w="780" w:type="dxa"/>
            <w:tcBorders>
              <w:top w:val="single" w:color="auto" w:sz="4" w:space="0"/>
              <w:left w:val="single" w:color="auto" w:sz="4" w:space="0"/>
              <w:bottom w:val="single" w:color="auto" w:sz="4" w:space="0"/>
              <w:right w:val="single" w:color="auto" w:sz="4" w:space="0"/>
            </w:tcBorders>
            <w:noWrap w:val="0"/>
            <w:vAlign w:val="center"/>
          </w:tcPr>
          <w:p w14:paraId="11728B77">
            <w:pPr>
              <w:spacing w:line="360" w:lineRule="auto"/>
              <w:jc w:val="center"/>
              <w:rPr>
                <w:rFonts w:hint="eastAsia" w:ascii="宋体" w:hAnsi="宋体" w:cs="仿宋_GB2312"/>
                <w:color w:val="auto"/>
                <w:sz w:val="24"/>
                <w:highlight w:val="none"/>
              </w:rPr>
            </w:pPr>
          </w:p>
        </w:tc>
        <w:tc>
          <w:tcPr>
            <w:tcW w:w="1725" w:type="dxa"/>
            <w:tcBorders>
              <w:top w:val="single" w:color="auto" w:sz="4" w:space="0"/>
              <w:left w:val="single" w:color="auto" w:sz="4" w:space="0"/>
              <w:bottom w:val="single" w:color="auto" w:sz="4" w:space="0"/>
              <w:right w:val="single" w:color="auto" w:sz="4" w:space="0"/>
            </w:tcBorders>
            <w:noWrap w:val="0"/>
            <w:vAlign w:val="center"/>
          </w:tcPr>
          <w:p w14:paraId="657B6BE1">
            <w:pPr>
              <w:spacing w:line="360" w:lineRule="auto"/>
              <w:jc w:val="center"/>
              <w:rPr>
                <w:rFonts w:hint="eastAsia" w:ascii="宋体" w:hAnsi="宋体" w:cs="仿宋_GB2312"/>
                <w:color w:val="auto"/>
                <w:sz w:val="24"/>
                <w:highlight w:val="none"/>
              </w:rPr>
            </w:pPr>
          </w:p>
        </w:tc>
      </w:tr>
      <w:tr w14:paraId="5417ABC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39" w:hRule="atLeast"/>
          <w:jc w:val="center"/>
        </w:trPr>
        <w:tc>
          <w:tcPr>
            <w:tcW w:w="607" w:type="dxa"/>
            <w:tcBorders>
              <w:top w:val="single" w:color="auto" w:sz="4" w:space="0"/>
              <w:left w:val="single" w:color="auto" w:sz="4" w:space="0"/>
              <w:bottom w:val="single" w:color="auto" w:sz="4" w:space="0"/>
              <w:right w:val="single" w:color="auto" w:sz="4" w:space="0"/>
            </w:tcBorders>
            <w:noWrap w:val="0"/>
            <w:vAlign w:val="center"/>
          </w:tcPr>
          <w:p w14:paraId="73486F00">
            <w:pPr>
              <w:spacing w:line="360" w:lineRule="auto"/>
              <w:jc w:val="center"/>
              <w:rPr>
                <w:rFonts w:hint="eastAsia" w:ascii="宋体" w:hAnsi="宋体" w:cs="仿宋_GB2312"/>
                <w:color w:val="auto"/>
                <w:sz w:val="24"/>
                <w:highlight w:val="none"/>
              </w:rPr>
            </w:pPr>
            <w:r>
              <w:rPr>
                <w:rFonts w:hint="eastAsia" w:ascii="宋体" w:hAnsi="宋体" w:cs="仿宋_GB2312"/>
                <w:color w:val="auto"/>
                <w:sz w:val="24"/>
                <w:highlight w:val="none"/>
              </w:rPr>
              <w:t>…</w:t>
            </w:r>
          </w:p>
        </w:tc>
        <w:tc>
          <w:tcPr>
            <w:tcW w:w="1065" w:type="dxa"/>
            <w:tcBorders>
              <w:top w:val="single" w:color="auto" w:sz="4" w:space="0"/>
              <w:left w:val="single" w:color="auto" w:sz="4" w:space="0"/>
              <w:bottom w:val="single" w:color="auto" w:sz="4" w:space="0"/>
              <w:right w:val="single" w:color="auto" w:sz="4" w:space="0"/>
            </w:tcBorders>
            <w:noWrap w:val="0"/>
            <w:vAlign w:val="center"/>
          </w:tcPr>
          <w:p w14:paraId="70BDE88D">
            <w:pPr>
              <w:spacing w:line="360" w:lineRule="auto"/>
              <w:jc w:val="center"/>
              <w:rPr>
                <w:rFonts w:hint="eastAsia" w:ascii="宋体" w:hAnsi="宋体" w:cs="仿宋_GB2312"/>
                <w:color w:val="auto"/>
                <w:sz w:val="24"/>
                <w:highlight w:val="none"/>
              </w:rPr>
            </w:pPr>
            <w:r>
              <w:rPr>
                <w:rFonts w:hint="eastAsia" w:ascii="宋体" w:hAnsi="宋体" w:cs="仿宋_GB2312"/>
                <w:color w:val="auto"/>
                <w:sz w:val="24"/>
                <w:highlight w:val="none"/>
              </w:rPr>
              <w:t>……</w:t>
            </w:r>
          </w:p>
        </w:tc>
        <w:tc>
          <w:tcPr>
            <w:tcW w:w="1174" w:type="dxa"/>
            <w:tcBorders>
              <w:top w:val="single" w:color="auto" w:sz="4" w:space="0"/>
              <w:left w:val="single" w:color="auto" w:sz="4" w:space="0"/>
              <w:bottom w:val="single" w:color="auto" w:sz="4" w:space="0"/>
              <w:right w:val="single" w:color="auto" w:sz="4" w:space="0"/>
            </w:tcBorders>
            <w:noWrap w:val="0"/>
            <w:vAlign w:val="center"/>
          </w:tcPr>
          <w:p w14:paraId="4D4492B5">
            <w:pPr>
              <w:spacing w:line="360" w:lineRule="auto"/>
              <w:jc w:val="center"/>
              <w:rPr>
                <w:rFonts w:hint="eastAsia" w:ascii="宋体" w:hAnsi="宋体" w:cs="仿宋_GB2312"/>
                <w:color w:val="auto"/>
                <w:sz w:val="24"/>
                <w:highlight w:val="none"/>
              </w:rPr>
            </w:pPr>
          </w:p>
        </w:tc>
        <w:tc>
          <w:tcPr>
            <w:tcW w:w="701" w:type="dxa"/>
            <w:tcBorders>
              <w:top w:val="single" w:color="auto" w:sz="4" w:space="0"/>
              <w:left w:val="single" w:color="auto" w:sz="4" w:space="0"/>
              <w:bottom w:val="single" w:color="auto" w:sz="4" w:space="0"/>
              <w:right w:val="single" w:color="auto" w:sz="4" w:space="0"/>
            </w:tcBorders>
            <w:noWrap w:val="0"/>
            <w:vAlign w:val="center"/>
          </w:tcPr>
          <w:p w14:paraId="2DB1CF50">
            <w:pPr>
              <w:spacing w:line="360" w:lineRule="auto"/>
              <w:jc w:val="center"/>
              <w:rPr>
                <w:rFonts w:hint="eastAsia" w:ascii="宋体" w:hAnsi="宋体" w:cs="仿宋_GB2312"/>
                <w:color w:val="auto"/>
                <w:sz w:val="24"/>
                <w:highlight w:val="none"/>
              </w:rPr>
            </w:pPr>
          </w:p>
        </w:tc>
        <w:tc>
          <w:tcPr>
            <w:tcW w:w="1065" w:type="dxa"/>
            <w:tcBorders>
              <w:top w:val="single" w:color="auto" w:sz="4" w:space="0"/>
              <w:left w:val="single" w:color="auto" w:sz="4" w:space="0"/>
              <w:bottom w:val="single" w:color="auto" w:sz="4" w:space="0"/>
              <w:right w:val="single" w:color="auto" w:sz="4" w:space="0"/>
            </w:tcBorders>
            <w:noWrap w:val="0"/>
            <w:vAlign w:val="center"/>
          </w:tcPr>
          <w:p w14:paraId="3EB9F608">
            <w:pPr>
              <w:spacing w:line="360" w:lineRule="auto"/>
              <w:jc w:val="center"/>
              <w:rPr>
                <w:rFonts w:hint="eastAsia" w:ascii="宋体" w:hAnsi="宋体" w:cs="仿宋_GB2312"/>
                <w:color w:val="auto"/>
                <w:sz w:val="24"/>
                <w:highlight w:val="none"/>
              </w:rPr>
            </w:pPr>
          </w:p>
        </w:tc>
        <w:tc>
          <w:tcPr>
            <w:tcW w:w="913" w:type="dxa"/>
            <w:tcBorders>
              <w:top w:val="single" w:color="auto" w:sz="4" w:space="0"/>
              <w:left w:val="single" w:color="auto" w:sz="4" w:space="0"/>
              <w:bottom w:val="single" w:color="auto" w:sz="4" w:space="0"/>
              <w:right w:val="single" w:color="auto" w:sz="4" w:space="0"/>
            </w:tcBorders>
            <w:noWrap w:val="0"/>
            <w:vAlign w:val="center"/>
          </w:tcPr>
          <w:p w14:paraId="4E72CDF6">
            <w:pPr>
              <w:spacing w:line="360" w:lineRule="auto"/>
              <w:jc w:val="center"/>
              <w:rPr>
                <w:rFonts w:hint="eastAsia" w:ascii="宋体" w:hAnsi="宋体" w:cs="仿宋_GB2312"/>
                <w:color w:val="auto"/>
                <w:sz w:val="24"/>
                <w:highlight w:val="none"/>
              </w:rPr>
            </w:pPr>
          </w:p>
        </w:tc>
        <w:tc>
          <w:tcPr>
            <w:tcW w:w="830" w:type="dxa"/>
            <w:tcBorders>
              <w:top w:val="single" w:color="auto" w:sz="4" w:space="0"/>
              <w:left w:val="single" w:color="auto" w:sz="4" w:space="0"/>
              <w:bottom w:val="single" w:color="auto" w:sz="4" w:space="0"/>
              <w:right w:val="single" w:color="auto" w:sz="4" w:space="0"/>
            </w:tcBorders>
            <w:noWrap w:val="0"/>
            <w:vAlign w:val="top"/>
          </w:tcPr>
          <w:p w14:paraId="38F03EBC">
            <w:pPr>
              <w:spacing w:line="360" w:lineRule="auto"/>
              <w:jc w:val="center"/>
              <w:rPr>
                <w:rFonts w:hint="eastAsia" w:ascii="宋体" w:hAnsi="宋体" w:cs="仿宋_GB2312"/>
                <w:color w:val="auto"/>
                <w:sz w:val="24"/>
                <w:highlight w:val="none"/>
              </w:rPr>
            </w:pPr>
          </w:p>
        </w:tc>
        <w:tc>
          <w:tcPr>
            <w:tcW w:w="1647" w:type="dxa"/>
            <w:tcBorders>
              <w:top w:val="single" w:color="auto" w:sz="4" w:space="0"/>
              <w:left w:val="single" w:color="auto" w:sz="4" w:space="0"/>
              <w:bottom w:val="single" w:color="auto" w:sz="4" w:space="0"/>
              <w:right w:val="single" w:color="auto" w:sz="4" w:space="0"/>
            </w:tcBorders>
            <w:noWrap w:val="0"/>
            <w:vAlign w:val="center"/>
          </w:tcPr>
          <w:p w14:paraId="04545EE0">
            <w:pPr>
              <w:spacing w:line="360" w:lineRule="auto"/>
              <w:jc w:val="center"/>
              <w:rPr>
                <w:rFonts w:hint="eastAsia" w:ascii="宋体" w:hAnsi="宋体" w:cs="仿宋_GB2312"/>
                <w:color w:val="auto"/>
                <w:sz w:val="24"/>
                <w:highlight w:val="none"/>
              </w:rPr>
            </w:pPr>
          </w:p>
        </w:tc>
        <w:tc>
          <w:tcPr>
            <w:tcW w:w="780" w:type="dxa"/>
            <w:tcBorders>
              <w:top w:val="single" w:color="auto" w:sz="4" w:space="0"/>
              <w:left w:val="single" w:color="auto" w:sz="4" w:space="0"/>
              <w:bottom w:val="single" w:color="auto" w:sz="4" w:space="0"/>
              <w:right w:val="single" w:color="auto" w:sz="4" w:space="0"/>
            </w:tcBorders>
            <w:noWrap w:val="0"/>
            <w:vAlign w:val="center"/>
          </w:tcPr>
          <w:p w14:paraId="2CE01FEC">
            <w:pPr>
              <w:spacing w:line="360" w:lineRule="auto"/>
              <w:jc w:val="center"/>
              <w:rPr>
                <w:rFonts w:hint="eastAsia" w:ascii="宋体" w:hAnsi="宋体" w:cs="仿宋_GB2312"/>
                <w:color w:val="auto"/>
                <w:sz w:val="24"/>
                <w:highlight w:val="none"/>
              </w:rPr>
            </w:pPr>
          </w:p>
        </w:tc>
        <w:tc>
          <w:tcPr>
            <w:tcW w:w="1725" w:type="dxa"/>
            <w:tcBorders>
              <w:top w:val="single" w:color="auto" w:sz="4" w:space="0"/>
              <w:left w:val="single" w:color="auto" w:sz="4" w:space="0"/>
              <w:bottom w:val="single" w:color="auto" w:sz="4" w:space="0"/>
              <w:right w:val="single" w:color="auto" w:sz="4" w:space="0"/>
            </w:tcBorders>
            <w:noWrap w:val="0"/>
            <w:vAlign w:val="center"/>
          </w:tcPr>
          <w:p w14:paraId="4564B625">
            <w:pPr>
              <w:spacing w:line="360" w:lineRule="auto"/>
              <w:jc w:val="center"/>
              <w:rPr>
                <w:rFonts w:hint="eastAsia" w:ascii="宋体" w:hAnsi="宋体" w:cs="仿宋_GB2312"/>
                <w:color w:val="auto"/>
                <w:sz w:val="24"/>
                <w:highlight w:val="none"/>
              </w:rPr>
            </w:pPr>
          </w:p>
        </w:tc>
      </w:tr>
      <w:tr w14:paraId="10E9F62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39" w:hRule="atLeast"/>
          <w:jc w:val="center"/>
        </w:trPr>
        <w:tc>
          <w:tcPr>
            <w:tcW w:w="10507" w:type="dxa"/>
            <w:gridSpan w:val="10"/>
            <w:tcBorders>
              <w:top w:val="single" w:color="auto" w:sz="4" w:space="0"/>
              <w:left w:val="single" w:color="auto" w:sz="4" w:space="0"/>
              <w:bottom w:val="single" w:color="auto" w:sz="4" w:space="0"/>
              <w:right w:val="single" w:color="auto" w:sz="4" w:space="0"/>
            </w:tcBorders>
            <w:noWrap w:val="0"/>
            <w:vAlign w:val="top"/>
          </w:tcPr>
          <w:p w14:paraId="14953950">
            <w:pPr>
              <w:snapToGrid w:val="0"/>
              <w:spacing w:before="50" w:after="50" w:line="360" w:lineRule="auto"/>
              <w:rPr>
                <w:rFonts w:hint="eastAsia" w:ascii="宋体" w:hAnsi="宋体" w:cs="仿宋_GB2312"/>
                <w:color w:val="auto"/>
                <w:sz w:val="24"/>
                <w:highlight w:val="none"/>
              </w:rPr>
            </w:pPr>
            <w:r>
              <w:rPr>
                <w:rFonts w:hint="eastAsia" w:ascii="宋体" w:hAnsi="宋体" w:cs="仿宋_GB2312"/>
                <w:color w:val="auto"/>
                <w:sz w:val="24"/>
                <w:highlight w:val="none"/>
              </w:rPr>
              <w:t>合计金额大写：人民币</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w:t>
            </w:r>
          </w:p>
          <w:p w14:paraId="7C96DB71">
            <w:pPr>
              <w:snapToGrid w:val="0"/>
              <w:spacing w:before="50" w:after="50" w:line="360" w:lineRule="auto"/>
              <w:rPr>
                <w:rFonts w:hint="eastAsia" w:ascii="宋体" w:hAnsi="宋体" w:cs="仿宋_GB2312"/>
                <w:color w:val="auto"/>
                <w:sz w:val="24"/>
                <w:highlight w:val="none"/>
                <w:u w:val="single"/>
              </w:rPr>
            </w:pPr>
            <w:r>
              <w:rPr>
                <w:rFonts w:hint="eastAsia" w:ascii="宋体" w:hAnsi="宋体" w:cs="仿宋_GB2312"/>
                <w:color w:val="auto"/>
                <w:sz w:val="24"/>
                <w:highlight w:val="none"/>
                <w:u w:val="single"/>
              </w:rPr>
              <w:t>竞标货物中，属于优先采购节能产品总值为￥       （具体明细详见附表，附表格式自拟），占本竞标报价的比例为    %；属于优先采购环境标志产品总值为￥          （具体明细详见附表，附表格式自拟），占本竞标报价的比例为   %。</w:t>
            </w:r>
          </w:p>
          <w:p w14:paraId="6CA9402B">
            <w:pPr>
              <w:snapToGrid w:val="0"/>
              <w:spacing w:before="50" w:after="50" w:line="360" w:lineRule="auto"/>
              <w:rPr>
                <w:rFonts w:hint="eastAsia" w:ascii="宋体" w:hAnsi="宋体" w:cs="仿宋_GB2312"/>
                <w:color w:val="auto"/>
                <w:sz w:val="24"/>
                <w:highlight w:val="none"/>
                <w:u w:val="single"/>
              </w:rPr>
            </w:pPr>
            <w:r>
              <w:rPr>
                <w:rFonts w:hint="eastAsia" w:ascii="宋体" w:hAnsi="宋体" w:cs="仿宋_GB2312"/>
                <w:color w:val="auto"/>
                <w:sz w:val="24"/>
                <w:u w:val="single"/>
              </w:rPr>
              <w:t>响应产品中，属于本国产品总值为¥       （具体明细详见附表，附表格式自拟），占响应产品的比例为    %。</w:t>
            </w:r>
          </w:p>
        </w:tc>
      </w:tr>
    </w:tbl>
    <w:p w14:paraId="13A623E6">
      <w:pPr>
        <w:spacing w:line="360" w:lineRule="auto"/>
        <w:contextualSpacing/>
        <w:jc w:val="left"/>
        <w:rPr>
          <w:rFonts w:ascii="宋体" w:hAnsi="宋体" w:cs="仿宋_GB2312"/>
          <w:color w:val="auto"/>
          <w:sz w:val="24"/>
          <w:highlight w:val="none"/>
        </w:rPr>
      </w:pPr>
      <w:r>
        <w:rPr>
          <w:rFonts w:hint="eastAsia" w:ascii="宋体" w:hAnsi="宋体" w:cs="仿宋_GB2312"/>
          <w:color w:val="auto"/>
          <w:sz w:val="24"/>
          <w:highlight w:val="none"/>
        </w:rPr>
        <w:t xml:space="preserve">注: </w:t>
      </w:r>
    </w:p>
    <w:p w14:paraId="6E00DE55">
      <w:pPr>
        <w:spacing w:line="360" w:lineRule="auto"/>
        <w:ind w:firstLine="480" w:firstLineChars="200"/>
        <w:contextualSpacing/>
        <w:jc w:val="left"/>
        <w:rPr>
          <w:rFonts w:ascii="宋体" w:hAnsi="宋体" w:cs="仿宋_GB2312"/>
          <w:color w:val="auto"/>
          <w:sz w:val="24"/>
          <w:highlight w:val="none"/>
        </w:rPr>
      </w:pPr>
      <w:r>
        <w:rPr>
          <w:rFonts w:hint="eastAsia" w:ascii="宋体" w:hAnsi="宋体" w:cs="仿宋_GB2312"/>
          <w:color w:val="auto"/>
          <w:sz w:val="24"/>
          <w:highlight w:val="none"/>
        </w:rPr>
        <w:t>1</w:t>
      </w:r>
      <w:r>
        <w:rPr>
          <w:rFonts w:ascii="宋体" w:hAnsi="宋体" w:cs="仿宋_GB2312"/>
          <w:color w:val="auto"/>
          <w:sz w:val="24"/>
          <w:highlight w:val="none"/>
        </w:rPr>
        <w:t>.</w:t>
      </w:r>
      <w:r>
        <w:rPr>
          <w:rFonts w:hint="eastAsia" w:ascii="宋体" w:hAnsi="宋体"/>
          <w:color w:val="auto"/>
          <w:sz w:val="24"/>
          <w:highlight w:val="none"/>
        </w:rPr>
        <w:t xml:space="preserve"> 以上竞标报价表中“标的的名称、数量及单位、品牌、规格型号、制造商、原产地、参数性能、指标及配置”必须如实填写完整，品牌、规格型号没有则填无，填写有缺漏</w:t>
      </w:r>
      <w:r>
        <w:rPr>
          <w:rFonts w:hint="eastAsia" w:ascii="宋体" w:hAnsi="宋体"/>
          <w:bCs/>
          <w:color w:val="auto"/>
          <w:sz w:val="24"/>
          <w:highlight w:val="none"/>
        </w:rPr>
        <w:t>的，</w:t>
      </w:r>
      <w:r>
        <w:rPr>
          <w:rFonts w:hint="eastAsia" w:ascii="宋体" w:hAnsi="宋体" w:cs="仿宋_GB2312"/>
          <w:b/>
          <w:color w:val="auto"/>
          <w:sz w:val="24"/>
          <w:highlight w:val="none"/>
        </w:rPr>
        <w:t>其响应文件按无效处理</w:t>
      </w:r>
      <w:r>
        <w:rPr>
          <w:rFonts w:hint="eastAsia" w:ascii="宋体" w:hAnsi="宋体"/>
          <w:b/>
          <w:color w:val="auto"/>
          <w:sz w:val="24"/>
          <w:highlight w:val="none"/>
        </w:rPr>
        <w:t>。</w:t>
      </w:r>
    </w:p>
    <w:p w14:paraId="161F5611">
      <w:pPr>
        <w:spacing w:line="360" w:lineRule="auto"/>
        <w:ind w:firstLine="480" w:firstLineChars="200"/>
        <w:contextualSpacing/>
        <w:jc w:val="left"/>
        <w:rPr>
          <w:rFonts w:hint="eastAsia" w:ascii="宋体" w:hAnsi="宋体" w:cs="仿宋_GB2312"/>
          <w:color w:val="auto"/>
          <w:sz w:val="24"/>
          <w:highlight w:val="none"/>
        </w:rPr>
      </w:pPr>
      <w:r>
        <w:rPr>
          <w:rFonts w:ascii="宋体" w:hAnsi="宋体" w:cs="仿宋_GB2312"/>
          <w:color w:val="auto"/>
          <w:sz w:val="24"/>
          <w:highlight w:val="none"/>
        </w:rPr>
        <w:t>2</w:t>
      </w:r>
      <w:r>
        <w:rPr>
          <w:rFonts w:hint="eastAsia" w:ascii="宋体" w:hAnsi="宋体" w:cs="仿宋_GB2312"/>
          <w:color w:val="auto"/>
          <w:sz w:val="24"/>
          <w:highlight w:val="none"/>
        </w:rPr>
        <w:t>.供应商的报价表必须加盖供应商电子签章并由法定代表人或者委托代理人签字或者电子签名，</w:t>
      </w:r>
      <w:r>
        <w:rPr>
          <w:rFonts w:hint="eastAsia" w:ascii="宋体" w:hAnsi="宋体" w:cs="仿宋_GB2312"/>
          <w:b/>
          <w:color w:val="auto"/>
          <w:sz w:val="24"/>
          <w:highlight w:val="none"/>
        </w:rPr>
        <w:t>否则其响应文件按无效处理</w:t>
      </w:r>
      <w:r>
        <w:rPr>
          <w:rFonts w:hint="eastAsia" w:ascii="宋体" w:hAnsi="宋体" w:cs="仿宋_GB2312"/>
          <w:color w:val="auto"/>
          <w:sz w:val="24"/>
          <w:highlight w:val="none"/>
        </w:rPr>
        <w:t>。</w:t>
      </w:r>
    </w:p>
    <w:p w14:paraId="31F68992">
      <w:pPr>
        <w:spacing w:line="360" w:lineRule="auto"/>
        <w:ind w:firstLine="480" w:firstLineChars="200"/>
        <w:contextualSpacing/>
        <w:jc w:val="left"/>
        <w:rPr>
          <w:rFonts w:hint="eastAsia" w:ascii="宋体" w:hAnsi="宋体" w:cs="仿宋_GB2312"/>
          <w:b/>
          <w:color w:val="auto"/>
          <w:sz w:val="24"/>
          <w:highlight w:val="none"/>
        </w:rPr>
      </w:pPr>
      <w:r>
        <w:rPr>
          <w:rFonts w:ascii="宋体" w:hAnsi="宋体" w:cs="仿宋_GB2312"/>
          <w:bCs/>
          <w:color w:val="auto"/>
          <w:sz w:val="24"/>
          <w:highlight w:val="none"/>
        </w:rPr>
        <w:t>3</w:t>
      </w:r>
      <w:r>
        <w:rPr>
          <w:rFonts w:hint="eastAsia" w:ascii="宋体" w:hAnsi="宋体" w:cs="仿宋_GB2312"/>
          <w:bCs/>
          <w:color w:val="auto"/>
          <w:sz w:val="24"/>
          <w:highlight w:val="none"/>
        </w:rPr>
        <w:t>.</w:t>
      </w:r>
      <w:r>
        <w:rPr>
          <w:rFonts w:hint="eastAsia" w:ascii="宋体" w:hAnsi="宋体" w:cs="仿宋_GB2312"/>
          <w:color w:val="auto"/>
          <w:sz w:val="24"/>
          <w:highlight w:val="none"/>
        </w:rPr>
        <w:t>报价一经涂改，应在涂改处加盖供应商公章或者加盖电子签章或者由法定代表人或者授权委托人签字</w:t>
      </w:r>
      <w:r>
        <w:rPr>
          <w:rFonts w:hint="eastAsia" w:ascii="宋体" w:hAnsi="宋体"/>
          <w:color w:val="auto"/>
          <w:sz w:val="24"/>
          <w:highlight w:val="none"/>
        </w:rPr>
        <w:t>（或者电子签名）</w:t>
      </w:r>
      <w:r>
        <w:rPr>
          <w:rFonts w:hint="eastAsia" w:ascii="宋体" w:hAnsi="宋体" w:cs="仿宋_GB2312"/>
          <w:b/>
          <w:color w:val="auto"/>
          <w:sz w:val="24"/>
          <w:highlight w:val="none"/>
        </w:rPr>
        <w:t>，否则其响应文件按无效处理。</w:t>
      </w:r>
    </w:p>
    <w:p w14:paraId="0F45D044">
      <w:pPr>
        <w:spacing w:line="360" w:lineRule="auto"/>
        <w:ind w:firstLine="480" w:firstLineChars="200"/>
        <w:contextualSpacing/>
        <w:jc w:val="left"/>
        <w:rPr>
          <w:rFonts w:hint="eastAsia" w:ascii="宋体" w:hAnsi="宋体" w:cs="仿宋_GB2312"/>
          <w:color w:val="auto"/>
          <w:sz w:val="24"/>
          <w:highlight w:val="none"/>
        </w:rPr>
      </w:pPr>
      <w:r>
        <w:rPr>
          <w:rFonts w:ascii="宋体" w:hAnsi="宋体" w:cs="仿宋_GB2312"/>
          <w:color w:val="auto"/>
          <w:sz w:val="24"/>
          <w:highlight w:val="none"/>
        </w:rPr>
        <w:t>4</w:t>
      </w:r>
      <w:r>
        <w:rPr>
          <w:rFonts w:hint="eastAsia" w:ascii="宋体" w:hAnsi="宋体" w:cs="仿宋_GB2312"/>
          <w:color w:val="auto"/>
          <w:sz w:val="24"/>
          <w:highlight w:val="none"/>
        </w:rPr>
        <w:t>.谈判文件中列明采购专用耗材的，应按谈判文件规定的耗材量或者按耗材的常规试用量提供报价。</w:t>
      </w:r>
    </w:p>
    <w:p w14:paraId="5960450A">
      <w:pPr>
        <w:spacing w:line="360" w:lineRule="auto"/>
        <w:ind w:right="-817" w:rightChars="-389" w:firstLine="2640" w:firstLineChars="1100"/>
        <w:contextualSpacing/>
        <w:rPr>
          <w:rFonts w:hint="eastAsia" w:ascii="宋体" w:hAnsi="宋体" w:cs="仿宋_GB2312"/>
          <w:color w:val="auto"/>
          <w:sz w:val="24"/>
          <w:highlight w:val="none"/>
        </w:rPr>
      </w:pPr>
      <w:r>
        <w:rPr>
          <w:rFonts w:hint="eastAsia" w:ascii="宋体" w:hAnsi="宋体" w:cs="仿宋_GB2312"/>
          <w:color w:val="auto"/>
          <w:sz w:val="24"/>
          <w:highlight w:val="none"/>
        </w:rPr>
        <w:t xml:space="preserve">法定代表人或者委托代理人（签字或者电子签名）：                    </w:t>
      </w:r>
    </w:p>
    <w:p w14:paraId="0FB4F25B">
      <w:pPr>
        <w:spacing w:line="360" w:lineRule="auto"/>
        <w:ind w:right="-817" w:rightChars="-389" w:firstLine="2640" w:firstLineChars="1100"/>
        <w:contextualSpacing/>
        <w:rPr>
          <w:rFonts w:hint="eastAsia" w:ascii="宋体" w:hAnsi="宋体" w:cs="仿宋_GB2312"/>
          <w:color w:val="auto"/>
          <w:sz w:val="24"/>
          <w:highlight w:val="none"/>
        </w:rPr>
      </w:pPr>
      <w:r>
        <w:rPr>
          <w:rFonts w:hint="eastAsia" w:ascii="宋体" w:hAnsi="宋体" w:cs="仿宋_GB2312"/>
          <w:color w:val="auto"/>
          <w:sz w:val="24"/>
          <w:highlight w:val="none"/>
        </w:rPr>
        <w:t xml:space="preserve">供应商（电子签章）：      </w:t>
      </w:r>
    </w:p>
    <w:p w14:paraId="7A63B7D0">
      <w:pPr>
        <w:spacing w:line="360" w:lineRule="auto"/>
        <w:ind w:right="-817" w:rightChars="-389"/>
        <w:contextualSpacing/>
        <w:rPr>
          <w:rFonts w:hint="eastAsia" w:ascii="仿宋_GB2312" w:hAnsi="仿宋_GB2312" w:eastAsia="仿宋_GB2312" w:cs="仿宋_GB2312"/>
          <w:b/>
          <w:color w:val="auto"/>
          <w:sz w:val="32"/>
          <w:szCs w:val="32"/>
          <w:highlight w:val="none"/>
        </w:rPr>
      </w:pPr>
      <w:r>
        <w:rPr>
          <w:rFonts w:hint="eastAsia" w:ascii="宋体" w:hAnsi="宋体" w:cs="仿宋_GB2312"/>
          <w:color w:val="auto"/>
          <w:sz w:val="24"/>
          <w:highlight w:val="none"/>
        </w:rPr>
        <w:t xml:space="preserve">                      日期：   年   月   日</w:t>
      </w:r>
    </w:p>
    <w:p w14:paraId="0B0B3881">
      <w:pPr>
        <w:tabs>
          <w:tab w:val="left" w:pos="3479"/>
        </w:tabs>
        <w:spacing w:line="520" w:lineRule="exact"/>
        <w:jc w:val="center"/>
        <w:rPr>
          <w:rFonts w:hint="eastAsia" w:ascii="方正小标宋简体" w:hAnsi="方正小标宋简体" w:eastAsia="方正小标宋简体" w:cs="方正小标宋简体"/>
          <w:bCs/>
          <w:color w:val="auto"/>
          <w:sz w:val="44"/>
          <w:szCs w:val="44"/>
          <w:highlight w:val="none"/>
        </w:rPr>
      </w:pPr>
      <w:r>
        <w:rPr>
          <w:rFonts w:ascii="宋体" w:hAnsi="宋体"/>
          <w:color w:val="auto"/>
          <w:szCs w:val="21"/>
          <w:highlight w:val="none"/>
        </w:rPr>
        <w:br w:type="page"/>
      </w:r>
      <w:r>
        <w:rPr>
          <w:rFonts w:hint="eastAsia" w:ascii="方正小标宋简体" w:hAnsi="方正小标宋简体" w:eastAsia="方正小标宋简体" w:cs="方正小标宋简体"/>
          <w:bCs/>
          <w:color w:val="auto"/>
          <w:sz w:val="44"/>
          <w:szCs w:val="44"/>
          <w:highlight w:val="none"/>
        </w:rPr>
        <w:t>最 终 报 价 表</w:t>
      </w:r>
    </w:p>
    <w:p w14:paraId="04D784E4">
      <w:pPr>
        <w:tabs>
          <w:tab w:val="left" w:pos="3479"/>
        </w:tabs>
        <w:spacing w:line="520" w:lineRule="exact"/>
        <w:jc w:val="center"/>
        <w:rPr>
          <w:rFonts w:hint="eastAsia" w:ascii="方正小标宋简体" w:hAnsi="方正小标宋简体" w:eastAsia="方正小标宋简体" w:cs="方正小标宋简体"/>
          <w:bCs/>
          <w:color w:val="auto"/>
          <w:sz w:val="32"/>
          <w:szCs w:val="32"/>
          <w:highlight w:val="none"/>
        </w:rPr>
      </w:pPr>
      <w:r>
        <w:rPr>
          <w:rFonts w:hint="eastAsia" w:ascii="宋体" w:hAnsi="宋体" w:cs="宋体"/>
          <w:b/>
          <w:color w:val="auto"/>
          <w:sz w:val="30"/>
          <w:szCs w:val="30"/>
          <w:highlight w:val="none"/>
        </w:rPr>
        <w:t>（此表请提前准备，在最终报价环节作为附件提交）</w:t>
      </w:r>
    </w:p>
    <w:p w14:paraId="15D6EE2B">
      <w:pPr>
        <w:spacing w:line="520" w:lineRule="exact"/>
        <w:jc w:val="center"/>
        <w:rPr>
          <w:rFonts w:hint="eastAsia" w:ascii="方正小标宋简体" w:hAnsi="方正小标宋简体" w:eastAsia="方正小标宋简体" w:cs="方正小标宋简体"/>
          <w:bCs/>
          <w:color w:val="auto"/>
          <w:sz w:val="32"/>
          <w:szCs w:val="32"/>
          <w:highlight w:val="none"/>
        </w:rPr>
      </w:pPr>
    </w:p>
    <w:p w14:paraId="600285B6">
      <w:pPr>
        <w:snapToGrid w:val="0"/>
        <w:spacing w:before="50" w:after="50" w:line="360" w:lineRule="auto"/>
        <w:rPr>
          <w:rFonts w:hint="eastAsia" w:ascii="宋体" w:hAnsi="宋体" w:cs="仿宋_GB2312"/>
          <w:color w:val="auto"/>
          <w:sz w:val="24"/>
          <w:highlight w:val="none"/>
        </w:rPr>
      </w:pPr>
      <w:r>
        <w:rPr>
          <w:rFonts w:hint="eastAsia" w:ascii="宋体" w:hAnsi="宋体" w:cs="仿宋_GB2312"/>
          <w:color w:val="auto"/>
          <w:sz w:val="24"/>
          <w:highlight w:val="none"/>
        </w:rPr>
        <w:t>项目名称：</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项目编号：</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 xml:space="preserve"> 分标（如有）：</w:t>
      </w:r>
      <w:r>
        <w:rPr>
          <w:rFonts w:hint="eastAsia" w:ascii="宋体" w:hAnsi="宋体" w:cs="仿宋_GB2312"/>
          <w:color w:val="auto"/>
          <w:sz w:val="24"/>
          <w:highlight w:val="none"/>
          <w:u w:val="single"/>
        </w:rPr>
        <w:t xml:space="preserve">            </w:t>
      </w:r>
    </w:p>
    <w:p w14:paraId="3BE044D3">
      <w:pPr>
        <w:snapToGrid w:val="0"/>
        <w:spacing w:before="50" w:after="50" w:line="360" w:lineRule="auto"/>
        <w:rPr>
          <w:rFonts w:hint="eastAsia" w:ascii="宋体" w:hAnsi="宋体" w:cs="仿宋_GB2312"/>
          <w:color w:val="auto"/>
          <w:sz w:val="24"/>
          <w:highlight w:val="none"/>
        </w:rPr>
      </w:pPr>
      <w:r>
        <w:rPr>
          <w:rFonts w:hint="eastAsia" w:ascii="宋体" w:hAnsi="宋体" w:cs="仿宋_GB2312"/>
          <w:color w:val="auto"/>
          <w:sz w:val="24"/>
          <w:highlight w:val="none"/>
        </w:rPr>
        <w:t>供应商名称：</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 xml:space="preserve">            单位：元</w:t>
      </w:r>
    </w:p>
    <w:tbl>
      <w:tblPr>
        <w:tblStyle w:val="24"/>
        <w:tblW w:w="10507"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07"/>
        <w:gridCol w:w="1065"/>
        <w:gridCol w:w="1174"/>
        <w:gridCol w:w="701"/>
        <w:gridCol w:w="1065"/>
        <w:gridCol w:w="913"/>
        <w:gridCol w:w="830"/>
        <w:gridCol w:w="1647"/>
        <w:gridCol w:w="780"/>
        <w:gridCol w:w="1725"/>
      </w:tblGrid>
      <w:tr w14:paraId="483AC95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82" w:hRule="atLeast"/>
          <w:jc w:val="center"/>
        </w:trPr>
        <w:tc>
          <w:tcPr>
            <w:tcW w:w="607" w:type="dxa"/>
            <w:tcBorders>
              <w:top w:val="single" w:color="auto" w:sz="4" w:space="0"/>
              <w:left w:val="single" w:color="auto" w:sz="4" w:space="0"/>
              <w:bottom w:val="single" w:color="auto" w:sz="4" w:space="0"/>
              <w:right w:val="single" w:color="auto" w:sz="4" w:space="0"/>
            </w:tcBorders>
            <w:noWrap w:val="0"/>
            <w:vAlign w:val="center"/>
          </w:tcPr>
          <w:p w14:paraId="1525585C">
            <w:pPr>
              <w:spacing w:line="360" w:lineRule="auto"/>
              <w:jc w:val="center"/>
              <w:rPr>
                <w:rFonts w:hint="eastAsia" w:ascii="宋体" w:hAnsi="宋体" w:cs="仿宋_GB2312"/>
                <w:b/>
                <w:bCs/>
                <w:color w:val="auto"/>
                <w:sz w:val="24"/>
                <w:highlight w:val="none"/>
              </w:rPr>
            </w:pPr>
            <w:r>
              <w:rPr>
                <w:rFonts w:hint="eastAsia" w:ascii="宋体" w:hAnsi="宋体" w:cs="仿宋_GB2312"/>
                <w:b/>
                <w:bCs/>
                <w:color w:val="auto"/>
                <w:sz w:val="24"/>
                <w:highlight w:val="none"/>
              </w:rPr>
              <w:t>项号</w:t>
            </w:r>
          </w:p>
        </w:tc>
        <w:tc>
          <w:tcPr>
            <w:tcW w:w="1065" w:type="dxa"/>
            <w:tcBorders>
              <w:top w:val="single" w:color="auto" w:sz="4" w:space="0"/>
              <w:left w:val="single" w:color="auto" w:sz="4" w:space="0"/>
              <w:bottom w:val="single" w:color="auto" w:sz="4" w:space="0"/>
              <w:right w:val="single" w:color="auto" w:sz="4" w:space="0"/>
            </w:tcBorders>
            <w:noWrap w:val="0"/>
            <w:vAlign w:val="center"/>
          </w:tcPr>
          <w:p w14:paraId="713F4BC4">
            <w:pPr>
              <w:spacing w:line="360" w:lineRule="auto"/>
              <w:jc w:val="center"/>
              <w:rPr>
                <w:rFonts w:ascii="宋体" w:hAnsi="宋体" w:cs="仿宋_GB2312"/>
                <w:b/>
                <w:bCs/>
                <w:color w:val="auto"/>
                <w:sz w:val="24"/>
                <w:highlight w:val="none"/>
              </w:rPr>
            </w:pPr>
            <w:r>
              <w:rPr>
                <w:rFonts w:hint="eastAsia" w:ascii="宋体" w:hAnsi="宋体" w:cs="仿宋_GB2312"/>
                <w:b/>
                <w:bCs/>
                <w:color w:val="auto"/>
                <w:sz w:val="24"/>
                <w:highlight w:val="none"/>
              </w:rPr>
              <w:t>标的的名称</w:t>
            </w:r>
          </w:p>
        </w:tc>
        <w:tc>
          <w:tcPr>
            <w:tcW w:w="1174" w:type="dxa"/>
            <w:tcBorders>
              <w:top w:val="single" w:color="auto" w:sz="4" w:space="0"/>
              <w:left w:val="single" w:color="auto" w:sz="4" w:space="0"/>
              <w:bottom w:val="single" w:color="auto" w:sz="4" w:space="0"/>
              <w:right w:val="single" w:color="auto" w:sz="4" w:space="0"/>
            </w:tcBorders>
            <w:noWrap w:val="0"/>
            <w:vAlign w:val="center"/>
          </w:tcPr>
          <w:p w14:paraId="2526E663">
            <w:pPr>
              <w:spacing w:line="360" w:lineRule="auto"/>
              <w:jc w:val="center"/>
              <w:rPr>
                <w:rFonts w:hint="eastAsia" w:ascii="宋体" w:hAnsi="宋体" w:cs="仿宋_GB2312"/>
                <w:b/>
                <w:bCs/>
                <w:color w:val="auto"/>
                <w:sz w:val="24"/>
                <w:highlight w:val="none"/>
              </w:rPr>
            </w:pPr>
            <w:r>
              <w:rPr>
                <w:rFonts w:hint="eastAsia" w:ascii="宋体" w:hAnsi="宋体" w:cs="仿宋_GB2312"/>
                <w:b/>
                <w:bCs/>
                <w:color w:val="auto"/>
                <w:sz w:val="24"/>
                <w:highlight w:val="none"/>
              </w:rPr>
              <w:t>数量及单位①</w:t>
            </w:r>
          </w:p>
        </w:tc>
        <w:tc>
          <w:tcPr>
            <w:tcW w:w="701" w:type="dxa"/>
            <w:tcBorders>
              <w:top w:val="single" w:color="auto" w:sz="4" w:space="0"/>
              <w:left w:val="single" w:color="auto" w:sz="4" w:space="0"/>
              <w:bottom w:val="single" w:color="auto" w:sz="4" w:space="0"/>
              <w:right w:val="single" w:color="auto" w:sz="4" w:space="0"/>
            </w:tcBorders>
            <w:noWrap w:val="0"/>
            <w:vAlign w:val="center"/>
          </w:tcPr>
          <w:p w14:paraId="443B803B">
            <w:pPr>
              <w:spacing w:line="360" w:lineRule="auto"/>
              <w:jc w:val="center"/>
              <w:rPr>
                <w:rFonts w:hint="eastAsia" w:ascii="宋体" w:hAnsi="宋体" w:cs="仿宋_GB2312"/>
                <w:b/>
                <w:bCs/>
                <w:color w:val="auto"/>
                <w:sz w:val="24"/>
                <w:highlight w:val="none"/>
              </w:rPr>
            </w:pPr>
            <w:r>
              <w:rPr>
                <w:rFonts w:hint="eastAsia" w:ascii="宋体" w:hAnsi="宋体" w:cs="仿宋_GB2312"/>
                <w:b/>
                <w:bCs/>
                <w:color w:val="auto"/>
                <w:sz w:val="24"/>
                <w:highlight w:val="none"/>
              </w:rPr>
              <w:t>品牌</w:t>
            </w:r>
          </w:p>
        </w:tc>
        <w:tc>
          <w:tcPr>
            <w:tcW w:w="1065" w:type="dxa"/>
            <w:tcBorders>
              <w:top w:val="single" w:color="auto" w:sz="4" w:space="0"/>
              <w:left w:val="single" w:color="auto" w:sz="4" w:space="0"/>
              <w:bottom w:val="single" w:color="auto" w:sz="4" w:space="0"/>
              <w:right w:val="single" w:color="auto" w:sz="4" w:space="0"/>
            </w:tcBorders>
            <w:noWrap w:val="0"/>
            <w:vAlign w:val="center"/>
          </w:tcPr>
          <w:p w14:paraId="321CA772">
            <w:pPr>
              <w:spacing w:line="360" w:lineRule="auto"/>
              <w:jc w:val="center"/>
              <w:rPr>
                <w:rFonts w:ascii="宋体" w:hAnsi="宋体" w:cs="仿宋_GB2312"/>
                <w:b/>
                <w:bCs/>
                <w:color w:val="auto"/>
                <w:sz w:val="24"/>
                <w:highlight w:val="none"/>
              </w:rPr>
            </w:pPr>
            <w:r>
              <w:rPr>
                <w:rFonts w:hint="eastAsia" w:ascii="宋体" w:hAnsi="宋体" w:cs="仿宋_GB2312"/>
                <w:b/>
                <w:bCs/>
                <w:color w:val="auto"/>
                <w:sz w:val="24"/>
                <w:highlight w:val="none"/>
              </w:rPr>
              <w:t>规格</w:t>
            </w:r>
          </w:p>
          <w:p w14:paraId="1E474D7E">
            <w:pPr>
              <w:spacing w:line="360" w:lineRule="auto"/>
              <w:jc w:val="center"/>
              <w:rPr>
                <w:rFonts w:hint="eastAsia" w:ascii="宋体" w:hAnsi="宋体" w:cs="仿宋_GB2312"/>
                <w:b/>
                <w:bCs/>
                <w:color w:val="auto"/>
                <w:sz w:val="24"/>
                <w:highlight w:val="none"/>
              </w:rPr>
            </w:pPr>
            <w:r>
              <w:rPr>
                <w:rFonts w:hint="eastAsia" w:ascii="宋体" w:hAnsi="宋体" w:cs="仿宋_GB2312"/>
                <w:b/>
                <w:bCs/>
                <w:color w:val="auto"/>
                <w:sz w:val="24"/>
                <w:highlight w:val="none"/>
              </w:rPr>
              <w:t>型号</w:t>
            </w:r>
          </w:p>
        </w:tc>
        <w:tc>
          <w:tcPr>
            <w:tcW w:w="913" w:type="dxa"/>
            <w:tcBorders>
              <w:top w:val="single" w:color="auto" w:sz="4" w:space="0"/>
              <w:left w:val="single" w:color="auto" w:sz="4" w:space="0"/>
              <w:bottom w:val="single" w:color="auto" w:sz="4" w:space="0"/>
              <w:right w:val="single" w:color="auto" w:sz="4" w:space="0"/>
            </w:tcBorders>
            <w:noWrap w:val="0"/>
            <w:vAlign w:val="center"/>
          </w:tcPr>
          <w:p w14:paraId="128D2BBA">
            <w:pPr>
              <w:spacing w:line="360" w:lineRule="auto"/>
              <w:jc w:val="center"/>
              <w:rPr>
                <w:rFonts w:hint="eastAsia" w:ascii="宋体" w:hAnsi="宋体" w:cs="仿宋_GB2312"/>
                <w:b/>
                <w:bCs/>
                <w:color w:val="auto"/>
                <w:sz w:val="24"/>
                <w:highlight w:val="none"/>
              </w:rPr>
            </w:pPr>
            <w:r>
              <w:rPr>
                <w:rFonts w:hint="eastAsia" w:ascii="宋体" w:hAnsi="宋体" w:cs="仿宋_GB2312"/>
                <w:b/>
                <w:bCs/>
                <w:color w:val="auto"/>
                <w:sz w:val="24"/>
                <w:highlight w:val="none"/>
              </w:rPr>
              <w:t>制造商</w:t>
            </w:r>
          </w:p>
        </w:tc>
        <w:tc>
          <w:tcPr>
            <w:tcW w:w="830" w:type="dxa"/>
            <w:tcBorders>
              <w:top w:val="single" w:color="auto" w:sz="4" w:space="0"/>
              <w:left w:val="single" w:color="auto" w:sz="4" w:space="0"/>
              <w:bottom w:val="single" w:color="auto" w:sz="4" w:space="0"/>
              <w:right w:val="single" w:color="auto" w:sz="4" w:space="0"/>
            </w:tcBorders>
            <w:noWrap w:val="0"/>
            <w:vAlign w:val="center"/>
          </w:tcPr>
          <w:p w14:paraId="236E4C61">
            <w:pPr>
              <w:spacing w:line="360" w:lineRule="auto"/>
              <w:jc w:val="center"/>
              <w:rPr>
                <w:rFonts w:hint="eastAsia" w:ascii="宋体" w:hAnsi="宋体" w:cs="仿宋_GB2312"/>
                <w:b/>
                <w:bCs/>
                <w:color w:val="auto"/>
                <w:sz w:val="24"/>
                <w:highlight w:val="none"/>
              </w:rPr>
            </w:pPr>
            <w:r>
              <w:rPr>
                <w:rFonts w:hint="eastAsia" w:ascii="宋体" w:hAnsi="宋体" w:cs="仿宋_GB2312"/>
                <w:b/>
                <w:bCs/>
                <w:color w:val="auto"/>
                <w:sz w:val="24"/>
                <w:highlight w:val="none"/>
              </w:rPr>
              <w:t>原产地</w:t>
            </w:r>
          </w:p>
        </w:tc>
        <w:tc>
          <w:tcPr>
            <w:tcW w:w="1647" w:type="dxa"/>
            <w:tcBorders>
              <w:top w:val="single" w:color="auto" w:sz="4" w:space="0"/>
              <w:left w:val="single" w:color="auto" w:sz="4" w:space="0"/>
              <w:bottom w:val="single" w:color="auto" w:sz="4" w:space="0"/>
              <w:right w:val="single" w:color="auto" w:sz="4" w:space="0"/>
            </w:tcBorders>
            <w:noWrap w:val="0"/>
            <w:vAlign w:val="center"/>
          </w:tcPr>
          <w:p w14:paraId="1FBE035E">
            <w:pPr>
              <w:spacing w:line="360" w:lineRule="auto"/>
              <w:jc w:val="center"/>
              <w:rPr>
                <w:rFonts w:hint="eastAsia" w:ascii="宋体" w:hAnsi="宋体" w:cs="仿宋_GB2312"/>
                <w:b/>
                <w:bCs/>
                <w:color w:val="auto"/>
                <w:sz w:val="24"/>
                <w:highlight w:val="none"/>
              </w:rPr>
            </w:pPr>
            <w:r>
              <w:rPr>
                <w:rFonts w:hint="eastAsia" w:ascii="宋体" w:hAnsi="宋体" w:cs="仿宋_GB2312"/>
                <w:b/>
                <w:bCs/>
                <w:color w:val="auto"/>
                <w:sz w:val="24"/>
                <w:highlight w:val="none"/>
              </w:rPr>
              <w:t>参数性能、指标及配置</w:t>
            </w:r>
          </w:p>
        </w:tc>
        <w:tc>
          <w:tcPr>
            <w:tcW w:w="780" w:type="dxa"/>
            <w:tcBorders>
              <w:top w:val="single" w:color="auto" w:sz="4" w:space="0"/>
              <w:left w:val="single" w:color="auto" w:sz="4" w:space="0"/>
              <w:bottom w:val="single" w:color="auto" w:sz="4" w:space="0"/>
              <w:right w:val="single" w:color="auto" w:sz="4" w:space="0"/>
            </w:tcBorders>
            <w:noWrap w:val="0"/>
            <w:vAlign w:val="center"/>
          </w:tcPr>
          <w:p w14:paraId="4D659402">
            <w:pPr>
              <w:spacing w:line="360" w:lineRule="auto"/>
              <w:jc w:val="center"/>
              <w:rPr>
                <w:rFonts w:hint="eastAsia" w:ascii="宋体" w:hAnsi="宋体" w:cs="仿宋_GB2312"/>
                <w:b/>
                <w:bCs/>
                <w:color w:val="auto"/>
                <w:sz w:val="24"/>
                <w:highlight w:val="none"/>
              </w:rPr>
            </w:pPr>
            <w:r>
              <w:rPr>
                <w:rFonts w:hint="eastAsia" w:ascii="宋体" w:hAnsi="宋体" w:cs="仿宋_GB2312"/>
                <w:b/>
                <w:bCs/>
                <w:color w:val="auto"/>
                <w:sz w:val="24"/>
                <w:highlight w:val="none"/>
              </w:rPr>
              <w:t>单价</w:t>
            </w:r>
          </w:p>
          <w:p w14:paraId="1E9FC0B8">
            <w:pPr>
              <w:spacing w:line="360" w:lineRule="auto"/>
              <w:jc w:val="center"/>
              <w:rPr>
                <w:rFonts w:hint="eastAsia" w:ascii="宋体" w:hAnsi="宋体" w:cs="仿宋_GB2312"/>
                <w:b/>
                <w:bCs/>
                <w:color w:val="auto"/>
                <w:sz w:val="24"/>
                <w:highlight w:val="none"/>
              </w:rPr>
            </w:pPr>
            <w:r>
              <w:rPr>
                <w:rFonts w:hint="eastAsia" w:ascii="宋体" w:hAnsi="宋体" w:cs="仿宋_GB2312"/>
                <w:b/>
                <w:bCs/>
                <w:color w:val="auto"/>
                <w:sz w:val="24"/>
                <w:highlight w:val="none"/>
              </w:rPr>
              <w:t>②</w:t>
            </w:r>
          </w:p>
        </w:tc>
        <w:tc>
          <w:tcPr>
            <w:tcW w:w="1725" w:type="dxa"/>
            <w:tcBorders>
              <w:top w:val="single" w:color="auto" w:sz="4" w:space="0"/>
              <w:left w:val="single" w:color="auto" w:sz="4" w:space="0"/>
              <w:bottom w:val="single" w:color="auto" w:sz="4" w:space="0"/>
              <w:right w:val="single" w:color="auto" w:sz="4" w:space="0"/>
            </w:tcBorders>
            <w:noWrap w:val="0"/>
            <w:vAlign w:val="center"/>
          </w:tcPr>
          <w:p w14:paraId="3286F2B6">
            <w:pPr>
              <w:spacing w:line="360" w:lineRule="auto"/>
              <w:jc w:val="center"/>
              <w:rPr>
                <w:rFonts w:hint="eastAsia" w:ascii="宋体" w:hAnsi="宋体" w:cs="仿宋_GB2312"/>
                <w:b/>
                <w:bCs/>
                <w:color w:val="auto"/>
                <w:sz w:val="24"/>
                <w:highlight w:val="none"/>
              </w:rPr>
            </w:pPr>
            <w:r>
              <w:rPr>
                <w:rFonts w:hint="eastAsia" w:ascii="宋体" w:hAnsi="宋体" w:cs="仿宋_GB2312"/>
                <w:b/>
                <w:bCs/>
                <w:color w:val="auto"/>
                <w:sz w:val="24"/>
                <w:highlight w:val="none"/>
              </w:rPr>
              <w:t>竞标报价</w:t>
            </w:r>
          </w:p>
          <w:p w14:paraId="4669A54D">
            <w:pPr>
              <w:spacing w:line="360" w:lineRule="auto"/>
              <w:jc w:val="center"/>
              <w:rPr>
                <w:rFonts w:hint="eastAsia" w:ascii="宋体" w:hAnsi="宋体" w:cs="仿宋_GB2312"/>
                <w:b/>
                <w:bCs/>
                <w:color w:val="auto"/>
                <w:sz w:val="24"/>
                <w:highlight w:val="none"/>
              </w:rPr>
            </w:pPr>
            <w:r>
              <w:rPr>
                <w:rFonts w:hint="eastAsia" w:ascii="宋体" w:hAnsi="宋体" w:cs="仿宋_GB2312"/>
                <w:b/>
                <w:bCs/>
                <w:color w:val="auto"/>
                <w:sz w:val="24"/>
                <w:highlight w:val="none"/>
              </w:rPr>
              <w:t>③=①×②</w:t>
            </w:r>
          </w:p>
        </w:tc>
      </w:tr>
      <w:tr w14:paraId="60967B4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01" w:hRule="atLeast"/>
          <w:jc w:val="center"/>
        </w:trPr>
        <w:tc>
          <w:tcPr>
            <w:tcW w:w="607" w:type="dxa"/>
            <w:tcBorders>
              <w:top w:val="single" w:color="auto" w:sz="4" w:space="0"/>
              <w:left w:val="single" w:color="auto" w:sz="4" w:space="0"/>
              <w:bottom w:val="single" w:color="auto" w:sz="4" w:space="0"/>
              <w:right w:val="single" w:color="auto" w:sz="4" w:space="0"/>
            </w:tcBorders>
            <w:noWrap w:val="0"/>
            <w:vAlign w:val="center"/>
          </w:tcPr>
          <w:p w14:paraId="20C18196">
            <w:pPr>
              <w:spacing w:line="360" w:lineRule="auto"/>
              <w:jc w:val="center"/>
              <w:rPr>
                <w:rFonts w:hint="eastAsia" w:ascii="宋体" w:hAnsi="宋体" w:cs="仿宋_GB2312"/>
                <w:color w:val="auto"/>
                <w:sz w:val="24"/>
                <w:highlight w:val="none"/>
              </w:rPr>
            </w:pPr>
            <w:r>
              <w:rPr>
                <w:rFonts w:hint="eastAsia" w:ascii="宋体" w:hAnsi="宋体" w:cs="仿宋_GB2312"/>
                <w:color w:val="auto"/>
                <w:sz w:val="24"/>
                <w:highlight w:val="none"/>
              </w:rPr>
              <w:t>1</w:t>
            </w:r>
          </w:p>
        </w:tc>
        <w:tc>
          <w:tcPr>
            <w:tcW w:w="1065" w:type="dxa"/>
            <w:tcBorders>
              <w:top w:val="single" w:color="auto" w:sz="4" w:space="0"/>
              <w:left w:val="single" w:color="auto" w:sz="4" w:space="0"/>
              <w:bottom w:val="single" w:color="auto" w:sz="4" w:space="0"/>
              <w:right w:val="single" w:color="auto" w:sz="4" w:space="0"/>
            </w:tcBorders>
            <w:noWrap w:val="0"/>
            <w:vAlign w:val="center"/>
          </w:tcPr>
          <w:p w14:paraId="76B63F30">
            <w:pPr>
              <w:spacing w:line="360" w:lineRule="auto"/>
              <w:jc w:val="center"/>
              <w:rPr>
                <w:rFonts w:hint="eastAsia" w:ascii="宋体" w:hAnsi="宋体" w:cs="仿宋_GB2312"/>
                <w:color w:val="auto"/>
                <w:sz w:val="24"/>
                <w:highlight w:val="none"/>
              </w:rPr>
            </w:pPr>
          </w:p>
        </w:tc>
        <w:tc>
          <w:tcPr>
            <w:tcW w:w="1174" w:type="dxa"/>
            <w:tcBorders>
              <w:top w:val="single" w:color="auto" w:sz="4" w:space="0"/>
              <w:left w:val="single" w:color="auto" w:sz="4" w:space="0"/>
              <w:bottom w:val="single" w:color="auto" w:sz="4" w:space="0"/>
              <w:right w:val="single" w:color="auto" w:sz="4" w:space="0"/>
            </w:tcBorders>
            <w:noWrap w:val="0"/>
            <w:vAlign w:val="center"/>
          </w:tcPr>
          <w:p w14:paraId="70E1900D">
            <w:pPr>
              <w:spacing w:line="360" w:lineRule="auto"/>
              <w:jc w:val="center"/>
              <w:rPr>
                <w:rFonts w:hint="eastAsia" w:ascii="宋体" w:hAnsi="宋体" w:cs="仿宋_GB2312"/>
                <w:color w:val="auto"/>
                <w:sz w:val="24"/>
                <w:highlight w:val="none"/>
              </w:rPr>
            </w:pPr>
          </w:p>
        </w:tc>
        <w:tc>
          <w:tcPr>
            <w:tcW w:w="701" w:type="dxa"/>
            <w:tcBorders>
              <w:top w:val="single" w:color="auto" w:sz="4" w:space="0"/>
              <w:left w:val="single" w:color="auto" w:sz="4" w:space="0"/>
              <w:bottom w:val="single" w:color="auto" w:sz="4" w:space="0"/>
              <w:right w:val="single" w:color="auto" w:sz="4" w:space="0"/>
            </w:tcBorders>
            <w:noWrap w:val="0"/>
            <w:vAlign w:val="center"/>
          </w:tcPr>
          <w:p w14:paraId="368501B2">
            <w:pPr>
              <w:spacing w:line="360" w:lineRule="auto"/>
              <w:jc w:val="center"/>
              <w:rPr>
                <w:rFonts w:hint="eastAsia" w:ascii="宋体" w:hAnsi="宋体" w:cs="仿宋_GB2312"/>
                <w:color w:val="auto"/>
                <w:sz w:val="24"/>
                <w:highlight w:val="none"/>
              </w:rPr>
            </w:pPr>
          </w:p>
        </w:tc>
        <w:tc>
          <w:tcPr>
            <w:tcW w:w="1065" w:type="dxa"/>
            <w:tcBorders>
              <w:top w:val="single" w:color="auto" w:sz="4" w:space="0"/>
              <w:left w:val="single" w:color="auto" w:sz="4" w:space="0"/>
              <w:bottom w:val="single" w:color="auto" w:sz="4" w:space="0"/>
              <w:right w:val="single" w:color="auto" w:sz="4" w:space="0"/>
            </w:tcBorders>
            <w:noWrap w:val="0"/>
            <w:vAlign w:val="center"/>
          </w:tcPr>
          <w:p w14:paraId="1814D042">
            <w:pPr>
              <w:spacing w:line="360" w:lineRule="auto"/>
              <w:jc w:val="center"/>
              <w:rPr>
                <w:rFonts w:hint="eastAsia" w:ascii="宋体" w:hAnsi="宋体" w:cs="仿宋_GB2312"/>
                <w:color w:val="auto"/>
                <w:sz w:val="24"/>
                <w:highlight w:val="none"/>
              </w:rPr>
            </w:pPr>
          </w:p>
        </w:tc>
        <w:tc>
          <w:tcPr>
            <w:tcW w:w="913" w:type="dxa"/>
            <w:tcBorders>
              <w:top w:val="single" w:color="auto" w:sz="4" w:space="0"/>
              <w:left w:val="single" w:color="auto" w:sz="4" w:space="0"/>
              <w:bottom w:val="single" w:color="auto" w:sz="4" w:space="0"/>
              <w:right w:val="single" w:color="auto" w:sz="4" w:space="0"/>
            </w:tcBorders>
            <w:noWrap w:val="0"/>
            <w:vAlign w:val="center"/>
          </w:tcPr>
          <w:p w14:paraId="66B5D96D">
            <w:pPr>
              <w:spacing w:line="360" w:lineRule="auto"/>
              <w:jc w:val="center"/>
              <w:rPr>
                <w:rFonts w:hint="eastAsia" w:ascii="宋体" w:hAnsi="宋体" w:cs="仿宋_GB2312"/>
                <w:color w:val="auto"/>
                <w:sz w:val="24"/>
                <w:highlight w:val="none"/>
              </w:rPr>
            </w:pPr>
          </w:p>
        </w:tc>
        <w:tc>
          <w:tcPr>
            <w:tcW w:w="830" w:type="dxa"/>
            <w:tcBorders>
              <w:top w:val="single" w:color="auto" w:sz="4" w:space="0"/>
              <w:left w:val="single" w:color="auto" w:sz="4" w:space="0"/>
              <w:bottom w:val="single" w:color="auto" w:sz="4" w:space="0"/>
              <w:right w:val="single" w:color="auto" w:sz="4" w:space="0"/>
            </w:tcBorders>
            <w:noWrap w:val="0"/>
            <w:vAlign w:val="top"/>
          </w:tcPr>
          <w:p w14:paraId="62E69A3A">
            <w:pPr>
              <w:spacing w:line="360" w:lineRule="auto"/>
              <w:jc w:val="center"/>
              <w:rPr>
                <w:rFonts w:hint="eastAsia" w:ascii="宋体" w:hAnsi="宋体" w:cs="仿宋_GB2312"/>
                <w:color w:val="auto"/>
                <w:sz w:val="24"/>
                <w:highlight w:val="none"/>
              </w:rPr>
            </w:pPr>
          </w:p>
        </w:tc>
        <w:tc>
          <w:tcPr>
            <w:tcW w:w="1647" w:type="dxa"/>
            <w:tcBorders>
              <w:top w:val="single" w:color="auto" w:sz="4" w:space="0"/>
              <w:left w:val="single" w:color="auto" w:sz="4" w:space="0"/>
              <w:bottom w:val="single" w:color="auto" w:sz="4" w:space="0"/>
              <w:right w:val="single" w:color="auto" w:sz="4" w:space="0"/>
            </w:tcBorders>
            <w:noWrap w:val="0"/>
            <w:vAlign w:val="center"/>
          </w:tcPr>
          <w:p w14:paraId="56350078">
            <w:pPr>
              <w:spacing w:line="360" w:lineRule="auto"/>
              <w:jc w:val="center"/>
              <w:rPr>
                <w:rFonts w:hint="eastAsia" w:ascii="宋体" w:hAnsi="宋体" w:cs="仿宋_GB2312"/>
                <w:color w:val="auto"/>
                <w:sz w:val="24"/>
                <w:highlight w:val="none"/>
              </w:rPr>
            </w:pPr>
          </w:p>
        </w:tc>
        <w:tc>
          <w:tcPr>
            <w:tcW w:w="780" w:type="dxa"/>
            <w:tcBorders>
              <w:top w:val="single" w:color="auto" w:sz="4" w:space="0"/>
              <w:left w:val="single" w:color="auto" w:sz="4" w:space="0"/>
              <w:bottom w:val="single" w:color="auto" w:sz="4" w:space="0"/>
              <w:right w:val="single" w:color="auto" w:sz="4" w:space="0"/>
            </w:tcBorders>
            <w:noWrap w:val="0"/>
            <w:vAlign w:val="center"/>
          </w:tcPr>
          <w:p w14:paraId="7E72BAA5">
            <w:pPr>
              <w:spacing w:line="360" w:lineRule="auto"/>
              <w:jc w:val="center"/>
              <w:rPr>
                <w:rFonts w:hint="eastAsia" w:ascii="宋体" w:hAnsi="宋体" w:cs="仿宋_GB2312"/>
                <w:color w:val="auto"/>
                <w:sz w:val="24"/>
                <w:highlight w:val="none"/>
              </w:rPr>
            </w:pPr>
          </w:p>
        </w:tc>
        <w:tc>
          <w:tcPr>
            <w:tcW w:w="1725" w:type="dxa"/>
            <w:tcBorders>
              <w:top w:val="single" w:color="auto" w:sz="4" w:space="0"/>
              <w:left w:val="single" w:color="auto" w:sz="4" w:space="0"/>
              <w:bottom w:val="single" w:color="auto" w:sz="4" w:space="0"/>
              <w:right w:val="single" w:color="auto" w:sz="4" w:space="0"/>
            </w:tcBorders>
            <w:noWrap w:val="0"/>
            <w:vAlign w:val="center"/>
          </w:tcPr>
          <w:p w14:paraId="7F583EE2">
            <w:pPr>
              <w:spacing w:line="360" w:lineRule="auto"/>
              <w:jc w:val="center"/>
              <w:rPr>
                <w:rFonts w:hint="eastAsia" w:ascii="宋体" w:hAnsi="宋体" w:cs="仿宋_GB2312"/>
                <w:color w:val="auto"/>
                <w:sz w:val="24"/>
                <w:highlight w:val="none"/>
              </w:rPr>
            </w:pPr>
          </w:p>
        </w:tc>
      </w:tr>
      <w:tr w14:paraId="6D36820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02" w:hRule="atLeast"/>
          <w:jc w:val="center"/>
        </w:trPr>
        <w:tc>
          <w:tcPr>
            <w:tcW w:w="607" w:type="dxa"/>
            <w:tcBorders>
              <w:top w:val="single" w:color="auto" w:sz="4" w:space="0"/>
              <w:left w:val="single" w:color="auto" w:sz="4" w:space="0"/>
              <w:bottom w:val="single" w:color="auto" w:sz="4" w:space="0"/>
              <w:right w:val="single" w:color="auto" w:sz="4" w:space="0"/>
            </w:tcBorders>
            <w:noWrap w:val="0"/>
            <w:vAlign w:val="center"/>
          </w:tcPr>
          <w:p w14:paraId="2F072A44">
            <w:pPr>
              <w:spacing w:line="360" w:lineRule="auto"/>
              <w:jc w:val="center"/>
              <w:rPr>
                <w:rFonts w:hint="eastAsia" w:ascii="宋体" w:hAnsi="宋体" w:cs="仿宋_GB2312"/>
                <w:color w:val="auto"/>
                <w:sz w:val="24"/>
                <w:highlight w:val="none"/>
              </w:rPr>
            </w:pPr>
            <w:r>
              <w:rPr>
                <w:rFonts w:hint="eastAsia" w:ascii="宋体" w:hAnsi="宋体" w:cs="仿宋_GB2312"/>
                <w:color w:val="auto"/>
                <w:sz w:val="24"/>
                <w:highlight w:val="none"/>
              </w:rPr>
              <w:t>2</w:t>
            </w:r>
          </w:p>
        </w:tc>
        <w:tc>
          <w:tcPr>
            <w:tcW w:w="1065" w:type="dxa"/>
            <w:tcBorders>
              <w:top w:val="single" w:color="auto" w:sz="4" w:space="0"/>
              <w:left w:val="single" w:color="auto" w:sz="4" w:space="0"/>
              <w:bottom w:val="single" w:color="auto" w:sz="4" w:space="0"/>
              <w:right w:val="single" w:color="auto" w:sz="4" w:space="0"/>
            </w:tcBorders>
            <w:noWrap w:val="0"/>
            <w:vAlign w:val="center"/>
          </w:tcPr>
          <w:p w14:paraId="175E49F6">
            <w:pPr>
              <w:spacing w:line="360" w:lineRule="auto"/>
              <w:jc w:val="center"/>
              <w:rPr>
                <w:rFonts w:hint="eastAsia" w:ascii="宋体" w:hAnsi="宋体" w:cs="仿宋_GB2312"/>
                <w:color w:val="auto"/>
                <w:sz w:val="24"/>
                <w:highlight w:val="none"/>
              </w:rPr>
            </w:pPr>
          </w:p>
        </w:tc>
        <w:tc>
          <w:tcPr>
            <w:tcW w:w="1174" w:type="dxa"/>
            <w:tcBorders>
              <w:top w:val="single" w:color="auto" w:sz="4" w:space="0"/>
              <w:left w:val="single" w:color="auto" w:sz="4" w:space="0"/>
              <w:bottom w:val="single" w:color="auto" w:sz="4" w:space="0"/>
              <w:right w:val="single" w:color="auto" w:sz="4" w:space="0"/>
            </w:tcBorders>
            <w:noWrap w:val="0"/>
            <w:vAlign w:val="center"/>
          </w:tcPr>
          <w:p w14:paraId="7B0156D3">
            <w:pPr>
              <w:spacing w:line="360" w:lineRule="auto"/>
              <w:jc w:val="center"/>
              <w:rPr>
                <w:rFonts w:hint="eastAsia" w:ascii="宋体" w:hAnsi="宋体" w:cs="仿宋_GB2312"/>
                <w:color w:val="auto"/>
                <w:sz w:val="24"/>
                <w:highlight w:val="none"/>
              </w:rPr>
            </w:pPr>
          </w:p>
        </w:tc>
        <w:tc>
          <w:tcPr>
            <w:tcW w:w="701" w:type="dxa"/>
            <w:tcBorders>
              <w:top w:val="single" w:color="auto" w:sz="4" w:space="0"/>
              <w:left w:val="single" w:color="auto" w:sz="4" w:space="0"/>
              <w:bottom w:val="single" w:color="auto" w:sz="4" w:space="0"/>
              <w:right w:val="single" w:color="auto" w:sz="4" w:space="0"/>
            </w:tcBorders>
            <w:noWrap w:val="0"/>
            <w:vAlign w:val="center"/>
          </w:tcPr>
          <w:p w14:paraId="1662BB61">
            <w:pPr>
              <w:spacing w:line="360" w:lineRule="auto"/>
              <w:jc w:val="center"/>
              <w:rPr>
                <w:rFonts w:hint="eastAsia" w:ascii="宋体" w:hAnsi="宋体" w:cs="仿宋_GB2312"/>
                <w:color w:val="auto"/>
                <w:sz w:val="24"/>
                <w:highlight w:val="none"/>
              </w:rPr>
            </w:pPr>
          </w:p>
        </w:tc>
        <w:tc>
          <w:tcPr>
            <w:tcW w:w="1065" w:type="dxa"/>
            <w:tcBorders>
              <w:top w:val="single" w:color="auto" w:sz="4" w:space="0"/>
              <w:left w:val="single" w:color="auto" w:sz="4" w:space="0"/>
              <w:bottom w:val="single" w:color="auto" w:sz="4" w:space="0"/>
              <w:right w:val="single" w:color="auto" w:sz="4" w:space="0"/>
            </w:tcBorders>
            <w:noWrap w:val="0"/>
            <w:vAlign w:val="center"/>
          </w:tcPr>
          <w:p w14:paraId="46E8768E">
            <w:pPr>
              <w:spacing w:line="360" w:lineRule="auto"/>
              <w:jc w:val="center"/>
              <w:rPr>
                <w:rFonts w:hint="eastAsia" w:ascii="宋体" w:hAnsi="宋体" w:cs="仿宋_GB2312"/>
                <w:color w:val="auto"/>
                <w:sz w:val="24"/>
                <w:highlight w:val="none"/>
              </w:rPr>
            </w:pPr>
          </w:p>
        </w:tc>
        <w:tc>
          <w:tcPr>
            <w:tcW w:w="913" w:type="dxa"/>
            <w:tcBorders>
              <w:top w:val="single" w:color="auto" w:sz="4" w:space="0"/>
              <w:left w:val="single" w:color="auto" w:sz="4" w:space="0"/>
              <w:bottom w:val="single" w:color="auto" w:sz="4" w:space="0"/>
              <w:right w:val="single" w:color="auto" w:sz="4" w:space="0"/>
            </w:tcBorders>
            <w:noWrap w:val="0"/>
            <w:vAlign w:val="center"/>
          </w:tcPr>
          <w:p w14:paraId="4580FDFC">
            <w:pPr>
              <w:spacing w:line="360" w:lineRule="auto"/>
              <w:jc w:val="center"/>
              <w:rPr>
                <w:rFonts w:hint="eastAsia" w:ascii="宋体" w:hAnsi="宋体" w:cs="仿宋_GB2312"/>
                <w:color w:val="auto"/>
                <w:sz w:val="24"/>
                <w:highlight w:val="none"/>
              </w:rPr>
            </w:pPr>
          </w:p>
        </w:tc>
        <w:tc>
          <w:tcPr>
            <w:tcW w:w="830" w:type="dxa"/>
            <w:tcBorders>
              <w:top w:val="single" w:color="auto" w:sz="4" w:space="0"/>
              <w:left w:val="single" w:color="auto" w:sz="4" w:space="0"/>
              <w:bottom w:val="single" w:color="auto" w:sz="4" w:space="0"/>
              <w:right w:val="single" w:color="auto" w:sz="4" w:space="0"/>
            </w:tcBorders>
            <w:noWrap w:val="0"/>
            <w:vAlign w:val="top"/>
          </w:tcPr>
          <w:p w14:paraId="6C624A06">
            <w:pPr>
              <w:spacing w:line="360" w:lineRule="auto"/>
              <w:jc w:val="center"/>
              <w:rPr>
                <w:rFonts w:hint="eastAsia" w:ascii="宋体" w:hAnsi="宋体" w:cs="仿宋_GB2312"/>
                <w:color w:val="auto"/>
                <w:sz w:val="24"/>
                <w:highlight w:val="none"/>
              </w:rPr>
            </w:pPr>
          </w:p>
        </w:tc>
        <w:tc>
          <w:tcPr>
            <w:tcW w:w="1647" w:type="dxa"/>
            <w:tcBorders>
              <w:top w:val="single" w:color="auto" w:sz="4" w:space="0"/>
              <w:left w:val="single" w:color="auto" w:sz="4" w:space="0"/>
              <w:bottom w:val="single" w:color="auto" w:sz="4" w:space="0"/>
              <w:right w:val="single" w:color="auto" w:sz="4" w:space="0"/>
            </w:tcBorders>
            <w:noWrap w:val="0"/>
            <w:vAlign w:val="center"/>
          </w:tcPr>
          <w:p w14:paraId="338309D6">
            <w:pPr>
              <w:spacing w:line="360" w:lineRule="auto"/>
              <w:jc w:val="center"/>
              <w:rPr>
                <w:rFonts w:hint="eastAsia" w:ascii="宋体" w:hAnsi="宋体" w:cs="仿宋_GB2312"/>
                <w:color w:val="auto"/>
                <w:sz w:val="24"/>
                <w:highlight w:val="none"/>
              </w:rPr>
            </w:pPr>
          </w:p>
        </w:tc>
        <w:tc>
          <w:tcPr>
            <w:tcW w:w="780" w:type="dxa"/>
            <w:tcBorders>
              <w:top w:val="single" w:color="auto" w:sz="4" w:space="0"/>
              <w:left w:val="single" w:color="auto" w:sz="4" w:space="0"/>
              <w:bottom w:val="single" w:color="auto" w:sz="4" w:space="0"/>
              <w:right w:val="single" w:color="auto" w:sz="4" w:space="0"/>
            </w:tcBorders>
            <w:noWrap w:val="0"/>
            <w:vAlign w:val="center"/>
          </w:tcPr>
          <w:p w14:paraId="6DD3DFED">
            <w:pPr>
              <w:spacing w:line="360" w:lineRule="auto"/>
              <w:jc w:val="center"/>
              <w:rPr>
                <w:rFonts w:hint="eastAsia" w:ascii="宋体" w:hAnsi="宋体" w:cs="仿宋_GB2312"/>
                <w:color w:val="auto"/>
                <w:sz w:val="24"/>
                <w:highlight w:val="none"/>
              </w:rPr>
            </w:pPr>
          </w:p>
        </w:tc>
        <w:tc>
          <w:tcPr>
            <w:tcW w:w="1725" w:type="dxa"/>
            <w:tcBorders>
              <w:top w:val="single" w:color="auto" w:sz="4" w:space="0"/>
              <w:left w:val="single" w:color="auto" w:sz="4" w:space="0"/>
              <w:bottom w:val="single" w:color="auto" w:sz="4" w:space="0"/>
              <w:right w:val="single" w:color="auto" w:sz="4" w:space="0"/>
            </w:tcBorders>
            <w:noWrap w:val="0"/>
            <w:vAlign w:val="center"/>
          </w:tcPr>
          <w:p w14:paraId="220CF36D">
            <w:pPr>
              <w:spacing w:line="360" w:lineRule="auto"/>
              <w:jc w:val="center"/>
              <w:rPr>
                <w:rFonts w:hint="eastAsia" w:ascii="宋体" w:hAnsi="宋体" w:cs="仿宋_GB2312"/>
                <w:color w:val="auto"/>
                <w:sz w:val="24"/>
                <w:highlight w:val="none"/>
              </w:rPr>
            </w:pPr>
          </w:p>
        </w:tc>
      </w:tr>
      <w:tr w14:paraId="052F50F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39" w:hRule="atLeast"/>
          <w:jc w:val="center"/>
        </w:trPr>
        <w:tc>
          <w:tcPr>
            <w:tcW w:w="607" w:type="dxa"/>
            <w:tcBorders>
              <w:top w:val="single" w:color="auto" w:sz="4" w:space="0"/>
              <w:left w:val="single" w:color="auto" w:sz="4" w:space="0"/>
              <w:bottom w:val="single" w:color="auto" w:sz="4" w:space="0"/>
              <w:right w:val="single" w:color="auto" w:sz="4" w:space="0"/>
            </w:tcBorders>
            <w:noWrap w:val="0"/>
            <w:vAlign w:val="center"/>
          </w:tcPr>
          <w:p w14:paraId="5C78B1DF">
            <w:pPr>
              <w:spacing w:line="360" w:lineRule="auto"/>
              <w:jc w:val="center"/>
              <w:rPr>
                <w:rFonts w:hint="eastAsia" w:ascii="宋体" w:hAnsi="宋体" w:cs="仿宋_GB2312"/>
                <w:color w:val="auto"/>
                <w:sz w:val="24"/>
                <w:highlight w:val="none"/>
              </w:rPr>
            </w:pPr>
            <w:r>
              <w:rPr>
                <w:rFonts w:hint="eastAsia" w:ascii="宋体" w:hAnsi="宋体" w:cs="仿宋_GB2312"/>
                <w:color w:val="auto"/>
                <w:sz w:val="24"/>
                <w:highlight w:val="none"/>
              </w:rPr>
              <w:t>…</w:t>
            </w:r>
          </w:p>
        </w:tc>
        <w:tc>
          <w:tcPr>
            <w:tcW w:w="1065" w:type="dxa"/>
            <w:tcBorders>
              <w:top w:val="single" w:color="auto" w:sz="4" w:space="0"/>
              <w:left w:val="single" w:color="auto" w:sz="4" w:space="0"/>
              <w:bottom w:val="single" w:color="auto" w:sz="4" w:space="0"/>
              <w:right w:val="single" w:color="auto" w:sz="4" w:space="0"/>
            </w:tcBorders>
            <w:noWrap w:val="0"/>
            <w:vAlign w:val="center"/>
          </w:tcPr>
          <w:p w14:paraId="56F99D29">
            <w:pPr>
              <w:spacing w:line="360" w:lineRule="auto"/>
              <w:jc w:val="center"/>
              <w:rPr>
                <w:rFonts w:hint="eastAsia" w:ascii="宋体" w:hAnsi="宋体" w:cs="仿宋_GB2312"/>
                <w:color w:val="auto"/>
                <w:sz w:val="24"/>
                <w:highlight w:val="none"/>
              </w:rPr>
            </w:pPr>
            <w:r>
              <w:rPr>
                <w:rFonts w:hint="eastAsia" w:ascii="宋体" w:hAnsi="宋体" w:cs="仿宋_GB2312"/>
                <w:color w:val="auto"/>
                <w:sz w:val="24"/>
                <w:highlight w:val="none"/>
              </w:rPr>
              <w:t>……</w:t>
            </w:r>
          </w:p>
        </w:tc>
        <w:tc>
          <w:tcPr>
            <w:tcW w:w="1174" w:type="dxa"/>
            <w:tcBorders>
              <w:top w:val="single" w:color="auto" w:sz="4" w:space="0"/>
              <w:left w:val="single" w:color="auto" w:sz="4" w:space="0"/>
              <w:bottom w:val="single" w:color="auto" w:sz="4" w:space="0"/>
              <w:right w:val="single" w:color="auto" w:sz="4" w:space="0"/>
            </w:tcBorders>
            <w:noWrap w:val="0"/>
            <w:vAlign w:val="center"/>
          </w:tcPr>
          <w:p w14:paraId="3D79678C">
            <w:pPr>
              <w:spacing w:line="360" w:lineRule="auto"/>
              <w:jc w:val="center"/>
              <w:rPr>
                <w:rFonts w:hint="eastAsia" w:ascii="宋体" w:hAnsi="宋体" w:cs="仿宋_GB2312"/>
                <w:color w:val="auto"/>
                <w:sz w:val="24"/>
                <w:highlight w:val="none"/>
              </w:rPr>
            </w:pPr>
          </w:p>
        </w:tc>
        <w:tc>
          <w:tcPr>
            <w:tcW w:w="701" w:type="dxa"/>
            <w:tcBorders>
              <w:top w:val="single" w:color="auto" w:sz="4" w:space="0"/>
              <w:left w:val="single" w:color="auto" w:sz="4" w:space="0"/>
              <w:bottom w:val="single" w:color="auto" w:sz="4" w:space="0"/>
              <w:right w:val="single" w:color="auto" w:sz="4" w:space="0"/>
            </w:tcBorders>
            <w:noWrap w:val="0"/>
            <w:vAlign w:val="center"/>
          </w:tcPr>
          <w:p w14:paraId="6FC78401">
            <w:pPr>
              <w:spacing w:line="360" w:lineRule="auto"/>
              <w:jc w:val="center"/>
              <w:rPr>
                <w:rFonts w:hint="eastAsia" w:ascii="宋体" w:hAnsi="宋体" w:cs="仿宋_GB2312"/>
                <w:color w:val="auto"/>
                <w:sz w:val="24"/>
                <w:highlight w:val="none"/>
              </w:rPr>
            </w:pPr>
          </w:p>
        </w:tc>
        <w:tc>
          <w:tcPr>
            <w:tcW w:w="1065" w:type="dxa"/>
            <w:tcBorders>
              <w:top w:val="single" w:color="auto" w:sz="4" w:space="0"/>
              <w:left w:val="single" w:color="auto" w:sz="4" w:space="0"/>
              <w:bottom w:val="single" w:color="auto" w:sz="4" w:space="0"/>
              <w:right w:val="single" w:color="auto" w:sz="4" w:space="0"/>
            </w:tcBorders>
            <w:noWrap w:val="0"/>
            <w:vAlign w:val="center"/>
          </w:tcPr>
          <w:p w14:paraId="51E9875A">
            <w:pPr>
              <w:spacing w:line="360" w:lineRule="auto"/>
              <w:jc w:val="center"/>
              <w:rPr>
                <w:rFonts w:hint="eastAsia" w:ascii="宋体" w:hAnsi="宋体" w:cs="仿宋_GB2312"/>
                <w:color w:val="auto"/>
                <w:sz w:val="24"/>
                <w:highlight w:val="none"/>
              </w:rPr>
            </w:pPr>
          </w:p>
        </w:tc>
        <w:tc>
          <w:tcPr>
            <w:tcW w:w="913" w:type="dxa"/>
            <w:tcBorders>
              <w:top w:val="single" w:color="auto" w:sz="4" w:space="0"/>
              <w:left w:val="single" w:color="auto" w:sz="4" w:space="0"/>
              <w:bottom w:val="single" w:color="auto" w:sz="4" w:space="0"/>
              <w:right w:val="single" w:color="auto" w:sz="4" w:space="0"/>
            </w:tcBorders>
            <w:noWrap w:val="0"/>
            <w:vAlign w:val="center"/>
          </w:tcPr>
          <w:p w14:paraId="32131348">
            <w:pPr>
              <w:spacing w:line="360" w:lineRule="auto"/>
              <w:jc w:val="center"/>
              <w:rPr>
                <w:rFonts w:hint="eastAsia" w:ascii="宋体" w:hAnsi="宋体" w:cs="仿宋_GB2312"/>
                <w:color w:val="auto"/>
                <w:sz w:val="24"/>
                <w:highlight w:val="none"/>
              </w:rPr>
            </w:pPr>
          </w:p>
        </w:tc>
        <w:tc>
          <w:tcPr>
            <w:tcW w:w="830" w:type="dxa"/>
            <w:tcBorders>
              <w:top w:val="single" w:color="auto" w:sz="4" w:space="0"/>
              <w:left w:val="single" w:color="auto" w:sz="4" w:space="0"/>
              <w:bottom w:val="single" w:color="auto" w:sz="4" w:space="0"/>
              <w:right w:val="single" w:color="auto" w:sz="4" w:space="0"/>
            </w:tcBorders>
            <w:noWrap w:val="0"/>
            <w:vAlign w:val="top"/>
          </w:tcPr>
          <w:p w14:paraId="099DE920">
            <w:pPr>
              <w:spacing w:line="360" w:lineRule="auto"/>
              <w:jc w:val="center"/>
              <w:rPr>
                <w:rFonts w:hint="eastAsia" w:ascii="宋体" w:hAnsi="宋体" w:cs="仿宋_GB2312"/>
                <w:color w:val="auto"/>
                <w:sz w:val="24"/>
                <w:highlight w:val="none"/>
              </w:rPr>
            </w:pPr>
          </w:p>
        </w:tc>
        <w:tc>
          <w:tcPr>
            <w:tcW w:w="1647" w:type="dxa"/>
            <w:tcBorders>
              <w:top w:val="single" w:color="auto" w:sz="4" w:space="0"/>
              <w:left w:val="single" w:color="auto" w:sz="4" w:space="0"/>
              <w:bottom w:val="single" w:color="auto" w:sz="4" w:space="0"/>
              <w:right w:val="single" w:color="auto" w:sz="4" w:space="0"/>
            </w:tcBorders>
            <w:noWrap w:val="0"/>
            <w:vAlign w:val="center"/>
          </w:tcPr>
          <w:p w14:paraId="470AFF30">
            <w:pPr>
              <w:spacing w:line="360" w:lineRule="auto"/>
              <w:jc w:val="center"/>
              <w:rPr>
                <w:rFonts w:hint="eastAsia" w:ascii="宋体" w:hAnsi="宋体" w:cs="仿宋_GB2312"/>
                <w:color w:val="auto"/>
                <w:sz w:val="24"/>
                <w:highlight w:val="none"/>
              </w:rPr>
            </w:pPr>
          </w:p>
        </w:tc>
        <w:tc>
          <w:tcPr>
            <w:tcW w:w="780" w:type="dxa"/>
            <w:tcBorders>
              <w:top w:val="single" w:color="auto" w:sz="4" w:space="0"/>
              <w:left w:val="single" w:color="auto" w:sz="4" w:space="0"/>
              <w:bottom w:val="single" w:color="auto" w:sz="4" w:space="0"/>
              <w:right w:val="single" w:color="auto" w:sz="4" w:space="0"/>
            </w:tcBorders>
            <w:noWrap w:val="0"/>
            <w:vAlign w:val="center"/>
          </w:tcPr>
          <w:p w14:paraId="37645CF2">
            <w:pPr>
              <w:spacing w:line="360" w:lineRule="auto"/>
              <w:jc w:val="center"/>
              <w:rPr>
                <w:rFonts w:hint="eastAsia" w:ascii="宋体" w:hAnsi="宋体" w:cs="仿宋_GB2312"/>
                <w:color w:val="auto"/>
                <w:sz w:val="24"/>
                <w:highlight w:val="none"/>
              </w:rPr>
            </w:pPr>
          </w:p>
        </w:tc>
        <w:tc>
          <w:tcPr>
            <w:tcW w:w="1725" w:type="dxa"/>
            <w:tcBorders>
              <w:top w:val="single" w:color="auto" w:sz="4" w:space="0"/>
              <w:left w:val="single" w:color="auto" w:sz="4" w:space="0"/>
              <w:bottom w:val="single" w:color="auto" w:sz="4" w:space="0"/>
              <w:right w:val="single" w:color="auto" w:sz="4" w:space="0"/>
            </w:tcBorders>
            <w:noWrap w:val="0"/>
            <w:vAlign w:val="center"/>
          </w:tcPr>
          <w:p w14:paraId="3E6B05C3">
            <w:pPr>
              <w:spacing w:line="360" w:lineRule="auto"/>
              <w:jc w:val="center"/>
              <w:rPr>
                <w:rFonts w:hint="eastAsia" w:ascii="宋体" w:hAnsi="宋体" w:cs="仿宋_GB2312"/>
                <w:color w:val="auto"/>
                <w:sz w:val="24"/>
                <w:highlight w:val="none"/>
              </w:rPr>
            </w:pPr>
          </w:p>
        </w:tc>
      </w:tr>
      <w:tr w14:paraId="5C39EA6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39" w:hRule="atLeast"/>
          <w:jc w:val="center"/>
        </w:trPr>
        <w:tc>
          <w:tcPr>
            <w:tcW w:w="10507" w:type="dxa"/>
            <w:gridSpan w:val="10"/>
            <w:tcBorders>
              <w:top w:val="single" w:color="auto" w:sz="4" w:space="0"/>
              <w:left w:val="single" w:color="auto" w:sz="4" w:space="0"/>
              <w:bottom w:val="single" w:color="auto" w:sz="4" w:space="0"/>
              <w:right w:val="single" w:color="auto" w:sz="4" w:space="0"/>
            </w:tcBorders>
            <w:noWrap w:val="0"/>
            <w:vAlign w:val="top"/>
          </w:tcPr>
          <w:p w14:paraId="3AC7CF5E">
            <w:pPr>
              <w:snapToGrid w:val="0"/>
              <w:spacing w:before="50" w:after="50" w:line="360" w:lineRule="auto"/>
              <w:rPr>
                <w:rFonts w:hint="eastAsia" w:ascii="宋体" w:hAnsi="宋体" w:cs="仿宋_GB2312"/>
                <w:color w:val="auto"/>
                <w:sz w:val="24"/>
                <w:highlight w:val="none"/>
              </w:rPr>
            </w:pPr>
            <w:r>
              <w:rPr>
                <w:rFonts w:hint="eastAsia" w:ascii="宋体" w:hAnsi="宋体" w:cs="仿宋_GB2312"/>
                <w:color w:val="auto"/>
                <w:sz w:val="24"/>
                <w:highlight w:val="none"/>
              </w:rPr>
              <w:t>合计金额大写：人民币</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w:t>
            </w:r>
          </w:p>
          <w:p w14:paraId="4ADFA242">
            <w:pPr>
              <w:snapToGrid w:val="0"/>
              <w:spacing w:before="50" w:after="50" w:line="360" w:lineRule="auto"/>
              <w:rPr>
                <w:rFonts w:hint="eastAsia" w:ascii="宋体" w:hAnsi="宋体" w:cs="仿宋_GB2312"/>
                <w:color w:val="auto"/>
                <w:sz w:val="24"/>
                <w:highlight w:val="none"/>
                <w:u w:val="single"/>
              </w:rPr>
            </w:pPr>
            <w:r>
              <w:rPr>
                <w:rFonts w:hint="eastAsia" w:ascii="宋体" w:hAnsi="宋体" w:cs="仿宋_GB2312"/>
                <w:color w:val="auto"/>
                <w:sz w:val="24"/>
                <w:highlight w:val="none"/>
                <w:u w:val="single"/>
              </w:rPr>
              <w:t>竞标货物中，属于优先采购节能产品总值为￥       （具体明细详见附表，附表格式自拟），占本竞标报价的比例为    %；属于优先采购环境标志产品总值为￥          （具体明细详见附表，附表格式自拟），占本竞标报价的比例为   %。</w:t>
            </w:r>
          </w:p>
          <w:p w14:paraId="3ED1BC3B">
            <w:pPr>
              <w:snapToGrid w:val="0"/>
              <w:spacing w:before="50" w:after="50" w:line="360" w:lineRule="auto"/>
              <w:rPr>
                <w:rFonts w:hint="eastAsia" w:ascii="宋体" w:hAnsi="宋体" w:cs="仿宋_GB2312"/>
                <w:color w:val="auto"/>
                <w:sz w:val="24"/>
                <w:highlight w:val="none"/>
                <w:u w:val="single"/>
              </w:rPr>
            </w:pPr>
            <w:r>
              <w:rPr>
                <w:rFonts w:hint="eastAsia" w:ascii="宋体" w:hAnsi="宋体" w:cs="仿宋_GB2312"/>
                <w:color w:val="auto"/>
                <w:sz w:val="24"/>
                <w:u w:val="single"/>
              </w:rPr>
              <w:t>响应产品中，属于本国产品总值为¥       （具体明细详见附表，附表格式自拟），占响应产品的比例为    %。</w:t>
            </w:r>
          </w:p>
        </w:tc>
      </w:tr>
    </w:tbl>
    <w:p w14:paraId="244E4605">
      <w:pPr>
        <w:spacing w:line="400" w:lineRule="exact"/>
        <w:contextualSpacing/>
        <w:jc w:val="left"/>
        <w:rPr>
          <w:rFonts w:ascii="宋体" w:hAnsi="宋体" w:cs="仿宋_GB2312"/>
          <w:color w:val="auto"/>
          <w:sz w:val="24"/>
          <w:highlight w:val="none"/>
        </w:rPr>
      </w:pPr>
      <w:r>
        <w:rPr>
          <w:rFonts w:hint="eastAsia" w:ascii="宋体" w:hAnsi="宋体" w:cs="仿宋_GB2312"/>
          <w:color w:val="auto"/>
          <w:sz w:val="24"/>
          <w:highlight w:val="none"/>
        </w:rPr>
        <w:t xml:space="preserve">注: </w:t>
      </w:r>
    </w:p>
    <w:p w14:paraId="6E2234A4">
      <w:pPr>
        <w:spacing w:line="400" w:lineRule="exact"/>
        <w:ind w:firstLine="480" w:firstLineChars="200"/>
        <w:contextualSpacing/>
        <w:jc w:val="left"/>
        <w:rPr>
          <w:rFonts w:ascii="宋体" w:hAnsi="宋体" w:cs="仿宋_GB2312"/>
          <w:color w:val="auto"/>
          <w:sz w:val="24"/>
          <w:highlight w:val="none"/>
        </w:rPr>
      </w:pPr>
      <w:r>
        <w:rPr>
          <w:rFonts w:hint="eastAsia" w:ascii="宋体" w:hAnsi="宋体" w:cs="仿宋_GB2312"/>
          <w:color w:val="auto"/>
          <w:sz w:val="24"/>
          <w:highlight w:val="none"/>
        </w:rPr>
        <w:t>1</w:t>
      </w:r>
      <w:r>
        <w:rPr>
          <w:rFonts w:ascii="宋体" w:hAnsi="宋体" w:cs="仿宋_GB2312"/>
          <w:color w:val="auto"/>
          <w:sz w:val="24"/>
          <w:highlight w:val="none"/>
        </w:rPr>
        <w:t>.</w:t>
      </w:r>
      <w:r>
        <w:rPr>
          <w:rFonts w:hint="eastAsia" w:ascii="宋体" w:hAnsi="宋体"/>
          <w:color w:val="auto"/>
          <w:sz w:val="24"/>
          <w:highlight w:val="none"/>
        </w:rPr>
        <w:t xml:space="preserve"> 以上竞标报价表中“标的的名称、数量及单位、品牌、规格型号、制造商、原产地、参数性能、指标及配置”必须如实填写完整，品牌、规格型号没有则填无，填写有缺漏</w:t>
      </w:r>
      <w:r>
        <w:rPr>
          <w:rFonts w:hint="eastAsia" w:ascii="宋体" w:hAnsi="宋体"/>
          <w:bCs/>
          <w:color w:val="auto"/>
          <w:sz w:val="24"/>
          <w:highlight w:val="none"/>
        </w:rPr>
        <w:t>的，</w:t>
      </w:r>
      <w:r>
        <w:rPr>
          <w:rFonts w:hint="eastAsia" w:ascii="宋体" w:hAnsi="宋体" w:cs="仿宋_GB2312"/>
          <w:b/>
          <w:color w:val="auto"/>
          <w:sz w:val="24"/>
          <w:highlight w:val="none"/>
        </w:rPr>
        <w:t>其响应文件按无效处理</w:t>
      </w:r>
      <w:r>
        <w:rPr>
          <w:rFonts w:hint="eastAsia" w:ascii="宋体" w:hAnsi="宋体"/>
          <w:b/>
          <w:color w:val="auto"/>
          <w:sz w:val="24"/>
          <w:highlight w:val="none"/>
        </w:rPr>
        <w:t>。</w:t>
      </w:r>
    </w:p>
    <w:p w14:paraId="02515BBE">
      <w:pPr>
        <w:spacing w:line="400" w:lineRule="exact"/>
        <w:ind w:firstLine="480" w:firstLineChars="200"/>
        <w:contextualSpacing/>
        <w:jc w:val="left"/>
        <w:rPr>
          <w:rFonts w:hint="eastAsia" w:ascii="宋体" w:hAnsi="宋体" w:cs="仿宋_GB2312"/>
          <w:color w:val="auto"/>
          <w:sz w:val="24"/>
          <w:highlight w:val="none"/>
        </w:rPr>
      </w:pPr>
      <w:r>
        <w:rPr>
          <w:rFonts w:ascii="宋体" w:hAnsi="宋体" w:cs="仿宋_GB2312"/>
          <w:color w:val="auto"/>
          <w:sz w:val="24"/>
          <w:highlight w:val="none"/>
        </w:rPr>
        <w:t>2</w:t>
      </w:r>
      <w:r>
        <w:rPr>
          <w:rFonts w:hint="eastAsia" w:ascii="宋体" w:hAnsi="宋体" w:cs="仿宋_GB2312"/>
          <w:color w:val="auto"/>
          <w:sz w:val="24"/>
          <w:highlight w:val="none"/>
        </w:rPr>
        <w:t>.供应商的报价表必须加盖供应商电子签章并由法定代表人或者委托代理人签字或者电子签名，</w:t>
      </w:r>
      <w:r>
        <w:rPr>
          <w:rFonts w:hint="eastAsia" w:ascii="宋体" w:hAnsi="宋体" w:cs="仿宋_GB2312"/>
          <w:b/>
          <w:color w:val="auto"/>
          <w:sz w:val="24"/>
          <w:highlight w:val="none"/>
        </w:rPr>
        <w:t>否则其响应文件按无效处理</w:t>
      </w:r>
      <w:r>
        <w:rPr>
          <w:rFonts w:hint="eastAsia" w:ascii="宋体" w:hAnsi="宋体" w:cs="仿宋_GB2312"/>
          <w:color w:val="auto"/>
          <w:sz w:val="24"/>
          <w:highlight w:val="none"/>
        </w:rPr>
        <w:t>。</w:t>
      </w:r>
    </w:p>
    <w:p w14:paraId="7158E97E">
      <w:pPr>
        <w:spacing w:line="400" w:lineRule="exact"/>
        <w:ind w:firstLine="480" w:firstLineChars="200"/>
        <w:contextualSpacing/>
        <w:jc w:val="left"/>
        <w:rPr>
          <w:rFonts w:hint="eastAsia" w:ascii="宋体" w:hAnsi="宋体" w:cs="仿宋_GB2312"/>
          <w:b/>
          <w:color w:val="auto"/>
          <w:sz w:val="24"/>
          <w:highlight w:val="none"/>
        </w:rPr>
      </w:pPr>
      <w:r>
        <w:rPr>
          <w:rFonts w:ascii="宋体" w:hAnsi="宋体" w:cs="仿宋_GB2312"/>
          <w:bCs/>
          <w:color w:val="auto"/>
          <w:sz w:val="24"/>
          <w:highlight w:val="none"/>
        </w:rPr>
        <w:t>3</w:t>
      </w:r>
      <w:r>
        <w:rPr>
          <w:rFonts w:hint="eastAsia" w:ascii="宋体" w:hAnsi="宋体" w:cs="仿宋_GB2312"/>
          <w:bCs/>
          <w:color w:val="auto"/>
          <w:sz w:val="24"/>
          <w:highlight w:val="none"/>
        </w:rPr>
        <w:t>.</w:t>
      </w:r>
      <w:r>
        <w:rPr>
          <w:rFonts w:hint="eastAsia" w:ascii="宋体" w:hAnsi="宋体" w:cs="仿宋_GB2312"/>
          <w:color w:val="auto"/>
          <w:sz w:val="24"/>
          <w:highlight w:val="none"/>
        </w:rPr>
        <w:t>报价一经涂改，应在涂改处加盖供应商公章或者加盖电子签章或者由法定代表人或者授权委托人签字</w:t>
      </w:r>
      <w:r>
        <w:rPr>
          <w:rFonts w:hint="eastAsia" w:ascii="宋体" w:hAnsi="宋体"/>
          <w:color w:val="auto"/>
          <w:sz w:val="24"/>
          <w:highlight w:val="none"/>
        </w:rPr>
        <w:t>（或者电子签名）</w:t>
      </w:r>
      <w:r>
        <w:rPr>
          <w:rFonts w:hint="eastAsia" w:ascii="宋体" w:hAnsi="宋体" w:cs="仿宋_GB2312"/>
          <w:b/>
          <w:color w:val="auto"/>
          <w:sz w:val="24"/>
          <w:highlight w:val="none"/>
        </w:rPr>
        <w:t>，否则其响应文件按无效处理。</w:t>
      </w:r>
    </w:p>
    <w:p w14:paraId="02114E15">
      <w:pPr>
        <w:spacing w:line="400" w:lineRule="exact"/>
        <w:ind w:firstLine="480" w:firstLineChars="200"/>
        <w:contextualSpacing/>
        <w:jc w:val="left"/>
        <w:rPr>
          <w:rFonts w:hint="eastAsia" w:ascii="宋体" w:hAnsi="宋体" w:cs="仿宋_GB2312"/>
          <w:color w:val="auto"/>
          <w:sz w:val="24"/>
          <w:highlight w:val="none"/>
        </w:rPr>
      </w:pPr>
      <w:r>
        <w:rPr>
          <w:rFonts w:ascii="宋体" w:hAnsi="宋体" w:cs="仿宋_GB2312"/>
          <w:color w:val="auto"/>
          <w:sz w:val="24"/>
          <w:highlight w:val="none"/>
        </w:rPr>
        <w:t>4</w:t>
      </w:r>
      <w:r>
        <w:rPr>
          <w:rFonts w:hint="eastAsia" w:ascii="宋体" w:hAnsi="宋体" w:cs="仿宋_GB2312"/>
          <w:color w:val="auto"/>
          <w:sz w:val="24"/>
          <w:highlight w:val="none"/>
        </w:rPr>
        <w:t>.谈判文件中列明采购专用耗材的，应按谈判文件规定的耗材量或者按耗材的常规试用量提供报价。</w:t>
      </w:r>
    </w:p>
    <w:p w14:paraId="6D8CD09F">
      <w:pPr>
        <w:spacing w:line="400" w:lineRule="exact"/>
        <w:ind w:right="-817" w:rightChars="-389" w:firstLine="2640" w:firstLineChars="1100"/>
        <w:contextualSpacing/>
        <w:rPr>
          <w:rFonts w:hint="eastAsia" w:ascii="宋体" w:hAnsi="宋体" w:cs="仿宋_GB2312"/>
          <w:color w:val="auto"/>
          <w:sz w:val="24"/>
          <w:highlight w:val="none"/>
        </w:rPr>
      </w:pPr>
    </w:p>
    <w:p w14:paraId="14D04AEB">
      <w:pPr>
        <w:spacing w:line="400" w:lineRule="exact"/>
        <w:ind w:right="-817" w:rightChars="-389" w:firstLine="2640" w:firstLineChars="1100"/>
        <w:contextualSpacing/>
        <w:rPr>
          <w:rFonts w:hint="eastAsia" w:ascii="宋体" w:hAnsi="宋体" w:cs="仿宋_GB2312"/>
          <w:color w:val="auto"/>
          <w:sz w:val="24"/>
          <w:highlight w:val="none"/>
        </w:rPr>
      </w:pPr>
      <w:r>
        <w:rPr>
          <w:rFonts w:hint="eastAsia" w:ascii="宋体" w:hAnsi="宋体" w:cs="仿宋_GB2312"/>
          <w:color w:val="auto"/>
          <w:sz w:val="24"/>
          <w:highlight w:val="none"/>
        </w:rPr>
        <w:t xml:space="preserve">法定代表人或者委托代理人（签字或者电子签名）：                    </w:t>
      </w:r>
    </w:p>
    <w:p w14:paraId="3415221F">
      <w:pPr>
        <w:spacing w:line="360" w:lineRule="auto"/>
        <w:ind w:right="-817" w:rightChars="-389" w:firstLine="2640" w:firstLineChars="1100"/>
        <w:contextualSpacing/>
        <w:rPr>
          <w:rFonts w:hint="eastAsia" w:ascii="宋体" w:hAnsi="宋体" w:cs="仿宋_GB2312"/>
          <w:color w:val="auto"/>
          <w:sz w:val="24"/>
          <w:highlight w:val="none"/>
        </w:rPr>
      </w:pPr>
      <w:r>
        <w:rPr>
          <w:rFonts w:hint="eastAsia" w:ascii="宋体" w:hAnsi="宋体" w:cs="仿宋_GB2312"/>
          <w:color w:val="auto"/>
          <w:sz w:val="24"/>
          <w:highlight w:val="none"/>
        </w:rPr>
        <w:t xml:space="preserve">供应商（电子签章）：      </w:t>
      </w:r>
    </w:p>
    <w:p w14:paraId="3DB7D543">
      <w:pPr>
        <w:spacing w:line="360" w:lineRule="auto"/>
        <w:ind w:right="-817" w:rightChars="-389"/>
        <w:contextualSpacing/>
        <w:jc w:val="center"/>
        <w:rPr>
          <w:rFonts w:hint="eastAsia" w:ascii="宋体" w:hAnsi="宋体" w:cs="仿宋_GB2312"/>
          <w:color w:val="auto"/>
          <w:sz w:val="24"/>
          <w:highlight w:val="none"/>
        </w:rPr>
      </w:pPr>
      <w:r>
        <w:rPr>
          <w:rFonts w:hint="eastAsia" w:ascii="宋体" w:hAnsi="宋体" w:cs="仿宋_GB2312"/>
          <w:color w:val="auto"/>
          <w:sz w:val="24"/>
          <w:highlight w:val="none"/>
        </w:rPr>
        <w:t>日期：   年   月   日</w:t>
      </w:r>
    </w:p>
    <w:p w14:paraId="6A23B067">
      <w:pPr>
        <w:spacing w:line="360" w:lineRule="auto"/>
        <w:ind w:right="420"/>
        <w:contextualSpacing/>
        <w:jc w:val="left"/>
        <w:rPr>
          <w:rFonts w:hint="eastAsia" w:ascii="宋体" w:hAnsi="宋体"/>
          <w:b/>
          <w:color w:val="auto"/>
          <w:sz w:val="32"/>
          <w:szCs w:val="32"/>
          <w:highlight w:val="none"/>
        </w:rPr>
      </w:pPr>
      <w:r>
        <w:rPr>
          <w:rFonts w:hint="eastAsia" w:ascii="宋体" w:hAnsi="宋体"/>
          <w:b/>
          <w:bCs/>
          <w:color w:val="auto"/>
          <w:sz w:val="32"/>
          <w:szCs w:val="32"/>
          <w:highlight w:val="none"/>
        </w:rPr>
        <w:t>三、</w:t>
      </w:r>
      <w:r>
        <w:rPr>
          <w:rFonts w:hint="eastAsia" w:ascii="宋体" w:hAnsi="宋体"/>
          <w:b/>
          <w:color w:val="auto"/>
          <w:sz w:val="32"/>
          <w:szCs w:val="32"/>
          <w:highlight w:val="none"/>
        </w:rPr>
        <w:t xml:space="preserve">商务技术文件格式 </w:t>
      </w:r>
    </w:p>
    <w:p w14:paraId="7069DA49">
      <w:pPr>
        <w:snapToGrid w:val="0"/>
        <w:spacing w:before="120" w:beforeLines="50" w:after="50" w:line="360" w:lineRule="auto"/>
        <w:jc w:val="left"/>
        <w:rPr>
          <w:rFonts w:ascii="宋体" w:hAnsi="宋体"/>
          <w:b/>
          <w:color w:val="auto"/>
          <w:sz w:val="32"/>
          <w:szCs w:val="32"/>
          <w:highlight w:val="none"/>
        </w:rPr>
      </w:pPr>
      <w:r>
        <w:rPr>
          <w:rFonts w:hint="eastAsia" w:ascii="宋体" w:hAnsi="宋体"/>
          <w:b/>
          <w:color w:val="auto"/>
          <w:sz w:val="32"/>
          <w:szCs w:val="32"/>
          <w:highlight w:val="none"/>
        </w:rPr>
        <w:t>1.商务技术文件封面格式</w:t>
      </w:r>
    </w:p>
    <w:p w14:paraId="7F301C89">
      <w:pPr>
        <w:snapToGrid w:val="0"/>
        <w:spacing w:before="120" w:beforeLines="50" w:after="50"/>
        <w:rPr>
          <w:rFonts w:hint="eastAsia" w:ascii="宋体" w:hAnsi="宋体"/>
          <w:bCs/>
          <w:color w:val="auto"/>
          <w:sz w:val="32"/>
          <w:szCs w:val="20"/>
          <w:highlight w:val="none"/>
        </w:rPr>
      </w:pPr>
      <w:r>
        <w:rPr>
          <w:rFonts w:hint="eastAsia" w:ascii="宋体" w:hAnsi="宋体"/>
          <w:color w:val="auto"/>
          <w:sz w:val="24"/>
          <w:highlight w:val="none"/>
        </w:rPr>
        <w:t xml:space="preserve">                                                    </w:t>
      </w:r>
    </w:p>
    <w:p w14:paraId="2EA6575D">
      <w:pPr>
        <w:snapToGrid w:val="0"/>
        <w:spacing w:before="120" w:beforeLines="50" w:after="50"/>
        <w:jc w:val="center"/>
        <w:rPr>
          <w:rFonts w:hint="eastAsia" w:ascii="宋体" w:hAnsi="宋体"/>
          <w:color w:val="auto"/>
          <w:sz w:val="24"/>
          <w:szCs w:val="20"/>
          <w:highlight w:val="none"/>
        </w:rPr>
      </w:pPr>
      <w:r>
        <w:rPr>
          <w:rFonts w:hint="eastAsia" w:ascii="宋体" w:hAnsi="宋体"/>
          <w:color w:val="auto"/>
          <w:sz w:val="44"/>
          <w:szCs w:val="44"/>
          <w:highlight w:val="none"/>
        </w:rPr>
        <w:t>电 子 响 应 文 件</w:t>
      </w:r>
    </w:p>
    <w:p w14:paraId="259A068B">
      <w:pPr>
        <w:snapToGrid w:val="0"/>
        <w:spacing w:before="120" w:beforeLines="50" w:after="50"/>
        <w:rPr>
          <w:rFonts w:hint="eastAsia" w:ascii="宋体" w:hAnsi="宋体"/>
          <w:color w:val="auto"/>
          <w:sz w:val="24"/>
          <w:szCs w:val="20"/>
          <w:highlight w:val="none"/>
        </w:rPr>
      </w:pPr>
    </w:p>
    <w:p w14:paraId="27E83B9E">
      <w:pPr>
        <w:snapToGrid w:val="0"/>
        <w:spacing w:before="120" w:beforeLines="50" w:after="50"/>
        <w:rPr>
          <w:rFonts w:hint="eastAsia" w:ascii="宋体" w:hAnsi="宋体"/>
          <w:color w:val="auto"/>
          <w:sz w:val="24"/>
          <w:szCs w:val="20"/>
          <w:highlight w:val="none"/>
        </w:rPr>
      </w:pPr>
    </w:p>
    <w:p w14:paraId="3ED1138B">
      <w:pPr>
        <w:snapToGrid w:val="0"/>
        <w:spacing w:before="120" w:beforeLines="50" w:after="50"/>
        <w:jc w:val="center"/>
        <w:rPr>
          <w:rFonts w:hint="eastAsia" w:ascii="方正小标宋简体" w:hAnsi="方正小标宋简体" w:eastAsia="方正小标宋简体" w:cs="方正小标宋简体"/>
          <w:bCs/>
          <w:color w:val="auto"/>
          <w:sz w:val="44"/>
          <w:szCs w:val="44"/>
          <w:highlight w:val="none"/>
        </w:rPr>
      </w:pPr>
      <w:r>
        <w:rPr>
          <w:rFonts w:hint="eastAsia" w:ascii="方正小标宋简体" w:hAnsi="方正小标宋简体" w:eastAsia="方正小标宋简体" w:cs="方正小标宋简体"/>
          <w:bCs/>
          <w:color w:val="auto"/>
          <w:sz w:val="44"/>
          <w:szCs w:val="44"/>
          <w:highlight w:val="none"/>
        </w:rPr>
        <w:t>商  务  技  术  文  件</w:t>
      </w:r>
    </w:p>
    <w:p w14:paraId="3300D9EA">
      <w:pPr>
        <w:snapToGrid w:val="0"/>
        <w:spacing w:before="120" w:beforeLines="50" w:after="50"/>
        <w:rPr>
          <w:rFonts w:hint="eastAsia" w:ascii="宋体" w:hAnsi="宋体"/>
          <w:bCs/>
          <w:color w:val="auto"/>
          <w:sz w:val="24"/>
          <w:szCs w:val="20"/>
          <w:highlight w:val="none"/>
        </w:rPr>
      </w:pPr>
    </w:p>
    <w:p w14:paraId="33A0161B">
      <w:pPr>
        <w:snapToGrid w:val="0"/>
        <w:spacing w:before="120" w:beforeLines="50" w:after="50"/>
        <w:rPr>
          <w:rFonts w:hint="eastAsia" w:ascii="宋体" w:hAnsi="宋体"/>
          <w:bCs/>
          <w:color w:val="auto"/>
          <w:sz w:val="24"/>
          <w:szCs w:val="20"/>
          <w:highlight w:val="none"/>
        </w:rPr>
      </w:pPr>
    </w:p>
    <w:p w14:paraId="2366FCFE">
      <w:pPr>
        <w:snapToGrid w:val="0"/>
        <w:spacing w:before="120" w:beforeLines="50" w:after="50"/>
        <w:rPr>
          <w:rFonts w:hint="eastAsia" w:ascii="宋体" w:hAnsi="宋体"/>
          <w:bCs/>
          <w:color w:val="auto"/>
          <w:sz w:val="24"/>
          <w:szCs w:val="20"/>
          <w:highlight w:val="none"/>
        </w:rPr>
      </w:pPr>
    </w:p>
    <w:p w14:paraId="1484CD55">
      <w:pPr>
        <w:snapToGrid w:val="0"/>
        <w:spacing w:before="120" w:beforeLines="50" w:after="50"/>
        <w:rPr>
          <w:rFonts w:hint="eastAsia" w:ascii="宋体" w:hAnsi="宋体"/>
          <w:bCs/>
          <w:color w:val="auto"/>
          <w:sz w:val="24"/>
          <w:szCs w:val="20"/>
          <w:highlight w:val="none"/>
        </w:rPr>
      </w:pPr>
    </w:p>
    <w:p w14:paraId="51DABB55">
      <w:pPr>
        <w:snapToGrid w:val="0"/>
        <w:spacing w:before="120" w:beforeLines="50" w:after="50"/>
        <w:rPr>
          <w:rFonts w:hint="eastAsia" w:ascii="宋体" w:hAnsi="宋体"/>
          <w:bCs/>
          <w:color w:val="auto"/>
          <w:sz w:val="24"/>
          <w:szCs w:val="20"/>
          <w:highlight w:val="none"/>
        </w:rPr>
      </w:pPr>
    </w:p>
    <w:p w14:paraId="2FD0F5E1">
      <w:pPr>
        <w:snapToGrid w:val="0"/>
        <w:spacing w:before="120" w:beforeLines="50" w:after="50"/>
        <w:ind w:firstLine="640" w:firstLineChars="200"/>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项目名称：</w:t>
      </w:r>
    </w:p>
    <w:p w14:paraId="5D761C0A">
      <w:pPr>
        <w:snapToGrid w:val="0"/>
        <w:spacing w:before="120" w:beforeLines="50" w:after="50"/>
        <w:ind w:firstLine="720" w:firstLineChars="225"/>
        <w:rPr>
          <w:rFonts w:hint="eastAsia" w:ascii="宋体" w:hAnsi="宋体" w:cs="仿宋_GB2312"/>
          <w:bCs/>
          <w:color w:val="auto"/>
          <w:sz w:val="32"/>
          <w:szCs w:val="32"/>
          <w:highlight w:val="none"/>
        </w:rPr>
      </w:pPr>
    </w:p>
    <w:p w14:paraId="46C9B3F6">
      <w:pPr>
        <w:snapToGrid w:val="0"/>
        <w:spacing w:before="120" w:beforeLines="50" w:after="50"/>
        <w:ind w:firstLine="640" w:firstLineChars="200"/>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项目编号：</w:t>
      </w:r>
    </w:p>
    <w:p w14:paraId="1EB43423">
      <w:pPr>
        <w:snapToGrid w:val="0"/>
        <w:spacing w:before="120" w:beforeLines="50" w:after="50"/>
        <w:ind w:firstLine="720" w:firstLineChars="225"/>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 xml:space="preserve"> </w:t>
      </w:r>
    </w:p>
    <w:p w14:paraId="3931C2B6">
      <w:pPr>
        <w:snapToGrid w:val="0"/>
        <w:spacing w:before="120" w:beforeLines="50" w:after="50"/>
        <w:ind w:firstLine="640" w:firstLineChars="200"/>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所竞分标（如有则填写，无分标时填写“无”或者留空）：</w:t>
      </w:r>
    </w:p>
    <w:p w14:paraId="6D8A37B3">
      <w:pPr>
        <w:snapToGrid w:val="0"/>
        <w:spacing w:before="120" w:beforeLines="50" w:after="50"/>
        <w:ind w:firstLine="720" w:firstLineChars="225"/>
        <w:rPr>
          <w:rFonts w:hint="eastAsia" w:ascii="宋体" w:hAnsi="宋体" w:cs="仿宋_GB2312"/>
          <w:bCs/>
          <w:color w:val="auto"/>
          <w:sz w:val="32"/>
          <w:szCs w:val="32"/>
          <w:highlight w:val="none"/>
        </w:rPr>
      </w:pPr>
    </w:p>
    <w:p w14:paraId="0E26C103">
      <w:pPr>
        <w:pStyle w:val="7"/>
        <w:snapToGrid w:val="0"/>
        <w:spacing w:before="50" w:after="50"/>
        <w:ind w:firstLine="640" w:firstLineChars="200"/>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供应商名称：</w:t>
      </w:r>
    </w:p>
    <w:p w14:paraId="179C2717">
      <w:pPr>
        <w:pStyle w:val="7"/>
        <w:snapToGrid w:val="0"/>
        <w:spacing w:before="50" w:after="50"/>
        <w:ind w:firstLine="640" w:firstLineChars="200"/>
        <w:rPr>
          <w:rFonts w:hint="eastAsia" w:ascii="宋体" w:hAnsi="宋体" w:cs="仿宋_GB2312"/>
          <w:bCs/>
          <w:color w:val="auto"/>
          <w:sz w:val="32"/>
          <w:szCs w:val="32"/>
          <w:highlight w:val="none"/>
        </w:rPr>
      </w:pPr>
    </w:p>
    <w:p w14:paraId="4A11D186">
      <w:pPr>
        <w:pStyle w:val="7"/>
        <w:snapToGrid w:val="0"/>
        <w:spacing w:before="50" w:after="50"/>
        <w:ind w:firstLine="720" w:firstLineChars="225"/>
        <w:rPr>
          <w:rFonts w:hint="eastAsia" w:ascii="宋体" w:hAnsi="宋体" w:cs="仿宋_GB2312"/>
          <w:bCs/>
          <w:color w:val="auto"/>
          <w:sz w:val="32"/>
          <w:szCs w:val="32"/>
          <w:highlight w:val="none"/>
        </w:rPr>
      </w:pPr>
    </w:p>
    <w:p w14:paraId="165D45F4">
      <w:pPr>
        <w:pStyle w:val="7"/>
        <w:snapToGrid w:val="0"/>
        <w:spacing w:before="50" w:after="50"/>
        <w:ind w:firstLine="0"/>
        <w:rPr>
          <w:rFonts w:hint="eastAsia" w:ascii="宋体" w:hAnsi="宋体" w:cs="仿宋_GB2312"/>
          <w:bCs/>
          <w:color w:val="auto"/>
          <w:sz w:val="32"/>
          <w:szCs w:val="32"/>
          <w:highlight w:val="none"/>
        </w:rPr>
      </w:pPr>
    </w:p>
    <w:p w14:paraId="46F8107A">
      <w:pPr>
        <w:pStyle w:val="7"/>
        <w:snapToGrid w:val="0"/>
        <w:spacing w:before="50" w:after="50"/>
        <w:ind w:firstLine="1280" w:firstLineChars="400"/>
        <w:rPr>
          <w:rFonts w:hint="eastAsia" w:ascii="宋体" w:hAnsi="宋体" w:cs="仿宋_GB2312"/>
          <w:bCs/>
          <w:color w:val="auto"/>
          <w:sz w:val="32"/>
          <w:szCs w:val="32"/>
          <w:highlight w:val="none"/>
        </w:rPr>
      </w:pPr>
    </w:p>
    <w:p w14:paraId="3B8F29E3">
      <w:pPr>
        <w:snapToGrid w:val="0"/>
        <w:spacing w:before="120" w:beforeLines="50" w:after="50"/>
        <w:jc w:val="center"/>
        <w:rPr>
          <w:rFonts w:hint="eastAsia" w:ascii="宋体" w:hAnsi="宋体" w:cs="仿宋_GB2312"/>
          <w:color w:val="auto"/>
          <w:sz w:val="32"/>
          <w:szCs w:val="32"/>
          <w:highlight w:val="none"/>
        </w:rPr>
      </w:pPr>
      <w:r>
        <w:rPr>
          <w:rFonts w:hint="eastAsia" w:ascii="宋体" w:hAnsi="宋体" w:cs="仿宋_GB2312"/>
          <w:color w:val="auto"/>
          <w:sz w:val="32"/>
          <w:szCs w:val="32"/>
          <w:highlight w:val="none"/>
        </w:rPr>
        <w:t>年    月    日</w:t>
      </w:r>
    </w:p>
    <w:p w14:paraId="65FA6032">
      <w:pPr>
        <w:snapToGrid w:val="0"/>
        <w:spacing w:before="120" w:beforeLines="50" w:after="50" w:line="360" w:lineRule="auto"/>
        <w:ind w:left="142"/>
        <w:jc w:val="left"/>
        <w:rPr>
          <w:rFonts w:hint="eastAsia" w:ascii="宋体" w:hAnsi="宋体"/>
          <w:b/>
          <w:bCs/>
          <w:color w:val="auto"/>
          <w:sz w:val="24"/>
          <w:highlight w:val="none"/>
        </w:rPr>
      </w:pPr>
      <w:r>
        <w:rPr>
          <w:rFonts w:ascii="宋体" w:hAnsi="宋体"/>
          <w:color w:val="auto"/>
          <w:sz w:val="24"/>
          <w:highlight w:val="none"/>
        </w:rPr>
        <w:br w:type="page"/>
      </w:r>
      <w:r>
        <w:rPr>
          <w:rFonts w:hint="eastAsia" w:ascii="宋体" w:hAnsi="宋体"/>
          <w:b/>
          <w:bCs/>
          <w:color w:val="auto"/>
          <w:sz w:val="32"/>
          <w:szCs w:val="32"/>
          <w:highlight w:val="none"/>
        </w:rPr>
        <w:t>2.商务技术文件目录</w:t>
      </w:r>
    </w:p>
    <w:p w14:paraId="1D77F755">
      <w:pPr>
        <w:snapToGrid w:val="0"/>
        <w:spacing w:before="120" w:beforeLines="50" w:after="50" w:line="360" w:lineRule="auto"/>
        <w:ind w:firstLine="640" w:firstLineChars="200"/>
        <w:rPr>
          <w:rFonts w:ascii="宋体" w:hAnsi="宋体"/>
          <w:color w:val="auto"/>
          <w:sz w:val="32"/>
          <w:szCs w:val="32"/>
          <w:highlight w:val="none"/>
        </w:rPr>
      </w:pPr>
      <w:r>
        <w:rPr>
          <w:rFonts w:hint="eastAsia" w:ascii="宋体" w:hAnsi="宋体"/>
          <w:color w:val="auto"/>
          <w:sz w:val="32"/>
          <w:szCs w:val="32"/>
          <w:highlight w:val="none"/>
        </w:rPr>
        <w:t>根据谈判文件规定及供应商提供的材料自行编写目录（部分格式后附）。</w:t>
      </w:r>
    </w:p>
    <w:p w14:paraId="0F07E901">
      <w:pPr>
        <w:spacing w:line="400" w:lineRule="exact"/>
        <w:rPr>
          <w:rFonts w:hint="eastAsia" w:ascii="仿宋_GB2312" w:hAnsi="仿宋_GB2312" w:eastAsia="仿宋_GB2312" w:cs="仿宋_GB2312"/>
          <w:color w:val="auto"/>
          <w:sz w:val="32"/>
          <w:szCs w:val="32"/>
          <w:highlight w:val="none"/>
        </w:rPr>
      </w:pPr>
    </w:p>
    <w:p w14:paraId="7EDF84E4">
      <w:pPr>
        <w:spacing w:line="520" w:lineRule="exact"/>
        <w:jc w:val="center"/>
        <w:rPr>
          <w:rFonts w:hint="eastAsia" w:ascii="仿宋_GB2312" w:hAnsi="仿宋_GB2312" w:eastAsia="仿宋_GB2312" w:cs="仿宋_GB2312"/>
          <w:color w:val="auto"/>
          <w:sz w:val="32"/>
          <w:szCs w:val="32"/>
          <w:highlight w:val="none"/>
        </w:rPr>
      </w:pPr>
      <w:r>
        <w:rPr>
          <w:rFonts w:hint="eastAsia" w:ascii="方正小标宋简体" w:hAnsi="方正小标宋简体" w:eastAsia="方正小标宋简体" w:cs="方正小标宋简体"/>
          <w:color w:val="auto"/>
          <w:sz w:val="44"/>
          <w:szCs w:val="44"/>
          <w:highlight w:val="none"/>
        </w:rPr>
        <w:br w:type="page"/>
      </w:r>
      <w:r>
        <w:rPr>
          <w:rFonts w:hint="eastAsia" w:ascii="方正小标宋简体" w:hAnsi="方正小标宋简体" w:eastAsia="方正小标宋简体" w:cs="方正小标宋简体"/>
          <w:color w:val="auto"/>
          <w:sz w:val="44"/>
          <w:szCs w:val="44"/>
          <w:highlight w:val="none"/>
        </w:rPr>
        <w:t>无串通竞标行为的承诺函</w:t>
      </w:r>
    </w:p>
    <w:p w14:paraId="49C11137">
      <w:pPr>
        <w:spacing w:line="360" w:lineRule="auto"/>
        <w:ind w:firstLine="640" w:firstLineChars="200"/>
        <w:contextualSpacing/>
        <w:rPr>
          <w:rFonts w:hint="eastAsia" w:ascii="仿宋_GB2312" w:hAnsi="仿宋_GB2312" w:eastAsia="仿宋_GB2312" w:cs="仿宋_GB2312"/>
          <w:color w:val="auto"/>
          <w:sz w:val="32"/>
          <w:szCs w:val="32"/>
          <w:highlight w:val="none"/>
        </w:rPr>
      </w:pPr>
    </w:p>
    <w:p w14:paraId="582C90C2">
      <w:pPr>
        <w:spacing w:line="360" w:lineRule="auto"/>
        <w:ind w:firstLine="482" w:firstLineChars="200"/>
        <w:contextualSpacing/>
        <w:rPr>
          <w:rFonts w:hint="eastAsia" w:ascii="宋体" w:hAnsi="宋体" w:cs="仿宋_GB2312"/>
          <w:b/>
          <w:bCs/>
          <w:color w:val="auto"/>
          <w:sz w:val="24"/>
          <w:highlight w:val="none"/>
        </w:rPr>
      </w:pPr>
      <w:r>
        <w:rPr>
          <w:rFonts w:hint="eastAsia" w:ascii="宋体" w:hAnsi="宋体" w:cs="仿宋_GB2312"/>
          <w:b/>
          <w:bCs/>
          <w:color w:val="auto"/>
          <w:sz w:val="24"/>
          <w:highlight w:val="none"/>
        </w:rPr>
        <w:t>一、我方承诺无下列相互串通竞标的情形：</w:t>
      </w:r>
    </w:p>
    <w:p w14:paraId="3D3A7F89">
      <w:pPr>
        <w:spacing w:line="360" w:lineRule="auto"/>
        <w:ind w:firstLine="480" w:firstLineChars="200"/>
        <w:contextualSpacing/>
        <w:rPr>
          <w:rFonts w:hint="eastAsia" w:ascii="宋体" w:hAnsi="宋体" w:cs="仿宋_GB2312"/>
          <w:color w:val="auto"/>
          <w:sz w:val="24"/>
          <w:highlight w:val="none"/>
        </w:rPr>
      </w:pPr>
      <w:r>
        <w:rPr>
          <w:rFonts w:hint="eastAsia" w:ascii="宋体" w:hAnsi="宋体" w:cs="仿宋_GB2312"/>
          <w:color w:val="auto"/>
          <w:sz w:val="24"/>
          <w:highlight w:val="none"/>
        </w:rPr>
        <w:t>1.不同供应商的响应文件由同一单位或者个人编制；</w:t>
      </w:r>
    </w:p>
    <w:p w14:paraId="7BC2037A">
      <w:pPr>
        <w:spacing w:line="360" w:lineRule="auto"/>
        <w:ind w:firstLine="480" w:firstLineChars="200"/>
        <w:contextualSpacing/>
        <w:rPr>
          <w:rFonts w:hint="eastAsia" w:ascii="宋体" w:hAnsi="宋体" w:cs="仿宋_GB2312"/>
          <w:color w:val="auto"/>
          <w:sz w:val="24"/>
          <w:highlight w:val="none"/>
        </w:rPr>
      </w:pPr>
      <w:r>
        <w:rPr>
          <w:rFonts w:hint="eastAsia" w:ascii="宋体" w:hAnsi="宋体" w:cs="仿宋_GB2312"/>
          <w:color w:val="auto"/>
          <w:sz w:val="24"/>
          <w:highlight w:val="none"/>
        </w:rPr>
        <w:t>2.不同供应商委托同一单位或者个人办理竞标事宜；</w:t>
      </w:r>
    </w:p>
    <w:p w14:paraId="28FD4285">
      <w:pPr>
        <w:spacing w:line="360" w:lineRule="auto"/>
        <w:ind w:firstLine="480" w:firstLineChars="200"/>
        <w:contextualSpacing/>
        <w:rPr>
          <w:rFonts w:hint="eastAsia" w:ascii="宋体" w:hAnsi="宋体" w:cs="仿宋_GB2312"/>
          <w:color w:val="auto"/>
          <w:sz w:val="24"/>
          <w:highlight w:val="none"/>
        </w:rPr>
      </w:pPr>
      <w:r>
        <w:rPr>
          <w:rFonts w:hint="eastAsia" w:ascii="宋体" w:hAnsi="宋体" w:cs="仿宋_GB2312"/>
          <w:color w:val="auto"/>
          <w:sz w:val="24"/>
          <w:highlight w:val="none"/>
        </w:rPr>
        <w:t>3.不同的供应商的响应文件载明的项目管理员为同一个人；</w:t>
      </w:r>
    </w:p>
    <w:p w14:paraId="602571F0">
      <w:pPr>
        <w:spacing w:line="360" w:lineRule="auto"/>
        <w:ind w:firstLine="480" w:firstLineChars="200"/>
        <w:contextualSpacing/>
        <w:rPr>
          <w:rFonts w:hint="eastAsia" w:ascii="宋体" w:hAnsi="宋体" w:cs="仿宋_GB2312"/>
          <w:color w:val="auto"/>
          <w:sz w:val="24"/>
          <w:highlight w:val="none"/>
        </w:rPr>
      </w:pPr>
      <w:r>
        <w:rPr>
          <w:rFonts w:hint="eastAsia" w:ascii="宋体" w:hAnsi="宋体" w:cs="仿宋_GB2312"/>
          <w:color w:val="auto"/>
          <w:sz w:val="24"/>
          <w:highlight w:val="none"/>
        </w:rPr>
        <w:t>4.不</w:t>
      </w:r>
      <w:r>
        <w:rPr>
          <w:rFonts w:hint="eastAsia" w:ascii="宋体" w:hAnsi="宋体" w:cs="仿宋_GB2312"/>
          <w:color w:val="auto"/>
          <w:spacing w:val="-6"/>
          <w:sz w:val="24"/>
          <w:highlight w:val="none"/>
        </w:rPr>
        <w:t>同供应商的响应文件异常一致或者竞标报价呈规律性差异；</w:t>
      </w:r>
    </w:p>
    <w:p w14:paraId="3EF797F4">
      <w:pPr>
        <w:spacing w:line="360" w:lineRule="auto"/>
        <w:ind w:firstLine="480" w:firstLineChars="200"/>
        <w:contextualSpacing/>
        <w:rPr>
          <w:rFonts w:hint="eastAsia" w:ascii="宋体" w:hAnsi="宋体" w:cs="仿宋_GB2312"/>
          <w:color w:val="auto"/>
          <w:sz w:val="24"/>
          <w:highlight w:val="none"/>
        </w:rPr>
      </w:pPr>
      <w:r>
        <w:rPr>
          <w:rFonts w:hint="eastAsia" w:ascii="宋体" w:hAnsi="宋体" w:cs="仿宋_GB2312"/>
          <w:color w:val="auto"/>
          <w:sz w:val="24"/>
          <w:highlight w:val="none"/>
        </w:rPr>
        <w:t>5.不同供应商的响应文件相互混装；</w:t>
      </w:r>
    </w:p>
    <w:p w14:paraId="0848D557">
      <w:pPr>
        <w:spacing w:line="360" w:lineRule="auto"/>
        <w:ind w:firstLine="480" w:firstLineChars="200"/>
        <w:contextualSpacing/>
        <w:rPr>
          <w:rFonts w:hint="eastAsia" w:ascii="宋体" w:hAnsi="宋体" w:cs="仿宋_GB2312"/>
          <w:color w:val="auto"/>
          <w:sz w:val="24"/>
          <w:highlight w:val="none"/>
        </w:rPr>
      </w:pPr>
      <w:r>
        <w:rPr>
          <w:rFonts w:hint="eastAsia" w:ascii="宋体" w:hAnsi="宋体" w:cs="仿宋_GB2312"/>
          <w:color w:val="auto"/>
          <w:sz w:val="24"/>
          <w:highlight w:val="none"/>
        </w:rPr>
        <w:t>6.不同供应商的竞标保证金从同一单位或者个人账户转出。</w:t>
      </w:r>
    </w:p>
    <w:p w14:paraId="4B2F0561">
      <w:pPr>
        <w:spacing w:line="360" w:lineRule="auto"/>
        <w:ind w:firstLine="482" w:firstLineChars="200"/>
        <w:contextualSpacing/>
        <w:rPr>
          <w:rFonts w:hint="eastAsia" w:ascii="宋体" w:hAnsi="宋体" w:cs="仿宋_GB2312"/>
          <w:b/>
          <w:bCs/>
          <w:color w:val="auto"/>
          <w:sz w:val="24"/>
          <w:highlight w:val="none"/>
        </w:rPr>
      </w:pPr>
      <w:r>
        <w:rPr>
          <w:rFonts w:hint="eastAsia" w:ascii="宋体" w:hAnsi="宋体" w:cs="仿宋_GB2312"/>
          <w:b/>
          <w:bCs/>
          <w:color w:val="auto"/>
          <w:sz w:val="24"/>
          <w:highlight w:val="none"/>
        </w:rPr>
        <w:t>二、我方承诺无下列恶意串通的情形：</w:t>
      </w:r>
    </w:p>
    <w:p w14:paraId="6287B597">
      <w:pPr>
        <w:spacing w:line="360" w:lineRule="auto"/>
        <w:ind w:firstLine="480" w:firstLineChars="200"/>
        <w:contextualSpacing/>
        <w:rPr>
          <w:rFonts w:hint="eastAsia" w:ascii="宋体" w:hAnsi="宋体" w:cs="仿宋_GB2312"/>
          <w:color w:val="auto"/>
          <w:sz w:val="24"/>
          <w:highlight w:val="none"/>
        </w:rPr>
      </w:pPr>
      <w:r>
        <w:rPr>
          <w:rFonts w:hint="eastAsia" w:ascii="宋体" w:hAnsi="宋体" w:cs="仿宋_GB2312"/>
          <w:color w:val="auto"/>
          <w:sz w:val="24"/>
          <w:highlight w:val="none"/>
        </w:rPr>
        <w:t>1.供应商直接或者间接从采购人或者采购代理机构处获得其他供应商的相关信息并修改其响应文件；</w:t>
      </w:r>
    </w:p>
    <w:p w14:paraId="49EE2DA1">
      <w:pPr>
        <w:spacing w:line="360" w:lineRule="auto"/>
        <w:ind w:firstLine="480" w:firstLineChars="200"/>
        <w:contextualSpacing/>
        <w:rPr>
          <w:rFonts w:hint="eastAsia" w:ascii="宋体" w:hAnsi="宋体" w:cs="仿宋_GB2312"/>
          <w:color w:val="auto"/>
          <w:sz w:val="24"/>
          <w:highlight w:val="none"/>
        </w:rPr>
      </w:pPr>
      <w:r>
        <w:rPr>
          <w:rFonts w:hint="eastAsia" w:ascii="宋体" w:hAnsi="宋体" w:cs="仿宋_GB2312"/>
          <w:color w:val="auto"/>
          <w:sz w:val="24"/>
          <w:highlight w:val="none"/>
        </w:rPr>
        <w:t>2.供应商按照采购人或者采购代理机构的授意撤换、修改响应文件；</w:t>
      </w:r>
    </w:p>
    <w:p w14:paraId="0ADFD8AC">
      <w:pPr>
        <w:spacing w:line="360" w:lineRule="auto"/>
        <w:ind w:firstLine="480" w:firstLineChars="200"/>
        <w:contextualSpacing/>
        <w:rPr>
          <w:rFonts w:hint="eastAsia" w:ascii="宋体" w:hAnsi="宋体" w:cs="仿宋_GB2312"/>
          <w:color w:val="auto"/>
          <w:sz w:val="24"/>
          <w:highlight w:val="none"/>
        </w:rPr>
      </w:pPr>
      <w:r>
        <w:rPr>
          <w:rFonts w:hint="eastAsia" w:ascii="宋体" w:hAnsi="宋体" w:cs="仿宋_GB2312"/>
          <w:color w:val="auto"/>
          <w:sz w:val="24"/>
          <w:highlight w:val="none"/>
        </w:rPr>
        <w:t>3.供</w:t>
      </w:r>
      <w:r>
        <w:rPr>
          <w:rFonts w:hint="eastAsia" w:ascii="宋体" w:hAnsi="宋体" w:cs="仿宋_GB2312"/>
          <w:color w:val="auto"/>
          <w:spacing w:val="-6"/>
          <w:sz w:val="24"/>
          <w:highlight w:val="none"/>
        </w:rPr>
        <w:t>应商之间协商报价、技术方案等响应文件的实质性内容；</w:t>
      </w:r>
    </w:p>
    <w:p w14:paraId="1127692F">
      <w:pPr>
        <w:spacing w:line="360" w:lineRule="auto"/>
        <w:ind w:firstLine="480" w:firstLineChars="200"/>
        <w:contextualSpacing/>
        <w:rPr>
          <w:rFonts w:hint="eastAsia" w:ascii="宋体" w:hAnsi="宋体" w:cs="仿宋_GB2312"/>
          <w:color w:val="auto"/>
          <w:sz w:val="24"/>
          <w:highlight w:val="none"/>
        </w:rPr>
      </w:pPr>
      <w:r>
        <w:rPr>
          <w:rFonts w:hint="eastAsia" w:ascii="宋体" w:hAnsi="宋体" w:cs="仿宋_GB2312"/>
          <w:color w:val="auto"/>
          <w:sz w:val="24"/>
          <w:highlight w:val="none"/>
        </w:rPr>
        <w:t>4.属于同一集团、协会、商会等组织成员的供应商按照该组织要求协同参加政府采购活动；</w:t>
      </w:r>
    </w:p>
    <w:p w14:paraId="14BF453F">
      <w:pPr>
        <w:spacing w:line="360" w:lineRule="auto"/>
        <w:ind w:firstLine="480" w:firstLineChars="200"/>
        <w:contextualSpacing/>
        <w:rPr>
          <w:rFonts w:hint="eastAsia" w:ascii="宋体" w:hAnsi="宋体" w:cs="仿宋_GB2312"/>
          <w:color w:val="auto"/>
          <w:sz w:val="24"/>
          <w:highlight w:val="none"/>
        </w:rPr>
      </w:pPr>
      <w:r>
        <w:rPr>
          <w:rFonts w:hint="eastAsia" w:ascii="宋体" w:hAnsi="宋体" w:cs="仿宋_GB2312"/>
          <w:color w:val="auto"/>
          <w:sz w:val="24"/>
          <w:highlight w:val="none"/>
        </w:rPr>
        <w:t>5.供应商之间事先约定一致抬高或者压低竞标报价，或者在竞争性谈判项目中事先约定轮流以高价位或者低价位成交，或者事先约定由某一特定供应商成交，然后再参加竞标；</w:t>
      </w:r>
    </w:p>
    <w:p w14:paraId="0DFB110A">
      <w:pPr>
        <w:spacing w:line="360" w:lineRule="auto"/>
        <w:ind w:firstLine="480" w:firstLineChars="200"/>
        <w:contextualSpacing/>
        <w:rPr>
          <w:rFonts w:hint="eastAsia" w:ascii="宋体" w:hAnsi="宋体" w:cs="仿宋_GB2312"/>
          <w:color w:val="auto"/>
          <w:sz w:val="24"/>
          <w:highlight w:val="none"/>
        </w:rPr>
      </w:pPr>
      <w:r>
        <w:rPr>
          <w:rFonts w:hint="eastAsia" w:ascii="宋体" w:hAnsi="宋体" w:cs="仿宋_GB2312"/>
          <w:color w:val="auto"/>
          <w:sz w:val="24"/>
          <w:highlight w:val="none"/>
        </w:rPr>
        <w:t>6.供应商之间商定部分供应商放弃参加政府采购活动或者放弃成交；</w:t>
      </w:r>
    </w:p>
    <w:p w14:paraId="4D4ADBC0">
      <w:pPr>
        <w:spacing w:line="360" w:lineRule="auto"/>
        <w:ind w:firstLine="480" w:firstLineChars="200"/>
        <w:contextualSpacing/>
        <w:rPr>
          <w:rFonts w:hint="eastAsia" w:ascii="宋体" w:hAnsi="宋体" w:cs="仿宋_GB2312"/>
          <w:color w:val="auto"/>
          <w:sz w:val="24"/>
          <w:highlight w:val="none"/>
        </w:rPr>
      </w:pPr>
      <w:r>
        <w:rPr>
          <w:rFonts w:hint="eastAsia" w:ascii="宋体" w:hAnsi="宋体" w:cs="仿宋_GB2312"/>
          <w:color w:val="auto"/>
          <w:sz w:val="24"/>
          <w:highlight w:val="none"/>
        </w:rPr>
        <w:t>7.供应商与采购人或者采购代理机构之间、供应商相互之间，为</w:t>
      </w:r>
      <w:r>
        <w:rPr>
          <w:rFonts w:hint="eastAsia" w:ascii="宋体" w:hAnsi="宋体" w:cs="仿宋_GB2312"/>
          <w:color w:val="auto"/>
          <w:spacing w:val="-6"/>
          <w:sz w:val="24"/>
          <w:highlight w:val="none"/>
        </w:rPr>
        <w:t>谋求特定供应商成交或者排斥其他供应商的其他串通行为。</w:t>
      </w:r>
    </w:p>
    <w:p w14:paraId="5D6586E5">
      <w:pPr>
        <w:spacing w:line="360" w:lineRule="auto"/>
        <w:ind w:firstLine="480" w:firstLineChars="200"/>
        <w:contextualSpacing/>
        <w:rPr>
          <w:rFonts w:hint="eastAsia" w:ascii="宋体" w:hAnsi="宋体" w:cs="仿宋_GB2312"/>
          <w:color w:val="auto"/>
          <w:sz w:val="24"/>
          <w:highlight w:val="none"/>
        </w:rPr>
      </w:pPr>
    </w:p>
    <w:p w14:paraId="15A43736">
      <w:pPr>
        <w:spacing w:line="360" w:lineRule="auto"/>
        <w:ind w:firstLine="482" w:firstLineChars="200"/>
        <w:contextualSpacing/>
        <w:rPr>
          <w:rFonts w:hint="eastAsia" w:ascii="宋体" w:hAnsi="宋体" w:cs="仿宋_GB2312"/>
          <w:b/>
          <w:bCs/>
          <w:color w:val="auto"/>
          <w:sz w:val="24"/>
          <w:highlight w:val="none"/>
        </w:rPr>
      </w:pPr>
      <w:r>
        <w:rPr>
          <w:rFonts w:hint="eastAsia" w:ascii="宋体" w:hAnsi="宋体" w:cs="仿宋_GB2312"/>
          <w:b/>
          <w:bCs/>
          <w:color w:val="auto"/>
          <w:sz w:val="24"/>
          <w:highlight w:val="none"/>
        </w:rPr>
        <w:t>以上情形一经核查属实，我方愿意承担一切后果，并不再寻求任何旨在减轻或者免除法律责任的辩解。</w:t>
      </w:r>
    </w:p>
    <w:p w14:paraId="27282E7B">
      <w:pPr>
        <w:spacing w:line="360" w:lineRule="auto"/>
        <w:ind w:firstLine="480" w:firstLineChars="200"/>
        <w:contextualSpacing/>
        <w:rPr>
          <w:rFonts w:hint="eastAsia" w:ascii="宋体" w:hAnsi="宋体" w:cs="仿宋_GB2312"/>
          <w:color w:val="auto"/>
          <w:sz w:val="24"/>
          <w:highlight w:val="none"/>
        </w:rPr>
      </w:pPr>
    </w:p>
    <w:p w14:paraId="60E2E78F">
      <w:pPr>
        <w:spacing w:line="360" w:lineRule="auto"/>
        <w:contextualSpacing/>
        <w:rPr>
          <w:rFonts w:hint="eastAsia" w:ascii="宋体" w:hAnsi="宋体" w:cs="仿宋_GB2312"/>
          <w:color w:val="auto"/>
          <w:sz w:val="24"/>
          <w:highlight w:val="none"/>
        </w:rPr>
      </w:pPr>
    </w:p>
    <w:p w14:paraId="5E36B150">
      <w:pPr>
        <w:spacing w:line="360" w:lineRule="auto"/>
        <w:ind w:firstLine="3600" w:firstLineChars="1500"/>
        <w:contextualSpacing/>
        <w:rPr>
          <w:rFonts w:hint="eastAsia" w:ascii="宋体" w:hAnsi="宋体" w:cs="仿宋_GB2312"/>
          <w:color w:val="auto"/>
          <w:sz w:val="24"/>
          <w:highlight w:val="none"/>
        </w:rPr>
      </w:pPr>
      <w:r>
        <w:rPr>
          <w:rFonts w:hint="eastAsia" w:ascii="宋体" w:hAnsi="宋体" w:cs="仿宋_GB2312"/>
          <w:color w:val="auto"/>
          <w:sz w:val="24"/>
          <w:highlight w:val="none"/>
        </w:rPr>
        <w:t>供应商（电子签章）：</w:t>
      </w:r>
    </w:p>
    <w:p w14:paraId="1012BF1D">
      <w:pPr>
        <w:spacing w:line="360" w:lineRule="auto"/>
        <w:ind w:firstLine="480" w:firstLineChars="200"/>
        <w:contextualSpacing/>
        <w:jc w:val="center"/>
        <w:rPr>
          <w:rFonts w:hint="eastAsia" w:ascii="宋体" w:hAnsi="宋体" w:cs="仿宋_GB2312"/>
          <w:color w:val="auto"/>
          <w:sz w:val="24"/>
          <w:highlight w:val="none"/>
        </w:rPr>
      </w:pPr>
      <w:r>
        <w:rPr>
          <w:rFonts w:hint="eastAsia" w:ascii="宋体" w:hAnsi="宋体" w:cs="仿宋_GB2312"/>
          <w:color w:val="auto"/>
          <w:sz w:val="24"/>
          <w:highlight w:val="none"/>
        </w:rPr>
        <w:t xml:space="preserve">                               年   月   日</w:t>
      </w:r>
    </w:p>
    <w:p w14:paraId="117064DE">
      <w:pPr>
        <w:spacing w:line="360" w:lineRule="auto"/>
        <w:ind w:firstLine="640" w:firstLineChars="200"/>
        <w:contextualSpacing/>
        <w:jc w:val="center"/>
        <w:rPr>
          <w:rFonts w:hint="eastAsia" w:ascii="宋体" w:hAnsi="宋体" w:cs="仿宋_GB2312"/>
          <w:color w:val="auto"/>
          <w:sz w:val="32"/>
          <w:szCs w:val="32"/>
          <w:highlight w:val="none"/>
        </w:rPr>
      </w:pPr>
    </w:p>
    <w:p w14:paraId="53A01E99">
      <w:pPr>
        <w:spacing w:before="240" w:beforeLines="100" w:after="120" w:afterLines="50" w:line="520" w:lineRule="exact"/>
        <w:ind w:left="540"/>
        <w:jc w:val="center"/>
        <w:rPr>
          <w:rFonts w:hint="eastAsia" w:ascii="仿宋_GB2312" w:hAnsi="仿宋_GB2312" w:eastAsia="仿宋_GB2312" w:cs="仿宋_GB2312"/>
          <w:color w:val="auto"/>
          <w:sz w:val="32"/>
          <w:szCs w:val="32"/>
          <w:highlight w:val="none"/>
        </w:rPr>
      </w:pPr>
      <w:r>
        <w:rPr>
          <w:rFonts w:hint="eastAsia" w:ascii="方正小标宋简体" w:hAnsi="方正小标宋简体" w:eastAsia="方正小标宋简体" w:cs="方正小标宋简体"/>
          <w:bCs/>
          <w:color w:val="auto"/>
          <w:sz w:val="44"/>
          <w:szCs w:val="44"/>
          <w:highlight w:val="none"/>
        </w:rPr>
        <w:t>法定代表人证明书</w:t>
      </w:r>
    </w:p>
    <w:p w14:paraId="10572D20">
      <w:pPr>
        <w:spacing w:line="360" w:lineRule="auto"/>
        <w:ind w:left="540"/>
        <w:contextualSpacing/>
        <w:rPr>
          <w:rFonts w:hint="eastAsia" w:ascii="仿宋_GB2312" w:hAnsi="仿宋_GB2312" w:eastAsia="仿宋_GB2312" w:cs="仿宋_GB2312"/>
          <w:color w:val="auto"/>
          <w:sz w:val="32"/>
          <w:szCs w:val="32"/>
          <w:highlight w:val="none"/>
        </w:rPr>
      </w:pPr>
    </w:p>
    <w:p w14:paraId="23399C3C">
      <w:pPr>
        <w:spacing w:line="360" w:lineRule="auto"/>
        <w:ind w:left="540"/>
        <w:contextualSpacing/>
        <w:rPr>
          <w:rFonts w:hint="eastAsia" w:ascii="宋体" w:hAnsi="宋体" w:cs="仿宋_GB2312"/>
          <w:color w:val="auto"/>
          <w:sz w:val="24"/>
          <w:highlight w:val="none"/>
        </w:rPr>
      </w:pPr>
      <w:r>
        <w:rPr>
          <w:rFonts w:hint="eastAsia" w:ascii="宋体" w:hAnsi="宋体" w:cs="仿宋_GB2312"/>
          <w:color w:val="auto"/>
          <w:sz w:val="24"/>
          <w:highlight w:val="none"/>
        </w:rPr>
        <w:t>供应商名称：</w:t>
      </w:r>
      <w:r>
        <w:rPr>
          <w:rFonts w:hint="eastAsia" w:ascii="宋体" w:hAnsi="宋体" w:cs="仿宋_GB2312"/>
          <w:color w:val="auto"/>
          <w:sz w:val="24"/>
          <w:highlight w:val="none"/>
          <w:u w:val="single"/>
        </w:rPr>
        <w:t xml:space="preserve">                                                        </w:t>
      </w:r>
    </w:p>
    <w:p w14:paraId="115EA3E3">
      <w:pPr>
        <w:spacing w:line="360" w:lineRule="auto"/>
        <w:ind w:left="540"/>
        <w:contextualSpacing/>
        <w:rPr>
          <w:rFonts w:hint="eastAsia" w:ascii="宋体" w:hAnsi="宋体" w:cs="仿宋_GB2312"/>
          <w:color w:val="auto"/>
          <w:sz w:val="24"/>
          <w:highlight w:val="none"/>
        </w:rPr>
      </w:pPr>
      <w:r>
        <w:rPr>
          <w:rFonts w:hint="eastAsia" w:ascii="宋体" w:hAnsi="宋体" w:cs="仿宋_GB2312"/>
          <w:color w:val="auto"/>
          <w:sz w:val="24"/>
          <w:highlight w:val="none"/>
        </w:rPr>
        <w:t>地    址：</w:t>
      </w:r>
      <w:r>
        <w:rPr>
          <w:rFonts w:hint="eastAsia" w:ascii="宋体" w:hAnsi="宋体" w:cs="仿宋_GB2312"/>
          <w:color w:val="auto"/>
          <w:sz w:val="24"/>
          <w:highlight w:val="none"/>
          <w:u w:val="single"/>
        </w:rPr>
        <w:t xml:space="preserve">                                                        </w:t>
      </w:r>
    </w:p>
    <w:p w14:paraId="1CCD3408">
      <w:pPr>
        <w:spacing w:line="360" w:lineRule="auto"/>
        <w:ind w:left="540"/>
        <w:contextualSpacing/>
        <w:rPr>
          <w:rFonts w:hint="eastAsia" w:ascii="宋体" w:hAnsi="宋体" w:cs="仿宋_GB2312"/>
          <w:color w:val="auto"/>
          <w:sz w:val="24"/>
          <w:highlight w:val="none"/>
        </w:rPr>
      </w:pPr>
      <w:r>
        <w:rPr>
          <w:rFonts w:hint="eastAsia" w:ascii="宋体" w:hAnsi="宋体" w:cs="仿宋_GB2312"/>
          <w:color w:val="auto"/>
          <w:sz w:val="24"/>
          <w:highlight w:val="none"/>
        </w:rPr>
        <w:t>姓    名：</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性      别：</w:t>
      </w:r>
      <w:r>
        <w:rPr>
          <w:rFonts w:hint="eastAsia" w:ascii="宋体" w:hAnsi="宋体" w:cs="仿宋_GB2312"/>
          <w:color w:val="auto"/>
          <w:sz w:val="24"/>
          <w:highlight w:val="none"/>
          <w:u w:val="single"/>
        </w:rPr>
        <w:t xml:space="preserve">                </w:t>
      </w:r>
    </w:p>
    <w:p w14:paraId="52916F3E">
      <w:pPr>
        <w:spacing w:line="360" w:lineRule="auto"/>
        <w:ind w:left="540"/>
        <w:contextualSpacing/>
        <w:rPr>
          <w:rFonts w:hint="eastAsia" w:ascii="宋体" w:hAnsi="宋体" w:cs="仿宋_GB2312"/>
          <w:color w:val="auto"/>
          <w:sz w:val="24"/>
          <w:highlight w:val="none"/>
          <w:u w:val="single"/>
        </w:rPr>
      </w:pPr>
      <w:r>
        <w:rPr>
          <w:rFonts w:hint="eastAsia" w:ascii="宋体" w:hAnsi="宋体" w:cs="仿宋_GB2312"/>
          <w:color w:val="auto"/>
          <w:sz w:val="24"/>
          <w:highlight w:val="none"/>
        </w:rPr>
        <w:t>年    龄：</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职      务：</w:t>
      </w:r>
      <w:r>
        <w:rPr>
          <w:rFonts w:hint="eastAsia" w:ascii="宋体" w:hAnsi="宋体" w:cs="仿宋_GB2312"/>
          <w:color w:val="auto"/>
          <w:sz w:val="24"/>
          <w:highlight w:val="none"/>
          <w:u w:val="single"/>
        </w:rPr>
        <w:t xml:space="preserve">                </w:t>
      </w:r>
    </w:p>
    <w:p w14:paraId="01132602">
      <w:pPr>
        <w:spacing w:line="360" w:lineRule="auto"/>
        <w:ind w:left="540"/>
        <w:contextualSpacing/>
        <w:rPr>
          <w:rFonts w:hint="eastAsia" w:ascii="宋体" w:hAnsi="宋体" w:cs="仿宋_GB2312"/>
          <w:color w:val="auto"/>
          <w:sz w:val="24"/>
          <w:highlight w:val="none"/>
        </w:rPr>
      </w:pPr>
      <w:r>
        <w:rPr>
          <w:rFonts w:hint="eastAsia" w:ascii="宋体" w:hAnsi="宋体" w:cs="仿宋_GB2312"/>
          <w:color w:val="auto"/>
          <w:sz w:val="24"/>
          <w:highlight w:val="none"/>
        </w:rPr>
        <w:t>身份证号码：</w:t>
      </w:r>
      <w:r>
        <w:rPr>
          <w:rFonts w:hint="eastAsia" w:ascii="宋体" w:hAnsi="宋体" w:cs="仿宋_GB2312"/>
          <w:color w:val="auto"/>
          <w:sz w:val="24"/>
          <w:highlight w:val="none"/>
          <w:u w:val="single"/>
        </w:rPr>
        <w:t xml:space="preserve">                                        </w:t>
      </w:r>
    </w:p>
    <w:p w14:paraId="7A95844D">
      <w:pPr>
        <w:spacing w:line="360" w:lineRule="auto"/>
        <w:ind w:left="540"/>
        <w:contextualSpacing/>
        <w:rPr>
          <w:rFonts w:hint="eastAsia" w:ascii="宋体" w:hAnsi="宋体" w:cs="仿宋_GB2312"/>
          <w:color w:val="auto"/>
          <w:sz w:val="24"/>
          <w:highlight w:val="none"/>
        </w:rPr>
      </w:pPr>
      <w:r>
        <w:rPr>
          <w:rFonts w:hint="eastAsia" w:ascii="宋体" w:hAnsi="宋体" w:cs="仿宋_GB2312"/>
          <w:color w:val="auto"/>
          <w:sz w:val="24"/>
          <w:highlight w:val="none"/>
        </w:rPr>
        <w:t>系</w:t>
      </w:r>
      <w:r>
        <w:rPr>
          <w:rFonts w:hint="eastAsia" w:ascii="宋体" w:hAnsi="宋体" w:cs="仿宋_GB2312"/>
          <w:color w:val="auto"/>
          <w:sz w:val="24"/>
          <w:highlight w:val="none"/>
          <w:u w:val="single"/>
        </w:rPr>
        <w:t xml:space="preserve"> </w:t>
      </w:r>
      <w:r>
        <w:rPr>
          <w:rFonts w:ascii="宋体" w:hAnsi="宋体" w:cs="仿宋_GB2312"/>
          <w:color w:val="auto"/>
          <w:sz w:val="24"/>
          <w:highlight w:val="none"/>
          <w:u w:val="single"/>
        </w:rPr>
        <w:t xml:space="preserve">   </w:t>
      </w:r>
      <w:r>
        <w:rPr>
          <w:rFonts w:hint="eastAsia" w:ascii="宋体" w:hAnsi="宋体" w:cs="仿宋_GB2312"/>
          <w:color w:val="auto"/>
          <w:sz w:val="24"/>
          <w:highlight w:val="none"/>
          <w:u w:val="single"/>
        </w:rPr>
        <w:t xml:space="preserve">（供应商名称） </w:t>
      </w:r>
      <w:r>
        <w:rPr>
          <w:rFonts w:ascii="宋体" w:hAnsi="宋体" w:cs="仿宋_GB2312"/>
          <w:color w:val="auto"/>
          <w:sz w:val="24"/>
          <w:highlight w:val="none"/>
          <w:u w:val="single"/>
        </w:rPr>
        <w:t xml:space="preserve">  </w:t>
      </w:r>
      <w:r>
        <w:rPr>
          <w:rFonts w:hint="eastAsia" w:ascii="宋体" w:hAnsi="宋体" w:cs="仿宋_GB2312"/>
          <w:color w:val="auto"/>
          <w:sz w:val="24"/>
          <w:highlight w:val="none"/>
        </w:rPr>
        <w:t>的法定代表人。</w:t>
      </w:r>
    </w:p>
    <w:p w14:paraId="575F4288">
      <w:pPr>
        <w:spacing w:line="360" w:lineRule="auto"/>
        <w:ind w:left="540"/>
        <w:contextualSpacing/>
        <w:rPr>
          <w:rFonts w:hint="eastAsia" w:ascii="宋体" w:hAnsi="宋体" w:cs="仿宋_GB2312"/>
          <w:color w:val="auto"/>
          <w:sz w:val="24"/>
          <w:highlight w:val="none"/>
        </w:rPr>
      </w:pPr>
      <w:r>
        <w:rPr>
          <w:rFonts w:hint="eastAsia" w:ascii="宋体" w:hAnsi="宋体" w:cs="仿宋_GB2312"/>
          <w:color w:val="auto"/>
          <w:sz w:val="24"/>
          <w:highlight w:val="none"/>
        </w:rPr>
        <w:t>特此证明。</w:t>
      </w:r>
    </w:p>
    <w:p w14:paraId="3F82F0E6">
      <w:pPr>
        <w:spacing w:line="360" w:lineRule="auto"/>
        <w:ind w:left="540"/>
        <w:contextualSpacing/>
        <w:rPr>
          <w:rFonts w:hint="eastAsia" w:ascii="宋体" w:hAnsi="宋体" w:cs="仿宋_GB2312"/>
          <w:color w:val="auto"/>
          <w:sz w:val="24"/>
          <w:highlight w:val="none"/>
        </w:rPr>
      </w:pPr>
    </w:p>
    <w:p w14:paraId="642A91DB">
      <w:pPr>
        <w:spacing w:line="360" w:lineRule="auto"/>
        <w:ind w:left="540"/>
        <w:contextualSpacing/>
        <w:rPr>
          <w:rFonts w:hint="eastAsia" w:ascii="宋体" w:hAnsi="宋体" w:cs="仿宋_GB2312"/>
          <w:color w:val="auto"/>
          <w:sz w:val="24"/>
          <w:highlight w:val="none"/>
        </w:rPr>
      </w:pPr>
    </w:p>
    <w:p w14:paraId="1E4859D3">
      <w:pPr>
        <w:spacing w:line="360" w:lineRule="auto"/>
        <w:ind w:left="540"/>
        <w:contextualSpacing/>
        <w:rPr>
          <w:rFonts w:hint="eastAsia" w:ascii="宋体" w:hAnsi="宋体" w:cs="仿宋_GB2312"/>
          <w:color w:val="auto"/>
          <w:sz w:val="24"/>
          <w:highlight w:val="none"/>
        </w:rPr>
      </w:pPr>
    </w:p>
    <w:p w14:paraId="1C4BC7C8">
      <w:pPr>
        <w:spacing w:line="360" w:lineRule="auto"/>
        <w:ind w:left="540"/>
        <w:contextualSpacing/>
        <w:rPr>
          <w:rFonts w:hint="eastAsia" w:ascii="宋体" w:hAnsi="宋体" w:cs="仿宋_GB2312"/>
          <w:color w:val="auto"/>
          <w:sz w:val="24"/>
          <w:highlight w:val="none"/>
        </w:rPr>
      </w:pPr>
      <w:r>
        <w:rPr>
          <w:rFonts w:hint="eastAsia" w:ascii="宋体" w:hAnsi="宋体" w:cs="仿宋_GB2312"/>
          <w:color w:val="auto"/>
          <w:sz w:val="24"/>
          <w:highlight w:val="none"/>
        </w:rPr>
        <w:t>附件：法定代表人有效身份证正反面复印件</w:t>
      </w:r>
    </w:p>
    <w:p w14:paraId="6AC23364">
      <w:pPr>
        <w:spacing w:line="360" w:lineRule="auto"/>
        <w:ind w:left="540"/>
        <w:contextualSpacing/>
        <w:rPr>
          <w:rFonts w:hint="eastAsia" w:ascii="宋体" w:hAnsi="宋体" w:cs="仿宋_GB2312"/>
          <w:color w:val="auto"/>
          <w:sz w:val="24"/>
          <w:highlight w:val="none"/>
        </w:rPr>
      </w:pPr>
    </w:p>
    <w:p w14:paraId="1435F201">
      <w:pPr>
        <w:spacing w:line="360" w:lineRule="auto"/>
        <w:ind w:left="540"/>
        <w:contextualSpacing/>
        <w:jc w:val="right"/>
        <w:rPr>
          <w:rFonts w:hint="eastAsia" w:ascii="宋体" w:hAnsi="宋体" w:cs="仿宋_GB2312"/>
          <w:color w:val="auto"/>
          <w:sz w:val="24"/>
          <w:highlight w:val="none"/>
        </w:rPr>
      </w:pPr>
      <w:r>
        <w:rPr>
          <w:rFonts w:hint="eastAsia" w:ascii="宋体" w:hAnsi="宋体" w:cs="仿宋_GB2312"/>
          <w:color w:val="auto"/>
          <w:sz w:val="24"/>
          <w:highlight w:val="none"/>
        </w:rPr>
        <w:t>供应商（电子签章）：</w:t>
      </w:r>
      <w:r>
        <w:rPr>
          <w:rFonts w:hint="eastAsia" w:ascii="宋体" w:hAnsi="宋体" w:cs="仿宋_GB2312"/>
          <w:color w:val="auto"/>
          <w:sz w:val="24"/>
          <w:highlight w:val="none"/>
          <w:u w:val="single"/>
        </w:rPr>
        <w:t xml:space="preserve">               </w:t>
      </w:r>
    </w:p>
    <w:p w14:paraId="4AF966B6">
      <w:pPr>
        <w:spacing w:line="360" w:lineRule="auto"/>
        <w:ind w:firstLine="4080" w:firstLineChars="1700"/>
        <w:contextualSpacing/>
        <w:rPr>
          <w:rFonts w:hint="eastAsia" w:ascii="宋体" w:hAnsi="宋体" w:cs="仿宋_GB2312"/>
          <w:color w:val="auto"/>
          <w:sz w:val="24"/>
          <w:highlight w:val="none"/>
        </w:rPr>
      </w:pP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年</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月</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日</w:t>
      </w:r>
    </w:p>
    <w:p w14:paraId="6FC18F3A">
      <w:pPr>
        <w:spacing w:line="360" w:lineRule="auto"/>
        <w:contextualSpacing/>
        <w:jc w:val="center"/>
        <w:rPr>
          <w:rFonts w:hint="eastAsia" w:ascii="宋体" w:hAnsi="宋体" w:cs="仿宋_GB2312"/>
          <w:b/>
          <w:color w:val="auto"/>
          <w:sz w:val="24"/>
          <w:highlight w:val="none"/>
        </w:rPr>
      </w:pPr>
    </w:p>
    <w:p w14:paraId="26965F36">
      <w:pPr>
        <w:spacing w:line="360" w:lineRule="auto"/>
        <w:contextualSpacing/>
        <w:jc w:val="left"/>
        <w:rPr>
          <w:rFonts w:ascii="宋体" w:hAnsi="宋体" w:cs="仿宋_GB2312"/>
          <w:color w:val="auto"/>
          <w:sz w:val="24"/>
          <w:highlight w:val="none"/>
        </w:rPr>
      </w:pPr>
      <w:r>
        <w:rPr>
          <w:rFonts w:hint="eastAsia" w:ascii="宋体" w:hAnsi="宋体" w:cs="仿宋_GB2312"/>
          <w:color w:val="auto"/>
          <w:sz w:val="24"/>
          <w:highlight w:val="none"/>
        </w:rPr>
        <w:t>注：自然人竞标的无需提供，联合体竞标的只需牵头人出具。</w:t>
      </w:r>
    </w:p>
    <w:p w14:paraId="0611C130">
      <w:pPr>
        <w:adjustRightInd w:val="0"/>
        <w:snapToGrid w:val="0"/>
        <w:spacing w:line="300" w:lineRule="auto"/>
        <w:jc w:val="left"/>
        <w:rPr>
          <w:rFonts w:hint="eastAsia" w:ascii="宋体" w:hAnsi="宋体"/>
          <w:b/>
          <w:color w:val="auto"/>
          <w:szCs w:val="21"/>
          <w:highlight w:val="none"/>
        </w:rPr>
      </w:pPr>
    </w:p>
    <w:p w14:paraId="0BAB3CAC">
      <w:pPr>
        <w:spacing w:line="520" w:lineRule="exact"/>
        <w:jc w:val="center"/>
        <w:rPr>
          <w:rFonts w:hint="eastAsia" w:ascii="方正小标宋简体" w:hAnsi="方正小标宋简体" w:eastAsia="方正小标宋简体" w:cs="方正小标宋简体"/>
          <w:color w:val="auto"/>
          <w:sz w:val="44"/>
          <w:szCs w:val="44"/>
          <w:highlight w:val="none"/>
        </w:rPr>
      </w:pPr>
      <w:r>
        <w:rPr>
          <w:rFonts w:hint="eastAsia" w:ascii="方正小标宋简体" w:hAnsi="方正小标宋简体" w:eastAsia="方正小标宋简体" w:cs="方正小标宋简体"/>
          <w:color w:val="auto"/>
          <w:sz w:val="44"/>
          <w:szCs w:val="44"/>
          <w:highlight w:val="none"/>
        </w:rPr>
        <w:br w:type="page"/>
      </w:r>
      <w:r>
        <w:rPr>
          <w:rFonts w:hint="eastAsia" w:ascii="方正小标宋简体" w:hAnsi="方正小标宋简体" w:eastAsia="方正小标宋简体" w:cs="方正小标宋简体"/>
          <w:color w:val="auto"/>
          <w:sz w:val="44"/>
          <w:szCs w:val="44"/>
          <w:highlight w:val="none"/>
        </w:rPr>
        <w:t>授权委托书</w:t>
      </w:r>
    </w:p>
    <w:p w14:paraId="4EC9DC59">
      <w:pPr>
        <w:spacing w:line="520" w:lineRule="exact"/>
        <w:jc w:val="center"/>
        <w:rPr>
          <w:rFonts w:hint="eastAsia" w:ascii="方正小标宋简体" w:hAnsi="方正小标宋简体" w:eastAsia="方正小标宋简体" w:cs="方正小标宋简体"/>
          <w:color w:val="auto"/>
          <w:sz w:val="44"/>
          <w:szCs w:val="44"/>
          <w:highlight w:val="none"/>
        </w:rPr>
      </w:pPr>
      <w:r>
        <w:rPr>
          <w:rFonts w:hint="eastAsia" w:ascii="方正小标宋简体" w:hAnsi="方正小标宋简体" w:eastAsia="方正小标宋简体" w:cs="方正小标宋简体"/>
          <w:color w:val="auto"/>
          <w:sz w:val="44"/>
          <w:szCs w:val="44"/>
          <w:highlight w:val="none"/>
        </w:rPr>
        <w:t>（非联合体竞标格式）</w:t>
      </w:r>
    </w:p>
    <w:p w14:paraId="2004484A">
      <w:pPr>
        <w:spacing w:line="520" w:lineRule="exact"/>
        <w:jc w:val="center"/>
        <w:rPr>
          <w:rFonts w:hint="eastAsia" w:ascii="方正小标宋简体" w:hAnsi="方正小标宋简体" w:eastAsia="方正小标宋简体" w:cs="方正小标宋简体"/>
          <w:color w:val="auto"/>
          <w:sz w:val="44"/>
          <w:szCs w:val="44"/>
          <w:highlight w:val="none"/>
        </w:rPr>
      </w:pPr>
      <w:r>
        <w:rPr>
          <w:rFonts w:hint="eastAsia" w:ascii="方正小标宋简体" w:hAnsi="方正小标宋简体" w:eastAsia="方正小标宋简体" w:cs="方正小标宋简体"/>
          <w:color w:val="auto"/>
          <w:sz w:val="44"/>
          <w:szCs w:val="44"/>
          <w:highlight w:val="none"/>
        </w:rPr>
        <w:t>（如有委托时）</w:t>
      </w:r>
    </w:p>
    <w:p w14:paraId="613F6110">
      <w:pPr>
        <w:spacing w:line="360" w:lineRule="auto"/>
        <w:contextualSpacing/>
        <w:rPr>
          <w:rFonts w:hint="eastAsia" w:ascii="仿宋_GB2312" w:hAnsi="仿宋_GB2312" w:eastAsia="仿宋_GB2312" w:cs="仿宋_GB2312"/>
          <w:color w:val="auto"/>
          <w:sz w:val="32"/>
          <w:szCs w:val="32"/>
          <w:highlight w:val="none"/>
        </w:rPr>
      </w:pPr>
    </w:p>
    <w:p w14:paraId="372CFAC7">
      <w:pPr>
        <w:spacing w:line="360" w:lineRule="auto"/>
        <w:contextualSpacing/>
        <w:rPr>
          <w:rFonts w:hint="eastAsia" w:ascii="宋体" w:hAnsi="宋体" w:cs="仿宋_GB2312"/>
          <w:color w:val="auto"/>
          <w:sz w:val="24"/>
          <w:highlight w:val="none"/>
        </w:rPr>
      </w:pPr>
      <w:r>
        <w:rPr>
          <w:rFonts w:hint="eastAsia" w:ascii="宋体" w:hAnsi="宋体" w:cs="仿宋_GB2312"/>
          <w:color w:val="auto"/>
          <w:sz w:val="24"/>
          <w:highlight w:val="none"/>
        </w:rPr>
        <w:t>致：</w:t>
      </w:r>
      <w:r>
        <w:rPr>
          <w:rFonts w:hint="eastAsia" w:ascii="宋体" w:hAnsi="宋体" w:cs="仿宋_GB2312"/>
          <w:color w:val="auto"/>
          <w:sz w:val="24"/>
          <w:highlight w:val="none"/>
          <w:u w:val="single"/>
        </w:rPr>
        <w:t>（采购人名称）</w:t>
      </w:r>
      <w:r>
        <w:rPr>
          <w:rFonts w:hint="eastAsia" w:ascii="宋体" w:hAnsi="宋体" w:cs="仿宋_GB2312"/>
          <w:color w:val="auto"/>
          <w:sz w:val="24"/>
          <w:highlight w:val="none"/>
        </w:rPr>
        <w:t>：</w:t>
      </w:r>
    </w:p>
    <w:p w14:paraId="73DEAD6E">
      <w:pPr>
        <w:spacing w:line="360" w:lineRule="auto"/>
        <w:ind w:firstLine="480" w:firstLineChars="200"/>
        <w:contextualSpacing/>
        <w:rPr>
          <w:rFonts w:hint="eastAsia" w:ascii="宋体" w:hAnsi="宋体" w:cs="仿宋_GB2312"/>
          <w:color w:val="auto"/>
          <w:sz w:val="24"/>
          <w:highlight w:val="none"/>
        </w:rPr>
      </w:pPr>
      <w:r>
        <w:rPr>
          <w:rFonts w:hint="eastAsia" w:ascii="宋体" w:hAnsi="宋体" w:cs="仿宋_GB2312"/>
          <w:color w:val="auto"/>
          <w:sz w:val="24"/>
          <w:highlight w:val="none"/>
        </w:rPr>
        <w:t>我</w:t>
      </w:r>
      <w:r>
        <w:rPr>
          <w:rFonts w:hint="eastAsia" w:ascii="宋体" w:hAnsi="宋体" w:cs="仿宋_GB2312"/>
          <w:color w:val="auto"/>
          <w:sz w:val="24"/>
          <w:highlight w:val="none"/>
          <w:u w:val="single"/>
        </w:rPr>
        <w:t xml:space="preserve">  （姓名）  </w:t>
      </w:r>
      <w:r>
        <w:rPr>
          <w:rFonts w:hint="eastAsia" w:ascii="宋体" w:hAnsi="宋体" w:cs="仿宋_GB2312"/>
          <w:color w:val="auto"/>
          <w:sz w:val="24"/>
          <w:highlight w:val="none"/>
        </w:rPr>
        <w:t>系</w:t>
      </w:r>
      <w:r>
        <w:rPr>
          <w:rFonts w:hint="eastAsia" w:ascii="宋体" w:hAnsi="宋体" w:cs="仿宋_GB2312"/>
          <w:color w:val="auto"/>
          <w:sz w:val="24"/>
          <w:highlight w:val="none"/>
          <w:u w:val="single"/>
        </w:rPr>
        <w:t xml:space="preserve">  （供应商名称）  </w:t>
      </w:r>
      <w:r>
        <w:rPr>
          <w:rFonts w:hint="eastAsia" w:ascii="宋体" w:hAnsi="宋体" w:cs="仿宋_GB2312"/>
          <w:color w:val="auto"/>
          <w:sz w:val="24"/>
          <w:highlight w:val="none"/>
        </w:rPr>
        <w:t>的（</w:t>
      </w:r>
      <w:r>
        <w:rPr>
          <w:rFonts w:hint="eastAsia" w:ascii="宋体" w:hAnsi="宋体" w:cs="仿宋_GB2312"/>
          <w:color w:val="auto"/>
          <w:sz w:val="24"/>
          <w:highlight w:val="none"/>
          <w:u w:val="single"/>
        </w:rPr>
        <w:sym w:font="Wingdings 2" w:char="00A3"/>
      </w:r>
      <w:r>
        <w:rPr>
          <w:rFonts w:hint="eastAsia" w:ascii="宋体" w:hAnsi="宋体" w:cs="仿宋_GB2312"/>
          <w:color w:val="auto"/>
          <w:sz w:val="24"/>
          <w:highlight w:val="none"/>
          <w:u w:val="single"/>
        </w:rPr>
        <w:t>法定代表人/□负责人/□自然人本人</w:t>
      </w:r>
      <w:r>
        <w:rPr>
          <w:rFonts w:hint="eastAsia" w:ascii="宋体" w:hAnsi="宋体" w:cs="仿宋_GB2312"/>
          <w:color w:val="auto"/>
          <w:sz w:val="24"/>
          <w:highlight w:val="none"/>
        </w:rPr>
        <w:t>），现授权</w:t>
      </w:r>
      <w:r>
        <w:rPr>
          <w:rFonts w:hint="eastAsia" w:ascii="宋体" w:hAnsi="宋体" w:cs="仿宋_GB2312"/>
          <w:color w:val="auto"/>
          <w:sz w:val="24"/>
          <w:highlight w:val="none"/>
          <w:u w:val="single"/>
        </w:rPr>
        <w:t xml:space="preserve"> （姓名） </w:t>
      </w:r>
      <w:r>
        <w:rPr>
          <w:rFonts w:hint="eastAsia" w:ascii="宋体" w:hAnsi="宋体" w:cs="仿宋_GB2312"/>
          <w:color w:val="auto"/>
          <w:sz w:val="24"/>
          <w:highlight w:val="none"/>
        </w:rPr>
        <w:t>以我方的名义参加</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项目的竞标活动，并代表我方全权办理针对上述项目的所有采购程序和环节的具体事务和签署相关文件。</w:t>
      </w:r>
    </w:p>
    <w:p w14:paraId="3C3F0079">
      <w:pPr>
        <w:spacing w:line="360" w:lineRule="auto"/>
        <w:contextualSpacing/>
        <w:rPr>
          <w:rFonts w:hint="eastAsia" w:ascii="宋体" w:hAnsi="宋体" w:cs="仿宋_GB2312"/>
          <w:color w:val="auto"/>
          <w:sz w:val="24"/>
          <w:highlight w:val="none"/>
        </w:rPr>
      </w:pPr>
      <w:r>
        <w:rPr>
          <w:rFonts w:hint="eastAsia" w:ascii="宋体" w:hAnsi="宋体" w:cs="仿宋_GB2312"/>
          <w:color w:val="auto"/>
          <w:sz w:val="24"/>
          <w:highlight w:val="none"/>
        </w:rPr>
        <w:t xml:space="preserve">    我方对委托代理人的</w:t>
      </w:r>
      <w:r>
        <w:rPr>
          <w:rFonts w:hint="eastAsia" w:ascii="宋体" w:hAnsi="宋体"/>
          <w:color w:val="auto"/>
          <w:sz w:val="24"/>
          <w:highlight w:val="none"/>
        </w:rPr>
        <w:t>签字或者电子签名</w:t>
      </w:r>
      <w:r>
        <w:rPr>
          <w:rFonts w:hint="eastAsia" w:ascii="宋体" w:hAnsi="宋体" w:cs="仿宋_GB2312"/>
          <w:color w:val="auto"/>
          <w:sz w:val="24"/>
          <w:highlight w:val="none"/>
        </w:rPr>
        <w:t>事项负全部责任。</w:t>
      </w:r>
    </w:p>
    <w:p w14:paraId="5CE78966">
      <w:pPr>
        <w:spacing w:line="360" w:lineRule="auto"/>
        <w:ind w:firstLine="480" w:firstLineChars="200"/>
        <w:contextualSpacing/>
        <w:rPr>
          <w:rFonts w:hint="eastAsia" w:ascii="宋体" w:hAnsi="宋体" w:cs="仿宋_GB2312"/>
          <w:color w:val="auto"/>
          <w:sz w:val="24"/>
          <w:highlight w:val="none"/>
        </w:rPr>
      </w:pPr>
      <w:r>
        <w:rPr>
          <w:rFonts w:hint="eastAsia" w:ascii="宋体" w:hAnsi="宋体" w:cs="仿宋_GB2312"/>
          <w:color w:val="auto"/>
          <w:sz w:val="24"/>
          <w:highlight w:val="none"/>
        </w:rPr>
        <w:t>本授权书自签署之日起生效，在撤销授权的书面通知以前，本授权书一直有效。委托代理人在授权书有效期内签署的所有文件不因授权的撤销而失效。</w:t>
      </w:r>
    </w:p>
    <w:p w14:paraId="4D659C90">
      <w:pPr>
        <w:spacing w:line="360" w:lineRule="auto"/>
        <w:ind w:firstLine="480" w:firstLineChars="200"/>
        <w:contextualSpacing/>
        <w:rPr>
          <w:rFonts w:hint="eastAsia" w:ascii="宋体" w:hAnsi="宋体" w:cs="仿宋_GB2312"/>
          <w:color w:val="auto"/>
          <w:sz w:val="24"/>
          <w:highlight w:val="none"/>
        </w:rPr>
      </w:pPr>
      <w:r>
        <w:rPr>
          <w:rFonts w:hint="eastAsia" w:ascii="宋体" w:hAnsi="宋体" w:cs="仿宋_GB2312"/>
          <w:color w:val="auto"/>
          <w:sz w:val="24"/>
          <w:highlight w:val="none"/>
        </w:rPr>
        <w:t>委托代理人无转委托权，特此委托。</w:t>
      </w:r>
    </w:p>
    <w:p w14:paraId="01829A03">
      <w:pPr>
        <w:spacing w:line="360" w:lineRule="auto"/>
        <w:ind w:firstLine="480" w:firstLineChars="200"/>
        <w:contextualSpacing/>
        <w:rPr>
          <w:rFonts w:hint="eastAsia" w:ascii="宋体" w:hAnsi="宋体" w:cs="仿宋_GB2312"/>
          <w:color w:val="auto"/>
          <w:sz w:val="24"/>
          <w:highlight w:val="none"/>
        </w:rPr>
      </w:pPr>
      <w:r>
        <w:rPr>
          <w:rFonts w:hint="eastAsia" w:ascii="宋体" w:hAnsi="宋体" w:cs="仿宋_GB2312"/>
          <w:color w:val="auto"/>
          <w:sz w:val="24"/>
          <w:highlight w:val="none"/>
        </w:rPr>
        <w:t>附：法定代表人身份证明书及委托代理人有效身份证正反面复印件</w:t>
      </w:r>
    </w:p>
    <w:p w14:paraId="11CDE5E0">
      <w:pPr>
        <w:spacing w:line="360" w:lineRule="auto"/>
        <w:contextualSpacing/>
        <w:rPr>
          <w:rFonts w:hint="eastAsia" w:ascii="宋体" w:hAnsi="宋体" w:cs="仿宋_GB2312"/>
          <w:color w:val="auto"/>
          <w:sz w:val="24"/>
          <w:highlight w:val="none"/>
        </w:rPr>
      </w:pPr>
    </w:p>
    <w:p w14:paraId="012AF69D">
      <w:pPr>
        <w:spacing w:line="360" w:lineRule="auto"/>
        <w:contextualSpacing/>
        <w:rPr>
          <w:rFonts w:hint="eastAsia" w:ascii="宋体" w:hAnsi="宋体" w:cs="仿宋_GB2312"/>
          <w:color w:val="auto"/>
          <w:sz w:val="24"/>
          <w:highlight w:val="none"/>
        </w:rPr>
      </w:pPr>
      <w:r>
        <w:rPr>
          <w:rFonts w:hint="eastAsia" w:ascii="宋体" w:hAnsi="宋体" w:cs="仿宋_GB2312"/>
          <w:color w:val="auto"/>
          <w:sz w:val="24"/>
          <w:highlight w:val="none"/>
        </w:rPr>
        <w:t>委托代理人（</w:t>
      </w:r>
      <w:r>
        <w:rPr>
          <w:rFonts w:hint="eastAsia" w:ascii="宋体" w:hAnsi="宋体"/>
          <w:color w:val="auto"/>
          <w:sz w:val="24"/>
          <w:highlight w:val="none"/>
        </w:rPr>
        <w:t>签字或者电子签名</w:t>
      </w:r>
      <w:r>
        <w:rPr>
          <w:rFonts w:hint="eastAsia" w:ascii="宋体" w:hAnsi="宋体" w:cs="仿宋_GB2312"/>
          <w:color w:val="auto"/>
          <w:sz w:val="24"/>
          <w:highlight w:val="none"/>
        </w:rPr>
        <w:t xml:space="preserve">）：     法定代表人（签字或者盖章或者电子签名）：                    </w:t>
      </w:r>
    </w:p>
    <w:p w14:paraId="4366EA01">
      <w:pPr>
        <w:spacing w:line="360" w:lineRule="auto"/>
        <w:contextualSpacing/>
        <w:rPr>
          <w:rFonts w:hint="eastAsia" w:ascii="宋体" w:hAnsi="宋体" w:cs="仿宋_GB2312"/>
          <w:color w:val="auto"/>
          <w:sz w:val="24"/>
          <w:highlight w:val="none"/>
        </w:rPr>
      </w:pPr>
      <w:r>
        <w:rPr>
          <w:rFonts w:hint="eastAsia" w:ascii="宋体" w:hAnsi="宋体" w:cs="仿宋_GB2312"/>
          <w:color w:val="auto"/>
          <w:sz w:val="24"/>
          <w:highlight w:val="none"/>
        </w:rPr>
        <w:t xml:space="preserve">委托代理人身份证号码：                              </w:t>
      </w:r>
    </w:p>
    <w:p w14:paraId="7F5489EC">
      <w:pPr>
        <w:spacing w:line="360" w:lineRule="auto"/>
        <w:contextualSpacing/>
        <w:rPr>
          <w:rFonts w:hint="eastAsia" w:ascii="宋体" w:hAnsi="宋体" w:cs="仿宋_GB2312"/>
          <w:color w:val="auto"/>
          <w:sz w:val="24"/>
          <w:highlight w:val="none"/>
        </w:rPr>
      </w:pPr>
      <w:r>
        <w:rPr>
          <w:rFonts w:hint="eastAsia" w:ascii="宋体" w:hAnsi="宋体" w:cs="仿宋_GB2312"/>
          <w:color w:val="auto"/>
          <w:sz w:val="24"/>
          <w:highlight w:val="none"/>
        </w:rPr>
        <w:t xml:space="preserve">                                </w:t>
      </w:r>
    </w:p>
    <w:p w14:paraId="38B96070">
      <w:pPr>
        <w:spacing w:line="360" w:lineRule="auto"/>
        <w:contextualSpacing/>
        <w:rPr>
          <w:rFonts w:hint="eastAsia" w:ascii="宋体" w:hAnsi="宋体" w:cs="仿宋_GB2312"/>
          <w:color w:val="auto"/>
          <w:sz w:val="24"/>
          <w:highlight w:val="none"/>
        </w:rPr>
      </w:pPr>
      <w:r>
        <w:rPr>
          <w:rFonts w:hint="eastAsia" w:ascii="宋体" w:hAnsi="宋体" w:cs="仿宋_GB2312"/>
          <w:color w:val="auto"/>
          <w:sz w:val="24"/>
          <w:highlight w:val="none"/>
        </w:rPr>
        <w:t xml:space="preserve">                         供应商（电子签章）：                      </w:t>
      </w:r>
    </w:p>
    <w:p w14:paraId="4FB231A8">
      <w:pPr>
        <w:spacing w:line="360" w:lineRule="auto"/>
        <w:contextualSpacing/>
        <w:rPr>
          <w:rFonts w:hint="eastAsia" w:ascii="宋体" w:hAnsi="宋体" w:cs="仿宋_GB2312"/>
          <w:color w:val="auto"/>
          <w:sz w:val="24"/>
          <w:highlight w:val="none"/>
        </w:rPr>
      </w:pPr>
      <w:r>
        <w:rPr>
          <w:rFonts w:hint="eastAsia" w:ascii="宋体" w:hAnsi="宋体" w:cs="仿宋_GB2312"/>
          <w:color w:val="auto"/>
          <w:sz w:val="24"/>
          <w:highlight w:val="none"/>
        </w:rPr>
        <w:t xml:space="preserve">                                         年    月    日</w:t>
      </w:r>
    </w:p>
    <w:p w14:paraId="2F2592A5">
      <w:pPr>
        <w:spacing w:line="360" w:lineRule="auto"/>
        <w:contextualSpacing/>
        <w:rPr>
          <w:rFonts w:hint="eastAsia" w:ascii="宋体" w:hAnsi="宋体" w:cs="仿宋_GB2312"/>
          <w:color w:val="auto"/>
          <w:sz w:val="24"/>
          <w:highlight w:val="none"/>
        </w:rPr>
      </w:pPr>
    </w:p>
    <w:p w14:paraId="7B475AD4">
      <w:pPr>
        <w:spacing w:line="360" w:lineRule="auto"/>
        <w:contextualSpacing/>
        <w:rPr>
          <w:rFonts w:ascii="宋体" w:hAnsi="宋体" w:cs="仿宋_GB2312"/>
          <w:color w:val="auto"/>
          <w:sz w:val="24"/>
          <w:highlight w:val="none"/>
        </w:rPr>
      </w:pPr>
      <w:r>
        <w:rPr>
          <w:rFonts w:hint="eastAsia" w:ascii="宋体" w:hAnsi="宋体" w:cs="仿宋_GB2312"/>
          <w:color w:val="auto"/>
          <w:sz w:val="24"/>
          <w:highlight w:val="none"/>
        </w:rPr>
        <w:t>注：1. 法定代表人必须在授权委托书上签字或者盖章</w:t>
      </w:r>
      <w:r>
        <w:rPr>
          <w:rFonts w:hint="eastAsia" w:ascii="宋体" w:hAnsi="宋体"/>
          <w:color w:val="auto"/>
          <w:sz w:val="24"/>
          <w:highlight w:val="none"/>
        </w:rPr>
        <w:t>或者电子签名</w:t>
      </w:r>
      <w:r>
        <w:rPr>
          <w:rFonts w:hint="eastAsia" w:ascii="宋体" w:hAnsi="宋体" w:cs="仿宋_GB2312"/>
          <w:color w:val="auto"/>
          <w:sz w:val="24"/>
          <w:highlight w:val="none"/>
        </w:rPr>
        <w:t>，委托代理人必须在授权委托书上签字或者电子签名，</w:t>
      </w:r>
      <w:r>
        <w:rPr>
          <w:rFonts w:hint="eastAsia" w:ascii="宋体" w:hAnsi="宋体" w:cs="仿宋_GB2312"/>
          <w:b/>
          <w:color w:val="auto"/>
          <w:sz w:val="24"/>
          <w:highlight w:val="none"/>
        </w:rPr>
        <w:t>否则其响应文件按无效响应处理。</w:t>
      </w:r>
    </w:p>
    <w:p w14:paraId="2E857D61">
      <w:pPr>
        <w:spacing w:line="360" w:lineRule="auto"/>
        <w:ind w:firstLine="480" w:firstLineChars="200"/>
        <w:contextualSpacing/>
        <w:jc w:val="left"/>
        <w:rPr>
          <w:rFonts w:hint="eastAsia" w:ascii="宋体" w:hAnsi="宋体" w:cs="仿宋_GB2312"/>
          <w:color w:val="auto"/>
          <w:sz w:val="24"/>
          <w:highlight w:val="none"/>
        </w:rPr>
      </w:pPr>
      <w:r>
        <w:rPr>
          <w:rFonts w:ascii="宋体" w:hAnsi="宋体" w:cs="仿宋_GB2312"/>
          <w:color w:val="auto"/>
          <w:sz w:val="24"/>
          <w:highlight w:val="none"/>
        </w:rPr>
        <w:t>2.</w:t>
      </w:r>
      <w:r>
        <w:rPr>
          <w:rFonts w:hint="eastAsia" w:ascii="宋体" w:hAnsi="宋体" w:cs="仿宋_GB2312"/>
          <w:color w:val="auto"/>
          <w:sz w:val="24"/>
          <w:highlight w:val="none"/>
        </w:rPr>
        <w:t>法人、其他组织竞标时“我方”是指“我单位”，自然人竞标时“我方”是指“本人”。</w:t>
      </w:r>
    </w:p>
    <w:p w14:paraId="2BD6AA0B">
      <w:pPr>
        <w:spacing w:line="360" w:lineRule="auto"/>
        <w:ind w:firstLine="420" w:firstLineChars="200"/>
        <w:contextualSpacing/>
        <w:jc w:val="left"/>
        <w:rPr>
          <w:rFonts w:hint="eastAsia" w:ascii="仿宋_GB2312" w:hAnsi="仿宋_GB2312" w:eastAsia="仿宋_GB2312" w:cs="仿宋_GB2312"/>
          <w:color w:val="auto"/>
          <w:szCs w:val="21"/>
          <w:highlight w:val="none"/>
        </w:rPr>
      </w:pPr>
    </w:p>
    <w:p w14:paraId="55E73463">
      <w:pPr>
        <w:spacing w:line="500" w:lineRule="exact"/>
        <w:jc w:val="center"/>
        <w:rPr>
          <w:rFonts w:hint="eastAsia" w:ascii="方正小标宋简体" w:hAnsi="方正小标宋简体" w:eastAsia="方正小标宋简体" w:cs="方正小标宋简体"/>
          <w:bCs/>
          <w:color w:val="auto"/>
          <w:sz w:val="44"/>
          <w:szCs w:val="44"/>
          <w:highlight w:val="none"/>
        </w:rPr>
      </w:pPr>
      <w:r>
        <w:rPr>
          <w:rFonts w:ascii="仿宋_GB2312" w:hAnsi="仿宋_GB2312" w:eastAsia="仿宋_GB2312" w:cs="仿宋_GB2312"/>
          <w:color w:val="auto"/>
          <w:szCs w:val="21"/>
          <w:highlight w:val="none"/>
        </w:rPr>
        <w:br w:type="page"/>
      </w:r>
      <w:r>
        <w:rPr>
          <w:rFonts w:hint="eastAsia" w:ascii="方正小标宋简体" w:hAnsi="方正小标宋简体" w:eastAsia="方正小标宋简体" w:cs="方正小标宋简体"/>
          <w:bCs/>
          <w:color w:val="auto"/>
          <w:sz w:val="44"/>
          <w:szCs w:val="44"/>
          <w:highlight w:val="none"/>
        </w:rPr>
        <w:t>商务要求偏离表格式</w:t>
      </w:r>
    </w:p>
    <w:p w14:paraId="5C2ABFC7">
      <w:pPr>
        <w:spacing w:line="500" w:lineRule="exact"/>
        <w:jc w:val="center"/>
        <w:rPr>
          <w:rFonts w:ascii="宋体" w:hAnsi="宋体"/>
          <w:b/>
          <w:i/>
          <w:color w:val="auto"/>
          <w:sz w:val="32"/>
          <w:szCs w:val="32"/>
          <w:highlight w:val="none"/>
        </w:rPr>
      </w:pPr>
      <w:r>
        <w:rPr>
          <w:rFonts w:hint="eastAsia" w:ascii="方正小标宋简体" w:hAnsi="方正小标宋简体" w:eastAsia="方正小标宋简体" w:cs="方正小标宋简体"/>
          <w:bCs/>
          <w:i/>
          <w:color w:val="auto"/>
          <w:sz w:val="32"/>
          <w:szCs w:val="32"/>
          <w:highlight w:val="none"/>
        </w:rPr>
        <w:t>（注：按采购需求具体条款修改）</w:t>
      </w:r>
    </w:p>
    <w:p w14:paraId="3BCE2CB0">
      <w:pPr>
        <w:snapToGrid w:val="0"/>
        <w:spacing w:before="50"/>
        <w:jc w:val="left"/>
        <w:rPr>
          <w:rFonts w:hint="eastAsia" w:ascii="宋体" w:hAnsi="宋体"/>
          <w:color w:val="auto"/>
          <w:sz w:val="24"/>
          <w:highlight w:val="none"/>
        </w:rPr>
      </w:pPr>
    </w:p>
    <w:p w14:paraId="28A4EF01">
      <w:pPr>
        <w:pStyle w:val="15"/>
        <w:spacing w:line="360" w:lineRule="auto"/>
        <w:rPr>
          <w:rFonts w:hint="eastAsia" w:hAnsi="宋体" w:cs="仿宋_GB2312"/>
          <w:color w:val="auto"/>
          <w:sz w:val="24"/>
          <w:szCs w:val="24"/>
          <w:highlight w:val="none"/>
        </w:rPr>
      </w:pPr>
      <w:r>
        <w:rPr>
          <w:rFonts w:hint="eastAsia" w:hAnsi="宋体" w:cs="仿宋_GB2312"/>
          <w:color w:val="auto"/>
          <w:sz w:val="24"/>
          <w:szCs w:val="24"/>
          <w:highlight w:val="none"/>
        </w:rPr>
        <w:t>所竞分标：</w:t>
      </w:r>
      <w:r>
        <w:rPr>
          <w:rFonts w:hint="eastAsia" w:hAnsi="宋体" w:cs="仿宋_GB2312"/>
          <w:color w:val="auto"/>
          <w:sz w:val="24"/>
          <w:szCs w:val="24"/>
          <w:highlight w:val="none"/>
          <w:u w:val="single"/>
        </w:rPr>
        <w:t xml:space="preserve">              </w:t>
      </w:r>
    </w:p>
    <w:tbl>
      <w:tblPr>
        <w:tblStyle w:val="24"/>
        <w:tblW w:w="9308"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178"/>
        <w:gridCol w:w="2668"/>
        <w:gridCol w:w="2633"/>
        <w:gridCol w:w="1829"/>
      </w:tblGrid>
      <w:tr w14:paraId="7EC42DC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2" w:hRule="atLeast"/>
        </w:trPr>
        <w:tc>
          <w:tcPr>
            <w:tcW w:w="2178" w:type="dxa"/>
            <w:tcBorders>
              <w:top w:val="single" w:color="auto" w:sz="4" w:space="0"/>
              <w:left w:val="single" w:color="auto" w:sz="4" w:space="0"/>
              <w:bottom w:val="single" w:color="auto" w:sz="4" w:space="0"/>
              <w:right w:val="single" w:color="auto" w:sz="4" w:space="0"/>
            </w:tcBorders>
            <w:noWrap w:val="0"/>
            <w:vAlign w:val="center"/>
          </w:tcPr>
          <w:p w14:paraId="7CC3E90D">
            <w:pPr>
              <w:snapToGrid w:val="0"/>
              <w:spacing w:before="120" w:beforeLines="50" w:line="360" w:lineRule="auto"/>
              <w:jc w:val="center"/>
              <w:rPr>
                <w:rFonts w:hint="eastAsia" w:ascii="宋体" w:hAnsi="宋体" w:cs="仿宋_GB2312"/>
                <w:color w:val="auto"/>
                <w:sz w:val="24"/>
                <w:highlight w:val="none"/>
              </w:rPr>
            </w:pPr>
            <w:r>
              <w:rPr>
                <w:rFonts w:hint="eastAsia" w:ascii="宋体" w:hAnsi="宋体" w:cs="仿宋_GB2312"/>
                <w:color w:val="auto"/>
                <w:sz w:val="24"/>
                <w:highlight w:val="none"/>
              </w:rPr>
              <w:t>项目</w:t>
            </w:r>
          </w:p>
        </w:tc>
        <w:tc>
          <w:tcPr>
            <w:tcW w:w="2668" w:type="dxa"/>
            <w:tcBorders>
              <w:top w:val="single" w:color="auto" w:sz="4" w:space="0"/>
              <w:left w:val="single" w:color="auto" w:sz="4" w:space="0"/>
              <w:bottom w:val="single" w:color="auto" w:sz="4" w:space="0"/>
              <w:right w:val="single" w:color="auto" w:sz="4" w:space="0"/>
            </w:tcBorders>
            <w:noWrap w:val="0"/>
            <w:vAlign w:val="center"/>
          </w:tcPr>
          <w:p w14:paraId="09E1984B">
            <w:pPr>
              <w:snapToGrid w:val="0"/>
              <w:spacing w:before="120" w:beforeLines="50" w:line="360" w:lineRule="auto"/>
              <w:jc w:val="center"/>
              <w:rPr>
                <w:rFonts w:hint="eastAsia" w:ascii="宋体" w:hAnsi="宋体" w:cs="仿宋_GB2312"/>
                <w:color w:val="auto"/>
                <w:sz w:val="24"/>
                <w:highlight w:val="none"/>
              </w:rPr>
            </w:pPr>
            <w:r>
              <w:rPr>
                <w:rFonts w:hint="eastAsia" w:ascii="宋体" w:hAnsi="宋体" w:cs="仿宋_GB2312"/>
                <w:color w:val="auto"/>
                <w:sz w:val="24"/>
                <w:highlight w:val="none"/>
              </w:rPr>
              <w:t>谈判文件商务要求</w:t>
            </w:r>
          </w:p>
        </w:tc>
        <w:tc>
          <w:tcPr>
            <w:tcW w:w="2633" w:type="dxa"/>
            <w:tcBorders>
              <w:top w:val="single" w:color="auto" w:sz="4" w:space="0"/>
              <w:left w:val="single" w:color="auto" w:sz="4" w:space="0"/>
              <w:bottom w:val="single" w:color="auto" w:sz="4" w:space="0"/>
              <w:right w:val="single" w:color="auto" w:sz="4" w:space="0"/>
            </w:tcBorders>
            <w:noWrap w:val="0"/>
            <w:vAlign w:val="center"/>
          </w:tcPr>
          <w:p w14:paraId="7A663075">
            <w:pPr>
              <w:snapToGrid w:val="0"/>
              <w:spacing w:before="120" w:beforeLines="50" w:line="360" w:lineRule="auto"/>
              <w:jc w:val="center"/>
              <w:rPr>
                <w:rFonts w:hint="eastAsia" w:ascii="宋体" w:hAnsi="宋体" w:cs="仿宋_GB2312"/>
                <w:color w:val="auto"/>
                <w:sz w:val="24"/>
                <w:highlight w:val="none"/>
              </w:rPr>
            </w:pPr>
            <w:r>
              <w:rPr>
                <w:rFonts w:hint="eastAsia" w:ascii="宋体" w:hAnsi="宋体" w:cs="仿宋_GB2312"/>
                <w:color w:val="auto"/>
                <w:sz w:val="24"/>
                <w:highlight w:val="none"/>
              </w:rPr>
              <w:t>供应商的响应</w:t>
            </w:r>
          </w:p>
        </w:tc>
        <w:tc>
          <w:tcPr>
            <w:tcW w:w="1829" w:type="dxa"/>
            <w:tcBorders>
              <w:top w:val="single" w:color="auto" w:sz="4" w:space="0"/>
              <w:left w:val="single" w:color="auto" w:sz="4" w:space="0"/>
              <w:bottom w:val="single" w:color="auto" w:sz="4" w:space="0"/>
              <w:right w:val="single" w:color="auto" w:sz="4" w:space="0"/>
            </w:tcBorders>
            <w:noWrap w:val="0"/>
            <w:vAlign w:val="center"/>
          </w:tcPr>
          <w:p w14:paraId="55A49922">
            <w:pPr>
              <w:snapToGrid w:val="0"/>
              <w:spacing w:before="120" w:beforeLines="50" w:line="360" w:lineRule="auto"/>
              <w:jc w:val="center"/>
              <w:rPr>
                <w:rFonts w:hint="eastAsia" w:ascii="宋体" w:hAnsi="宋体" w:cs="仿宋_GB2312"/>
                <w:color w:val="auto"/>
                <w:sz w:val="24"/>
                <w:highlight w:val="none"/>
              </w:rPr>
            </w:pPr>
            <w:r>
              <w:rPr>
                <w:rFonts w:hint="eastAsia" w:ascii="宋体" w:hAnsi="宋体" w:cs="仿宋_GB2312"/>
                <w:color w:val="auto"/>
                <w:sz w:val="24"/>
                <w:highlight w:val="none"/>
              </w:rPr>
              <w:t>偏离说明</w:t>
            </w:r>
          </w:p>
        </w:tc>
      </w:tr>
      <w:tr w14:paraId="6C739AF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9" w:hRule="atLeast"/>
        </w:trPr>
        <w:tc>
          <w:tcPr>
            <w:tcW w:w="2178" w:type="dxa"/>
            <w:tcBorders>
              <w:top w:val="single" w:color="auto" w:sz="4" w:space="0"/>
              <w:left w:val="single" w:color="auto" w:sz="4" w:space="0"/>
              <w:bottom w:val="single" w:color="auto" w:sz="4" w:space="0"/>
              <w:right w:val="single" w:color="auto" w:sz="4" w:space="0"/>
            </w:tcBorders>
            <w:noWrap w:val="0"/>
            <w:vAlign w:val="center"/>
          </w:tcPr>
          <w:p w14:paraId="611C8BB5">
            <w:pPr>
              <w:jc w:val="center"/>
              <w:rPr>
                <w:rFonts w:ascii="宋体" w:hAnsi="宋体"/>
                <w:color w:val="auto"/>
                <w:sz w:val="24"/>
                <w:highlight w:val="none"/>
              </w:rPr>
            </w:pPr>
          </w:p>
        </w:tc>
        <w:tc>
          <w:tcPr>
            <w:tcW w:w="2668" w:type="dxa"/>
            <w:tcBorders>
              <w:top w:val="single" w:color="auto" w:sz="4" w:space="0"/>
              <w:left w:val="single" w:color="auto" w:sz="4" w:space="0"/>
              <w:bottom w:val="single" w:color="auto" w:sz="4" w:space="0"/>
              <w:right w:val="single" w:color="auto" w:sz="4" w:space="0"/>
            </w:tcBorders>
            <w:noWrap w:val="0"/>
            <w:vAlign w:val="center"/>
          </w:tcPr>
          <w:p w14:paraId="1F6A9D2C">
            <w:pPr>
              <w:jc w:val="center"/>
              <w:rPr>
                <w:rFonts w:ascii="宋体" w:hAnsi="宋体"/>
                <w:color w:val="auto"/>
                <w:sz w:val="24"/>
                <w:highlight w:val="none"/>
              </w:rPr>
            </w:pPr>
          </w:p>
        </w:tc>
        <w:tc>
          <w:tcPr>
            <w:tcW w:w="2633" w:type="dxa"/>
            <w:tcBorders>
              <w:top w:val="single" w:color="auto" w:sz="4" w:space="0"/>
              <w:left w:val="single" w:color="auto" w:sz="4" w:space="0"/>
              <w:bottom w:val="single" w:color="auto" w:sz="4" w:space="0"/>
              <w:right w:val="single" w:color="auto" w:sz="4" w:space="0"/>
            </w:tcBorders>
            <w:noWrap w:val="0"/>
            <w:vAlign w:val="center"/>
          </w:tcPr>
          <w:p w14:paraId="09C923AB">
            <w:pPr>
              <w:snapToGrid w:val="0"/>
              <w:spacing w:before="120" w:beforeLines="50" w:line="360" w:lineRule="auto"/>
              <w:jc w:val="center"/>
              <w:rPr>
                <w:rFonts w:hint="eastAsia" w:ascii="宋体" w:hAnsi="宋体" w:cs="仿宋_GB2312"/>
                <w:color w:val="auto"/>
                <w:sz w:val="24"/>
                <w:highlight w:val="none"/>
              </w:rPr>
            </w:pPr>
          </w:p>
        </w:tc>
        <w:tc>
          <w:tcPr>
            <w:tcW w:w="1829" w:type="dxa"/>
            <w:tcBorders>
              <w:top w:val="single" w:color="auto" w:sz="4" w:space="0"/>
              <w:left w:val="single" w:color="auto" w:sz="4" w:space="0"/>
              <w:bottom w:val="single" w:color="auto" w:sz="4" w:space="0"/>
              <w:right w:val="single" w:color="auto" w:sz="4" w:space="0"/>
            </w:tcBorders>
            <w:noWrap w:val="0"/>
            <w:vAlign w:val="center"/>
          </w:tcPr>
          <w:p w14:paraId="0F9921C8">
            <w:pPr>
              <w:snapToGrid w:val="0"/>
              <w:spacing w:before="120" w:beforeLines="50" w:line="360" w:lineRule="auto"/>
              <w:jc w:val="center"/>
              <w:rPr>
                <w:rFonts w:hint="eastAsia" w:ascii="宋体" w:hAnsi="宋体" w:cs="仿宋_GB2312"/>
                <w:color w:val="auto"/>
                <w:sz w:val="24"/>
                <w:highlight w:val="none"/>
              </w:rPr>
            </w:pPr>
          </w:p>
        </w:tc>
      </w:tr>
      <w:tr w14:paraId="16D2F8C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8" w:hRule="atLeast"/>
        </w:trPr>
        <w:tc>
          <w:tcPr>
            <w:tcW w:w="2178" w:type="dxa"/>
            <w:tcBorders>
              <w:top w:val="single" w:color="auto" w:sz="4" w:space="0"/>
              <w:left w:val="single" w:color="auto" w:sz="4" w:space="0"/>
              <w:bottom w:val="single" w:color="auto" w:sz="4" w:space="0"/>
              <w:right w:val="single" w:color="auto" w:sz="4" w:space="0"/>
            </w:tcBorders>
            <w:noWrap w:val="0"/>
            <w:vAlign w:val="center"/>
          </w:tcPr>
          <w:p w14:paraId="796BFB72">
            <w:pPr>
              <w:jc w:val="center"/>
              <w:rPr>
                <w:rFonts w:ascii="宋体" w:hAnsi="宋体"/>
                <w:color w:val="auto"/>
                <w:sz w:val="24"/>
                <w:highlight w:val="none"/>
              </w:rPr>
            </w:pPr>
          </w:p>
        </w:tc>
        <w:tc>
          <w:tcPr>
            <w:tcW w:w="2668" w:type="dxa"/>
            <w:tcBorders>
              <w:top w:val="single" w:color="auto" w:sz="4" w:space="0"/>
              <w:left w:val="single" w:color="auto" w:sz="4" w:space="0"/>
              <w:bottom w:val="single" w:color="auto" w:sz="4" w:space="0"/>
              <w:right w:val="single" w:color="auto" w:sz="4" w:space="0"/>
            </w:tcBorders>
            <w:noWrap w:val="0"/>
            <w:vAlign w:val="center"/>
          </w:tcPr>
          <w:p w14:paraId="218F0122">
            <w:pPr>
              <w:jc w:val="center"/>
              <w:rPr>
                <w:rFonts w:ascii="宋体" w:hAnsi="宋体"/>
                <w:color w:val="auto"/>
                <w:sz w:val="24"/>
                <w:highlight w:val="none"/>
              </w:rPr>
            </w:pPr>
          </w:p>
        </w:tc>
        <w:tc>
          <w:tcPr>
            <w:tcW w:w="2633" w:type="dxa"/>
            <w:tcBorders>
              <w:top w:val="single" w:color="auto" w:sz="4" w:space="0"/>
              <w:left w:val="single" w:color="auto" w:sz="4" w:space="0"/>
              <w:bottom w:val="single" w:color="auto" w:sz="4" w:space="0"/>
              <w:right w:val="single" w:color="auto" w:sz="4" w:space="0"/>
            </w:tcBorders>
            <w:noWrap w:val="0"/>
            <w:vAlign w:val="center"/>
          </w:tcPr>
          <w:p w14:paraId="1891AFCD">
            <w:pPr>
              <w:snapToGrid w:val="0"/>
              <w:spacing w:before="120" w:beforeLines="50" w:line="360" w:lineRule="auto"/>
              <w:ind w:left="43"/>
              <w:jc w:val="center"/>
              <w:rPr>
                <w:rFonts w:hint="eastAsia" w:ascii="宋体" w:hAnsi="宋体" w:cs="仿宋_GB2312"/>
                <w:color w:val="auto"/>
                <w:sz w:val="24"/>
                <w:highlight w:val="none"/>
              </w:rPr>
            </w:pPr>
          </w:p>
        </w:tc>
        <w:tc>
          <w:tcPr>
            <w:tcW w:w="1829" w:type="dxa"/>
            <w:tcBorders>
              <w:top w:val="single" w:color="auto" w:sz="4" w:space="0"/>
              <w:left w:val="single" w:color="auto" w:sz="4" w:space="0"/>
              <w:bottom w:val="single" w:color="auto" w:sz="4" w:space="0"/>
              <w:right w:val="single" w:color="auto" w:sz="4" w:space="0"/>
            </w:tcBorders>
            <w:noWrap w:val="0"/>
            <w:vAlign w:val="center"/>
          </w:tcPr>
          <w:p w14:paraId="333AA761">
            <w:pPr>
              <w:snapToGrid w:val="0"/>
              <w:spacing w:before="120" w:beforeLines="50" w:line="360" w:lineRule="auto"/>
              <w:ind w:left="43"/>
              <w:jc w:val="center"/>
              <w:rPr>
                <w:rFonts w:hint="eastAsia" w:ascii="宋体" w:hAnsi="宋体" w:cs="仿宋_GB2312"/>
                <w:color w:val="auto"/>
                <w:sz w:val="24"/>
                <w:highlight w:val="none"/>
              </w:rPr>
            </w:pPr>
          </w:p>
        </w:tc>
      </w:tr>
      <w:tr w14:paraId="493E097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178" w:type="dxa"/>
            <w:tcBorders>
              <w:top w:val="single" w:color="auto" w:sz="4" w:space="0"/>
              <w:left w:val="single" w:color="auto" w:sz="4" w:space="0"/>
              <w:bottom w:val="single" w:color="auto" w:sz="4" w:space="0"/>
              <w:right w:val="single" w:color="auto" w:sz="4" w:space="0"/>
            </w:tcBorders>
            <w:noWrap w:val="0"/>
            <w:vAlign w:val="center"/>
          </w:tcPr>
          <w:p w14:paraId="569DB12E">
            <w:pPr>
              <w:snapToGrid w:val="0"/>
              <w:spacing w:before="120" w:beforeLines="50" w:line="360" w:lineRule="auto"/>
              <w:jc w:val="center"/>
              <w:rPr>
                <w:rFonts w:hint="eastAsia" w:ascii="宋体" w:hAnsi="宋体" w:cs="仿宋_GB2312"/>
                <w:color w:val="auto"/>
                <w:sz w:val="24"/>
                <w:highlight w:val="none"/>
              </w:rPr>
            </w:pPr>
            <w:r>
              <w:rPr>
                <w:rFonts w:hint="eastAsia" w:ascii="宋体" w:hAnsi="宋体" w:cs="仿宋_GB2312"/>
                <w:color w:val="auto"/>
                <w:sz w:val="24"/>
                <w:highlight w:val="none"/>
              </w:rPr>
              <w:t>…</w:t>
            </w:r>
          </w:p>
        </w:tc>
        <w:tc>
          <w:tcPr>
            <w:tcW w:w="2668" w:type="dxa"/>
            <w:tcBorders>
              <w:top w:val="single" w:color="auto" w:sz="4" w:space="0"/>
              <w:left w:val="single" w:color="auto" w:sz="4" w:space="0"/>
              <w:bottom w:val="single" w:color="auto" w:sz="4" w:space="0"/>
              <w:right w:val="single" w:color="auto" w:sz="4" w:space="0"/>
            </w:tcBorders>
            <w:noWrap w:val="0"/>
            <w:vAlign w:val="center"/>
          </w:tcPr>
          <w:p w14:paraId="26674E6A">
            <w:pPr>
              <w:snapToGrid w:val="0"/>
              <w:spacing w:before="120" w:beforeLines="50" w:line="360" w:lineRule="auto"/>
              <w:jc w:val="center"/>
              <w:rPr>
                <w:rFonts w:hint="eastAsia" w:ascii="宋体" w:hAnsi="宋体" w:cs="仿宋_GB2312"/>
                <w:color w:val="auto"/>
                <w:sz w:val="24"/>
                <w:highlight w:val="none"/>
              </w:rPr>
            </w:pPr>
          </w:p>
        </w:tc>
        <w:tc>
          <w:tcPr>
            <w:tcW w:w="2633" w:type="dxa"/>
            <w:tcBorders>
              <w:top w:val="single" w:color="auto" w:sz="4" w:space="0"/>
              <w:left w:val="single" w:color="auto" w:sz="4" w:space="0"/>
              <w:bottom w:val="single" w:color="auto" w:sz="4" w:space="0"/>
              <w:right w:val="single" w:color="auto" w:sz="4" w:space="0"/>
            </w:tcBorders>
            <w:noWrap w:val="0"/>
            <w:vAlign w:val="center"/>
          </w:tcPr>
          <w:p w14:paraId="558EA3C1">
            <w:pPr>
              <w:snapToGrid w:val="0"/>
              <w:spacing w:before="120" w:beforeLines="50" w:line="360" w:lineRule="auto"/>
              <w:jc w:val="center"/>
              <w:rPr>
                <w:rFonts w:hint="eastAsia" w:ascii="宋体" w:hAnsi="宋体" w:cs="仿宋_GB2312"/>
                <w:color w:val="auto"/>
                <w:sz w:val="24"/>
                <w:highlight w:val="none"/>
              </w:rPr>
            </w:pPr>
          </w:p>
        </w:tc>
        <w:tc>
          <w:tcPr>
            <w:tcW w:w="1829" w:type="dxa"/>
            <w:tcBorders>
              <w:top w:val="single" w:color="auto" w:sz="4" w:space="0"/>
              <w:left w:val="single" w:color="auto" w:sz="4" w:space="0"/>
              <w:bottom w:val="single" w:color="auto" w:sz="4" w:space="0"/>
              <w:right w:val="single" w:color="auto" w:sz="4" w:space="0"/>
            </w:tcBorders>
            <w:noWrap w:val="0"/>
            <w:vAlign w:val="center"/>
          </w:tcPr>
          <w:p w14:paraId="12D7E9A4">
            <w:pPr>
              <w:snapToGrid w:val="0"/>
              <w:spacing w:before="120" w:beforeLines="50" w:line="360" w:lineRule="auto"/>
              <w:jc w:val="center"/>
              <w:rPr>
                <w:rFonts w:hint="eastAsia" w:ascii="宋体" w:hAnsi="宋体" w:cs="仿宋_GB2312"/>
                <w:color w:val="auto"/>
                <w:sz w:val="24"/>
                <w:highlight w:val="none"/>
              </w:rPr>
            </w:pPr>
          </w:p>
        </w:tc>
      </w:tr>
    </w:tbl>
    <w:p w14:paraId="67CA1748">
      <w:pPr>
        <w:pStyle w:val="11"/>
        <w:spacing w:after="0" w:line="360" w:lineRule="auto"/>
        <w:contextualSpacing/>
        <w:rPr>
          <w:rFonts w:hint="eastAsia" w:ascii="宋体" w:hAnsi="宋体"/>
          <w:color w:val="auto"/>
          <w:kern w:val="0"/>
          <w:sz w:val="24"/>
          <w:szCs w:val="24"/>
          <w:highlight w:val="none"/>
        </w:rPr>
      </w:pPr>
      <w:r>
        <w:rPr>
          <w:rFonts w:hint="eastAsia" w:ascii="宋体" w:hAnsi="宋体"/>
          <w:color w:val="auto"/>
          <w:kern w:val="0"/>
          <w:sz w:val="24"/>
          <w:szCs w:val="24"/>
          <w:highlight w:val="none"/>
        </w:rPr>
        <w:t>注：</w:t>
      </w:r>
    </w:p>
    <w:p w14:paraId="4964DD41">
      <w:pPr>
        <w:pStyle w:val="11"/>
        <w:spacing w:after="0" w:line="360" w:lineRule="auto"/>
        <w:contextualSpacing/>
        <w:rPr>
          <w:rFonts w:ascii="宋体" w:hAnsi="宋体"/>
          <w:color w:val="auto"/>
          <w:kern w:val="0"/>
          <w:sz w:val="24"/>
          <w:szCs w:val="24"/>
          <w:highlight w:val="none"/>
        </w:rPr>
      </w:pPr>
      <w:r>
        <w:rPr>
          <w:rFonts w:hint="eastAsia" w:ascii="宋体" w:hAnsi="宋体"/>
          <w:color w:val="auto"/>
          <w:kern w:val="0"/>
          <w:sz w:val="24"/>
          <w:szCs w:val="24"/>
          <w:highlight w:val="none"/>
        </w:rPr>
        <w:t>1. 说明：应对照谈判文件“第三章 采购需求”中的商务要求逐条明确响应，并作出偏离说明。</w:t>
      </w:r>
    </w:p>
    <w:p w14:paraId="3C8DB928">
      <w:pPr>
        <w:pStyle w:val="11"/>
        <w:spacing w:after="0" w:line="360" w:lineRule="auto"/>
        <w:contextualSpacing/>
        <w:rPr>
          <w:rFonts w:hint="eastAsia" w:ascii="宋体" w:hAnsi="宋体"/>
          <w:color w:val="auto"/>
          <w:kern w:val="0"/>
          <w:sz w:val="24"/>
          <w:szCs w:val="24"/>
          <w:highlight w:val="none"/>
        </w:rPr>
      </w:pPr>
      <w:r>
        <w:rPr>
          <w:rFonts w:hint="eastAsia" w:ascii="宋体" w:hAnsi="宋体"/>
          <w:color w:val="auto"/>
          <w:kern w:val="0"/>
          <w:sz w:val="24"/>
          <w:szCs w:val="24"/>
          <w:highlight w:val="none"/>
        </w:rPr>
        <w:t>2.供应商应根据自身的承诺，对照谈判文件要求在“偏离说明”中注明“正偏离”、“负偏离”或者“无偏离”。既不属于“正偏离”也不属于“负偏离”即为“无偏离”。</w:t>
      </w:r>
    </w:p>
    <w:p w14:paraId="219CAFC6">
      <w:pPr>
        <w:spacing w:line="360" w:lineRule="auto"/>
        <w:contextualSpacing/>
        <w:jc w:val="left"/>
        <w:rPr>
          <w:rFonts w:hint="eastAsia" w:ascii="宋体" w:hAnsi="宋体" w:cs="仿宋_GB2312"/>
          <w:color w:val="auto"/>
          <w:sz w:val="24"/>
          <w:highlight w:val="none"/>
          <w:u w:val="single"/>
        </w:rPr>
      </w:pPr>
    </w:p>
    <w:p w14:paraId="66C2E049">
      <w:pPr>
        <w:spacing w:line="360" w:lineRule="auto"/>
        <w:contextualSpacing/>
        <w:jc w:val="left"/>
        <w:rPr>
          <w:rFonts w:hint="eastAsia" w:ascii="宋体" w:hAnsi="宋体" w:cs="仿宋_GB2312"/>
          <w:color w:val="auto"/>
          <w:sz w:val="24"/>
          <w:highlight w:val="none"/>
          <w:u w:val="single"/>
        </w:rPr>
      </w:pPr>
    </w:p>
    <w:p w14:paraId="4439C8A6">
      <w:pPr>
        <w:spacing w:line="360" w:lineRule="auto"/>
        <w:ind w:right="-817" w:rightChars="-389"/>
        <w:contextualSpacing/>
        <w:rPr>
          <w:rFonts w:hint="eastAsia" w:ascii="宋体" w:hAnsi="宋体" w:cs="仿宋_GB2312"/>
          <w:color w:val="auto"/>
          <w:sz w:val="24"/>
          <w:highlight w:val="none"/>
        </w:rPr>
      </w:pPr>
    </w:p>
    <w:p w14:paraId="53A1254D">
      <w:pPr>
        <w:spacing w:line="360" w:lineRule="auto"/>
        <w:ind w:right="-817" w:rightChars="-389"/>
        <w:contextualSpacing/>
        <w:jc w:val="center"/>
        <w:rPr>
          <w:rFonts w:hint="eastAsia" w:ascii="宋体" w:hAnsi="宋体" w:cs="仿宋_GB2312"/>
          <w:color w:val="auto"/>
          <w:sz w:val="24"/>
          <w:highlight w:val="none"/>
        </w:rPr>
      </w:pPr>
      <w:r>
        <w:rPr>
          <w:rFonts w:hint="eastAsia" w:ascii="宋体" w:hAnsi="宋体" w:cs="仿宋_GB2312"/>
          <w:color w:val="auto"/>
          <w:sz w:val="24"/>
          <w:highlight w:val="none"/>
        </w:rPr>
        <w:t>法定代表人或者委托代理人（签字或者电子签名）：</w:t>
      </w:r>
    </w:p>
    <w:p w14:paraId="46B7D3CF">
      <w:pPr>
        <w:spacing w:line="360" w:lineRule="auto"/>
        <w:ind w:right="-817" w:rightChars="-389" w:firstLine="2880" w:firstLineChars="1200"/>
        <w:contextualSpacing/>
        <w:rPr>
          <w:rFonts w:ascii="宋体" w:hAnsi="宋体" w:cs="仿宋_GB2312"/>
          <w:color w:val="auto"/>
          <w:sz w:val="24"/>
          <w:highlight w:val="none"/>
        </w:rPr>
      </w:pPr>
      <w:r>
        <w:rPr>
          <w:rFonts w:hint="eastAsia" w:ascii="宋体" w:hAnsi="宋体" w:cs="仿宋_GB2312"/>
          <w:color w:val="auto"/>
          <w:sz w:val="24"/>
          <w:highlight w:val="none"/>
        </w:rPr>
        <w:t xml:space="preserve">供应商（电子签章）：      </w:t>
      </w:r>
    </w:p>
    <w:p w14:paraId="4306346E">
      <w:pPr>
        <w:spacing w:line="360" w:lineRule="auto"/>
        <w:ind w:right="-817" w:rightChars="-389" w:firstLine="2880" w:firstLineChars="1200"/>
        <w:contextualSpacing/>
        <w:rPr>
          <w:rFonts w:hint="eastAsia" w:ascii="宋体" w:hAnsi="宋体" w:cs="仿宋_GB2312"/>
          <w:color w:val="auto"/>
          <w:sz w:val="24"/>
          <w:highlight w:val="none"/>
        </w:rPr>
      </w:pPr>
      <w:r>
        <w:rPr>
          <w:rFonts w:hint="eastAsia" w:ascii="宋体" w:hAnsi="宋体" w:cs="仿宋_GB2312"/>
          <w:color w:val="auto"/>
          <w:sz w:val="24"/>
          <w:highlight w:val="none"/>
        </w:rPr>
        <w:t>日期：   年   月   日</w:t>
      </w:r>
    </w:p>
    <w:p w14:paraId="37117E16">
      <w:pPr>
        <w:adjustRightInd w:val="0"/>
        <w:snapToGrid w:val="0"/>
        <w:spacing w:line="520" w:lineRule="exact"/>
        <w:ind w:firstLine="7040" w:firstLineChars="1600"/>
        <w:jc w:val="center"/>
        <w:rPr>
          <w:rFonts w:hint="eastAsia" w:ascii="方正小标宋简体" w:hAnsi="方正小标宋简体" w:eastAsia="方正小标宋简体" w:cs="方正小标宋简体"/>
          <w:bCs/>
          <w:color w:val="auto"/>
          <w:sz w:val="44"/>
          <w:szCs w:val="44"/>
          <w:highlight w:val="none"/>
        </w:rPr>
      </w:pPr>
    </w:p>
    <w:p w14:paraId="7A28B0FA">
      <w:pPr>
        <w:adjustRightInd w:val="0"/>
        <w:snapToGrid w:val="0"/>
        <w:spacing w:line="520" w:lineRule="exact"/>
        <w:jc w:val="center"/>
        <w:rPr>
          <w:rFonts w:hint="eastAsia" w:ascii="宋体" w:hAnsi="宋体"/>
          <w:b/>
          <w:color w:val="auto"/>
          <w:sz w:val="32"/>
          <w:szCs w:val="32"/>
          <w:highlight w:val="none"/>
        </w:rPr>
      </w:pPr>
      <w:r>
        <w:rPr>
          <w:rFonts w:ascii="方正小标宋简体" w:hAnsi="方正小标宋简体" w:eastAsia="方正小标宋简体" w:cs="方正小标宋简体"/>
          <w:bCs/>
          <w:color w:val="auto"/>
          <w:sz w:val="44"/>
          <w:szCs w:val="44"/>
          <w:highlight w:val="none"/>
        </w:rPr>
        <w:br w:type="page"/>
      </w:r>
      <w:r>
        <w:rPr>
          <w:rFonts w:hint="eastAsia" w:ascii="方正小标宋简体" w:hAnsi="方正小标宋简体" w:eastAsia="方正小标宋简体" w:cs="方正小标宋简体"/>
          <w:bCs/>
          <w:color w:val="auto"/>
          <w:sz w:val="44"/>
          <w:szCs w:val="44"/>
          <w:highlight w:val="none"/>
        </w:rPr>
        <w:t>货物配置清单</w:t>
      </w:r>
    </w:p>
    <w:p w14:paraId="473CA3F3">
      <w:pPr>
        <w:spacing w:line="300" w:lineRule="auto"/>
        <w:rPr>
          <w:rFonts w:hint="eastAsia" w:ascii="宋体" w:hAnsi="宋体"/>
          <w:color w:val="auto"/>
          <w:szCs w:val="21"/>
          <w:highlight w:val="none"/>
        </w:rPr>
      </w:pPr>
    </w:p>
    <w:p w14:paraId="1C3E2C2B">
      <w:pPr>
        <w:spacing w:line="360" w:lineRule="auto"/>
        <w:rPr>
          <w:rFonts w:hint="eastAsia" w:ascii="宋体" w:hAnsi="宋体" w:cs="仿宋_GB2312"/>
          <w:color w:val="auto"/>
          <w:sz w:val="24"/>
          <w:highlight w:val="none"/>
        </w:rPr>
      </w:pPr>
      <w:r>
        <w:rPr>
          <w:rFonts w:hint="eastAsia" w:ascii="宋体" w:hAnsi="宋体" w:cs="仿宋_GB2312"/>
          <w:color w:val="auto"/>
          <w:sz w:val="24"/>
          <w:highlight w:val="none"/>
        </w:rPr>
        <w:t>项目编号：</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 xml:space="preserve"> </w:t>
      </w:r>
    </w:p>
    <w:p w14:paraId="181EB916">
      <w:pPr>
        <w:spacing w:line="360" w:lineRule="auto"/>
        <w:rPr>
          <w:rFonts w:hint="eastAsia" w:ascii="宋体" w:hAnsi="宋体" w:cs="仿宋_GB2312"/>
          <w:color w:val="auto"/>
          <w:sz w:val="24"/>
          <w:highlight w:val="none"/>
        </w:rPr>
      </w:pPr>
      <w:r>
        <w:rPr>
          <w:rFonts w:hint="eastAsia" w:ascii="宋体" w:hAnsi="宋体" w:cs="仿宋_GB2312"/>
          <w:color w:val="auto"/>
          <w:sz w:val="24"/>
          <w:highlight w:val="none"/>
        </w:rPr>
        <w:t>项目名称：</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 xml:space="preserve"> </w:t>
      </w:r>
    </w:p>
    <w:p w14:paraId="365A707F">
      <w:pPr>
        <w:spacing w:line="360" w:lineRule="auto"/>
        <w:rPr>
          <w:rFonts w:hint="eastAsia" w:ascii="宋体" w:hAnsi="宋体" w:cs="仿宋_GB2312"/>
          <w:color w:val="auto"/>
          <w:sz w:val="24"/>
          <w:highlight w:val="none"/>
          <w:u w:val="single"/>
        </w:rPr>
      </w:pPr>
      <w:r>
        <w:rPr>
          <w:rFonts w:hint="eastAsia" w:ascii="宋体" w:hAnsi="宋体" w:cs="仿宋_GB2312"/>
          <w:color w:val="auto"/>
          <w:sz w:val="24"/>
          <w:highlight w:val="none"/>
        </w:rPr>
        <w:t>所竞分标：</w:t>
      </w:r>
      <w:r>
        <w:rPr>
          <w:rFonts w:hint="eastAsia" w:ascii="宋体" w:hAnsi="宋体" w:cs="仿宋_GB2312"/>
          <w:color w:val="auto"/>
          <w:sz w:val="24"/>
          <w:highlight w:val="none"/>
          <w:u w:val="single"/>
        </w:rPr>
        <w:t xml:space="preserve">                 </w:t>
      </w:r>
    </w:p>
    <w:tbl>
      <w:tblPr>
        <w:tblStyle w:val="24"/>
        <w:tblW w:w="5000" w:type="pct"/>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823"/>
        <w:gridCol w:w="1387"/>
        <w:gridCol w:w="895"/>
        <w:gridCol w:w="997"/>
        <w:gridCol w:w="1989"/>
        <w:gridCol w:w="1387"/>
        <w:gridCol w:w="821"/>
        <w:gridCol w:w="1667"/>
      </w:tblGrid>
      <w:tr w14:paraId="2E12431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0" w:hRule="atLeast"/>
          <w:jc w:val="center"/>
        </w:trPr>
        <w:tc>
          <w:tcPr>
            <w:tcW w:w="413" w:type="pct"/>
            <w:tcBorders>
              <w:top w:val="single" w:color="auto" w:sz="4" w:space="0"/>
              <w:left w:val="single" w:color="auto" w:sz="4" w:space="0"/>
              <w:bottom w:val="single" w:color="auto" w:sz="4" w:space="0"/>
              <w:right w:val="single" w:color="auto" w:sz="4" w:space="0"/>
            </w:tcBorders>
            <w:noWrap w:val="0"/>
            <w:vAlign w:val="center"/>
          </w:tcPr>
          <w:p w14:paraId="576D77C4">
            <w:pPr>
              <w:snapToGrid w:val="0"/>
              <w:spacing w:before="50" w:after="50"/>
              <w:jc w:val="center"/>
              <w:rPr>
                <w:rFonts w:hint="eastAsia" w:ascii="宋体" w:hAnsi="宋体"/>
                <w:color w:val="auto"/>
                <w:sz w:val="24"/>
                <w:highlight w:val="none"/>
              </w:rPr>
            </w:pPr>
            <w:r>
              <w:rPr>
                <w:rFonts w:hint="eastAsia" w:ascii="宋体" w:hAnsi="宋体"/>
                <w:color w:val="auto"/>
                <w:sz w:val="24"/>
                <w:highlight w:val="none"/>
              </w:rPr>
              <w:t>序号</w:t>
            </w:r>
          </w:p>
        </w:tc>
        <w:tc>
          <w:tcPr>
            <w:tcW w:w="696" w:type="pct"/>
            <w:tcBorders>
              <w:top w:val="single" w:color="auto" w:sz="4" w:space="0"/>
              <w:left w:val="single" w:color="auto" w:sz="4" w:space="0"/>
              <w:bottom w:val="single" w:color="auto" w:sz="4" w:space="0"/>
              <w:right w:val="single" w:color="auto" w:sz="4" w:space="0"/>
            </w:tcBorders>
            <w:noWrap w:val="0"/>
            <w:vAlign w:val="center"/>
          </w:tcPr>
          <w:p w14:paraId="3EC80B2F">
            <w:pPr>
              <w:snapToGrid w:val="0"/>
              <w:spacing w:before="50" w:after="50"/>
              <w:jc w:val="center"/>
              <w:rPr>
                <w:rFonts w:hint="eastAsia" w:ascii="宋体" w:hAnsi="宋体"/>
                <w:color w:val="auto"/>
                <w:sz w:val="24"/>
                <w:highlight w:val="none"/>
              </w:rPr>
            </w:pPr>
            <w:r>
              <w:rPr>
                <w:rFonts w:hint="eastAsia" w:ascii="宋体" w:hAnsi="宋体"/>
                <w:color w:val="auto"/>
                <w:sz w:val="24"/>
                <w:highlight w:val="none"/>
              </w:rPr>
              <w:t>标的的名称</w:t>
            </w:r>
          </w:p>
        </w:tc>
        <w:tc>
          <w:tcPr>
            <w:tcW w:w="449" w:type="pct"/>
            <w:tcBorders>
              <w:top w:val="single" w:color="auto" w:sz="4" w:space="0"/>
              <w:left w:val="single" w:color="auto" w:sz="4" w:space="0"/>
              <w:bottom w:val="single" w:color="auto" w:sz="4" w:space="0"/>
              <w:right w:val="single" w:color="auto" w:sz="4" w:space="0"/>
            </w:tcBorders>
            <w:noWrap w:val="0"/>
            <w:vAlign w:val="center"/>
          </w:tcPr>
          <w:p w14:paraId="26A2AAE6">
            <w:pPr>
              <w:snapToGrid w:val="0"/>
              <w:spacing w:before="50" w:after="50"/>
              <w:jc w:val="center"/>
              <w:rPr>
                <w:rFonts w:hint="eastAsia" w:ascii="宋体" w:hAnsi="宋体"/>
                <w:color w:val="auto"/>
                <w:sz w:val="24"/>
                <w:highlight w:val="none"/>
              </w:rPr>
            </w:pPr>
            <w:r>
              <w:rPr>
                <w:rFonts w:hint="eastAsia" w:ascii="宋体" w:hAnsi="宋体"/>
                <w:color w:val="auto"/>
                <w:sz w:val="24"/>
                <w:highlight w:val="none"/>
              </w:rPr>
              <w:t>数量及单位</w:t>
            </w:r>
          </w:p>
        </w:tc>
        <w:tc>
          <w:tcPr>
            <w:tcW w:w="500" w:type="pct"/>
            <w:tcBorders>
              <w:top w:val="single" w:color="auto" w:sz="4" w:space="0"/>
              <w:left w:val="single" w:color="auto" w:sz="4" w:space="0"/>
              <w:bottom w:val="single" w:color="auto" w:sz="4" w:space="0"/>
              <w:right w:val="single" w:color="auto" w:sz="4" w:space="0"/>
            </w:tcBorders>
            <w:noWrap w:val="0"/>
            <w:vAlign w:val="center"/>
          </w:tcPr>
          <w:p w14:paraId="2AFDCB91">
            <w:pPr>
              <w:snapToGrid w:val="0"/>
              <w:spacing w:before="50" w:after="50"/>
              <w:jc w:val="center"/>
              <w:rPr>
                <w:rFonts w:hint="eastAsia" w:ascii="宋体" w:hAnsi="宋体"/>
                <w:color w:val="auto"/>
                <w:sz w:val="24"/>
                <w:highlight w:val="none"/>
              </w:rPr>
            </w:pPr>
            <w:r>
              <w:rPr>
                <w:rFonts w:hint="eastAsia" w:ascii="宋体" w:hAnsi="宋体"/>
                <w:color w:val="auto"/>
                <w:sz w:val="24"/>
                <w:highlight w:val="none"/>
              </w:rPr>
              <w:t>品牌</w:t>
            </w:r>
          </w:p>
        </w:tc>
        <w:tc>
          <w:tcPr>
            <w:tcW w:w="998" w:type="pct"/>
            <w:tcBorders>
              <w:top w:val="single" w:color="auto" w:sz="4" w:space="0"/>
              <w:left w:val="single" w:color="auto" w:sz="4" w:space="0"/>
              <w:bottom w:val="single" w:color="auto" w:sz="4" w:space="0"/>
              <w:right w:val="single" w:color="auto" w:sz="4" w:space="0"/>
            </w:tcBorders>
            <w:noWrap w:val="0"/>
            <w:vAlign w:val="top"/>
          </w:tcPr>
          <w:p w14:paraId="77F7C07C">
            <w:pPr>
              <w:snapToGrid w:val="0"/>
              <w:spacing w:before="50" w:after="50"/>
              <w:jc w:val="center"/>
              <w:rPr>
                <w:rFonts w:ascii="宋体" w:hAnsi="宋体"/>
                <w:color w:val="auto"/>
                <w:sz w:val="24"/>
                <w:highlight w:val="none"/>
              </w:rPr>
            </w:pPr>
          </w:p>
          <w:p w14:paraId="6FE6FCD9">
            <w:pPr>
              <w:snapToGrid w:val="0"/>
              <w:spacing w:before="50" w:after="50"/>
              <w:jc w:val="center"/>
              <w:rPr>
                <w:rFonts w:hint="eastAsia" w:ascii="宋体" w:hAnsi="宋体"/>
                <w:color w:val="auto"/>
                <w:sz w:val="24"/>
                <w:highlight w:val="none"/>
              </w:rPr>
            </w:pPr>
            <w:r>
              <w:rPr>
                <w:rFonts w:hint="eastAsia" w:ascii="宋体" w:hAnsi="宋体"/>
                <w:color w:val="auto"/>
                <w:sz w:val="24"/>
                <w:highlight w:val="none"/>
              </w:rPr>
              <w:t>规格型号</w:t>
            </w:r>
          </w:p>
        </w:tc>
        <w:tc>
          <w:tcPr>
            <w:tcW w:w="696" w:type="pct"/>
            <w:tcBorders>
              <w:top w:val="single" w:color="auto" w:sz="4" w:space="0"/>
              <w:left w:val="single" w:color="auto" w:sz="4" w:space="0"/>
              <w:bottom w:val="single" w:color="auto" w:sz="4" w:space="0"/>
              <w:right w:val="single" w:color="auto" w:sz="4" w:space="0"/>
            </w:tcBorders>
            <w:noWrap w:val="0"/>
            <w:vAlign w:val="center"/>
          </w:tcPr>
          <w:p w14:paraId="4B59F8C5">
            <w:pPr>
              <w:snapToGrid w:val="0"/>
              <w:spacing w:before="50" w:after="50"/>
              <w:jc w:val="center"/>
              <w:rPr>
                <w:rFonts w:hint="eastAsia" w:ascii="宋体" w:hAnsi="宋体"/>
                <w:color w:val="auto"/>
                <w:sz w:val="24"/>
                <w:highlight w:val="none"/>
              </w:rPr>
            </w:pPr>
            <w:r>
              <w:rPr>
                <w:rFonts w:hint="eastAsia" w:ascii="宋体" w:hAnsi="宋体"/>
                <w:color w:val="auto"/>
                <w:sz w:val="24"/>
                <w:highlight w:val="none"/>
              </w:rPr>
              <w:t>制造商</w:t>
            </w:r>
          </w:p>
        </w:tc>
        <w:tc>
          <w:tcPr>
            <w:tcW w:w="412" w:type="pct"/>
            <w:tcBorders>
              <w:top w:val="single" w:color="auto" w:sz="4" w:space="0"/>
              <w:left w:val="single" w:color="auto" w:sz="4" w:space="0"/>
              <w:bottom w:val="single" w:color="auto" w:sz="4" w:space="0"/>
              <w:right w:val="single" w:color="auto" w:sz="4" w:space="0"/>
            </w:tcBorders>
            <w:noWrap w:val="0"/>
            <w:vAlign w:val="center"/>
          </w:tcPr>
          <w:p w14:paraId="747C2FF6">
            <w:pPr>
              <w:snapToGrid w:val="0"/>
              <w:spacing w:before="50" w:after="50"/>
              <w:jc w:val="center"/>
              <w:rPr>
                <w:rFonts w:hint="eastAsia" w:ascii="宋体" w:hAnsi="宋体"/>
                <w:color w:val="auto"/>
                <w:sz w:val="24"/>
                <w:highlight w:val="none"/>
              </w:rPr>
            </w:pPr>
            <w:r>
              <w:rPr>
                <w:rFonts w:hint="eastAsia" w:ascii="宋体" w:hAnsi="宋体"/>
                <w:color w:val="auto"/>
                <w:sz w:val="24"/>
                <w:highlight w:val="none"/>
              </w:rPr>
              <w:t>原产地</w:t>
            </w:r>
          </w:p>
        </w:tc>
        <w:tc>
          <w:tcPr>
            <w:tcW w:w="836" w:type="pct"/>
            <w:tcBorders>
              <w:top w:val="single" w:color="auto" w:sz="4" w:space="0"/>
              <w:left w:val="single" w:color="auto" w:sz="4" w:space="0"/>
              <w:bottom w:val="single" w:color="auto" w:sz="4" w:space="0"/>
              <w:right w:val="single" w:color="auto" w:sz="4" w:space="0"/>
            </w:tcBorders>
            <w:noWrap w:val="0"/>
            <w:vAlign w:val="center"/>
          </w:tcPr>
          <w:p w14:paraId="5C09F892">
            <w:pPr>
              <w:snapToGrid w:val="0"/>
              <w:spacing w:before="50" w:after="50"/>
              <w:jc w:val="center"/>
              <w:rPr>
                <w:rFonts w:hint="eastAsia" w:ascii="宋体" w:hAnsi="宋体"/>
                <w:color w:val="auto"/>
                <w:sz w:val="24"/>
                <w:highlight w:val="none"/>
              </w:rPr>
            </w:pPr>
            <w:r>
              <w:rPr>
                <w:rFonts w:hint="eastAsia" w:ascii="宋体" w:hAnsi="宋体"/>
                <w:color w:val="auto"/>
                <w:sz w:val="24"/>
                <w:highlight w:val="none"/>
              </w:rPr>
              <w:t>参数性能、指标及配置</w:t>
            </w:r>
          </w:p>
        </w:tc>
      </w:tr>
      <w:tr w14:paraId="6B0DED5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9" w:hRule="atLeast"/>
          <w:jc w:val="center"/>
        </w:trPr>
        <w:tc>
          <w:tcPr>
            <w:tcW w:w="413" w:type="pct"/>
            <w:tcBorders>
              <w:top w:val="single" w:color="auto" w:sz="4" w:space="0"/>
              <w:left w:val="single" w:color="auto" w:sz="4" w:space="0"/>
              <w:bottom w:val="single" w:color="auto" w:sz="4" w:space="0"/>
              <w:right w:val="single" w:color="auto" w:sz="4" w:space="0"/>
            </w:tcBorders>
            <w:noWrap w:val="0"/>
            <w:vAlign w:val="center"/>
          </w:tcPr>
          <w:p w14:paraId="0F2E0A73">
            <w:pPr>
              <w:snapToGrid w:val="0"/>
              <w:spacing w:before="50" w:after="50"/>
              <w:jc w:val="center"/>
              <w:rPr>
                <w:rFonts w:hint="eastAsia" w:ascii="宋体" w:hAnsi="宋体"/>
                <w:color w:val="auto"/>
                <w:sz w:val="24"/>
                <w:highlight w:val="none"/>
              </w:rPr>
            </w:pPr>
          </w:p>
        </w:tc>
        <w:tc>
          <w:tcPr>
            <w:tcW w:w="696" w:type="pct"/>
            <w:tcBorders>
              <w:top w:val="single" w:color="auto" w:sz="4" w:space="0"/>
              <w:left w:val="single" w:color="auto" w:sz="4" w:space="0"/>
              <w:bottom w:val="single" w:color="auto" w:sz="4" w:space="0"/>
              <w:right w:val="single" w:color="auto" w:sz="4" w:space="0"/>
            </w:tcBorders>
            <w:noWrap w:val="0"/>
            <w:vAlign w:val="center"/>
          </w:tcPr>
          <w:p w14:paraId="50292EE8">
            <w:pPr>
              <w:snapToGrid w:val="0"/>
              <w:spacing w:before="50" w:after="50"/>
              <w:jc w:val="center"/>
              <w:rPr>
                <w:rFonts w:hint="eastAsia" w:ascii="宋体" w:hAnsi="宋体"/>
                <w:color w:val="auto"/>
                <w:sz w:val="24"/>
                <w:highlight w:val="none"/>
              </w:rPr>
            </w:pPr>
          </w:p>
        </w:tc>
        <w:tc>
          <w:tcPr>
            <w:tcW w:w="449" w:type="pct"/>
            <w:tcBorders>
              <w:top w:val="single" w:color="auto" w:sz="4" w:space="0"/>
              <w:left w:val="single" w:color="auto" w:sz="4" w:space="0"/>
              <w:bottom w:val="single" w:color="auto" w:sz="4" w:space="0"/>
              <w:right w:val="single" w:color="auto" w:sz="4" w:space="0"/>
            </w:tcBorders>
            <w:noWrap w:val="0"/>
            <w:vAlign w:val="center"/>
          </w:tcPr>
          <w:p w14:paraId="5D7C8BA5">
            <w:pPr>
              <w:snapToGrid w:val="0"/>
              <w:spacing w:before="50" w:after="50"/>
              <w:jc w:val="center"/>
              <w:rPr>
                <w:rFonts w:hint="eastAsia" w:ascii="宋体" w:hAnsi="宋体"/>
                <w:color w:val="auto"/>
                <w:sz w:val="24"/>
                <w:highlight w:val="none"/>
              </w:rPr>
            </w:pPr>
          </w:p>
        </w:tc>
        <w:tc>
          <w:tcPr>
            <w:tcW w:w="500" w:type="pct"/>
            <w:tcBorders>
              <w:top w:val="single" w:color="auto" w:sz="4" w:space="0"/>
              <w:left w:val="single" w:color="auto" w:sz="4" w:space="0"/>
              <w:bottom w:val="single" w:color="auto" w:sz="4" w:space="0"/>
              <w:right w:val="single" w:color="auto" w:sz="4" w:space="0"/>
            </w:tcBorders>
            <w:noWrap w:val="0"/>
            <w:vAlign w:val="center"/>
          </w:tcPr>
          <w:p w14:paraId="65A95E52">
            <w:pPr>
              <w:snapToGrid w:val="0"/>
              <w:spacing w:before="50" w:after="50"/>
              <w:jc w:val="center"/>
              <w:rPr>
                <w:rFonts w:hint="eastAsia" w:ascii="宋体" w:hAnsi="宋体"/>
                <w:color w:val="auto"/>
                <w:sz w:val="24"/>
                <w:highlight w:val="none"/>
              </w:rPr>
            </w:pPr>
          </w:p>
        </w:tc>
        <w:tc>
          <w:tcPr>
            <w:tcW w:w="998" w:type="pct"/>
            <w:tcBorders>
              <w:top w:val="single" w:color="auto" w:sz="4" w:space="0"/>
              <w:left w:val="single" w:color="auto" w:sz="4" w:space="0"/>
              <w:bottom w:val="single" w:color="auto" w:sz="4" w:space="0"/>
              <w:right w:val="single" w:color="auto" w:sz="4" w:space="0"/>
            </w:tcBorders>
            <w:noWrap w:val="0"/>
            <w:vAlign w:val="top"/>
          </w:tcPr>
          <w:p w14:paraId="4B8C129D">
            <w:pPr>
              <w:snapToGrid w:val="0"/>
              <w:spacing w:before="50" w:after="50"/>
              <w:jc w:val="center"/>
              <w:rPr>
                <w:rFonts w:hint="eastAsia" w:ascii="宋体" w:hAnsi="宋体"/>
                <w:color w:val="auto"/>
                <w:sz w:val="24"/>
                <w:highlight w:val="none"/>
              </w:rPr>
            </w:pPr>
          </w:p>
        </w:tc>
        <w:tc>
          <w:tcPr>
            <w:tcW w:w="696" w:type="pct"/>
            <w:tcBorders>
              <w:top w:val="single" w:color="auto" w:sz="4" w:space="0"/>
              <w:left w:val="single" w:color="auto" w:sz="4" w:space="0"/>
              <w:bottom w:val="single" w:color="auto" w:sz="4" w:space="0"/>
              <w:right w:val="single" w:color="auto" w:sz="4" w:space="0"/>
            </w:tcBorders>
            <w:noWrap w:val="0"/>
            <w:vAlign w:val="center"/>
          </w:tcPr>
          <w:p w14:paraId="6578134E">
            <w:pPr>
              <w:snapToGrid w:val="0"/>
              <w:spacing w:before="50" w:after="50"/>
              <w:jc w:val="center"/>
              <w:rPr>
                <w:rFonts w:hint="eastAsia" w:ascii="宋体" w:hAnsi="宋体"/>
                <w:color w:val="auto"/>
                <w:sz w:val="24"/>
                <w:highlight w:val="none"/>
              </w:rPr>
            </w:pPr>
          </w:p>
        </w:tc>
        <w:tc>
          <w:tcPr>
            <w:tcW w:w="412" w:type="pct"/>
            <w:tcBorders>
              <w:top w:val="single" w:color="auto" w:sz="4" w:space="0"/>
              <w:left w:val="single" w:color="auto" w:sz="4" w:space="0"/>
              <w:bottom w:val="single" w:color="auto" w:sz="4" w:space="0"/>
              <w:right w:val="single" w:color="auto" w:sz="4" w:space="0"/>
            </w:tcBorders>
            <w:noWrap w:val="0"/>
            <w:vAlign w:val="center"/>
          </w:tcPr>
          <w:p w14:paraId="3F6E3549">
            <w:pPr>
              <w:snapToGrid w:val="0"/>
              <w:spacing w:before="50" w:after="50"/>
              <w:jc w:val="center"/>
              <w:rPr>
                <w:rFonts w:hint="eastAsia" w:ascii="宋体" w:hAnsi="宋体"/>
                <w:color w:val="auto"/>
                <w:sz w:val="24"/>
                <w:highlight w:val="none"/>
              </w:rPr>
            </w:pPr>
          </w:p>
        </w:tc>
        <w:tc>
          <w:tcPr>
            <w:tcW w:w="836" w:type="pct"/>
            <w:tcBorders>
              <w:top w:val="single" w:color="auto" w:sz="4" w:space="0"/>
              <w:left w:val="single" w:color="auto" w:sz="4" w:space="0"/>
              <w:bottom w:val="single" w:color="auto" w:sz="4" w:space="0"/>
              <w:right w:val="single" w:color="auto" w:sz="4" w:space="0"/>
            </w:tcBorders>
            <w:noWrap w:val="0"/>
            <w:vAlign w:val="center"/>
          </w:tcPr>
          <w:p w14:paraId="0A6C5662">
            <w:pPr>
              <w:snapToGrid w:val="0"/>
              <w:spacing w:before="50" w:after="50"/>
              <w:jc w:val="center"/>
              <w:rPr>
                <w:rFonts w:hint="eastAsia" w:ascii="宋体" w:hAnsi="宋体"/>
                <w:color w:val="auto"/>
                <w:sz w:val="24"/>
                <w:highlight w:val="none"/>
              </w:rPr>
            </w:pPr>
          </w:p>
        </w:tc>
      </w:tr>
      <w:tr w14:paraId="28EFEA0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2" w:hRule="atLeast"/>
          <w:jc w:val="center"/>
        </w:trPr>
        <w:tc>
          <w:tcPr>
            <w:tcW w:w="413" w:type="pct"/>
            <w:tcBorders>
              <w:top w:val="single" w:color="auto" w:sz="4" w:space="0"/>
              <w:left w:val="single" w:color="auto" w:sz="4" w:space="0"/>
              <w:bottom w:val="single" w:color="auto" w:sz="4" w:space="0"/>
              <w:right w:val="single" w:color="auto" w:sz="4" w:space="0"/>
            </w:tcBorders>
            <w:noWrap w:val="0"/>
            <w:vAlign w:val="center"/>
          </w:tcPr>
          <w:p w14:paraId="360E871F">
            <w:pPr>
              <w:snapToGrid w:val="0"/>
              <w:spacing w:before="50" w:after="50"/>
              <w:jc w:val="center"/>
              <w:rPr>
                <w:rFonts w:hint="eastAsia" w:ascii="宋体" w:hAnsi="宋体"/>
                <w:color w:val="auto"/>
                <w:sz w:val="24"/>
                <w:highlight w:val="none"/>
              </w:rPr>
            </w:pPr>
          </w:p>
        </w:tc>
        <w:tc>
          <w:tcPr>
            <w:tcW w:w="696" w:type="pct"/>
            <w:tcBorders>
              <w:top w:val="single" w:color="auto" w:sz="4" w:space="0"/>
              <w:left w:val="single" w:color="auto" w:sz="4" w:space="0"/>
              <w:bottom w:val="single" w:color="auto" w:sz="4" w:space="0"/>
              <w:right w:val="single" w:color="auto" w:sz="4" w:space="0"/>
            </w:tcBorders>
            <w:noWrap w:val="0"/>
            <w:vAlign w:val="center"/>
          </w:tcPr>
          <w:p w14:paraId="308537F2">
            <w:pPr>
              <w:snapToGrid w:val="0"/>
              <w:spacing w:before="50" w:after="50"/>
              <w:jc w:val="center"/>
              <w:rPr>
                <w:rFonts w:hint="eastAsia" w:ascii="宋体" w:hAnsi="宋体"/>
                <w:color w:val="auto"/>
                <w:sz w:val="24"/>
                <w:highlight w:val="none"/>
              </w:rPr>
            </w:pPr>
          </w:p>
        </w:tc>
        <w:tc>
          <w:tcPr>
            <w:tcW w:w="449" w:type="pct"/>
            <w:tcBorders>
              <w:top w:val="single" w:color="auto" w:sz="4" w:space="0"/>
              <w:left w:val="single" w:color="auto" w:sz="4" w:space="0"/>
              <w:bottom w:val="single" w:color="auto" w:sz="4" w:space="0"/>
              <w:right w:val="single" w:color="auto" w:sz="4" w:space="0"/>
            </w:tcBorders>
            <w:noWrap w:val="0"/>
            <w:vAlign w:val="center"/>
          </w:tcPr>
          <w:p w14:paraId="060697C3">
            <w:pPr>
              <w:snapToGrid w:val="0"/>
              <w:spacing w:before="50" w:after="50"/>
              <w:jc w:val="center"/>
              <w:rPr>
                <w:rFonts w:hint="eastAsia" w:ascii="宋体" w:hAnsi="宋体"/>
                <w:color w:val="auto"/>
                <w:sz w:val="24"/>
                <w:highlight w:val="none"/>
              </w:rPr>
            </w:pPr>
          </w:p>
        </w:tc>
        <w:tc>
          <w:tcPr>
            <w:tcW w:w="500" w:type="pct"/>
            <w:tcBorders>
              <w:top w:val="single" w:color="auto" w:sz="4" w:space="0"/>
              <w:left w:val="single" w:color="auto" w:sz="4" w:space="0"/>
              <w:bottom w:val="single" w:color="auto" w:sz="4" w:space="0"/>
              <w:right w:val="single" w:color="auto" w:sz="4" w:space="0"/>
            </w:tcBorders>
            <w:noWrap w:val="0"/>
            <w:vAlign w:val="center"/>
          </w:tcPr>
          <w:p w14:paraId="0B97F6FB">
            <w:pPr>
              <w:snapToGrid w:val="0"/>
              <w:spacing w:before="50" w:after="50"/>
              <w:jc w:val="center"/>
              <w:rPr>
                <w:rFonts w:hint="eastAsia" w:ascii="宋体" w:hAnsi="宋体"/>
                <w:color w:val="auto"/>
                <w:sz w:val="24"/>
                <w:highlight w:val="none"/>
              </w:rPr>
            </w:pPr>
          </w:p>
        </w:tc>
        <w:tc>
          <w:tcPr>
            <w:tcW w:w="998" w:type="pct"/>
            <w:tcBorders>
              <w:top w:val="single" w:color="auto" w:sz="4" w:space="0"/>
              <w:left w:val="single" w:color="auto" w:sz="4" w:space="0"/>
              <w:bottom w:val="single" w:color="auto" w:sz="4" w:space="0"/>
              <w:right w:val="single" w:color="auto" w:sz="4" w:space="0"/>
            </w:tcBorders>
            <w:noWrap w:val="0"/>
            <w:vAlign w:val="top"/>
          </w:tcPr>
          <w:p w14:paraId="782C8D1B">
            <w:pPr>
              <w:snapToGrid w:val="0"/>
              <w:spacing w:before="50" w:after="50"/>
              <w:jc w:val="center"/>
              <w:rPr>
                <w:rFonts w:hint="eastAsia" w:ascii="宋体" w:hAnsi="宋体"/>
                <w:color w:val="auto"/>
                <w:sz w:val="24"/>
                <w:highlight w:val="none"/>
              </w:rPr>
            </w:pPr>
          </w:p>
        </w:tc>
        <w:tc>
          <w:tcPr>
            <w:tcW w:w="696" w:type="pct"/>
            <w:tcBorders>
              <w:top w:val="single" w:color="auto" w:sz="4" w:space="0"/>
              <w:left w:val="single" w:color="auto" w:sz="4" w:space="0"/>
              <w:bottom w:val="single" w:color="auto" w:sz="4" w:space="0"/>
              <w:right w:val="single" w:color="auto" w:sz="4" w:space="0"/>
            </w:tcBorders>
            <w:noWrap w:val="0"/>
            <w:vAlign w:val="center"/>
          </w:tcPr>
          <w:p w14:paraId="26E9BDE7">
            <w:pPr>
              <w:snapToGrid w:val="0"/>
              <w:spacing w:before="50" w:after="50"/>
              <w:jc w:val="center"/>
              <w:rPr>
                <w:rFonts w:hint="eastAsia" w:ascii="宋体" w:hAnsi="宋体"/>
                <w:color w:val="auto"/>
                <w:sz w:val="24"/>
                <w:highlight w:val="none"/>
              </w:rPr>
            </w:pPr>
          </w:p>
        </w:tc>
        <w:tc>
          <w:tcPr>
            <w:tcW w:w="412" w:type="pct"/>
            <w:tcBorders>
              <w:top w:val="single" w:color="auto" w:sz="4" w:space="0"/>
              <w:left w:val="single" w:color="auto" w:sz="4" w:space="0"/>
              <w:bottom w:val="single" w:color="auto" w:sz="4" w:space="0"/>
              <w:right w:val="single" w:color="auto" w:sz="4" w:space="0"/>
            </w:tcBorders>
            <w:noWrap w:val="0"/>
            <w:vAlign w:val="center"/>
          </w:tcPr>
          <w:p w14:paraId="59097ED5">
            <w:pPr>
              <w:snapToGrid w:val="0"/>
              <w:spacing w:before="50" w:after="50"/>
              <w:jc w:val="center"/>
              <w:rPr>
                <w:rFonts w:hint="eastAsia" w:ascii="宋体" w:hAnsi="宋体"/>
                <w:color w:val="auto"/>
                <w:sz w:val="24"/>
                <w:highlight w:val="none"/>
              </w:rPr>
            </w:pPr>
          </w:p>
        </w:tc>
        <w:tc>
          <w:tcPr>
            <w:tcW w:w="836" w:type="pct"/>
            <w:tcBorders>
              <w:top w:val="single" w:color="auto" w:sz="4" w:space="0"/>
              <w:left w:val="single" w:color="auto" w:sz="4" w:space="0"/>
              <w:bottom w:val="single" w:color="auto" w:sz="4" w:space="0"/>
              <w:right w:val="single" w:color="auto" w:sz="4" w:space="0"/>
            </w:tcBorders>
            <w:noWrap w:val="0"/>
            <w:vAlign w:val="center"/>
          </w:tcPr>
          <w:p w14:paraId="2893DA15">
            <w:pPr>
              <w:snapToGrid w:val="0"/>
              <w:spacing w:before="50" w:after="50"/>
              <w:jc w:val="center"/>
              <w:rPr>
                <w:rFonts w:hint="eastAsia" w:ascii="宋体" w:hAnsi="宋体"/>
                <w:color w:val="auto"/>
                <w:sz w:val="24"/>
                <w:highlight w:val="none"/>
              </w:rPr>
            </w:pPr>
          </w:p>
        </w:tc>
      </w:tr>
      <w:tr w14:paraId="7E06A62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5" w:hRule="atLeast"/>
          <w:jc w:val="center"/>
        </w:trPr>
        <w:tc>
          <w:tcPr>
            <w:tcW w:w="413" w:type="pct"/>
            <w:tcBorders>
              <w:top w:val="single" w:color="auto" w:sz="4" w:space="0"/>
              <w:left w:val="single" w:color="auto" w:sz="4" w:space="0"/>
              <w:bottom w:val="single" w:color="auto" w:sz="4" w:space="0"/>
              <w:right w:val="single" w:color="auto" w:sz="4" w:space="0"/>
            </w:tcBorders>
            <w:noWrap w:val="0"/>
            <w:vAlign w:val="center"/>
          </w:tcPr>
          <w:p w14:paraId="3CF30D0A">
            <w:pPr>
              <w:snapToGrid w:val="0"/>
              <w:spacing w:before="50" w:after="50"/>
              <w:jc w:val="center"/>
              <w:rPr>
                <w:rFonts w:hint="eastAsia" w:ascii="宋体" w:hAnsi="宋体"/>
                <w:color w:val="auto"/>
                <w:sz w:val="24"/>
                <w:highlight w:val="none"/>
              </w:rPr>
            </w:pPr>
          </w:p>
        </w:tc>
        <w:tc>
          <w:tcPr>
            <w:tcW w:w="696" w:type="pct"/>
            <w:tcBorders>
              <w:top w:val="single" w:color="auto" w:sz="4" w:space="0"/>
              <w:left w:val="single" w:color="auto" w:sz="4" w:space="0"/>
              <w:bottom w:val="single" w:color="auto" w:sz="4" w:space="0"/>
              <w:right w:val="single" w:color="auto" w:sz="4" w:space="0"/>
            </w:tcBorders>
            <w:noWrap w:val="0"/>
            <w:vAlign w:val="center"/>
          </w:tcPr>
          <w:p w14:paraId="7AF6003E">
            <w:pPr>
              <w:snapToGrid w:val="0"/>
              <w:spacing w:before="50" w:after="50"/>
              <w:jc w:val="center"/>
              <w:rPr>
                <w:rFonts w:hint="eastAsia" w:ascii="宋体" w:hAnsi="宋体"/>
                <w:color w:val="auto"/>
                <w:sz w:val="24"/>
                <w:highlight w:val="none"/>
              </w:rPr>
            </w:pPr>
          </w:p>
        </w:tc>
        <w:tc>
          <w:tcPr>
            <w:tcW w:w="449" w:type="pct"/>
            <w:tcBorders>
              <w:top w:val="single" w:color="auto" w:sz="4" w:space="0"/>
              <w:left w:val="single" w:color="auto" w:sz="4" w:space="0"/>
              <w:bottom w:val="single" w:color="auto" w:sz="4" w:space="0"/>
              <w:right w:val="single" w:color="auto" w:sz="4" w:space="0"/>
            </w:tcBorders>
            <w:noWrap w:val="0"/>
            <w:vAlign w:val="center"/>
          </w:tcPr>
          <w:p w14:paraId="772170F8">
            <w:pPr>
              <w:snapToGrid w:val="0"/>
              <w:spacing w:before="50" w:after="50"/>
              <w:jc w:val="center"/>
              <w:rPr>
                <w:rFonts w:hint="eastAsia" w:ascii="宋体" w:hAnsi="宋体"/>
                <w:color w:val="auto"/>
                <w:sz w:val="24"/>
                <w:highlight w:val="none"/>
              </w:rPr>
            </w:pPr>
          </w:p>
        </w:tc>
        <w:tc>
          <w:tcPr>
            <w:tcW w:w="500" w:type="pct"/>
            <w:tcBorders>
              <w:top w:val="single" w:color="auto" w:sz="4" w:space="0"/>
              <w:left w:val="single" w:color="auto" w:sz="4" w:space="0"/>
              <w:bottom w:val="single" w:color="auto" w:sz="4" w:space="0"/>
              <w:right w:val="single" w:color="auto" w:sz="4" w:space="0"/>
            </w:tcBorders>
            <w:noWrap w:val="0"/>
            <w:vAlign w:val="center"/>
          </w:tcPr>
          <w:p w14:paraId="333538B9">
            <w:pPr>
              <w:snapToGrid w:val="0"/>
              <w:spacing w:before="50" w:after="50"/>
              <w:jc w:val="center"/>
              <w:rPr>
                <w:rFonts w:hint="eastAsia" w:ascii="宋体" w:hAnsi="宋体"/>
                <w:color w:val="auto"/>
                <w:sz w:val="24"/>
                <w:highlight w:val="none"/>
              </w:rPr>
            </w:pPr>
          </w:p>
        </w:tc>
        <w:tc>
          <w:tcPr>
            <w:tcW w:w="998" w:type="pct"/>
            <w:tcBorders>
              <w:top w:val="single" w:color="auto" w:sz="4" w:space="0"/>
              <w:left w:val="single" w:color="auto" w:sz="4" w:space="0"/>
              <w:bottom w:val="single" w:color="auto" w:sz="4" w:space="0"/>
              <w:right w:val="single" w:color="auto" w:sz="4" w:space="0"/>
            </w:tcBorders>
            <w:noWrap w:val="0"/>
            <w:vAlign w:val="top"/>
          </w:tcPr>
          <w:p w14:paraId="161BC37B">
            <w:pPr>
              <w:snapToGrid w:val="0"/>
              <w:spacing w:before="50" w:after="50"/>
              <w:jc w:val="center"/>
              <w:rPr>
                <w:rFonts w:hint="eastAsia" w:ascii="宋体" w:hAnsi="宋体"/>
                <w:color w:val="auto"/>
                <w:sz w:val="24"/>
                <w:highlight w:val="none"/>
              </w:rPr>
            </w:pPr>
          </w:p>
        </w:tc>
        <w:tc>
          <w:tcPr>
            <w:tcW w:w="696" w:type="pct"/>
            <w:tcBorders>
              <w:top w:val="single" w:color="auto" w:sz="4" w:space="0"/>
              <w:left w:val="single" w:color="auto" w:sz="4" w:space="0"/>
              <w:bottom w:val="single" w:color="auto" w:sz="4" w:space="0"/>
              <w:right w:val="single" w:color="auto" w:sz="4" w:space="0"/>
            </w:tcBorders>
            <w:noWrap w:val="0"/>
            <w:vAlign w:val="center"/>
          </w:tcPr>
          <w:p w14:paraId="0138728A">
            <w:pPr>
              <w:snapToGrid w:val="0"/>
              <w:spacing w:before="50" w:after="50"/>
              <w:jc w:val="center"/>
              <w:rPr>
                <w:rFonts w:hint="eastAsia" w:ascii="宋体" w:hAnsi="宋体"/>
                <w:color w:val="auto"/>
                <w:sz w:val="24"/>
                <w:highlight w:val="none"/>
              </w:rPr>
            </w:pPr>
          </w:p>
        </w:tc>
        <w:tc>
          <w:tcPr>
            <w:tcW w:w="412" w:type="pct"/>
            <w:tcBorders>
              <w:top w:val="single" w:color="auto" w:sz="4" w:space="0"/>
              <w:left w:val="single" w:color="auto" w:sz="4" w:space="0"/>
              <w:bottom w:val="single" w:color="auto" w:sz="4" w:space="0"/>
              <w:right w:val="single" w:color="auto" w:sz="4" w:space="0"/>
            </w:tcBorders>
            <w:noWrap w:val="0"/>
            <w:vAlign w:val="center"/>
          </w:tcPr>
          <w:p w14:paraId="5DD3FA65">
            <w:pPr>
              <w:snapToGrid w:val="0"/>
              <w:spacing w:before="50" w:after="50"/>
              <w:jc w:val="center"/>
              <w:rPr>
                <w:rFonts w:hint="eastAsia" w:ascii="宋体" w:hAnsi="宋体"/>
                <w:color w:val="auto"/>
                <w:sz w:val="24"/>
                <w:highlight w:val="none"/>
              </w:rPr>
            </w:pPr>
          </w:p>
        </w:tc>
        <w:tc>
          <w:tcPr>
            <w:tcW w:w="836" w:type="pct"/>
            <w:tcBorders>
              <w:top w:val="single" w:color="auto" w:sz="4" w:space="0"/>
              <w:left w:val="single" w:color="auto" w:sz="4" w:space="0"/>
              <w:bottom w:val="single" w:color="auto" w:sz="4" w:space="0"/>
              <w:right w:val="single" w:color="auto" w:sz="4" w:space="0"/>
            </w:tcBorders>
            <w:noWrap w:val="0"/>
            <w:vAlign w:val="center"/>
          </w:tcPr>
          <w:p w14:paraId="1864EC0C">
            <w:pPr>
              <w:snapToGrid w:val="0"/>
              <w:spacing w:before="50" w:after="50"/>
              <w:jc w:val="center"/>
              <w:rPr>
                <w:rFonts w:hint="eastAsia" w:ascii="宋体" w:hAnsi="宋体"/>
                <w:color w:val="auto"/>
                <w:sz w:val="24"/>
                <w:highlight w:val="none"/>
              </w:rPr>
            </w:pPr>
          </w:p>
        </w:tc>
      </w:tr>
    </w:tbl>
    <w:p w14:paraId="0FF53F58">
      <w:pPr>
        <w:spacing w:line="360" w:lineRule="auto"/>
        <w:contextualSpacing/>
        <w:rPr>
          <w:rFonts w:hint="eastAsia" w:ascii="宋体" w:hAnsi="宋体"/>
          <w:color w:val="auto"/>
          <w:sz w:val="24"/>
          <w:highlight w:val="none"/>
        </w:rPr>
      </w:pPr>
      <w:r>
        <w:rPr>
          <w:rFonts w:hint="eastAsia" w:ascii="宋体" w:hAnsi="宋体"/>
          <w:color w:val="auto"/>
          <w:sz w:val="24"/>
          <w:highlight w:val="none"/>
        </w:rPr>
        <w:t>备注：</w:t>
      </w:r>
    </w:p>
    <w:p w14:paraId="0346C896">
      <w:pPr>
        <w:tabs>
          <w:tab w:val="left" w:pos="1065"/>
        </w:tabs>
        <w:adjustRightInd w:val="0"/>
        <w:spacing w:line="360" w:lineRule="auto"/>
        <w:contextualSpacing/>
        <w:rPr>
          <w:rFonts w:hint="eastAsia" w:ascii="宋体" w:hAnsi="宋体" w:cs="仿宋_GB2312"/>
          <w:color w:val="auto"/>
          <w:sz w:val="24"/>
          <w:highlight w:val="none"/>
        </w:rPr>
      </w:pPr>
      <w:r>
        <w:rPr>
          <w:rFonts w:hint="eastAsia" w:ascii="宋体" w:hAnsi="宋体"/>
          <w:b/>
          <w:bCs/>
          <w:color w:val="auto"/>
          <w:sz w:val="24"/>
          <w:highlight w:val="none"/>
        </w:rPr>
        <w:t>以上货物配置清单中“标的的名称、数量及单位、品牌、规格型号、制造商、原产地、参数性能、指标及配置”必须如实填写完整，品牌、规格型号没有则填无，填写有缺漏的，响应文件按无效处理</w:t>
      </w:r>
      <w:r>
        <w:rPr>
          <w:rFonts w:hint="eastAsia" w:ascii="宋体" w:hAnsi="宋体"/>
          <w:b/>
          <w:color w:val="auto"/>
          <w:sz w:val="24"/>
          <w:highlight w:val="none"/>
        </w:rPr>
        <w:t>。</w:t>
      </w:r>
      <w:r>
        <w:rPr>
          <w:rFonts w:hint="eastAsia" w:ascii="宋体" w:hAnsi="宋体"/>
          <w:color w:val="auto"/>
          <w:sz w:val="24"/>
          <w:highlight w:val="none"/>
        </w:rPr>
        <w:t>标的的名称、数量及单位、品牌必须与“竞标报价表”一致，</w:t>
      </w:r>
      <w:r>
        <w:rPr>
          <w:rFonts w:hint="eastAsia" w:ascii="宋体" w:hAnsi="宋体"/>
          <w:bCs/>
          <w:color w:val="auto"/>
          <w:sz w:val="24"/>
          <w:highlight w:val="none"/>
        </w:rPr>
        <w:t>否则响应文件按无效处理</w:t>
      </w:r>
      <w:r>
        <w:rPr>
          <w:rFonts w:hint="eastAsia" w:ascii="宋体" w:hAnsi="宋体"/>
          <w:b/>
          <w:color w:val="auto"/>
          <w:sz w:val="24"/>
          <w:highlight w:val="none"/>
        </w:rPr>
        <w:t>。</w:t>
      </w:r>
      <w:r>
        <w:rPr>
          <w:rFonts w:hint="eastAsia" w:ascii="宋体" w:hAnsi="宋体" w:cs="仿宋_GB2312"/>
          <w:color w:val="auto"/>
          <w:sz w:val="24"/>
          <w:highlight w:val="none"/>
        </w:rPr>
        <w:tab/>
      </w:r>
    </w:p>
    <w:p w14:paraId="4A607B57">
      <w:pPr>
        <w:adjustRightInd w:val="0"/>
        <w:spacing w:line="360" w:lineRule="auto"/>
        <w:contextualSpacing/>
        <w:jc w:val="left"/>
        <w:rPr>
          <w:rFonts w:hint="eastAsia" w:ascii="宋体" w:hAnsi="宋体" w:cs="仿宋_GB2312"/>
          <w:color w:val="auto"/>
          <w:sz w:val="24"/>
          <w:highlight w:val="none"/>
        </w:rPr>
      </w:pPr>
    </w:p>
    <w:p w14:paraId="7C0242A5">
      <w:pPr>
        <w:adjustRightInd w:val="0"/>
        <w:spacing w:line="360" w:lineRule="auto"/>
        <w:contextualSpacing/>
        <w:jc w:val="left"/>
        <w:rPr>
          <w:rFonts w:hint="eastAsia" w:ascii="宋体" w:hAnsi="宋体" w:cs="仿宋_GB2312"/>
          <w:color w:val="auto"/>
          <w:sz w:val="24"/>
          <w:highlight w:val="none"/>
        </w:rPr>
      </w:pPr>
    </w:p>
    <w:p w14:paraId="0851E9B2">
      <w:pPr>
        <w:adjustRightInd w:val="0"/>
        <w:spacing w:line="360" w:lineRule="auto"/>
        <w:contextualSpacing/>
        <w:jc w:val="left"/>
        <w:rPr>
          <w:rFonts w:hint="eastAsia" w:ascii="宋体" w:hAnsi="宋体" w:cs="仿宋_GB2312"/>
          <w:color w:val="auto"/>
          <w:sz w:val="24"/>
          <w:highlight w:val="none"/>
        </w:rPr>
      </w:pPr>
    </w:p>
    <w:p w14:paraId="4150D6B2">
      <w:pPr>
        <w:spacing w:line="360" w:lineRule="auto"/>
        <w:ind w:right="-817" w:rightChars="-389"/>
        <w:contextualSpacing/>
        <w:jc w:val="center"/>
        <w:rPr>
          <w:rFonts w:hint="eastAsia" w:ascii="宋体" w:hAnsi="宋体" w:cs="仿宋_GB2312"/>
          <w:color w:val="auto"/>
          <w:sz w:val="24"/>
          <w:highlight w:val="none"/>
        </w:rPr>
      </w:pPr>
      <w:r>
        <w:rPr>
          <w:rFonts w:hint="eastAsia" w:ascii="宋体" w:hAnsi="宋体" w:cs="仿宋_GB2312"/>
          <w:color w:val="auto"/>
          <w:sz w:val="24"/>
          <w:highlight w:val="none"/>
        </w:rPr>
        <w:t>法定代表人或者委托代理人（签字或者电子签名）：</w:t>
      </w:r>
    </w:p>
    <w:p w14:paraId="25B0A01F">
      <w:pPr>
        <w:spacing w:line="360" w:lineRule="auto"/>
        <w:ind w:right="-817" w:rightChars="-389" w:firstLine="2880" w:firstLineChars="1200"/>
        <w:contextualSpacing/>
        <w:rPr>
          <w:rFonts w:hint="eastAsia" w:ascii="宋体" w:hAnsi="宋体" w:cs="仿宋_GB2312"/>
          <w:color w:val="auto"/>
          <w:sz w:val="24"/>
          <w:highlight w:val="none"/>
        </w:rPr>
      </w:pPr>
      <w:r>
        <w:rPr>
          <w:rFonts w:hint="eastAsia" w:ascii="宋体" w:hAnsi="宋体" w:cs="仿宋_GB2312"/>
          <w:color w:val="auto"/>
          <w:sz w:val="24"/>
          <w:highlight w:val="none"/>
        </w:rPr>
        <w:t xml:space="preserve">供应商（电子签章）：      </w:t>
      </w:r>
    </w:p>
    <w:p w14:paraId="4EAFAB67">
      <w:pPr>
        <w:spacing w:line="360" w:lineRule="auto"/>
        <w:ind w:right="-817" w:rightChars="-389" w:firstLine="2880" w:firstLineChars="1200"/>
        <w:contextualSpacing/>
        <w:rPr>
          <w:rFonts w:hint="eastAsia" w:ascii="仿宋_GB2312" w:hAnsi="仿宋_GB2312" w:eastAsia="仿宋_GB2312" w:cs="仿宋_GB2312"/>
          <w:b/>
          <w:color w:val="auto"/>
          <w:sz w:val="32"/>
          <w:szCs w:val="32"/>
          <w:highlight w:val="none"/>
        </w:rPr>
      </w:pPr>
      <w:r>
        <w:rPr>
          <w:rFonts w:hint="eastAsia" w:ascii="宋体" w:hAnsi="宋体" w:cs="仿宋_GB2312"/>
          <w:color w:val="auto"/>
          <w:sz w:val="24"/>
          <w:highlight w:val="none"/>
        </w:rPr>
        <w:t>日期：   年   月   日</w:t>
      </w:r>
    </w:p>
    <w:p w14:paraId="18A097BF">
      <w:pPr>
        <w:adjustRightInd w:val="0"/>
        <w:snapToGrid w:val="0"/>
        <w:spacing w:line="300" w:lineRule="auto"/>
        <w:rPr>
          <w:rFonts w:hint="eastAsia" w:ascii="宋体" w:hAnsi="宋体"/>
          <w:color w:val="auto"/>
          <w:szCs w:val="21"/>
          <w:highlight w:val="none"/>
          <w:u w:val="single"/>
        </w:rPr>
      </w:pPr>
    </w:p>
    <w:p w14:paraId="402274C0">
      <w:pPr>
        <w:adjustRightInd w:val="0"/>
        <w:snapToGrid w:val="0"/>
        <w:spacing w:line="300" w:lineRule="auto"/>
        <w:rPr>
          <w:rFonts w:hint="eastAsia" w:ascii="宋体" w:hAnsi="宋体"/>
          <w:color w:val="auto"/>
          <w:szCs w:val="21"/>
          <w:highlight w:val="none"/>
          <w:u w:val="single"/>
        </w:rPr>
      </w:pPr>
    </w:p>
    <w:p w14:paraId="66EF1484">
      <w:pPr>
        <w:adjustRightInd w:val="0"/>
        <w:snapToGrid w:val="0"/>
        <w:spacing w:line="300" w:lineRule="auto"/>
        <w:rPr>
          <w:rFonts w:hint="eastAsia" w:ascii="宋体" w:hAnsi="宋体"/>
          <w:color w:val="auto"/>
          <w:szCs w:val="21"/>
          <w:highlight w:val="none"/>
          <w:u w:val="single"/>
        </w:rPr>
      </w:pPr>
    </w:p>
    <w:p w14:paraId="2E88A8B1">
      <w:pPr>
        <w:adjustRightInd w:val="0"/>
        <w:snapToGrid w:val="0"/>
        <w:spacing w:line="300" w:lineRule="auto"/>
        <w:rPr>
          <w:rFonts w:hint="eastAsia" w:ascii="宋体" w:hAnsi="宋体"/>
          <w:color w:val="auto"/>
          <w:szCs w:val="21"/>
          <w:highlight w:val="none"/>
          <w:u w:val="single"/>
        </w:rPr>
      </w:pPr>
    </w:p>
    <w:p w14:paraId="3ECEEC1D">
      <w:pPr>
        <w:adjustRightInd w:val="0"/>
        <w:snapToGrid w:val="0"/>
        <w:spacing w:line="300" w:lineRule="auto"/>
        <w:rPr>
          <w:rFonts w:hint="eastAsia" w:ascii="宋体" w:hAnsi="宋体"/>
          <w:color w:val="auto"/>
          <w:szCs w:val="21"/>
          <w:highlight w:val="none"/>
          <w:u w:val="single"/>
        </w:rPr>
      </w:pPr>
    </w:p>
    <w:p w14:paraId="244278C5">
      <w:pPr>
        <w:adjustRightInd w:val="0"/>
        <w:snapToGrid w:val="0"/>
        <w:spacing w:line="300" w:lineRule="auto"/>
        <w:rPr>
          <w:rFonts w:hint="eastAsia" w:ascii="宋体" w:hAnsi="宋体"/>
          <w:color w:val="auto"/>
          <w:szCs w:val="21"/>
          <w:highlight w:val="none"/>
          <w:u w:val="single"/>
        </w:rPr>
      </w:pPr>
    </w:p>
    <w:p w14:paraId="62DCB35D">
      <w:pPr>
        <w:adjustRightInd w:val="0"/>
        <w:snapToGrid w:val="0"/>
        <w:spacing w:line="300" w:lineRule="auto"/>
        <w:rPr>
          <w:rFonts w:hint="eastAsia" w:ascii="宋体" w:hAnsi="宋体"/>
          <w:color w:val="auto"/>
          <w:szCs w:val="21"/>
          <w:highlight w:val="none"/>
          <w:u w:val="single"/>
        </w:rPr>
      </w:pPr>
    </w:p>
    <w:p w14:paraId="194EA665">
      <w:pPr>
        <w:adjustRightInd w:val="0"/>
        <w:snapToGrid w:val="0"/>
        <w:spacing w:line="300" w:lineRule="auto"/>
        <w:rPr>
          <w:rFonts w:hint="eastAsia" w:ascii="宋体" w:hAnsi="宋体"/>
          <w:color w:val="auto"/>
          <w:szCs w:val="21"/>
          <w:highlight w:val="none"/>
          <w:u w:val="single"/>
        </w:rPr>
      </w:pPr>
    </w:p>
    <w:p w14:paraId="38031EC3">
      <w:pPr>
        <w:adjustRightInd w:val="0"/>
        <w:snapToGrid w:val="0"/>
        <w:spacing w:line="300" w:lineRule="auto"/>
        <w:jc w:val="center"/>
        <w:rPr>
          <w:rFonts w:hint="eastAsia" w:ascii="方正小标宋简体" w:hAnsi="方正小标宋简体" w:eastAsia="方正小标宋简体" w:cs="方正小标宋简体"/>
          <w:bCs/>
          <w:color w:val="auto"/>
          <w:sz w:val="44"/>
          <w:szCs w:val="44"/>
          <w:highlight w:val="none"/>
        </w:rPr>
      </w:pPr>
      <w:r>
        <w:rPr>
          <w:rFonts w:ascii="方正小标宋简体" w:hAnsi="方正小标宋简体" w:eastAsia="方正小标宋简体" w:cs="方正小标宋简体"/>
          <w:bCs/>
          <w:color w:val="auto"/>
          <w:sz w:val="44"/>
          <w:szCs w:val="44"/>
          <w:highlight w:val="none"/>
        </w:rPr>
        <w:br w:type="page"/>
      </w:r>
      <w:r>
        <w:rPr>
          <w:rFonts w:hint="eastAsia" w:ascii="方正小标宋简体" w:hAnsi="方正小标宋简体" w:eastAsia="方正小标宋简体" w:cs="方正小标宋简体"/>
          <w:bCs/>
          <w:color w:val="auto"/>
          <w:sz w:val="44"/>
          <w:szCs w:val="44"/>
          <w:highlight w:val="none"/>
        </w:rPr>
        <w:t>技术要求偏离表</w:t>
      </w:r>
    </w:p>
    <w:p w14:paraId="2C637FA7">
      <w:pPr>
        <w:spacing w:line="520" w:lineRule="exact"/>
        <w:rPr>
          <w:rFonts w:hint="eastAsia" w:ascii="仿宋_GB2312" w:hAnsi="仿宋_GB2312" w:eastAsia="仿宋_GB2312" w:cs="仿宋_GB2312"/>
          <w:color w:val="auto"/>
          <w:sz w:val="32"/>
          <w:szCs w:val="32"/>
          <w:highlight w:val="none"/>
        </w:rPr>
      </w:pPr>
    </w:p>
    <w:p w14:paraId="6C93E4EF">
      <w:pPr>
        <w:spacing w:line="360" w:lineRule="auto"/>
        <w:rPr>
          <w:rFonts w:hint="eastAsia" w:ascii="宋体" w:hAnsi="宋体" w:cs="仿宋_GB2312"/>
          <w:color w:val="auto"/>
          <w:sz w:val="24"/>
          <w:highlight w:val="none"/>
          <w:u w:val="single"/>
        </w:rPr>
      </w:pPr>
      <w:r>
        <w:rPr>
          <w:rFonts w:hint="eastAsia" w:ascii="宋体" w:hAnsi="宋体" w:cs="仿宋_GB2312"/>
          <w:color w:val="auto"/>
          <w:sz w:val="24"/>
          <w:highlight w:val="none"/>
        </w:rPr>
        <w:t>采购项目编号：</w:t>
      </w:r>
      <w:r>
        <w:rPr>
          <w:rFonts w:hint="eastAsia" w:ascii="宋体" w:hAnsi="宋体" w:cs="仿宋_GB2312"/>
          <w:color w:val="auto"/>
          <w:sz w:val="24"/>
          <w:highlight w:val="none"/>
          <w:u w:val="single"/>
        </w:rPr>
        <w:t xml:space="preserve">                 </w:t>
      </w:r>
    </w:p>
    <w:p w14:paraId="068E33E7">
      <w:pPr>
        <w:spacing w:line="360" w:lineRule="auto"/>
        <w:rPr>
          <w:rFonts w:hint="eastAsia" w:ascii="宋体" w:hAnsi="宋体" w:cs="仿宋_GB2312"/>
          <w:color w:val="auto"/>
          <w:sz w:val="24"/>
          <w:highlight w:val="none"/>
        </w:rPr>
      </w:pPr>
      <w:r>
        <w:rPr>
          <w:rFonts w:hint="eastAsia" w:ascii="宋体" w:hAnsi="宋体" w:cs="仿宋_GB2312"/>
          <w:color w:val="auto"/>
          <w:sz w:val="24"/>
          <w:highlight w:val="none"/>
        </w:rPr>
        <w:t>采购项目名称：</w:t>
      </w:r>
      <w:r>
        <w:rPr>
          <w:rFonts w:hint="eastAsia" w:ascii="宋体" w:hAnsi="宋体" w:cs="仿宋_GB2312"/>
          <w:color w:val="auto"/>
          <w:sz w:val="24"/>
          <w:highlight w:val="none"/>
          <w:u w:val="single"/>
        </w:rPr>
        <w:t xml:space="preserve">                 </w:t>
      </w:r>
    </w:p>
    <w:p w14:paraId="7E4FC3A2">
      <w:pPr>
        <w:spacing w:line="360" w:lineRule="auto"/>
        <w:rPr>
          <w:rFonts w:hint="eastAsia" w:ascii="宋体" w:hAnsi="宋体" w:cs="仿宋_GB2312"/>
          <w:color w:val="auto"/>
          <w:sz w:val="24"/>
          <w:highlight w:val="none"/>
          <w:u w:val="single"/>
        </w:rPr>
      </w:pPr>
      <w:r>
        <w:rPr>
          <w:rFonts w:hint="eastAsia" w:ascii="宋体" w:hAnsi="宋体" w:cs="仿宋_GB2312"/>
          <w:color w:val="auto"/>
          <w:sz w:val="24"/>
          <w:highlight w:val="none"/>
        </w:rPr>
        <w:t>分标号：</w:t>
      </w:r>
      <w:r>
        <w:rPr>
          <w:rFonts w:hint="eastAsia" w:ascii="宋体" w:hAnsi="宋体" w:cs="仿宋_GB2312"/>
          <w:color w:val="auto"/>
          <w:sz w:val="24"/>
          <w:highlight w:val="none"/>
          <w:u w:val="single"/>
        </w:rPr>
        <w:t xml:space="preserve">                       </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003"/>
        <w:gridCol w:w="1250"/>
        <w:gridCol w:w="3081"/>
        <w:gridCol w:w="2997"/>
        <w:gridCol w:w="1635"/>
      </w:tblGrid>
      <w:tr w14:paraId="6362A96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jc w:val="center"/>
        </w:trPr>
        <w:tc>
          <w:tcPr>
            <w:tcW w:w="503" w:type="pct"/>
            <w:noWrap w:val="0"/>
            <w:vAlign w:val="center"/>
          </w:tcPr>
          <w:p w14:paraId="6524C419">
            <w:pPr>
              <w:pStyle w:val="13"/>
              <w:spacing w:line="360" w:lineRule="auto"/>
              <w:ind w:firstLine="0" w:firstLineChars="0"/>
              <w:jc w:val="center"/>
              <w:rPr>
                <w:rFonts w:hint="eastAsia" w:ascii="宋体" w:hAnsi="宋体" w:eastAsia="宋体" w:cs="仿宋_GB2312"/>
                <w:color w:val="auto"/>
                <w:kern w:val="2"/>
                <w:sz w:val="24"/>
                <w:szCs w:val="24"/>
                <w:highlight w:val="none"/>
              </w:rPr>
            </w:pPr>
            <w:r>
              <w:rPr>
                <w:rFonts w:hint="eastAsia" w:ascii="宋体" w:hAnsi="宋体" w:eastAsia="宋体" w:cs="仿宋_GB2312"/>
                <w:color w:val="auto"/>
                <w:kern w:val="2"/>
                <w:sz w:val="24"/>
                <w:szCs w:val="24"/>
                <w:highlight w:val="none"/>
              </w:rPr>
              <w:t>序号</w:t>
            </w:r>
          </w:p>
        </w:tc>
        <w:tc>
          <w:tcPr>
            <w:tcW w:w="627" w:type="pct"/>
            <w:tcBorders>
              <w:right w:val="single" w:color="auto" w:sz="4" w:space="0"/>
            </w:tcBorders>
            <w:noWrap w:val="0"/>
            <w:vAlign w:val="center"/>
          </w:tcPr>
          <w:p w14:paraId="6AFFEB0C">
            <w:pPr>
              <w:pStyle w:val="13"/>
              <w:spacing w:line="360" w:lineRule="auto"/>
              <w:ind w:firstLine="0" w:firstLineChars="0"/>
              <w:jc w:val="center"/>
              <w:rPr>
                <w:rFonts w:ascii="宋体" w:hAnsi="宋体" w:eastAsia="宋体" w:cs="仿宋_GB2312"/>
                <w:color w:val="auto"/>
                <w:kern w:val="2"/>
                <w:sz w:val="24"/>
                <w:szCs w:val="24"/>
                <w:highlight w:val="none"/>
              </w:rPr>
            </w:pPr>
            <w:r>
              <w:rPr>
                <w:rFonts w:hint="eastAsia" w:ascii="宋体" w:hAnsi="宋体" w:eastAsia="宋体" w:cs="仿宋_GB2312"/>
                <w:color w:val="auto"/>
                <w:kern w:val="2"/>
                <w:sz w:val="24"/>
                <w:szCs w:val="24"/>
                <w:highlight w:val="none"/>
              </w:rPr>
              <w:t>标的的名称</w:t>
            </w:r>
          </w:p>
        </w:tc>
        <w:tc>
          <w:tcPr>
            <w:tcW w:w="1545" w:type="pct"/>
            <w:tcBorders>
              <w:left w:val="single" w:color="auto" w:sz="4" w:space="0"/>
            </w:tcBorders>
            <w:noWrap w:val="0"/>
            <w:vAlign w:val="center"/>
          </w:tcPr>
          <w:p w14:paraId="0D620E10">
            <w:pPr>
              <w:pStyle w:val="13"/>
              <w:spacing w:line="360" w:lineRule="auto"/>
              <w:ind w:firstLine="0" w:firstLineChars="0"/>
              <w:jc w:val="center"/>
              <w:rPr>
                <w:rFonts w:hint="eastAsia" w:ascii="宋体" w:hAnsi="宋体" w:eastAsia="宋体" w:cs="仿宋_GB2312"/>
                <w:color w:val="auto"/>
                <w:kern w:val="2"/>
                <w:sz w:val="24"/>
                <w:szCs w:val="24"/>
                <w:highlight w:val="none"/>
              </w:rPr>
            </w:pPr>
            <w:r>
              <w:rPr>
                <w:rFonts w:hint="eastAsia" w:ascii="宋体" w:hAnsi="宋体" w:eastAsia="宋体" w:cs="仿宋_GB2312"/>
                <w:color w:val="auto"/>
                <w:kern w:val="2"/>
                <w:sz w:val="24"/>
                <w:szCs w:val="24"/>
                <w:highlight w:val="none"/>
              </w:rPr>
              <w:t>谈判文件要求</w:t>
            </w:r>
          </w:p>
        </w:tc>
        <w:tc>
          <w:tcPr>
            <w:tcW w:w="1503" w:type="pct"/>
            <w:noWrap w:val="0"/>
            <w:vAlign w:val="center"/>
          </w:tcPr>
          <w:p w14:paraId="0DCB1AD0">
            <w:pPr>
              <w:pStyle w:val="13"/>
              <w:spacing w:line="360" w:lineRule="auto"/>
              <w:ind w:firstLine="0" w:firstLineChars="0"/>
              <w:jc w:val="center"/>
              <w:rPr>
                <w:rFonts w:hint="eastAsia" w:ascii="宋体" w:hAnsi="宋体" w:eastAsia="宋体" w:cs="仿宋_GB2312"/>
                <w:color w:val="auto"/>
                <w:kern w:val="2"/>
                <w:sz w:val="24"/>
                <w:szCs w:val="24"/>
                <w:highlight w:val="none"/>
              </w:rPr>
            </w:pPr>
            <w:r>
              <w:rPr>
                <w:rFonts w:hint="eastAsia" w:ascii="宋体" w:hAnsi="宋体" w:eastAsia="宋体" w:cs="仿宋_GB2312"/>
                <w:color w:val="auto"/>
                <w:kern w:val="2"/>
                <w:sz w:val="24"/>
                <w:szCs w:val="24"/>
                <w:highlight w:val="none"/>
              </w:rPr>
              <w:t>竞标响应</w:t>
            </w:r>
          </w:p>
        </w:tc>
        <w:tc>
          <w:tcPr>
            <w:tcW w:w="820" w:type="pct"/>
            <w:noWrap w:val="0"/>
            <w:vAlign w:val="center"/>
          </w:tcPr>
          <w:p w14:paraId="26DB5D12">
            <w:pPr>
              <w:pStyle w:val="13"/>
              <w:spacing w:line="360" w:lineRule="auto"/>
              <w:ind w:firstLine="0" w:firstLineChars="0"/>
              <w:jc w:val="center"/>
              <w:rPr>
                <w:rFonts w:hint="eastAsia" w:ascii="宋体" w:hAnsi="宋体" w:eastAsia="宋体" w:cs="仿宋_GB2312"/>
                <w:color w:val="auto"/>
                <w:kern w:val="2"/>
                <w:sz w:val="24"/>
                <w:szCs w:val="24"/>
                <w:highlight w:val="none"/>
              </w:rPr>
            </w:pPr>
            <w:r>
              <w:rPr>
                <w:rFonts w:hint="eastAsia" w:ascii="宋体" w:hAnsi="宋体" w:eastAsia="宋体" w:cs="仿宋_GB2312"/>
                <w:color w:val="auto"/>
                <w:kern w:val="2"/>
                <w:sz w:val="24"/>
                <w:szCs w:val="24"/>
                <w:highlight w:val="none"/>
              </w:rPr>
              <w:t>偏离说明</w:t>
            </w:r>
          </w:p>
        </w:tc>
      </w:tr>
      <w:tr w14:paraId="02A05E6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jc w:val="center"/>
        </w:trPr>
        <w:tc>
          <w:tcPr>
            <w:tcW w:w="503" w:type="pct"/>
            <w:noWrap w:val="0"/>
            <w:vAlign w:val="center"/>
          </w:tcPr>
          <w:p w14:paraId="349627CF">
            <w:pPr>
              <w:pStyle w:val="13"/>
              <w:spacing w:line="360" w:lineRule="auto"/>
              <w:ind w:firstLine="0" w:firstLineChars="0"/>
              <w:jc w:val="center"/>
              <w:rPr>
                <w:rFonts w:hint="eastAsia" w:ascii="宋体" w:hAnsi="宋体" w:eastAsia="宋体" w:cs="仿宋_GB2312"/>
                <w:color w:val="auto"/>
                <w:kern w:val="2"/>
                <w:sz w:val="24"/>
                <w:szCs w:val="24"/>
                <w:highlight w:val="none"/>
              </w:rPr>
            </w:pPr>
            <w:r>
              <w:rPr>
                <w:rFonts w:hint="eastAsia" w:ascii="宋体" w:hAnsi="宋体" w:eastAsia="宋体" w:cs="仿宋_GB2312"/>
                <w:color w:val="auto"/>
                <w:kern w:val="2"/>
                <w:sz w:val="24"/>
                <w:szCs w:val="24"/>
                <w:highlight w:val="none"/>
              </w:rPr>
              <w:t>1</w:t>
            </w:r>
          </w:p>
        </w:tc>
        <w:tc>
          <w:tcPr>
            <w:tcW w:w="627" w:type="pct"/>
            <w:tcBorders>
              <w:right w:val="single" w:color="auto" w:sz="4" w:space="0"/>
            </w:tcBorders>
            <w:noWrap w:val="0"/>
            <w:vAlign w:val="center"/>
          </w:tcPr>
          <w:p w14:paraId="148CA00E">
            <w:pPr>
              <w:pStyle w:val="13"/>
              <w:spacing w:line="360" w:lineRule="auto"/>
              <w:ind w:firstLine="0" w:firstLineChars="0"/>
              <w:jc w:val="center"/>
              <w:rPr>
                <w:rFonts w:hint="eastAsia" w:ascii="宋体" w:hAnsi="宋体" w:eastAsia="宋体" w:cs="仿宋_GB2312"/>
                <w:color w:val="auto"/>
                <w:kern w:val="2"/>
                <w:sz w:val="24"/>
                <w:szCs w:val="24"/>
                <w:highlight w:val="none"/>
              </w:rPr>
            </w:pPr>
          </w:p>
        </w:tc>
        <w:tc>
          <w:tcPr>
            <w:tcW w:w="1545" w:type="pct"/>
            <w:tcBorders>
              <w:left w:val="single" w:color="auto" w:sz="4" w:space="0"/>
            </w:tcBorders>
            <w:noWrap w:val="0"/>
            <w:vAlign w:val="center"/>
          </w:tcPr>
          <w:p w14:paraId="1229E8B4">
            <w:pPr>
              <w:pStyle w:val="13"/>
              <w:spacing w:line="360" w:lineRule="auto"/>
              <w:ind w:firstLine="0" w:firstLineChars="0"/>
              <w:jc w:val="center"/>
              <w:rPr>
                <w:rFonts w:hint="eastAsia" w:ascii="宋体" w:hAnsi="宋体" w:eastAsia="宋体" w:cs="仿宋_GB2312"/>
                <w:color w:val="auto"/>
                <w:kern w:val="2"/>
                <w:sz w:val="24"/>
                <w:szCs w:val="24"/>
                <w:highlight w:val="none"/>
              </w:rPr>
            </w:pPr>
          </w:p>
        </w:tc>
        <w:tc>
          <w:tcPr>
            <w:tcW w:w="1503" w:type="pct"/>
            <w:noWrap w:val="0"/>
            <w:vAlign w:val="center"/>
          </w:tcPr>
          <w:p w14:paraId="4BDB0B0E">
            <w:pPr>
              <w:pStyle w:val="13"/>
              <w:spacing w:line="360" w:lineRule="auto"/>
              <w:ind w:firstLine="0" w:firstLineChars="0"/>
              <w:jc w:val="center"/>
              <w:rPr>
                <w:rFonts w:hint="eastAsia" w:ascii="宋体" w:hAnsi="宋体" w:eastAsia="宋体" w:cs="仿宋_GB2312"/>
                <w:color w:val="auto"/>
                <w:kern w:val="2"/>
                <w:sz w:val="24"/>
                <w:szCs w:val="24"/>
                <w:highlight w:val="none"/>
              </w:rPr>
            </w:pPr>
          </w:p>
        </w:tc>
        <w:tc>
          <w:tcPr>
            <w:tcW w:w="820" w:type="pct"/>
            <w:noWrap w:val="0"/>
            <w:vAlign w:val="center"/>
          </w:tcPr>
          <w:p w14:paraId="295333CD">
            <w:pPr>
              <w:pStyle w:val="13"/>
              <w:spacing w:line="360" w:lineRule="auto"/>
              <w:ind w:firstLine="0" w:firstLineChars="0"/>
              <w:jc w:val="center"/>
              <w:rPr>
                <w:rFonts w:hint="eastAsia" w:ascii="宋体" w:hAnsi="宋体" w:eastAsia="宋体" w:cs="仿宋_GB2312"/>
                <w:color w:val="auto"/>
                <w:kern w:val="2"/>
                <w:sz w:val="24"/>
                <w:szCs w:val="24"/>
                <w:highlight w:val="none"/>
              </w:rPr>
            </w:pPr>
          </w:p>
        </w:tc>
      </w:tr>
      <w:tr w14:paraId="4DF44DC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jc w:val="center"/>
        </w:trPr>
        <w:tc>
          <w:tcPr>
            <w:tcW w:w="503" w:type="pct"/>
            <w:noWrap w:val="0"/>
            <w:vAlign w:val="center"/>
          </w:tcPr>
          <w:p w14:paraId="5E197A20">
            <w:pPr>
              <w:pStyle w:val="13"/>
              <w:spacing w:line="360" w:lineRule="auto"/>
              <w:ind w:firstLine="0" w:firstLineChars="0"/>
              <w:jc w:val="center"/>
              <w:rPr>
                <w:rFonts w:hint="eastAsia" w:ascii="宋体" w:hAnsi="宋体" w:eastAsia="宋体" w:cs="仿宋_GB2312"/>
                <w:color w:val="auto"/>
                <w:kern w:val="2"/>
                <w:sz w:val="24"/>
                <w:szCs w:val="24"/>
                <w:highlight w:val="none"/>
              </w:rPr>
            </w:pPr>
            <w:r>
              <w:rPr>
                <w:rFonts w:hint="eastAsia" w:ascii="宋体" w:hAnsi="宋体" w:eastAsia="宋体" w:cs="仿宋_GB2312"/>
                <w:color w:val="auto"/>
                <w:kern w:val="2"/>
                <w:sz w:val="24"/>
                <w:szCs w:val="24"/>
                <w:highlight w:val="none"/>
              </w:rPr>
              <w:t>2</w:t>
            </w:r>
          </w:p>
        </w:tc>
        <w:tc>
          <w:tcPr>
            <w:tcW w:w="627" w:type="pct"/>
            <w:tcBorders>
              <w:right w:val="single" w:color="auto" w:sz="4" w:space="0"/>
            </w:tcBorders>
            <w:noWrap w:val="0"/>
            <w:vAlign w:val="center"/>
          </w:tcPr>
          <w:p w14:paraId="5D744D51">
            <w:pPr>
              <w:pStyle w:val="13"/>
              <w:spacing w:line="360" w:lineRule="auto"/>
              <w:ind w:firstLine="0" w:firstLineChars="0"/>
              <w:jc w:val="center"/>
              <w:rPr>
                <w:rFonts w:hint="eastAsia" w:ascii="宋体" w:hAnsi="宋体" w:eastAsia="宋体" w:cs="仿宋_GB2312"/>
                <w:color w:val="auto"/>
                <w:kern w:val="2"/>
                <w:sz w:val="24"/>
                <w:szCs w:val="24"/>
                <w:highlight w:val="none"/>
              </w:rPr>
            </w:pPr>
          </w:p>
        </w:tc>
        <w:tc>
          <w:tcPr>
            <w:tcW w:w="1545" w:type="pct"/>
            <w:tcBorders>
              <w:left w:val="single" w:color="auto" w:sz="4" w:space="0"/>
            </w:tcBorders>
            <w:noWrap w:val="0"/>
            <w:vAlign w:val="center"/>
          </w:tcPr>
          <w:p w14:paraId="232126AF">
            <w:pPr>
              <w:pStyle w:val="13"/>
              <w:spacing w:line="360" w:lineRule="auto"/>
              <w:ind w:firstLine="0" w:firstLineChars="0"/>
              <w:jc w:val="center"/>
              <w:rPr>
                <w:rFonts w:hint="eastAsia" w:ascii="宋体" w:hAnsi="宋体" w:eastAsia="宋体" w:cs="仿宋_GB2312"/>
                <w:color w:val="auto"/>
                <w:kern w:val="2"/>
                <w:sz w:val="24"/>
                <w:szCs w:val="24"/>
                <w:highlight w:val="none"/>
              </w:rPr>
            </w:pPr>
          </w:p>
        </w:tc>
        <w:tc>
          <w:tcPr>
            <w:tcW w:w="1503" w:type="pct"/>
            <w:noWrap w:val="0"/>
            <w:vAlign w:val="center"/>
          </w:tcPr>
          <w:p w14:paraId="31FA2BE4">
            <w:pPr>
              <w:pStyle w:val="13"/>
              <w:spacing w:line="360" w:lineRule="auto"/>
              <w:ind w:firstLine="0" w:firstLineChars="0"/>
              <w:jc w:val="center"/>
              <w:rPr>
                <w:rFonts w:hint="eastAsia" w:ascii="宋体" w:hAnsi="宋体" w:eastAsia="宋体" w:cs="仿宋_GB2312"/>
                <w:color w:val="auto"/>
                <w:kern w:val="2"/>
                <w:sz w:val="24"/>
                <w:szCs w:val="24"/>
                <w:highlight w:val="none"/>
              </w:rPr>
            </w:pPr>
          </w:p>
        </w:tc>
        <w:tc>
          <w:tcPr>
            <w:tcW w:w="820" w:type="pct"/>
            <w:noWrap w:val="0"/>
            <w:vAlign w:val="center"/>
          </w:tcPr>
          <w:p w14:paraId="3051B94F">
            <w:pPr>
              <w:pStyle w:val="13"/>
              <w:spacing w:line="360" w:lineRule="auto"/>
              <w:ind w:firstLine="0" w:firstLineChars="0"/>
              <w:jc w:val="center"/>
              <w:rPr>
                <w:rFonts w:hint="eastAsia" w:ascii="宋体" w:hAnsi="宋体" w:eastAsia="宋体" w:cs="仿宋_GB2312"/>
                <w:color w:val="auto"/>
                <w:kern w:val="2"/>
                <w:sz w:val="24"/>
                <w:szCs w:val="24"/>
                <w:highlight w:val="none"/>
              </w:rPr>
            </w:pPr>
          </w:p>
        </w:tc>
      </w:tr>
      <w:tr w14:paraId="50BE36A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jc w:val="center"/>
        </w:trPr>
        <w:tc>
          <w:tcPr>
            <w:tcW w:w="503" w:type="pct"/>
            <w:noWrap w:val="0"/>
            <w:vAlign w:val="center"/>
          </w:tcPr>
          <w:p w14:paraId="54BA4D07">
            <w:pPr>
              <w:pStyle w:val="13"/>
              <w:spacing w:line="360" w:lineRule="auto"/>
              <w:ind w:firstLine="0" w:firstLineChars="0"/>
              <w:jc w:val="center"/>
              <w:rPr>
                <w:rFonts w:hint="eastAsia" w:ascii="宋体" w:hAnsi="宋体" w:eastAsia="宋体" w:cs="仿宋_GB2312"/>
                <w:color w:val="auto"/>
                <w:kern w:val="2"/>
                <w:sz w:val="24"/>
                <w:szCs w:val="24"/>
                <w:highlight w:val="none"/>
              </w:rPr>
            </w:pPr>
            <w:r>
              <w:rPr>
                <w:rFonts w:hint="eastAsia" w:ascii="宋体" w:hAnsi="宋体" w:eastAsia="宋体" w:cs="仿宋_GB2312"/>
                <w:color w:val="auto"/>
                <w:kern w:val="2"/>
                <w:sz w:val="24"/>
                <w:szCs w:val="24"/>
                <w:highlight w:val="none"/>
              </w:rPr>
              <w:t>3</w:t>
            </w:r>
          </w:p>
        </w:tc>
        <w:tc>
          <w:tcPr>
            <w:tcW w:w="627" w:type="pct"/>
            <w:tcBorders>
              <w:right w:val="single" w:color="auto" w:sz="4" w:space="0"/>
            </w:tcBorders>
            <w:noWrap w:val="0"/>
            <w:vAlign w:val="center"/>
          </w:tcPr>
          <w:p w14:paraId="72DD1FFF">
            <w:pPr>
              <w:pStyle w:val="13"/>
              <w:spacing w:line="360" w:lineRule="auto"/>
              <w:ind w:firstLine="0" w:firstLineChars="0"/>
              <w:jc w:val="center"/>
              <w:rPr>
                <w:rFonts w:hint="eastAsia" w:ascii="宋体" w:hAnsi="宋体" w:eastAsia="宋体" w:cs="仿宋_GB2312"/>
                <w:color w:val="auto"/>
                <w:kern w:val="2"/>
                <w:sz w:val="24"/>
                <w:szCs w:val="24"/>
                <w:highlight w:val="none"/>
              </w:rPr>
            </w:pPr>
          </w:p>
        </w:tc>
        <w:tc>
          <w:tcPr>
            <w:tcW w:w="1545" w:type="pct"/>
            <w:tcBorders>
              <w:left w:val="single" w:color="auto" w:sz="4" w:space="0"/>
            </w:tcBorders>
            <w:noWrap w:val="0"/>
            <w:vAlign w:val="center"/>
          </w:tcPr>
          <w:p w14:paraId="2D80E3FD">
            <w:pPr>
              <w:pStyle w:val="13"/>
              <w:spacing w:line="360" w:lineRule="auto"/>
              <w:ind w:firstLine="0" w:firstLineChars="0"/>
              <w:jc w:val="center"/>
              <w:rPr>
                <w:rFonts w:hint="eastAsia" w:ascii="宋体" w:hAnsi="宋体" w:eastAsia="宋体" w:cs="仿宋_GB2312"/>
                <w:color w:val="auto"/>
                <w:kern w:val="2"/>
                <w:sz w:val="24"/>
                <w:szCs w:val="24"/>
                <w:highlight w:val="none"/>
              </w:rPr>
            </w:pPr>
          </w:p>
        </w:tc>
        <w:tc>
          <w:tcPr>
            <w:tcW w:w="1503" w:type="pct"/>
            <w:noWrap w:val="0"/>
            <w:vAlign w:val="center"/>
          </w:tcPr>
          <w:p w14:paraId="421F7DC2">
            <w:pPr>
              <w:pStyle w:val="13"/>
              <w:spacing w:line="360" w:lineRule="auto"/>
              <w:ind w:firstLine="0" w:firstLineChars="0"/>
              <w:jc w:val="center"/>
              <w:rPr>
                <w:rFonts w:hint="eastAsia" w:ascii="宋体" w:hAnsi="宋体" w:eastAsia="宋体" w:cs="仿宋_GB2312"/>
                <w:color w:val="auto"/>
                <w:kern w:val="2"/>
                <w:sz w:val="24"/>
                <w:szCs w:val="24"/>
                <w:highlight w:val="none"/>
              </w:rPr>
            </w:pPr>
          </w:p>
        </w:tc>
        <w:tc>
          <w:tcPr>
            <w:tcW w:w="820" w:type="pct"/>
            <w:noWrap w:val="0"/>
            <w:vAlign w:val="center"/>
          </w:tcPr>
          <w:p w14:paraId="59528BC6">
            <w:pPr>
              <w:pStyle w:val="13"/>
              <w:spacing w:line="360" w:lineRule="auto"/>
              <w:ind w:firstLine="0" w:firstLineChars="0"/>
              <w:jc w:val="center"/>
              <w:rPr>
                <w:rFonts w:hint="eastAsia" w:ascii="宋体" w:hAnsi="宋体" w:eastAsia="宋体" w:cs="仿宋_GB2312"/>
                <w:color w:val="auto"/>
                <w:kern w:val="2"/>
                <w:sz w:val="24"/>
                <w:szCs w:val="24"/>
                <w:highlight w:val="none"/>
              </w:rPr>
            </w:pPr>
          </w:p>
        </w:tc>
      </w:tr>
      <w:tr w14:paraId="47E7DC3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jc w:val="center"/>
        </w:trPr>
        <w:tc>
          <w:tcPr>
            <w:tcW w:w="503" w:type="pct"/>
            <w:noWrap w:val="0"/>
            <w:vAlign w:val="center"/>
          </w:tcPr>
          <w:p w14:paraId="5E69BDBF">
            <w:pPr>
              <w:pStyle w:val="13"/>
              <w:spacing w:line="360" w:lineRule="auto"/>
              <w:ind w:firstLine="0" w:firstLineChars="0"/>
              <w:jc w:val="center"/>
              <w:rPr>
                <w:rFonts w:hint="eastAsia" w:ascii="宋体" w:hAnsi="宋体" w:eastAsia="宋体" w:cs="仿宋_GB2312"/>
                <w:color w:val="auto"/>
                <w:kern w:val="2"/>
                <w:sz w:val="24"/>
                <w:szCs w:val="24"/>
                <w:highlight w:val="none"/>
              </w:rPr>
            </w:pPr>
            <w:r>
              <w:rPr>
                <w:rFonts w:hint="eastAsia" w:ascii="宋体" w:hAnsi="宋体" w:eastAsia="宋体" w:cs="仿宋_GB2312"/>
                <w:color w:val="auto"/>
                <w:kern w:val="2"/>
                <w:sz w:val="24"/>
                <w:szCs w:val="24"/>
                <w:highlight w:val="none"/>
              </w:rPr>
              <w:t>4</w:t>
            </w:r>
          </w:p>
        </w:tc>
        <w:tc>
          <w:tcPr>
            <w:tcW w:w="627" w:type="pct"/>
            <w:tcBorders>
              <w:right w:val="single" w:color="auto" w:sz="4" w:space="0"/>
            </w:tcBorders>
            <w:noWrap w:val="0"/>
            <w:vAlign w:val="center"/>
          </w:tcPr>
          <w:p w14:paraId="7D889E8F">
            <w:pPr>
              <w:pStyle w:val="13"/>
              <w:spacing w:line="360" w:lineRule="auto"/>
              <w:ind w:firstLine="0" w:firstLineChars="0"/>
              <w:jc w:val="center"/>
              <w:rPr>
                <w:rFonts w:hint="eastAsia" w:ascii="宋体" w:hAnsi="宋体" w:eastAsia="宋体" w:cs="仿宋_GB2312"/>
                <w:color w:val="auto"/>
                <w:kern w:val="2"/>
                <w:sz w:val="24"/>
                <w:szCs w:val="24"/>
                <w:highlight w:val="none"/>
              </w:rPr>
            </w:pPr>
          </w:p>
        </w:tc>
        <w:tc>
          <w:tcPr>
            <w:tcW w:w="1545" w:type="pct"/>
            <w:tcBorders>
              <w:left w:val="single" w:color="auto" w:sz="4" w:space="0"/>
            </w:tcBorders>
            <w:noWrap w:val="0"/>
            <w:vAlign w:val="center"/>
          </w:tcPr>
          <w:p w14:paraId="18D44917">
            <w:pPr>
              <w:pStyle w:val="13"/>
              <w:spacing w:line="360" w:lineRule="auto"/>
              <w:ind w:firstLine="0" w:firstLineChars="0"/>
              <w:jc w:val="center"/>
              <w:rPr>
                <w:rFonts w:hint="eastAsia" w:ascii="宋体" w:hAnsi="宋体" w:eastAsia="宋体" w:cs="仿宋_GB2312"/>
                <w:color w:val="auto"/>
                <w:kern w:val="2"/>
                <w:sz w:val="24"/>
                <w:szCs w:val="24"/>
                <w:highlight w:val="none"/>
              </w:rPr>
            </w:pPr>
          </w:p>
        </w:tc>
        <w:tc>
          <w:tcPr>
            <w:tcW w:w="1503" w:type="pct"/>
            <w:noWrap w:val="0"/>
            <w:vAlign w:val="center"/>
          </w:tcPr>
          <w:p w14:paraId="30D723D0">
            <w:pPr>
              <w:pStyle w:val="13"/>
              <w:spacing w:line="360" w:lineRule="auto"/>
              <w:ind w:firstLine="0" w:firstLineChars="0"/>
              <w:jc w:val="center"/>
              <w:rPr>
                <w:rFonts w:hint="eastAsia" w:ascii="宋体" w:hAnsi="宋体" w:eastAsia="宋体" w:cs="仿宋_GB2312"/>
                <w:color w:val="auto"/>
                <w:kern w:val="2"/>
                <w:sz w:val="24"/>
                <w:szCs w:val="24"/>
                <w:highlight w:val="none"/>
              </w:rPr>
            </w:pPr>
          </w:p>
        </w:tc>
        <w:tc>
          <w:tcPr>
            <w:tcW w:w="820" w:type="pct"/>
            <w:noWrap w:val="0"/>
            <w:vAlign w:val="center"/>
          </w:tcPr>
          <w:p w14:paraId="169ECE14">
            <w:pPr>
              <w:pStyle w:val="13"/>
              <w:spacing w:line="360" w:lineRule="auto"/>
              <w:ind w:firstLine="0" w:firstLineChars="0"/>
              <w:jc w:val="center"/>
              <w:rPr>
                <w:rFonts w:hint="eastAsia" w:ascii="宋体" w:hAnsi="宋体" w:eastAsia="宋体" w:cs="仿宋_GB2312"/>
                <w:color w:val="auto"/>
                <w:kern w:val="2"/>
                <w:sz w:val="24"/>
                <w:szCs w:val="24"/>
                <w:highlight w:val="none"/>
              </w:rPr>
            </w:pPr>
          </w:p>
        </w:tc>
      </w:tr>
      <w:tr w14:paraId="7F8E438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jc w:val="center"/>
        </w:trPr>
        <w:tc>
          <w:tcPr>
            <w:tcW w:w="503" w:type="pct"/>
            <w:noWrap w:val="0"/>
            <w:vAlign w:val="center"/>
          </w:tcPr>
          <w:p w14:paraId="36C13B7C">
            <w:pPr>
              <w:pStyle w:val="13"/>
              <w:spacing w:line="360" w:lineRule="auto"/>
              <w:ind w:firstLine="0" w:firstLineChars="0"/>
              <w:jc w:val="center"/>
              <w:rPr>
                <w:rFonts w:hint="eastAsia" w:ascii="宋体" w:hAnsi="宋体" w:eastAsia="宋体" w:cs="仿宋_GB2312"/>
                <w:color w:val="auto"/>
                <w:kern w:val="2"/>
                <w:sz w:val="24"/>
                <w:szCs w:val="24"/>
                <w:highlight w:val="none"/>
              </w:rPr>
            </w:pPr>
            <w:r>
              <w:rPr>
                <w:rFonts w:hint="eastAsia" w:ascii="宋体" w:hAnsi="宋体" w:eastAsia="宋体" w:cs="仿宋_GB2312"/>
                <w:color w:val="auto"/>
                <w:kern w:val="2"/>
                <w:sz w:val="24"/>
                <w:szCs w:val="24"/>
                <w:highlight w:val="none"/>
              </w:rPr>
              <w:t>5</w:t>
            </w:r>
          </w:p>
        </w:tc>
        <w:tc>
          <w:tcPr>
            <w:tcW w:w="627" w:type="pct"/>
            <w:tcBorders>
              <w:right w:val="single" w:color="auto" w:sz="4" w:space="0"/>
            </w:tcBorders>
            <w:noWrap w:val="0"/>
            <w:vAlign w:val="center"/>
          </w:tcPr>
          <w:p w14:paraId="2FE67366">
            <w:pPr>
              <w:pStyle w:val="13"/>
              <w:spacing w:line="360" w:lineRule="auto"/>
              <w:ind w:firstLine="0" w:firstLineChars="0"/>
              <w:jc w:val="center"/>
              <w:rPr>
                <w:rFonts w:hint="eastAsia" w:ascii="宋体" w:hAnsi="宋体" w:eastAsia="宋体" w:cs="仿宋_GB2312"/>
                <w:color w:val="auto"/>
                <w:kern w:val="2"/>
                <w:sz w:val="24"/>
                <w:szCs w:val="24"/>
                <w:highlight w:val="none"/>
              </w:rPr>
            </w:pPr>
          </w:p>
        </w:tc>
        <w:tc>
          <w:tcPr>
            <w:tcW w:w="1545" w:type="pct"/>
            <w:tcBorders>
              <w:left w:val="single" w:color="auto" w:sz="4" w:space="0"/>
            </w:tcBorders>
            <w:noWrap w:val="0"/>
            <w:vAlign w:val="center"/>
          </w:tcPr>
          <w:p w14:paraId="3045AFC7">
            <w:pPr>
              <w:pStyle w:val="13"/>
              <w:spacing w:line="360" w:lineRule="auto"/>
              <w:ind w:firstLine="0" w:firstLineChars="0"/>
              <w:jc w:val="center"/>
              <w:rPr>
                <w:rFonts w:hint="eastAsia" w:ascii="宋体" w:hAnsi="宋体" w:eastAsia="宋体" w:cs="仿宋_GB2312"/>
                <w:color w:val="auto"/>
                <w:kern w:val="2"/>
                <w:sz w:val="24"/>
                <w:szCs w:val="24"/>
                <w:highlight w:val="none"/>
              </w:rPr>
            </w:pPr>
          </w:p>
        </w:tc>
        <w:tc>
          <w:tcPr>
            <w:tcW w:w="1503" w:type="pct"/>
            <w:noWrap w:val="0"/>
            <w:vAlign w:val="center"/>
          </w:tcPr>
          <w:p w14:paraId="089222B3">
            <w:pPr>
              <w:pStyle w:val="13"/>
              <w:spacing w:line="360" w:lineRule="auto"/>
              <w:ind w:firstLine="0" w:firstLineChars="0"/>
              <w:jc w:val="center"/>
              <w:rPr>
                <w:rFonts w:hint="eastAsia" w:ascii="宋体" w:hAnsi="宋体" w:eastAsia="宋体" w:cs="仿宋_GB2312"/>
                <w:color w:val="auto"/>
                <w:kern w:val="2"/>
                <w:sz w:val="24"/>
                <w:szCs w:val="24"/>
                <w:highlight w:val="none"/>
              </w:rPr>
            </w:pPr>
          </w:p>
        </w:tc>
        <w:tc>
          <w:tcPr>
            <w:tcW w:w="820" w:type="pct"/>
            <w:noWrap w:val="0"/>
            <w:vAlign w:val="center"/>
          </w:tcPr>
          <w:p w14:paraId="7AB4ED06">
            <w:pPr>
              <w:pStyle w:val="13"/>
              <w:spacing w:line="360" w:lineRule="auto"/>
              <w:ind w:firstLine="0" w:firstLineChars="0"/>
              <w:jc w:val="center"/>
              <w:rPr>
                <w:rFonts w:hint="eastAsia" w:ascii="宋体" w:hAnsi="宋体" w:eastAsia="宋体" w:cs="仿宋_GB2312"/>
                <w:color w:val="auto"/>
                <w:kern w:val="2"/>
                <w:sz w:val="24"/>
                <w:szCs w:val="24"/>
                <w:highlight w:val="none"/>
              </w:rPr>
            </w:pPr>
          </w:p>
        </w:tc>
      </w:tr>
      <w:tr w14:paraId="065C4AD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503" w:type="pct"/>
            <w:noWrap w:val="0"/>
            <w:vAlign w:val="center"/>
          </w:tcPr>
          <w:p w14:paraId="17040C84">
            <w:pPr>
              <w:pStyle w:val="13"/>
              <w:spacing w:line="360" w:lineRule="auto"/>
              <w:ind w:firstLine="0" w:firstLineChars="0"/>
              <w:jc w:val="center"/>
              <w:rPr>
                <w:rFonts w:hint="eastAsia" w:ascii="宋体" w:hAnsi="宋体" w:eastAsia="宋体" w:cs="仿宋_GB2312"/>
                <w:color w:val="auto"/>
                <w:kern w:val="2"/>
                <w:sz w:val="24"/>
                <w:szCs w:val="24"/>
                <w:highlight w:val="none"/>
              </w:rPr>
            </w:pPr>
            <w:r>
              <w:rPr>
                <w:rFonts w:hint="eastAsia" w:ascii="宋体" w:hAnsi="宋体" w:eastAsia="宋体" w:cs="仿宋_GB2312"/>
                <w:color w:val="auto"/>
                <w:kern w:val="2"/>
                <w:sz w:val="24"/>
                <w:szCs w:val="24"/>
                <w:highlight w:val="none"/>
              </w:rPr>
              <w:t>…</w:t>
            </w:r>
          </w:p>
        </w:tc>
        <w:tc>
          <w:tcPr>
            <w:tcW w:w="627" w:type="pct"/>
            <w:tcBorders>
              <w:right w:val="single" w:color="auto" w:sz="4" w:space="0"/>
            </w:tcBorders>
            <w:noWrap w:val="0"/>
            <w:vAlign w:val="center"/>
          </w:tcPr>
          <w:p w14:paraId="7F79AD48">
            <w:pPr>
              <w:pStyle w:val="13"/>
              <w:spacing w:line="360" w:lineRule="auto"/>
              <w:ind w:firstLine="0" w:firstLineChars="0"/>
              <w:jc w:val="center"/>
              <w:rPr>
                <w:rFonts w:hint="eastAsia" w:ascii="宋体" w:hAnsi="宋体" w:eastAsia="宋体" w:cs="仿宋_GB2312"/>
                <w:color w:val="auto"/>
                <w:kern w:val="2"/>
                <w:sz w:val="24"/>
                <w:szCs w:val="24"/>
                <w:highlight w:val="none"/>
              </w:rPr>
            </w:pPr>
          </w:p>
        </w:tc>
        <w:tc>
          <w:tcPr>
            <w:tcW w:w="1545" w:type="pct"/>
            <w:tcBorders>
              <w:left w:val="single" w:color="auto" w:sz="4" w:space="0"/>
            </w:tcBorders>
            <w:noWrap w:val="0"/>
            <w:vAlign w:val="center"/>
          </w:tcPr>
          <w:p w14:paraId="13B591BD">
            <w:pPr>
              <w:pStyle w:val="13"/>
              <w:spacing w:line="360" w:lineRule="auto"/>
              <w:ind w:firstLine="0" w:firstLineChars="0"/>
              <w:jc w:val="center"/>
              <w:rPr>
                <w:rFonts w:hint="eastAsia" w:ascii="宋体" w:hAnsi="宋体" w:eastAsia="宋体" w:cs="仿宋_GB2312"/>
                <w:color w:val="auto"/>
                <w:kern w:val="2"/>
                <w:sz w:val="24"/>
                <w:szCs w:val="24"/>
                <w:highlight w:val="none"/>
              </w:rPr>
            </w:pPr>
          </w:p>
        </w:tc>
        <w:tc>
          <w:tcPr>
            <w:tcW w:w="1503" w:type="pct"/>
            <w:noWrap w:val="0"/>
            <w:vAlign w:val="center"/>
          </w:tcPr>
          <w:p w14:paraId="6392C07B">
            <w:pPr>
              <w:pStyle w:val="13"/>
              <w:spacing w:line="360" w:lineRule="auto"/>
              <w:ind w:firstLine="0" w:firstLineChars="0"/>
              <w:jc w:val="center"/>
              <w:rPr>
                <w:rFonts w:hint="eastAsia" w:ascii="宋体" w:hAnsi="宋体" w:eastAsia="宋体" w:cs="仿宋_GB2312"/>
                <w:color w:val="auto"/>
                <w:kern w:val="2"/>
                <w:sz w:val="24"/>
                <w:szCs w:val="24"/>
                <w:highlight w:val="none"/>
              </w:rPr>
            </w:pPr>
          </w:p>
        </w:tc>
        <w:tc>
          <w:tcPr>
            <w:tcW w:w="820" w:type="pct"/>
            <w:tcBorders>
              <w:right w:val="single" w:color="auto" w:sz="4" w:space="0"/>
            </w:tcBorders>
            <w:noWrap w:val="0"/>
            <w:vAlign w:val="center"/>
          </w:tcPr>
          <w:p w14:paraId="1F0806B9">
            <w:pPr>
              <w:pStyle w:val="13"/>
              <w:spacing w:line="360" w:lineRule="auto"/>
              <w:ind w:firstLine="0" w:firstLineChars="0"/>
              <w:jc w:val="center"/>
              <w:rPr>
                <w:rFonts w:hint="eastAsia" w:ascii="宋体" w:hAnsi="宋体" w:eastAsia="宋体" w:cs="仿宋_GB2312"/>
                <w:color w:val="auto"/>
                <w:kern w:val="2"/>
                <w:sz w:val="24"/>
                <w:szCs w:val="24"/>
                <w:highlight w:val="none"/>
              </w:rPr>
            </w:pPr>
          </w:p>
        </w:tc>
      </w:tr>
    </w:tbl>
    <w:p w14:paraId="5508EDCF">
      <w:pPr>
        <w:pStyle w:val="13"/>
        <w:spacing w:line="360" w:lineRule="auto"/>
        <w:ind w:firstLine="0" w:firstLineChars="0"/>
        <w:contextualSpacing/>
        <w:rPr>
          <w:rFonts w:hint="eastAsia" w:ascii="宋体" w:hAnsi="宋体" w:eastAsia="宋体" w:cs="仿宋_GB2312"/>
          <w:color w:val="auto"/>
          <w:sz w:val="24"/>
          <w:szCs w:val="24"/>
          <w:highlight w:val="none"/>
        </w:rPr>
      </w:pPr>
      <w:r>
        <w:rPr>
          <w:rFonts w:hint="eastAsia" w:ascii="宋体" w:hAnsi="宋体" w:eastAsia="宋体" w:cs="仿宋_GB2312"/>
          <w:color w:val="auto"/>
          <w:sz w:val="24"/>
          <w:szCs w:val="24"/>
          <w:highlight w:val="none"/>
        </w:rPr>
        <w:t>注：</w:t>
      </w:r>
    </w:p>
    <w:p w14:paraId="55230832">
      <w:pPr>
        <w:pStyle w:val="13"/>
        <w:spacing w:line="360" w:lineRule="auto"/>
        <w:ind w:firstLine="0" w:firstLineChars="0"/>
        <w:contextualSpacing/>
        <w:rPr>
          <w:rFonts w:hint="eastAsia" w:ascii="宋体" w:hAnsi="宋体" w:eastAsia="宋体" w:cs="仿宋_GB2312"/>
          <w:color w:val="auto"/>
          <w:sz w:val="24"/>
          <w:szCs w:val="24"/>
          <w:highlight w:val="none"/>
        </w:rPr>
      </w:pPr>
      <w:r>
        <w:rPr>
          <w:rFonts w:hint="eastAsia" w:ascii="宋体" w:hAnsi="宋体" w:eastAsia="宋体" w:cs="仿宋_GB2312"/>
          <w:color w:val="auto"/>
          <w:sz w:val="24"/>
          <w:szCs w:val="24"/>
          <w:highlight w:val="none"/>
        </w:rPr>
        <w:t>1. 说明：应对照谈判文件“第三章 采购需求”中的项目要求及技术需求逐条实质性响应，并作出偏离说明。</w:t>
      </w:r>
    </w:p>
    <w:p w14:paraId="2E907A90">
      <w:pPr>
        <w:pStyle w:val="13"/>
        <w:spacing w:line="360" w:lineRule="auto"/>
        <w:ind w:firstLine="0" w:firstLineChars="0"/>
        <w:contextualSpacing/>
        <w:rPr>
          <w:rFonts w:hint="eastAsia" w:ascii="宋体" w:hAnsi="宋体" w:eastAsia="宋体" w:cs="仿宋_GB2312"/>
          <w:color w:val="auto"/>
          <w:sz w:val="24"/>
          <w:szCs w:val="24"/>
          <w:highlight w:val="none"/>
        </w:rPr>
      </w:pPr>
      <w:r>
        <w:rPr>
          <w:rFonts w:hint="eastAsia" w:ascii="宋体" w:hAnsi="宋体" w:eastAsia="宋体" w:cs="仿宋_GB2312"/>
          <w:color w:val="auto"/>
          <w:sz w:val="24"/>
          <w:szCs w:val="24"/>
          <w:highlight w:val="none"/>
        </w:rPr>
        <w:t>2.供应商应根据竞标设备的性能指标，对照谈判文件要求，在“偏离说明”中注明“正偏离”、“负偏离”或者“无偏离”。既不属于“正偏离”也不属于“负偏离”即为“无偏离”。</w:t>
      </w:r>
    </w:p>
    <w:p w14:paraId="78A4C1EE">
      <w:pPr>
        <w:pStyle w:val="13"/>
        <w:spacing w:line="360" w:lineRule="auto"/>
        <w:ind w:firstLine="0" w:firstLineChars="0"/>
        <w:contextualSpacing/>
        <w:rPr>
          <w:rFonts w:ascii="宋体" w:hAnsi="宋体" w:eastAsia="宋体"/>
          <w:color w:val="auto"/>
          <w:sz w:val="24"/>
          <w:szCs w:val="24"/>
          <w:highlight w:val="none"/>
        </w:rPr>
      </w:pPr>
      <w:r>
        <w:rPr>
          <w:rFonts w:hint="eastAsia" w:ascii="宋体" w:hAnsi="宋体" w:eastAsia="宋体"/>
          <w:color w:val="auto"/>
          <w:sz w:val="24"/>
          <w:szCs w:val="24"/>
          <w:highlight w:val="none"/>
        </w:rPr>
        <w:t>3.供应商认为其竞标响应有正偏离的，请在技术要求偏离表中列明，且在响应文件中提供竞标产品的彩页或</w:t>
      </w:r>
      <w:r>
        <w:rPr>
          <w:rFonts w:ascii="宋体" w:hAnsi="宋体" w:eastAsia="宋体"/>
          <w:color w:val="auto"/>
          <w:sz w:val="24"/>
          <w:szCs w:val="24"/>
          <w:highlight w:val="none"/>
        </w:rPr>
        <w:t>国家认可有资质的第三方检测机构出具的检测报告复印件</w:t>
      </w:r>
      <w:r>
        <w:rPr>
          <w:rFonts w:hint="eastAsia" w:ascii="宋体" w:hAnsi="宋体" w:eastAsia="宋体"/>
          <w:color w:val="auto"/>
          <w:sz w:val="24"/>
          <w:szCs w:val="24"/>
          <w:highlight w:val="none"/>
        </w:rPr>
        <w:t>或产品生产厂家出具的技术参数说明证明作为佐证，以上佐证材料均需加盖生产厂家或代理商（附生产厂家授权资料）公章。</w:t>
      </w:r>
    </w:p>
    <w:p w14:paraId="587B96C2">
      <w:pPr>
        <w:pStyle w:val="13"/>
        <w:spacing w:line="360" w:lineRule="auto"/>
        <w:ind w:firstLine="0" w:firstLineChars="0"/>
        <w:contextualSpacing/>
        <w:rPr>
          <w:rFonts w:hint="eastAsia" w:ascii="宋体" w:hAnsi="宋体" w:eastAsia="宋体"/>
          <w:color w:val="auto"/>
          <w:sz w:val="24"/>
          <w:szCs w:val="24"/>
          <w:highlight w:val="none"/>
        </w:rPr>
      </w:pPr>
      <w:r>
        <w:rPr>
          <w:rFonts w:hint="eastAsia" w:ascii="宋体" w:hAnsi="宋体" w:eastAsia="宋体"/>
          <w:color w:val="auto"/>
          <w:sz w:val="24"/>
          <w:szCs w:val="24"/>
          <w:highlight w:val="none"/>
        </w:rPr>
        <w:t>4</w:t>
      </w:r>
      <w:r>
        <w:rPr>
          <w:rFonts w:ascii="宋体" w:hAnsi="宋体" w:eastAsia="宋体"/>
          <w:color w:val="auto"/>
          <w:sz w:val="24"/>
          <w:szCs w:val="24"/>
          <w:highlight w:val="none"/>
        </w:rPr>
        <w:t>.</w:t>
      </w:r>
      <w:r>
        <w:rPr>
          <w:rFonts w:hint="eastAsia" w:ascii="宋体" w:hAnsi="宋体" w:eastAsia="宋体"/>
          <w:color w:val="auto"/>
          <w:sz w:val="24"/>
          <w:szCs w:val="24"/>
          <w:highlight w:val="none"/>
        </w:rPr>
        <w:t xml:space="preserve"> 如技术要求偏离表中的竞标响应与佐证材料不一致的，以佐证材料为准。</w:t>
      </w:r>
    </w:p>
    <w:p w14:paraId="74862606">
      <w:pPr>
        <w:pStyle w:val="13"/>
        <w:spacing w:line="360" w:lineRule="auto"/>
        <w:ind w:firstLine="0" w:firstLineChars="0"/>
        <w:contextualSpacing/>
        <w:rPr>
          <w:rFonts w:hint="eastAsia" w:ascii="宋体" w:hAnsi="宋体" w:eastAsia="宋体" w:cs="仿宋_GB2312"/>
          <w:color w:val="auto"/>
          <w:sz w:val="24"/>
          <w:szCs w:val="24"/>
          <w:highlight w:val="none"/>
        </w:rPr>
      </w:pPr>
    </w:p>
    <w:p w14:paraId="36B01A95">
      <w:pPr>
        <w:spacing w:line="360" w:lineRule="auto"/>
        <w:ind w:right="-817" w:rightChars="-389"/>
        <w:contextualSpacing/>
        <w:rPr>
          <w:rFonts w:hint="eastAsia" w:ascii="宋体" w:hAnsi="宋体" w:cs="仿宋_GB2312"/>
          <w:color w:val="auto"/>
          <w:sz w:val="24"/>
          <w:highlight w:val="none"/>
        </w:rPr>
      </w:pPr>
    </w:p>
    <w:p w14:paraId="1F008201">
      <w:pPr>
        <w:spacing w:line="360" w:lineRule="auto"/>
        <w:ind w:right="-817" w:rightChars="-389"/>
        <w:contextualSpacing/>
        <w:jc w:val="center"/>
        <w:rPr>
          <w:rFonts w:hint="eastAsia" w:ascii="宋体" w:hAnsi="宋体" w:cs="仿宋_GB2312"/>
          <w:color w:val="auto"/>
          <w:sz w:val="24"/>
          <w:highlight w:val="none"/>
        </w:rPr>
      </w:pPr>
      <w:r>
        <w:rPr>
          <w:rFonts w:hint="eastAsia" w:ascii="宋体" w:hAnsi="宋体" w:cs="仿宋_GB2312"/>
          <w:color w:val="auto"/>
          <w:sz w:val="24"/>
          <w:highlight w:val="none"/>
        </w:rPr>
        <w:t>法定代表人或者委托代理人（签字或者电子签名）：</w:t>
      </w:r>
    </w:p>
    <w:p w14:paraId="49007D50">
      <w:pPr>
        <w:spacing w:line="360" w:lineRule="auto"/>
        <w:ind w:right="-817" w:rightChars="-389" w:firstLine="2880" w:firstLineChars="1200"/>
        <w:contextualSpacing/>
        <w:rPr>
          <w:rFonts w:hint="eastAsia" w:ascii="宋体" w:hAnsi="宋体" w:cs="仿宋_GB2312"/>
          <w:color w:val="auto"/>
          <w:sz w:val="24"/>
          <w:highlight w:val="none"/>
        </w:rPr>
      </w:pPr>
      <w:r>
        <w:rPr>
          <w:rFonts w:hint="eastAsia" w:ascii="宋体" w:hAnsi="宋体" w:cs="仿宋_GB2312"/>
          <w:color w:val="auto"/>
          <w:sz w:val="24"/>
          <w:highlight w:val="none"/>
        </w:rPr>
        <w:t xml:space="preserve">供应商（电子签章）：      </w:t>
      </w:r>
    </w:p>
    <w:p w14:paraId="728BC596">
      <w:pPr>
        <w:spacing w:line="360" w:lineRule="auto"/>
        <w:ind w:right="-817" w:rightChars="-389" w:firstLine="2880" w:firstLineChars="1200"/>
        <w:contextualSpacing/>
        <w:rPr>
          <w:rFonts w:ascii="仿宋_GB2312" w:hAnsi="仿宋_GB2312" w:eastAsia="仿宋_GB2312" w:cs="仿宋_GB2312"/>
          <w:color w:val="auto"/>
          <w:sz w:val="32"/>
          <w:szCs w:val="32"/>
          <w:highlight w:val="none"/>
        </w:rPr>
      </w:pPr>
      <w:r>
        <w:rPr>
          <w:rFonts w:hint="eastAsia" w:ascii="宋体" w:hAnsi="宋体" w:cs="仿宋_GB2312"/>
          <w:color w:val="auto"/>
          <w:sz w:val="24"/>
          <w:highlight w:val="none"/>
        </w:rPr>
        <w:t>日期：   年   月   日</w:t>
      </w:r>
    </w:p>
    <w:p w14:paraId="6E156361">
      <w:pPr>
        <w:spacing w:line="300" w:lineRule="auto"/>
        <w:rPr>
          <w:rFonts w:hint="eastAsia" w:ascii="宋体" w:hAnsi="宋体"/>
          <w:color w:val="auto"/>
          <w:szCs w:val="21"/>
          <w:highlight w:val="none"/>
        </w:rPr>
      </w:pPr>
      <w:r>
        <w:rPr>
          <w:rFonts w:ascii="宋体" w:hAnsi="宋体"/>
          <w:b/>
          <w:bCs/>
          <w:color w:val="auto"/>
          <w:sz w:val="24"/>
          <w:highlight w:val="none"/>
        </w:rPr>
        <w:br w:type="page"/>
      </w:r>
      <w:r>
        <w:rPr>
          <w:rFonts w:hint="eastAsia" w:ascii="宋体" w:hAnsi="宋体"/>
          <w:b/>
          <w:bCs/>
          <w:color w:val="auto"/>
          <w:sz w:val="24"/>
          <w:highlight w:val="none"/>
        </w:rPr>
        <w:t>其他文书、文件格式</w:t>
      </w:r>
    </w:p>
    <w:p w14:paraId="6542F258">
      <w:pPr>
        <w:spacing w:line="360" w:lineRule="auto"/>
        <w:ind w:right="-817" w:rightChars="-389"/>
        <w:contextualSpacing/>
        <w:jc w:val="center"/>
        <w:rPr>
          <w:rFonts w:hint="eastAsia" w:ascii="方正小标宋简体" w:hAnsi="方正小标宋简体" w:eastAsia="方正小标宋简体" w:cs="方正小标宋简体"/>
          <w:bCs/>
          <w:color w:val="auto"/>
          <w:sz w:val="44"/>
          <w:szCs w:val="44"/>
          <w:highlight w:val="none"/>
        </w:rPr>
      </w:pPr>
      <w:r>
        <w:rPr>
          <w:rFonts w:hint="eastAsia" w:ascii="方正小标宋简体" w:hAnsi="方正小标宋简体" w:eastAsia="方正小标宋简体" w:cs="方正小标宋简体"/>
          <w:bCs/>
          <w:color w:val="auto"/>
          <w:sz w:val="44"/>
          <w:szCs w:val="44"/>
          <w:highlight w:val="none"/>
        </w:rPr>
        <w:t>中小企业声明函（货物）</w:t>
      </w:r>
    </w:p>
    <w:p w14:paraId="4E54EAD4">
      <w:pPr>
        <w:rPr>
          <w:rFonts w:hint="eastAsia"/>
          <w:color w:val="auto"/>
          <w:highlight w:val="none"/>
        </w:rPr>
      </w:pPr>
    </w:p>
    <w:p w14:paraId="3AF1CB08">
      <w:pPr>
        <w:pStyle w:val="12"/>
        <w:spacing w:after="0" w:line="360" w:lineRule="auto"/>
        <w:ind w:left="-426" w:right="142" w:firstLine="640"/>
        <w:contextualSpacing/>
        <w:rPr>
          <w:rFonts w:ascii="宋体" w:hAnsi="宋体"/>
          <w:color w:val="auto"/>
          <w:szCs w:val="21"/>
          <w:highlight w:val="none"/>
        </w:rPr>
      </w:pPr>
      <w:r>
        <w:rPr>
          <w:rFonts w:ascii="宋体" w:hAnsi="宋体"/>
          <w:color w:val="auto"/>
          <w:sz w:val="24"/>
          <w:highlight w:val="none"/>
        </w:rPr>
        <w:t>本公司（联合体）郑重声明，根据《政府采</w:t>
      </w:r>
      <w:r>
        <w:rPr>
          <w:rFonts w:ascii="宋体" w:hAnsi="宋体"/>
          <w:color w:val="auto"/>
          <w:szCs w:val="21"/>
          <w:highlight w:val="none"/>
        </w:rPr>
        <w:t>购促进中小企业发展管理办法》（财库﹝2020﹞46号）的规定，本公司（联合体）参加</w:t>
      </w:r>
      <w:r>
        <w:rPr>
          <w:rFonts w:ascii="宋体" w:hAnsi="宋体"/>
          <w:color w:val="auto"/>
          <w:szCs w:val="21"/>
          <w:highlight w:val="none"/>
          <w:u w:val="single"/>
        </w:rPr>
        <w:t>（单位名称）</w:t>
      </w:r>
      <w:r>
        <w:rPr>
          <w:rFonts w:ascii="宋体" w:hAnsi="宋体"/>
          <w:color w:val="auto"/>
          <w:szCs w:val="21"/>
          <w:highlight w:val="none"/>
        </w:rPr>
        <w:t>的</w:t>
      </w:r>
      <w:r>
        <w:rPr>
          <w:rFonts w:ascii="宋体" w:hAnsi="宋体"/>
          <w:color w:val="auto"/>
          <w:szCs w:val="21"/>
          <w:highlight w:val="none"/>
          <w:u w:val="single"/>
        </w:rPr>
        <w:t>（项目名称）</w:t>
      </w:r>
      <w:r>
        <w:rPr>
          <w:rFonts w:ascii="宋体" w:hAnsi="宋体"/>
          <w:color w:val="auto"/>
          <w:szCs w:val="21"/>
          <w:highlight w:val="none"/>
        </w:rPr>
        <w:t>采购活动，提供的货物全部由符合政策要求的中小企业制造。相关企业（含联合体中的中小企业、签订分包意向协议的中小企业）的具体情况如下：</w:t>
      </w:r>
    </w:p>
    <w:p w14:paraId="7B05116E">
      <w:pPr>
        <w:tabs>
          <w:tab w:val="left" w:pos="1384"/>
          <w:tab w:val="left" w:pos="4562"/>
          <w:tab w:val="left" w:pos="6803"/>
        </w:tabs>
        <w:spacing w:line="360" w:lineRule="auto"/>
        <w:ind w:left="-426" w:right="-58" w:firstLine="655"/>
        <w:contextualSpacing/>
        <w:rPr>
          <w:rFonts w:ascii="宋体" w:hAnsi="宋体"/>
          <w:color w:val="auto"/>
          <w:szCs w:val="21"/>
          <w:highlight w:val="none"/>
        </w:rPr>
      </w:pPr>
      <w:r>
        <w:rPr>
          <w:rFonts w:ascii="宋体" w:hAnsi="宋体"/>
          <w:color w:val="auto"/>
          <w:szCs w:val="21"/>
          <w:highlight w:val="none"/>
        </w:rPr>
        <w:t>1.</w:t>
      </w:r>
      <w:r>
        <w:rPr>
          <w:rFonts w:ascii="宋体" w:hAnsi="宋体"/>
          <w:color w:val="auto"/>
          <w:szCs w:val="21"/>
          <w:highlight w:val="none"/>
          <w:u w:val="single"/>
        </w:rPr>
        <w:t>（标的</w:t>
      </w:r>
      <w:r>
        <w:rPr>
          <w:rFonts w:hint="eastAsia" w:ascii="宋体" w:hAnsi="宋体"/>
          <w:color w:val="auto"/>
          <w:szCs w:val="21"/>
          <w:highlight w:val="none"/>
          <w:u w:val="single"/>
        </w:rPr>
        <w:t>的</w:t>
      </w:r>
      <w:r>
        <w:rPr>
          <w:rFonts w:ascii="宋体" w:hAnsi="宋体"/>
          <w:color w:val="auto"/>
          <w:szCs w:val="21"/>
          <w:highlight w:val="none"/>
          <w:u w:val="single"/>
        </w:rPr>
        <w:t>名称）</w:t>
      </w:r>
      <w:r>
        <w:rPr>
          <w:rFonts w:ascii="宋体" w:hAnsi="宋体"/>
          <w:color w:val="auto"/>
          <w:szCs w:val="21"/>
          <w:highlight w:val="none"/>
        </w:rPr>
        <w:t>，属于</w:t>
      </w:r>
      <w:r>
        <w:rPr>
          <w:rFonts w:ascii="宋体" w:hAnsi="宋体"/>
          <w:color w:val="auto"/>
          <w:szCs w:val="21"/>
          <w:highlight w:val="none"/>
          <w:u w:val="single"/>
        </w:rPr>
        <w:t>（采购文件中明确的所属行业）</w:t>
      </w:r>
      <w:r>
        <w:rPr>
          <w:rFonts w:ascii="宋体" w:hAnsi="宋体"/>
          <w:color w:val="auto"/>
          <w:szCs w:val="21"/>
          <w:highlight w:val="none"/>
        </w:rPr>
        <w:t>行业；制造商为</w:t>
      </w:r>
      <w:r>
        <w:rPr>
          <w:rFonts w:ascii="宋体" w:hAnsi="宋体"/>
          <w:color w:val="auto"/>
          <w:szCs w:val="21"/>
          <w:highlight w:val="none"/>
          <w:u w:val="single"/>
        </w:rPr>
        <w:t>（企业名称）</w:t>
      </w:r>
      <w:r>
        <w:rPr>
          <w:rFonts w:ascii="宋体" w:hAnsi="宋体"/>
          <w:color w:val="auto"/>
          <w:szCs w:val="21"/>
          <w:highlight w:val="none"/>
        </w:rPr>
        <w:t>，从业人员</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w:t>
      </w:r>
      <w:r>
        <w:rPr>
          <w:rFonts w:ascii="宋体" w:hAnsi="宋体"/>
          <w:color w:val="auto"/>
          <w:szCs w:val="21"/>
          <w:highlight w:val="none"/>
        </w:rPr>
        <w:t>人，营业收入为</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w:t>
      </w:r>
      <w:r>
        <w:rPr>
          <w:rFonts w:ascii="宋体" w:hAnsi="宋体"/>
          <w:color w:val="auto"/>
          <w:szCs w:val="21"/>
          <w:highlight w:val="none"/>
        </w:rPr>
        <w:t>万元，资产总额为</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w:t>
      </w:r>
      <w:r>
        <w:rPr>
          <w:rFonts w:ascii="宋体" w:hAnsi="宋体"/>
          <w:color w:val="auto"/>
          <w:szCs w:val="21"/>
          <w:highlight w:val="none"/>
        </w:rPr>
        <w:t>万元，属于</w:t>
      </w:r>
      <w:r>
        <w:rPr>
          <w:rFonts w:ascii="宋体" w:hAnsi="宋体"/>
          <w:color w:val="auto"/>
          <w:szCs w:val="21"/>
          <w:highlight w:val="none"/>
          <w:u w:val="single"/>
        </w:rPr>
        <w:t>（中型企业、小型企业、微型企业）</w:t>
      </w:r>
      <w:r>
        <w:rPr>
          <w:rFonts w:ascii="宋体" w:hAnsi="宋体"/>
          <w:color w:val="auto"/>
          <w:szCs w:val="21"/>
          <w:highlight w:val="none"/>
        </w:rPr>
        <w:t>；</w:t>
      </w:r>
    </w:p>
    <w:p w14:paraId="544A8383">
      <w:pPr>
        <w:tabs>
          <w:tab w:val="left" w:pos="1065"/>
          <w:tab w:val="left" w:pos="6477"/>
        </w:tabs>
        <w:spacing w:line="360" w:lineRule="auto"/>
        <w:ind w:left="-426" w:right="-58" w:firstLine="655"/>
        <w:contextualSpacing/>
        <w:rPr>
          <w:rFonts w:ascii="宋体" w:hAnsi="宋体"/>
          <w:color w:val="auto"/>
          <w:szCs w:val="21"/>
          <w:highlight w:val="none"/>
        </w:rPr>
      </w:pPr>
      <w:r>
        <w:rPr>
          <w:rFonts w:ascii="宋体" w:hAnsi="宋体"/>
          <w:color w:val="auto"/>
          <w:szCs w:val="21"/>
          <w:highlight w:val="none"/>
        </w:rPr>
        <w:t>2.</w:t>
      </w:r>
      <w:r>
        <w:rPr>
          <w:rFonts w:ascii="宋体" w:hAnsi="宋体"/>
          <w:color w:val="auto"/>
          <w:szCs w:val="21"/>
          <w:highlight w:val="none"/>
          <w:u w:val="single"/>
        </w:rPr>
        <w:t>（标的</w:t>
      </w:r>
      <w:r>
        <w:rPr>
          <w:rFonts w:hint="eastAsia" w:ascii="宋体" w:hAnsi="宋体"/>
          <w:color w:val="auto"/>
          <w:szCs w:val="21"/>
          <w:highlight w:val="none"/>
          <w:u w:val="single"/>
        </w:rPr>
        <w:t>的</w:t>
      </w:r>
      <w:r>
        <w:rPr>
          <w:rFonts w:ascii="宋体" w:hAnsi="宋体"/>
          <w:color w:val="auto"/>
          <w:szCs w:val="21"/>
          <w:highlight w:val="none"/>
          <w:u w:val="single"/>
        </w:rPr>
        <w:t>名称）</w:t>
      </w:r>
      <w:r>
        <w:rPr>
          <w:rFonts w:ascii="宋体" w:hAnsi="宋体"/>
          <w:color w:val="auto"/>
          <w:szCs w:val="21"/>
          <w:highlight w:val="none"/>
        </w:rPr>
        <w:t>，属于</w:t>
      </w:r>
      <w:r>
        <w:rPr>
          <w:rFonts w:ascii="宋体" w:hAnsi="宋体"/>
          <w:color w:val="auto"/>
          <w:szCs w:val="21"/>
          <w:highlight w:val="none"/>
          <w:u w:val="single"/>
        </w:rPr>
        <w:t>（采购文件中明确的所属行业）</w:t>
      </w:r>
      <w:r>
        <w:rPr>
          <w:rFonts w:ascii="宋体" w:hAnsi="宋体"/>
          <w:color w:val="auto"/>
          <w:szCs w:val="21"/>
          <w:highlight w:val="none"/>
        </w:rPr>
        <w:t>行业；制造商为</w:t>
      </w:r>
      <w:r>
        <w:rPr>
          <w:rFonts w:ascii="宋体" w:hAnsi="宋体"/>
          <w:color w:val="auto"/>
          <w:szCs w:val="21"/>
          <w:highlight w:val="none"/>
          <w:u w:val="single"/>
        </w:rPr>
        <w:t>（企业名称）</w:t>
      </w:r>
      <w:r>
        <w:rPr>
          <w:rFonts w:ascii="宋体" w:hAnsi="宋体"/>
          <w:color w:val="auto"/>
          <w:szCs w:val="21"/>
          <w:highlight w:val="none"/>
        </w:rPr>
        <w:t>，从业人员</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w:t>
      </w:r>
      <w:r>
        <w:rPr>
          <w:rFonts w:ascii="宋体" w:hAnsi="宋体"/>
          <w:color w:val="auto"/>
          <w:szCs w:val="21"/>
          <w:highlight w:val="none"/>
        </w:rPr>
        <w:t>人，营业收入为</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w:t>
      </w:r>
      <w:r>
        <w:rPr>
          <w:rFonts w:ascii="宋体" w:hAnsi="宋体"/>
          <w:color w:val="auto"/>
          <w:szCs w:val="21"/>
          <w:highlight w:val="none"/>
        </w:rPr>
        <w:t>万元，资产总额为</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w:t>
      </w:r>
      <w:r>
        <w:rPr>
          <w:rFonts w:ascii="宋体" w:hAnsi="宋体"/>
          <w:color w:val="auto"/>
          <w:szCs w:val="21"/>
          <w:highlight w:val="none"/>
        </w:rPr>
        <w:t>万元，属于</w:t>
      </w:r>
      <w:r>
        <w:rPr>
          <w:rFonts w:ascii="宋体" w:hAnsi="宋体"/>
          <w:color w:val="auto"/>
          <w:szCs w:val="21"/>
          <w:highlight w:val="none"/>
          <w:u w:val="single"/>
        </w:rPr>
        <w:t>（中型企业、小型企业、微型企业）</w:t>
      </w:r>
      <w:r>
        <w:rPr>
          <w:rFonts w:ascii="宋体" w:hAnsi="宋体"/>
          <w:color w:val="auto"/>
          <w:szCs w:val="21"/>
          <w:highlight w:val="none"/>
        </w:rPr>
        <w:t>；</w:t>
      </w:r>
    </w:p>
    <w:p w14:paraId="2B389039">
      <w:pPr>
        <w:pStyle w:val="12"/>
        <w:spacing w:after="0" w:line="360" w:lineRule="auto"/>
        <w:ind w:left="142" w:right="142"/>
        <w:contextualSpacing/>
        <w:rPr>
          <w:rFonts w:ascii="宋体" w:hAnsi="宋体"/>
          <w:color w:val="auto"/>
          <w:szCs w:val="21"/>
          <w:highlight w:val="none"/>
        </w:rPr>
      </w:pPr>
      <w:r>
        <w:rPr>
          <w:rFonts w:ascii="宋体" w:hAnsi="宋体"/>
          <w:color w:val="auto"/>
          <w:szCs w:val="21"/>
          <w:highlight w:val="none"/>
        </w:rPr>
        <w:t xml:space="preserve">…… </w:t>
      </w:r>
    </w:p>
    <w:p w14:paraId="290B0797">
      <w:pPr>
        <w:pStyle w:val="12"/>
        <w:spacing w:after="0" w:line="360" w:lineRule="auto"/>
        <w:ind w:left="-405" w:leftChars="-193" w:right="142" w:firstLine="396" w:firstLineChars="189"/>
        <w:contextualSpacing/>
        <w:rPr>
          <w:rFonts w:ascii="宋体" w:hAnsi="宋体"/>
          <w:color w:val="auto"/>
          <w:szCs w:val="21"/>
          <w:highlight w:val="none"/>
        </w:rPr>
      </w:pPr>
      <w:r>
        <w:rPr>
          <w:rFonts w:ascii="宋体" w:hAnsi="宋体"/>
          <w:color w:val="auto"/>
          <w:szCs w:val="21"/>
          <w:highlight w:val="none"/>
        </w:rPr>
        <w:t>以上企业，不属于大企业的分支机构，不存在控股股东为大企业的情形，也不存在与大企业的负责人为同一人的情形。</w:t>
      </w:r>
    </w:p>
    <w:p w14:paraId="2FFBFCEA">
      <w:pPr>
        <w:pStyle w:val="12"/>
        <w:spacing w:after="0" w:line="360" w:lineRule="auto"/>
        <w:ind w:left="-426" w:right="142" w:firstLine="567"/>
        <w:contextualSpacing/>
        <w:rPr>
          <w:rFonts w:ascii="宋体" w:hAnsi="宋体"/>
          <w:color w:val="auto"/>
          <w:szCs w:val="21"/>
          <w:highlight w:val="none"/>
        </w:rPr>
      </w:pPr>
      <w:r>
        <w:rPr>
          <w:rFonts w:ascii="宋体" w:hAnsi="宋体"/>
          <w:color w:val="auto"/>
          <w:szCs w:val="21"/>
          <w:highlight w:val="none"/>
        </w:rPr>
        <w:t>本企业对上述声明内容的真实性负责。如有虚假，将依法承担相应责任。</w:t>
      </w:r>
    </w:p>
    <w:p w14:paraId="67202398">
      <w:pPr>
        <w:pStyle w:val="12"/>
        <w:spacing w:after="0" w:line="360" w:lineRule="auto"/>
        <w:ind w:left="3960" w:right="1808"/>
        <w:contextualSpacing/>
        <w:rPr>
          <w:rFonts w:hint="eastAsia" w:ascii="宋体" w:hAnsi="宋体"/>
          <w:color w:val="auto"/>
          <w:szCs w:val="21"/>
          <w:highlight w:val="none"/>
        </w:rPr>
      </w:pPr>
    </w:p>
    <w:p w14:paraId="6286AA2E">
      <w:pPr>
        <w:pStyle w:val="12"/>
        <w:spacing w:after="0" w:line="360" w:lineRule="auto"/>
        <w:ind w:left="3960" w:right="1808"/>
        <w:contextualSpacing/>
        <w:rPr>
          <w:rFonts w:ascii="宋体" w:hAnsi="宋体"/>
          <w:color w:val="auto"/>
          <w:sz w:val="24"/>
          <w:highlight w:val="none"/>
        </w:rPr>
      </w:pPr>
      <w:r>
        <w:rPr>
          <w:rFonts w:ascii="宋体" w:hAnsi="宋体"/>
          <w:color w:val="auto"/>
          <w:sz w:val="24"/>
          <w:highlight w:val="none"/>
        </w:rPr>
        <w:t xml:space="preserve">企业名称（章）： </w:t>
      </w:r>
    </w:p>
    <w:p w14:paraId="67B50E57">
      <w:pPr>
        <w:pStyle w:val="12"/>
        <w:spacing w:after="0" w:line="360" w:lineRule="auto"/>
        <w:ind w:left="3960" w:right="1808"/>
        <w:contextualSpacing/>
        <w:rPr>
          <w:rFonts w:ascii="宋体" w:hAnsi="宋体"/>
          <w:color w:val="auto"/>
          <w:sz w:val="24"/>
          <w:highlight w:val="none"/>
        </w:rPr>
      </w:pPr>
      <w:r>
        <w:rPr>
          <w:rFonts w:ascii="宋体" w:hAnsi="宋体"/>
          <w:color w:val="auto"/>
          <w:sz w:val="24"/>
          <w:highlight w:val="none"/>
        </w:rPr>
        <w:t>日</w:t>
      </w:r>
      <w:r>
        <w:rPr>
          <w:rFonts w:hint="eastAsia" w:ascii="宋体" w:hAnsi="宋体"/>
          <w:color w:val="auto"/>
          <w:sz w:val="24"/>
          <w:highlight w:val="none"/>
        </w:rPr>
        <w:t xml:space="preserve"> </w:t>
      </w:r>
      <w:r>
        <w:rPr>
          <w:rFonts w:ascii="宋体" w:hAnsi="宋体"/>
          <w:color w:val="auto"/>
          <w:sz w:val="24"/>
          <w:highlight w:val="none"/>
        </w:rPr>
        <w:t>期：</w:t>
      </w:r>
    </w:p>
    <w:p w14:paraId="0E991AD5">
      <w:pPr>
        <w:pStyle w:val="12"/>
        <w:spacing w:after="0" w:line="360" w:lineRule="auto"/>
        <w:ind w:left="3960" w:right="1808"/>
        <w:contextualSpacing/>
        <w:rPr>
          <w:color w:val="auto"/>
          <w:highlight w:val="none"/>
        </w:rPr>
      </w:pPr>
    </w:p>
    <w:p w14:paraId="3D3C09D9">
      <w:pPr>
        <w:spacing w:line="360" w:lineRule="auto"/>
        <w:contextualSpacing/>
        <w:jc w:val="left"/>
        <w:rPr>
          <w:rFonts w:hint="eastAsia" w:ascii="宋体" w:hAnsi="宋体" w:cs="仿宋_GB2312"/>
          <w:color w:val="auto"/>
          <w:sz w:val="24"/>
          <w:highlight w:val="none"/>
        </w:rPr>
      </w:pPr>
      <w:r>
        <w:rPr>
          <w:rFonts w:hint="eastAsia" w:ascii="宋体" w:hAnsi="宋体" w:cs="仿宋_GB2312"/>
          <w:color w:val="auto"/>
          <w:sz w:val="24"/>
          <w:highlight w:val="none"/>
        </w:rPr>
        <w:t>注：享受《政府采购促进中小企业发展管理办法》（财库〔2020〕46号）规定的中小企业扶持政策的，采购人、采购代理机构应当随成交结果公开成交供应商的《中小企业声明函》。从业人员、营业收入、资产总额填报上一年度数据，无上一年度数据的新成立企业可不填报。</w:t>
      </w:r>
    </w:p>
    <w:p w14:paraId="2926C614">
      <w:pPr>
        <w:spacing w:line="360" w:lineRule="auto"/>
        <w:contextualSpacing/>
        <w:jc w:val="center"/>
        <w:rPr>
          <w:rFonts w:hint="eastAsia" w:ascii="仿宋_GB2312" w:hAnsi="仿宋_GB2312" w:eastAsia="仿宋_GB2312" w:cs="仿宋_GB2312"/>
          <w:color w:val="auto"/>
          <w:sz w:val="32"/>
          <w:szCs w:val="32"/>
          <w:highlight w:val="none"/>
        </w:rPr>
      </w:pPr>
      <w:r>
        <w:rPr>
          <w:rFonts w:ascii="宋体" w:hAnsi="宋体"/>
          <w:color w:val="auto"/>
          <w:sz w:val="24"/>
          <w:highlight w:val="none"/>
        </w:rPr>
        <w:br w:type="page"/>
      </w:r>
      <w:r>
        <w:rPr>
          <w:rFonts w:hint="eastAsia" w:ascii="方正小标宋简体" w:hAnsi="方正小标宋简体" w:eastAsia="方正小标宋简体" w:cs="方正小标宋简体"/>
          <w:color w:val="auto"/>
          <w:sz w:val="44"/>
          <w:szCs w:val="44"/>
          <w:highlight w:val="none"/>
        </w:rPr>
        <w:t>残疾人福利性单位声明函</w:t>
      </w:r>
    </w:p>
    <w:p w14:paraId="66BDA161">
      <w:pPr>
        <w:spacing w:line="520" w:lineRule="exact"/>
        <w:rPr>
          <w:rFonts w:hint="eastAsia" w:ascii="仿宋_GB2312" w:hAnsi="仿宋_GB2312" w:eastAsia="仿宋_GB2312" w:cs="仿宋_GB2312"/>
          <w:color w:val="auto"/>
          <w:sz w:val="32"/>
          <w:szCs w:val="32"/>
          <w:highlight w:val="none"/>
        </w:rPr>
      </w:pPr>
    </w:p>
    <w:p w14:paraId="737BC6C8">
      <w:pPr>
        <w:spacing w:line="360" w:lineRule="auto"/>
        <w:ind w:firstLine="480" w:firstLineChars="200"/>
        <w:contextualSpacing/>
        <w:rPr>
          <w:rFonts w:hint="eastAsia" w:ascii="宋体" w:hAnsi="宋体" w:cs="仿宋_GB2312"/>
          <w:color w:val="auto"/>
          <w:sz w:val="24"/>
          <w:highlight w:val="none"/>
        </w:rPr>
      </w:pPr>
      <w:r>
        <w:rPr>
          <w:rFonts w:hint="eastAsia" w:ascii="宋体" w:hAnsi="宋体" w:cs="仿宋_GB2312"/>
          <w:color w:val="auto"/>
          <w:sz w:val="24"/>
          <w:highlight w:val="none"/>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单位的</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项目采购活动提供本单位制造的货物（由本单位承担工程/提供服务），或者提供其他残疾人福利性单位制造的货物（不包括使用非残疾人福利性单位注册商标的货物）。</w:t>
      </w:r>
    </w:p>
    <w:p w14:paraId="4C95C12C">
      <w:pPr>
        <w:spacing w:line="360" w:lineRule="auto"/>
        <w:ind w:firstLine="480" w:firstLineChars="200"/>
        <w:contextualSpacing/>
        <w:rPr>
          <w:rFonts w:hint="eastAsia" w:ascii="宋体" w:hAnsi="宋体" w:cs="仿宋_GB2312"/>
          <w:color w:val="auto"/>
          <w:sz w:val="24"/>
          <w:highlight w:val="none"/>
        </w:rPr>
      </w:pPr>
      <w:r>
        <w:rPr>
          <w:rFonts w:hint="eastAsia" w:ascii="宋体" w:hAnsi="宋体" w:cs="仿宋_GB2312"/>
          <w:color w:val="auto"/>
          <w:sz w:val="24"/>
          <w:highlight w:val="none"/>
        </w:rPr>
        <w:t>本单位对上述声明的真实性负责。如有虚假，将依法承担相应责任。</w:t>
      </w:r>
    </w:p>
    <w:p w14:paraId="09A5C100">
      <w:pPr>
        <w:spacing w:line="360" w:lineRule="auto"/>
        <w:contextualSpacing/>
        <w:rPr>
          <w:rFonts w:hint="eastAsia" w:ascii="宋体" w:hAnsi="宋体" w:cs="仿宋_GB2312"/>
          <w:color w:val="auto"/>
          <w:sz w:val="24"/>
          <w:highlight w:val="none"/>
        </w:rPr>
      </w:pPr>
    </w:p>
    <w:p w14:paraId="78B71E8C">
      <w:pPr>
        <w:spacing w:line="360" w:lineRule="auto"/>
        <w:contextualSpacing/>
        <w:rPr>
          <w:rFonts w:hint="eastAsia" w:ascii="宋体" w:hAnsi="宋体" w:cs="仿宋_GB2312"/>
          <w:color w:val="auto"/>
          <w:sz w:val="24"/>
          <w:highlight w:val="none"/>
        </w:rPr>
      </w:pPr>
    </w:p>
    <w:p w14:paraId="134F6121">
      <w:pPr>
        <w:spacing w:line="360" w:lineRule="auto"/>
        <w:contextualSpacing/>
        <w:rPr>
          <w:rFonts w:hint="eastAsia" w:ascii="宋体" w:hAnsi="宋体" w:cs="仿宋_GB2312"/>
          <w:color w:val="auto"/>
          <w:sz w:val="24"/>
          <w:highlight w:val="none"/>
        </w:rPr>
      </w:pPr>
    </w:p>
    <w:p w14:paraId="47E4DDE5">
      <w:pPr>
        <w:spacing w:line="360" w:lineRule="auto"/>
        <w:ind w:firstLine="2400" w:firstLineChars="1000"/>
        <w:contextualSpacing/>
        <w:rPr>
          <w:rFonts w:hint="eastAsia" w:ascii="宋体" w:hAnsi="宋体" w:cs="仿宋_GB2312"/>
          <w:color w:val="auto"/>
          <w:sz w:val="24"/>
          <w:highlight w:val="none"/>
        </w:rPr>
      </w:pPr>
      <w:r>
        <w:rPr>
          <w:rFonts w:hint="eastAsia" w:ascii="宋体" w:hAnsi="宋体" w:cs="仿宋_GB2312"/>
          <w:color w:val="auto"/>
          <w:sz w:val="24"/>
          <w:highlight w:val="none"/>
        </w:rPr>
        <w:t>单位名称（盖章）：</w:t>
      </w:r>
    </w:p>
    <w:p w14:paraId="4B4E90A4">
      <w:pPr>
        <w:spacing w:line="360" w:lineRule="auto"/>
        <w:ind w:firstLine="3600" w:firstLineChars="1500"/>
        <w:contextualSpacing/>
        <w:rPr>
          <w:rFonts w:hint="eastAsia" w:ascii="宋体" w:hAnsi="宋体" w:cs="仿宋_GB2312"/>
          <w:color w:val="auto"/>
          <w:sz w:val="24"/>
          <w:highlight w:val="none"/>
        </w:rPr>
      </w:pPr>
      <w:r>
        <w:rPr>
          <w:rFonts w:hint="eastAsia" w:ascii="宋体" w:hAnsi="宋体" w:cs="仿宋_GB2312"/>
          <w:color w:val="auto"/>
          <w:sz w:val="24"/>
          <w:highlight w:val="none"/>
        </w:rPr>
        <w:t>日  期：</w:t>
      </w:r>
    </w:p>
    <w:p w14:paraId="15950640">
      <w:pPr>
        <w:spacing w:line="360" w:lineRule="auto"/>
        <w:contextualSpacing/>
        <w:rPr>
          <w:rFonts w:hint="eastAsia" w:ascii="宋体" w:hAnsi="宋体" w:cs="仿宋_GB2312"/>
          <w:color w:val="auto"/>
          <w:sz w:val="24"/>
          <w:highlight w:val="none"/>
        </w:rPr>
      </w:pPr>
    </w:p>
    <w:p w14:paraId="6FB36A1C">
      <w:pPr>
        <w:spacing w:line="360" w:lineRule="auto"/>
        <w:contextualSpacing/>
        <w:rPr>
          <w:rFonts w:hint="eastAsia" w:ascii="宋体" w:hAnsi="宋体" w:cs="仿宋_GB2312"/>
          <w:color w:val="auto"/>
          <w:sz w:val="24"/>
          <w:highlight w:val="none"/>
        </w:rPr>
      </w:pPr>
    </w:p>
    <w:p w14:paraId="21A41D7D">
      <w:pPr>
        <w:spacing w:line="360" w:lineRule="auto"/>
        <w:contextualSpacing/>
        <w:rPr>
          <w:rFonts w:hint="eastAsia" w:ascii="宋体" w:hAnsi="宋体" w:cs="仿宋_GB2312"/>
          <w:color w:val="auto"/>
          <w:sz w:val="24"/>
          <w:highlight w:val="none"/>
        </w:rPr>
      </w:pPr>
    </w:p>
    <w:p w14:paraId="54D231CB">
      <w:pPr>
        <w:spacing w:line="360" w:lineRule="auto"/>
        <w:contextualSpacing/>
        <w:rPr>
          <w:rFonts w:ascii="宋体" w:hAnsi="宋体" w:cs="仿宋_GB2312"/>
          <w:color w:val="auto"/>
          <w:sz w:val="24"/>
          <w:highlight w:val="none"/>
        </w:rPr>
      </w:pPr>
      <w:r>
        <w:rPr>
          <w:rFonts w:hint="eastAsia" w:ascii="宋体" w:hAnsi="宋体" w:cs="仿宋_GB2312"/>
          <w:color w:val="auto"/>
          <w:sz w:val="24"/>
          <w:highlight w:val="none"/>
        </w:rPr>
        <w:t>注：请根据自己的真实情况出具《残疾人福利性单位声明函》。依法享受中小企业优惠政策的，采购人或者采购代理机构在公告成交结果时，同时公告其《残疾人福利性单位声明函》，接受社会监督。</w:t>
      </w:r>
    </w:p>
    <w:p w14:paraId="2BEC8AE0">
      <w:pPr>
        <w:spacing w:line="360" w:lineRule="auto"/>
        <w:contextualSpacing/>
        <w:jc w:val="center"/>
        <w:rPr>
          <w:rFonts w:hint="eastAsia" w:ascii="方正小标宋简体" w:hAnsi="方正小标宋简体" w:eastAsia="方正小标宋简体" w:cs="方正小标宋简体"/>
          <w:color w:val="auto"/>
          <w:sz w:val="44"/>
          <w:szCs w:val="44"/>
          <w:highlight w:val="none"/>
        </w:rPr>
      </w:pPr>
      <w:r>
        <w:rPr>
          <w:rFonts w:hint="eastAsia" w:ascii="宋体" w:hAnsi="宋体"/>
          <w:b/>
          <w:bCs/>
          <w:color w:val="auto"/>
          <w:sz w:val="32"/>
          <w:szCs w:val="32"/>
          <w:highlight w:val="none"/>
        </w:rPr>
        <w:br w:type="page"/>
      </w:r>
      <w:r>
        <w:rPr>
          <w:rFonts w:hint="eastAsia" w:ascii="方正小标宋简体" w:hAnsi="方正小标宋简体" w:eastAsia="方正小标宋简体" w:cs="方正小标宋简体"/>
          <w:color w:val="auto"/>
          <w:sz w:val="44"/>
          <w:szCs w:val="44"/>
          <w:highlight w:val="none"/>
        </w:rPr>
        <w:t>关于符合本国产品标准的声明函</w:t>
      </w:r>
    </w:p>
    <w:p w14:paraId="051BF4F1">
      <w:pPr>
        <w:widowControl/>
        <w:shd w:val="clear" w:color="auto" w:fill="FFFFFF"/>
        <w:spacing w:before="30" w:after="30"/>
        <w:ind w:firstLine="480"/>
        <w:jc w:val="left"/>
        <w:rPr>
          <w:rFonts w:hint="eastAsia" w:ascii="宋体" w:hAnsi="宋体" w:cs="宋体"/>
          <w:color w:val="auto"/>
          <w:kern w:val="0"/>
          <w:sz w:val="24"/>
        </w:rPr>
      </w:pPr>
      <w:r>
        <w:rPr>
          <w:rFonts w:hint="eastAsia" w:ascii="宋体" w:hAnsi="宋体" w:cs="宋体"/>
          <w:color w:val="auto"/>
          <w:kern w:val="0"/>
          <w:sz w:val="24"/>
        </w:rPr>
        <w:t> </w:t>
      </w:r>
    </w:p>
    <w:p w14:paraId="2743ABB3">
      <w:pPr>
        <w:keepNext w:val="0"/>
        <w:keepLines w:val="0"/>
        <w:pageBreakBefore w:val="0"/>
        <w:widowControl/>
        <w:shd w:val="clear" w:color="auto" w:fill="FFFFFF"/>
        <w:kinsoku/>
        <w:wordWrap/>
        <w:overflowPunct/>
        <w:topLinePunct w:val="0"/>
        <w:autoSpaceDE/>
        <w:autoSpaceDN/>
        <w:bidi w:val="0"/>
        <w:adjustRightInd/>
        <w:snapToGrid/>
        <w:spacing w:line="360" w:lineRule="auto"/>
        <w:ind w:firstLine="480"/>
        <w:jc w:val="left"/>
        <w:textAlignment w:val="auto"/>
        <w:rPr>
          <w:rFonts w:hint="eastAsia" w:ascii="宋体" w:hAnsi="宋体" w:cs="宋体"/>
          <w:color w:val="auto"/>
          <w:kern w:val="0"/>
          <w:sz w:val="24"/>
        </w:rPr>
      </w:pPr>
      <w:r>
        <w:rPr>
          <w:rFonts w:hint="eastAsia" w:ascii="宋体" w:hAnsi="宋体" w:cs="宋体"/>
          <w:color w:val="auto"/>
          <w:kern w:val="0"/>
          <w:sz w:val="24"/>
        </w:rPr>
        <w:t>本公司（单位）郑重声明，根据《国务院办公厅关于在政府采购中实施本国产品标准及相关政策的通知》（国办发〔2025〕34号）的规定，本公司（单位）提供的以下产品属于本国产品。具体情况如下：</w:t>
      </w:r>
    </w:p>
    <w:p w14:paraId="0DB03718">
      <w:pPr>
        <w:keepNext w:val="0"/>
        <w:keepLines w:val="0"/>
        <w:pageBreakBefore w:val="0"/>
        <w:widowControl/>
        <w:shd w:val="clear" w:color="auto" w:fill="FFFFFF"/>
        <w:kinsoku/>
        <w:wordWrap/>
        <w:overflowPunct/>
        <w:topLinePunct w:val="0"/>
        <w:autoSpaceDE/>
        <w:autoSpaceDN/>
        <w:bidi w:val="0"/>
        <w:adjustRightInd/>
        <w:snapToGrid/>
        <w:spacing w:line="360" w:lineRule="auto"/>
        <w:ind w:firstLine="480"/>
        <w:jc w:val="left"/>
        <w:textAlignment w:val="auto"/>
        <w:rPr>
          <w:rFonts w:hint="eastAsia" w:ascii="宋体" w:hAnsi="宋体" w:cs="宋体"/>
          <w:color w:val="auto"/>
          <w:kern w:val="0"/>
          <w:sz w:val="24"/>
        </w:rPr>
      </w:pPr>
      <w:r>
        <w:rPr>
          <w:rFonts w:hint="eastAsia" w:ascii="宋体" w:hAnsi="宋体" w:cs="宋体"/>
          <w:color w:val="auto"/>
          <w:kern w:val="0"/>
          <w:sz w:val="24"/>
        </w:rPr>
        <w:t>1.</w:t>
      </w:r>
      <w:r>
        <w:rPr>
          <w:rFonts w:hint="eastAsia" w:ascii="宋体" w:hAnsi="宋体" w:cs="宋体"/>
          <w:i/>
          <w:iCs/>
          <w:color w:val="auto"/>
          <w:kern w:val="0"/>
          <w:sz w:val="24"/>
        </w:rPr>
        <w:t>（产品名称1）</w:t>
      </w:r>
      <w:r>
        <w:rPr>
          <w:rFonts w:hint="eastAsia" w:ascii="宋体" w:hAnsi="宋体" w:cs="宋体"/>
          <w:i/>
          <w:iCs/>
          <w:color w:val="auto"/>
          <w:kern w:val="0"/>
          <w:sz w:val="18"/>
          <w:szCs w:val="18"/>
          <w:vertAlign w:val="superscript"/>
        </w:rPr>
        <w:t>1</w:t>
      </w:r>
      <w:r>
        <w:rPr>
          <w:rFonts w:hint="eastAsia" w:ascii="宋体" w:hAnsi="宋体" w:cs="宋体"/>
          <w:color w:val="auto"/>
          <w:kern w:val="0"/>
          <w:sz w:val="24"/>
        </w:rPr>
        <w:t>，生产厂为</w:t>
      </w:r>
      <w:r>
        <w:rPr>
          <w:rFonts w:hint="eastAsia" w:ascii="宋体" w:hAnsi="宋体" w:cs="宋体"/>
          <w:i/>
          <w:iCs/>
          <w:color w:val="auto"/>
          <w:kern w:val="0"/>
          <w:sz w:val="24"/>
        </w:rPr>
        <w:t>（厂名）</w:t>
      </w:r>
      <w:r>
        <w:rPr>
          <w:rFonts w:hint="eastAsia" w:ascii="宋体" w:hAnsi="宋体" w:cs="宋体"/>
          <w:i/>
          <w:iCs/>
          <w:color w:val="auto"/>
          <w:kern w:val="0"/>
          <w:sz w:val="18"/>
          <w:szCs w:val="18"/>
          <w:vertAlign w:val="superscript"/>
        </w:rPr>
        <w:t>2</w:t>
      </w:r>
      <w:r>
        <w:rPr>
          <w:rFonts w:hint="eastAsia" w:ascii="宋体" w:hAnsi="宋体" w:cs="宋体"/>
          <w:color w:val="auto"/>
          <w:kern w:val="0"/>
          <w:sz w:val="24"/>
        </w:rPr>
        <w:t>，厂址为</w:t>
      </w:r>
      <w:r>
        <w:rPr>
          <w:rFonts w:hint="eastAsia" w:ascii="宋体" w:hAnsi="宋体" w:cs="宋体"/>
          <w:i/>
          <w:iCs/>
          <w:color w:val="auto"/>
          <w:kern w:val="0"/>
          <w:sz w:val="24"/>
        </w:rPr>
        <w:t>（生产厂址）</w:t>
      </w:r>
      <w:r>
        <w:rPr>
          <w:rFonts w:hint="eastAsia" w:ascii="宋体" w:hAnsi="宋体" w:cs="宋体"/>
          <w:color w:val="auto"/>
          <w:kern w:val="0"/>
          <w:sz w:val="24"/>
        </w:rPr>
        <w:t>。</w:t>
      </w:r>
      <w:r>
        <w:rPr>
          <w:rFonts w:hint="eastAsia" w:ascii="宋体" w:hAnsi="宋体" w:cs="宋体"/>
          <w:i/>
          <w:iCs/>
          <w:color w:val="auto"/>
          <w:kern w:val="0"/>
          <w:sz w:val="24"/>
        </w:rPr>
        <w:t>（产品名称1）</w:t>
      </w:r>
      <w:r>
        <w:rPr>
          <w:rFonts w:hint="eastAsia" w:ascii="宋体" w:hAnsi="宋体" w:cs="宋体"/>
          <w:color w:val="auto"/>
          <w:kern w:val="0"/>
          <w:sz w:val="24"/>
        </w:rPr>
        <w:t>的中国境内生产的组件成本占比≥</w:t>
      </w:r>
      <w:r>
        <w:rPr>
          <w:rFonts w:hint="eastAsia" w:ascii="宋体" w:hAnsi="宋体" w:cs="宋体"/>
          <w:i/>
          <w:iCs/>
          <w:color w:val="auto"/>
          <w:kern w:val="0"/>
          <w:sz w:val="24"/>
        </w:rPr>
        <w:t>（规定比例）</w:t>
      </w:r>
      <w:r>
        <w:rPr>
          <w:rFonts w:hint="eastAsia" w:ascii="宋体" w:hAnsi="宋体" w:cs="宋体"/>
          <w:i/>
          <w:iCs/>
          <w:color w:val="auto"/>
          <w:kern w:val="0"/>
          <w:sz w:val="18"/>
          <w:szCs w:val="18"/>
          <w:vertAlign w:val="superscript"/>
        </w:rPr>
        <w:t>3</w:t>
      </w:r>
      <w:r>
        <w:rPr>
          <w:rFonts w:hint="eastAsia" w:ascii="宋体" w:hAnsi="宋体" w:cs="宋体"/>
          <w:color w:val="auto"/>
          <w:kern w:val="0"/>
          <w:sz w:val="24"/>
        </w:rPr>
        <w:t>。</w:t>
      </w:r>
      <w:r>
        <w:rPr>
          <w:rFonts w:hint="eastAsia" w:ascii="宋体" w:hAnsi="宋体" w:cs="宋体"/>
          <w:i/>
          <w:iCs/>
          <w:color w:val="auto"/>
          <w:kern w:val="0"/>
          <w:sz w:val="24"/>
        </w:rPr>
        <w:t>（产品名称1）</w:t>
      </w:r>
      <w:r>
        <w:rPr>
          <w:rFonts w:hint="eastAsia" w:ascii="宋体" w:hAnsi="宋体" w:cs="宋体"/>
          <w:color w:val="auto"/>
          <w:kern w:val="0"/>
          <w:sz w:val="24"/>
        </w:rPr>
        <w:t>的</w:t>
      </w:r>
      <w:r>
        <w:rPr>
          <w:rFonts w:hint="eastAsia" w:ascii="宋体" w:hAnsi="宋体" w:cs="宋体"/>
          <w:i/>
          <w:iCs/>
          <w:color w:val="auto"/>
          <w:kern w:val="0"/>
          <w:sz w:val="24"/>
        </w:rPr>
        <w:t>（关键组件）</w:t>
      </w:r>
      <w:r>
        <w:rPr>
          <w:rFonts w:hint="eastAsia" w:ascii="宋体" w:hAnsi="宋体" w:cs="宋体"/>
          <w:i/>
          <w:iCs/>
          <w:color w:val="auto"/>
          <w:kern w:val="0"/>
          <w:sz w:val="18"/>
          <w:szCs w:val="18"/>
          <w:vertAlign w:val="superscript"/>
        </w:rPr>
        <w:t>4</w:t>
      </w:r>
      <w:r>
        <w:rPr>
          <w:rFonts w:hint="eastAsia" w:ascii="宋体" w:hAnsi="宋体" w:cs="宋体"/>
          <w:color w:val="auto"/>
          <w:kern w:val="0"/>
          <w:sz w:val="24"/>
        </w:rPr>
        <w:t>在中国境内生产。</w:t>
      </w:r>
      <w:r>
        <w:rPr>
          <w:rFonts w:hint="eastAsia" w:ascii="宋体" w:hAnsi="宋体" w:cs="宋体"/>
          <w:i/>
          <w:iCs/>
          <w:color w:val="auto"/>
          <w:kern w:val="0"/>
          <w:sz w:val="24"/>
        </w:rPr>
        <w:t>（产品名称1）</w:t>
      </w:r>
      <w:r>
        <w:rPr>
          <w:rFonts w:hint="eastAsia" w:ascii="宋体" w:hAnsi="宋体" w:cs="宋体"/>
          <w:color w:val="auto"/>
          <w:kern w:val="0"/>
          <w:sz w:val="24"/>
        </w:rPr>
        <w:t>的</w:t>
      </w:r>
      <w:r>
        <w:rPr>
          <w:rFonts w:hint="eastAsia" w:ascii="宋体" w:hAnsi="宋体" w:cs="宋体"/>
          <w:i/>
          <w:iCs/>
          <w:color w:val="auto"/>
          <w:kern w:val="0"/>
          <w:sz w:val="24"/>
        </w:rPr>
        <w:t>（关键工序）</w:t>
      </w:r>
      <w:r>
        <w:rPr>
          <w:rFonts w:hint="eastAsia" w:ascii="宋体" w:hAnsi="宋体" w:cs="宋体"/>
          <w:i/>
          <w:iCs/>
          <w:color w:val="auto"/>
          <w:kern w:val="0"/>
          <w:sz w:val="18"/>
          <w:szCs w:val="18"/>
          <w:vertAlign w:val="superscript"/>
        </w:rPr>
        <w:t>5</w:t>
      </w:r>
      <w:r>
        <w:rPr>
          <w:rFonts w:hint="eastAsia" w:ascii="宋体" w:hAnsi="宋体" w:cs="宋体"/>
          <w:color w:val="auto"/>
          <w:kern w:val="0"/>
          <w:sz w:val="24"/>
        </w:rPr>
        <w:t>在中国境内完成。</w:t>
      </w:r>
    </w:p>
    <w:p w14:paraId="1D8D9311">
      <w:pPr>
        <w:keepNext w:val="0"/>
        <w:keepLines w:val="0"/>
        <w:pageBreakBefore w:val="0"/>
        <w:widowControl/>
        <w:shd w:val="clear" w:color="auto" w:fill="FFFFFF"/>
        <w:kinsoku/>
        <w:wordWrap/>
        <w:overflowPunct/>
        <w:topLinePunct w:val="0"/>
        <w:autoSpaceDE/>
        <w:autoSpaceDN/>
        <w:bidi w:val="0"/>
        <w:adjustRightInd/>
        <w:snapToGrid/>
        <w:spacing w:line="360" w:lineRule="auto"/>
        <w:ind w:firstLine="480"/>
        <w:jc w:val="left"/>
        <w:textAlignment w:val="auto"/>
        <w:rPr>
          <w:rFonts w:hint="eastAsia" w:ascii="宋体" w:hAnsi="宋体" w:cs="宋体"/>
          <w:color w:val="auto"/>
          <w:kern w:val="0"/>
          <w:sz w:val="24"/>
        </w:rPr>
      </w:pPr>
      <w:r>
        <w:rPr>
          <w:rFonts w:hint="eastAsia" w:ascii="宋体" w:hAnsi="宋体" w:cs="宋体"/>
          <w:color w:val="auto"/>
          <w:kern w:val="0"/>
          <w:sz w:val="24"/>
        </w:rPr>
        <w:t>2.</w:t>
      </w:r>
      <w:r>
        <w:rPr>
          <w:rFonts w:hint="eastAsia" w:ascii="宋体" w:hAnsi="宋体" w:cs="宋体"/>
          <w:i/>
          <w:iCs/>
          <w:color w:val="auto"/>
          <w:kern w:val="0"/>
          <w:sz w:val="24"/>
        </w:rPr>
        <w:t>（产品名称2）</w:t>
      </w:r>
      <w:r>
        <w:rPr>
          <w:rFonts w:hint="eastAsia" w:ascii="宋体" w:hAnsi="宋体" w:cs="宋体"/>
          <w:color w:val="auto"/>
          <w:kern w:val="0"/>
          <w:sz w:val="24"/>
        </w:rPr>
        <w:t>，生产厂为</w:t>
      </w:r>
      <w:r>
        <w:rPr>
          <w:rFonts w:hint="eastAsia" w:ascii="宋体" w:hAnsi="宋体" w:cs="宋体"/>
          <w:i/>
          <w:iCs/>
          <w:color w:val="auto"/>
          <w:kern w:val="0"/>
          <w:sz w:val="24"/>
        </w:rPr>
        <w:t>（厂名）</w:t>
      </w:r>
      <w:r>
        <w:rPr>
          <w:rFonts w:hint="eastAsia" w:ascii="宋体" w:hAnsi="宋体" w:cs="宋体"/>
          <w:color w:val="auto"/>
          <w:kern w:val="0"/>
          <w:sz w:val="24"/>
        </w:rPr>
        <w:t>，厂址为</w:t>
      </w:r>
      <w:r>
        <w:rPr>
          <w:rFonts w:hint="eastAsia" w:ascii="宋体" w:hAnsi="宋体" w:cs="宋体"/>
          <w:i/>
          <w:iCs/>
          <w:color w:val="auto"/>
          <w:kern w:val="0"/>
          <w:sz w:val="24"/>
        </w:rPr>
        <w:t>（生产厂址）</w:t>
      </w:r>
      <w:r>
        <w:rPr>
          <w:rFonts w:hint="eastAsia" w:ascii="宋体" w:hAnsi="宋体" w:cs="宋体"/>
          <w:color w:val="auto"/>
          <w:kern w:val="0"/>
          <w:sz w:val="24"/>
        </w:rPr>
        <w:t>。</w:t>
      </w:r>
      <w:r>
        <w:rPr>
          <w:rFonts w:hint="eastAsia" w:ascii="宋体" w:hAnsi="宋体" w:cs="宋体"/>
          <w:i/>
          <w:iCs/>
          <w:color w:val="auto"/>
          <w:kern w:val="0"/>
          <w:sz w:val="24"/>
        </w:rPr>
        <w:t>（产品名称2）</w:t>
      </w:r>
      <w:r>
        <w:rPr>
          <w:rFonts w:hint="eastAsia" w:ascii="宋体" w:hAnsi="宋体" w:cs="宋体"/>
          <w:color w:val="auto"/>
          <w:kern w:val="0"/>
          <w:sz w:val="24"/>
        </w:rPr>
        <w:t>的中国境内生产的组件成本占比≥</w:t>
      </w:r>
      <w:r>
        <w:rPr>
          <w:rFonts w:hint="eastAsia" w:ascii="宋体" w:hAnsi="宋体" w:cs="宋体"/>
          <w:i/>
          <w:iCs/>
          <w:color w:val="auto"/>
          <w:kern w:val="0"/>
          <w:sz w:val="24"/>
        </w:rPr>
        <w:t>（规定比例）</w:t>
      </w:r>
      <w:r>
        <w:rPr>
          <w:rFonts w:hint="eastAsia" w:ascii="宋体" w:hAnsi="宋体" w:cs="宋体"/>
          <w:color w:val="auto"/>
          <w:kern w:val="0"/>
          <w:sz w:val="24"/>
        </w:rPr>
        <w:t>。</w:t>
      </w:r>
      <w:r>
        <w:rPr>
          <w:rFonts w:hint="eastAsia" w:ascii="宋体" w:hAnsi="宋体" w:cs="宋体"/>
          <w:i/>
          <w:iCs/>
          <w:color w:val="auto"/>
          <w:kern w:val="0"/>
          <w:sz w:val="24"/>
        </w:rPr>
        <w:t>（产品名称2）</w:t>
      </w:r>
      <w:r>
        <w:rPr>
          <w:rFonts w:hint="eastAsia" w:ascii="宋体" w:hAnsi="宋体" w:cs="宋体"/>
          <w:color w:val="auto"/>
          <w:kern w:val="0"/>
          <w:sz w:val="24"/>
        </w:rPr>
        <w:t>的</w:t>
      </w:r>
      <w:r>
        <w:rPr>
          <w:rFonts w:hint="eastAsia" w:ascii="宋体" w:hAnsi="宋体" w:cs="宋体"/>
          <w:i/>
          <w:iCs/>
          <w:color w:val="auto"/>
          <w:kern w:val="0"/>
          <w:sz w:val="24"/>
        </w:rPr>
        <w:t>（关键组件）</w:t>
      </w:r>
      <w:r>
        <w:rPr>
          <w:rFonts w:hint="eastAsia" w:ascii="宋体" w:hAnsi="宋体" w:cs="宋体"/>
          <w:color w:val="auto"/>
          <w:kern w:val="0"/>
          <w:sz w:val="24"/>
        </w:rPr>
        <w:t>在中国境内生产。</w:t>
      </w:r>
      <w:r>
        <w:rPr>
          <w:rFonts w:hint="eastAsia" w:ascii="宋体" w:hAnsi="宋体" w:cs="宋体"/>
          <w:i/>
          <w:iCs/>
          <w:color w:val="auto"/>
          <w:kern w:val="0"/>
          <w:sz w:val="24"/>
        </w:rPr>
        <w:t>（产品名称2）</w:t>
      </w:r>
      <w:r>
        <w:rPr>
          <w:rFonts w:hint="eastAsia" w:ascii="宋体" w:hAnsi="宋体" w:cs="宋体"/>
          <w:color w:val="auto"/>
          <w:kern w:val="0"/>
          <w:sz w:val="24"/>
        </w:rPr>
        <w:t>的</w:t>
      </w:r>
      <w:r>
        <w:rPr>
          <w:rFonts w:hint="eastAsia" w:ascii="宋体" w:hAnsi="宋体" w:cs="宋体"/>
          <w:i/>
          <w:iCs/>
          <w:color w:val="auto"/>
          <w:kern w:val="0"/>
          <w:sz w:val="24"/>
        </w:rPr>
        <w:t>（关键工序）</w:t>
      </w:r>
      <w:r>
        <w:rPr>
          <w:rFonts w:hint="eastAsia" w:ascii="宋体" w:hAnsi="宋体" w:cs="宋体"/>
          <w:color w:val="auto"/>
          <w:kern w:val="0"/>
          <w:sz w:val="24"/>
        </w:rPr>
        <w:t>在中国境内完成。</w:t>
      </w:r>
    </w:p>
    <w:p w14:paraId="5DEA4A0F">
      <w:pPr>
        <w:keepNext w:val="0"/>
        <w:keepLines w:val="0"/>
        <w:pageBreakBefore w:val="0"/>
        <w:widowControl/>
        <w:shd w:val="clear" w:color="auto" w:fill="FFFFFF"/>
        <w:kinsoku/>
        <w:wordWrap/>
        <w:overflowPunct/>
        <w:topLinePunct w:val="0"/>
        <w:autoSpaceDE/>
        <w:autoSpaceDN/>
        <w:bidi w:val="0"/>
        <w:adjustRightInd/>
        <w:snapToGrid/>
        <w:spacing w:line="360" w:lineRule="auto"/>
        <w:ind w:firstLine="480"/>
        <w:jc w:val="left"/>
        <w:textAlignment w:val="auto"/>
        <w:rPr>
          <w:rFonts w:hint="eastAsia" w:ascii="宋体" w:hAnsi="宋体" w:cs="宋体"/>
          <w:color w:val="auto"/>
          <w:kern w:val="0"/>
          <w:sz w:val="24"/>
        </w:rPr>
      </w:pPr>
      <w:r>
        <w:rPr>
          <w:rFonts w:hint="eastAsia" w:ascii="宋体" w:hAnsi="宋体" w:cs="宋体"/>
          <w:color w:val="auto"/>
          <w:kern w:val="0"/>
          <w:sz w:val="24"/>
        </w:rPr>
        <w:t>……</w:t>
      </w:r>
    </w:p>
    <w:p w14:paraId="70B32209">
      <w:pPr>
        <w:keepNext w:val="0"/>
        <w:keepLines w:val="0"/>
        <w:pageBreakBefore w:val="0"/>
        <w:widowControl/>
        <w:shd w:val="clear" w:color="auto" w:fill="FFFFFF"/>
        <w:kinsoku/>
        <w:wordWrap/>
        <w:overflowPunct/>
        <w:topLinePunct w:val="0"/>
        <w:autoSpaceDE/>
        <w:autoSpaceDN/>
        <w:bidi w:val="0"/>
        <w:adjustRightInd/>
        <w:snapToGrid/>
        <w:spacing w:line="360" w:lineRule="auto"/>
        <w:ind w:firstLine="480"/>
        <w:jc w:val="left"/>
        <w:textAlignment w:val="auto"/>
        <w:rPr>
          <w:rFonts w:hint="eastAsia" w:ascii="宋体" w:hAnsi="宋体" w:cs="宋体"/>
          <w:color w:val="auto"/>
          <w:kern w:val="0"/>
          <w:sz w:val="24"/>
        </w:rPr>
      </w:pPr>
      <w:r>
        <w:rPr>
          <w:rFonts w:hint="eastAsia" w:ascii="宋体" w:hAnsi="宋体" w:cs="宋体"/>
          <w:color w:val="auto"/>
          <w:kern w:val="0"/>
          <w:sz w:val="24"/>
        </w:rPr>
        <w:t>本公司（单位）对上述声明内容的真实性负责。如有虚假，愿承担相应法律责任。</w:t>
      </w:r>
    </w:p>
    <w:p w14:paraId="1547DBBE">
      <w:pPr>
        <w:keepNext w:val="0"/>
        <w:keepLines w:val="0"/>
        <w:pageBreakBefore w:val="0"/>
        <w:widowControl/>
        <w:shd w:val="clear" w:color="auto" w:fill="FFFFFF"/>
        <w:kinsoku/>
        <w:wordWrap/>
        <w:overflowPunct/>
        <w:topLinePunct w:val="0"/>
        <w:autoSpaceDE/>
        <w:autoSpaceDN/>
        <w:bidi w:val="0"/>
        <w:adjustRightInd/>
        <w:snapToGrid/>
        <w:spacing w:line="360" w:lineRule="auto"/>
        <w:jc w:val="left"/>
        <w:textAlignment w:val="auto"/>
        <w:rPr>
          <w:rFonts w:hint="eastAsia" w:ascii="宋体" w:hAnsi="宋体" w:cs="宋体"/>
          <w:color w:val="auto"/>
          <w:kern w:val="0"/>
          <w:sz w:val="24"/>
        </w:rPr>
      </w:pPr>
      <w:r>
        <w:rPr>
          <w:rFonts w:hint="eastAsia" w:ascii="宋体" w:hAnsi="宋体" w:cs="宋体"/>
          <w:color w:val="auto"/>
          <w:kern w:val="0"/>
          <w:sz w:val="24"/>
        </w:rPr>
        <w:t> </w:t>
      </w:r>
    </w:p>
    <w:p w14:paraId="1361DFCD">
      <w:pPr>
        <w:keepNext w:val="0"/>
        <w:keepLines w:val="0"/>
        <w:pageBreakBefore w:val="0"/>
        <w:widowControl/>
        <w:shd w:val="clear" w:color="auto" w:fill="FFFFFF"/>
        <w:kinsoku/>
        <w:wordWrap/>
        <w:overflowPunct/>
        <w:topLinePunct w:val="0"/>
        <w:autoSpaceDE/>
        <w:autoSpaceDN/>
        <w:bidi w:val="0"/>
        <w:adjustRightInd/>
        <w:snapToGrid/>
        <w:spacing w:line="360" w:lineRule="auto"/>
        <w:jc w:val="right"/>
        <w:textAlignment w:val="auto"/>
        <w:rPr>
          <w:rFonts w:hint="eastAsia" w:ascii="宋体" w:hAnsi="宋体" w:cs="宋体"/>
          <w:color w:val="auto"/>
          <w:kern w:val="0"/>
          <w:sz w:val="24"/>
        </w:rPr>
      </w:pPr>
      <w:r>
        <w:rPr>
          <w:rFonts w:hint="eastAsia" w:ascii="宋体" w:hAnsi="宋体" w:cs="宋体"/>
          <w:color w:val="auto"/>
          <w:kern w:val="0"/>
          <w:sz w:val="24"/>
        </w:rPr>
        <w:t>公司（单位）名称（盖章）：　        </w:t>
      </w:r>
    </w:p>
    <w:p w14:paraId="0D98EC04">
      <w:pPr>
        <w:keepNext w:val="0"/>
        <w:keepLines w:val="0"/>
        <w:pageBreakBefore w:val="0"/>
        <w:widowControl/>
        <w:shd w:val="clear" w:color="auto" w:fill="FFFFFF"/>
        <w:kinsoku/>
        <w:wordWrap/>
        <w:overflowPunct/>
        <w:topLinePunct w:val="0"/>
        <w:autoSpaceDE/>
        <w:autoSpaceDN/>
        <w:bidi w:val="0"/>
        <w:adjustRightInd/>
        <w:snapToGrid/>
        <w:spacing w:line="360" w:lineRule="auto"/>
        <w:jc w:val="right"/>
        <w:textAlignment w:val="auto"/>
        <w:rPr>
          <w:rFonts w:hint="eastAsia" w:ascii="宋体" w:hAnsi="宋体" w:cs="宋体"/>
          <w:color w:val="auto"/>
          <w:kern w:val="0"/>
          <w:sz w:val="24"/>
        </w:rPr>
      </w:pPr>
      <w:r>
        <w:rPr>
          <w:rFonts w:hint="eastAsia" w:ascii="宋体" w:hAnsi="宋体" w:cs="宋体"/>
          <w:color w:val="auto"/>
          <w:kern w:val="0"/>
          <w:sz w:val="24"/>
        </w:rPr>
        <w:t>日期：　     年　  月　  日         </w:t>
      </w:r>
    </w:p>
    <w:p w14:paraId="549B3D0B">
      <w:pPr>
        <w:keepNext w:val="0"/>
        <w:keepLines w:val="0"/>
        <w:pageBreakBefore w:val="0"/>
        <w:widowControl/>
        <w:shd w:val="clear" w:color="auto" w:fill="FFFFFF"/>
        <w:kinsoku/>
        <w:wordWrap/>
        <w:overflowPunct/>
        <w:topLinePunct w:val="0"/>
        <w:autoSpaceDE/>
        <w:autoSpaceDN/>
        <w:bidi w:val="0"/>
        <w:adjustRightInd/>
        <w:snapToGrid/>
        <w:spacing w:line="360" w:lineRule="auto"/>
        <w:jc w:val="left"/>
        <w:textAlignment w:val="auto"/>
        <w:rPr>
          <w:rFonts w:hint="eastAsia" w:ascii="宋体" w:hAnsi="宋体" w:cs="宋体"/>
          <w:color w:val="auto"/>
          <w:kern w:val="0"/>
          <w:sz w:val="24"/>
        </w:rPr>
      </w:pPr>
      <w:r>
        <w:rPr>
          <w:rFonts w:hint="eastAsia" w:ascii="宋体" w:hAnsi="宋体" w:cs="宋体"/>
          <w:color w:val="auto"/>
          <w:kern w:val="0"/>
          <w:sz w:val="24"/>
        </w:rPr>
        <w:t>__________________</w:t>
      </w:r>
    </w:p>
    <w:p w14:paraId="2F3832F4">
      <w:pPr>
        <w:keepNext w:val="0"/>
        <w:keepLines w:val="0"/>
        <w:pageBreakBefore w:val="0"/>
        <w:widowControl/>
        <w:shd w:val="clear" w:color="auto" w:fill="FFFFFF"/>
        <w:kinsoku/>
        <w:wordWrap/>
        <w:overflowPunct/>
        <w:topLinePunct w:val="0"/>
        <w:autoSpaceDE/>
        <w:autoSpaceDN/>
        <w:bidi w:val="0"/>
        <w:adjustRightInd/>
        <w:snapToGrid/>
        <w:spacing w:line="360" w:lineRule="auto"/>
        <w:ind w:firstLine="480"/>
        <w:jc w:val="left"/>
        <w:textAlignment w:val="auto"/>
        <w:rPr>
          <w:rFonts w:hint="eastAsia" w:ascii="宋体" w:hAnsi="宋体" w:cs="宋体"/>
          <w:color w:val="auto"/>
          <w:kern w:val="0"/>
          <w:szCs w:val="21"/>
        </w:rPr>
      </w:pPr>
      <w:r>
        <w:rPr>
          <w:rFonts w:hint="eastAsia" w:ascii="宋体" w:hAnsi="宋体" w:cs="宋体"/>
          <w:color w:val="auto"/>
          <w:kern w:val="0"/>
          <w:szCs w:val="21"/>
        </w:rPr>
        <w:t>1.产品如有型号，请在“产品名称”栏一并填写。</w:t>
      </w:r>
    </w:p>
    <w:p w14:paraId="633BCE3C">
      <w:pPr>
        <w:keepNext w:val="0"/>
        <w:keepLines w:val="0"/>
        <w:pageBreakBefore w:val="0"/>
        <w:widowControl/>
        <w:shd w:val="clear" w:color="auto" w:fill="FFFFFF"/>
        <w:kinsoku/>
        <w:wordWrap/>
        <w:overflowPunct/>
        <w:topLinePunct w:val="0"/>
        <w:autoSpaceDE/>
        <w:autoSpaceDN/>
        <w:bidi w:val="0"/>
        <w:adjustRightInd/>
        <w:snapToGrid/>
        <w:spacing w:line="360" w:lineRule="auto"/>
        <w:ind w:firstLine="480"/>
        <w:jc w:val="left"/>
        <w:textAlignment w:val="auto"/>
        <w:rPr>
          <w:rFonts w:hint="eastAsia" w:ascii="宋体" w:hAnsi="宋体" w:cs="宋体"/>
          <w:color w:val="auto"/>
          <w:kern w:val="0"/>
          <w:szCs w:val="21"/>
        </w:rPr>
      </w:pPr>
      <w:r>
        <w:rPr>
          <w:rFonts w:hint="eastAsia" w:ascii="宋体" w:hAnsi="宋体" w:cs="宋体"/>
          <w:color w:val="auto"/>
          <w:kern w:val="0"/>
          <w:szCs w:val="21"/>
        </w:rPr>
        <w:t>2.生产厂名与厂址应与生产厂营业执照载明的相关信息保持一致。</w:t>
      </w:r>
    </w:p>
    <w:p w14:paraId="28B3A412">
      <w:pPr>
        <w:keepNext w:val="0"/>
        <w:keepLines w:val="0"/>
        <w:pageBreakBefore w:val="0"/>
        <w:widowControl/>
        <w:shd w:val="clear" w:color="auto" w:fill="FFFFFF"/>
        <w:kinsoku/>
        <w:wordWrap/>
        <w:overflowPunct/>
        <w:topLinePunct w:val="0"/>
        <w:autoSpaceDE/>
        <w:autoSpaceDN/>
        <w:bidi w:val="0"/>
        <w:adjustRightInd/>
        <w:snapToGrid/>
        <w:spacing w:line="360" w:lineRule="auto"/>
        <w:ind w:firstLine="480"/>
        <w:jc w:val="left"/>
        <w:textAlignment w:val="auto"/>
        <w:rPr>
          <w:rFonts w:hint="eastAsia" w:ascii="宋体" w:hAnsi="宋体" w:cs="宋体"/>
          <w:color w:val="auto"/>
          <w:kern w:val="0"/>
          <w:szCs w:val="21"/>
        </w:rPr>
      </w:pPr>
      <w:r>
        <w:rPr>
          <w:rFonts w:hint="eastAsia" w:ascii="宋体" w:hAnsi="宋体" w:cs="宋体"/>
          <w:color w:val="auto"/>
          <w:kern w:val="0"/>
          <w:szCs w:val="21"/>
        </w:rPr>
        <w:t>3.该产品的中国境内生产的组件成本占比相关要求实施前，“规定比例”栏可不填，下同。</w:t>
      </w:r>
    </w:p>
    <w:p w14:paraId="4575DAAB">
      <w:pPr>
        <w:keepNext w:val="0"/>
        <w:keepLines w:val="0"/>
        <w:pageBreakBefore w:val="0"/>
        <w:widowControl/>
        <w:shd w:val="clear" w:color="auto" w:fill="FFFFFF"/>
        <w:kinsoku/>
        <w:wordWrap/>
        <w:overflowPunct/>
        <w:topLinePunct w:val="0"/>
        <w:autoSpaceDE/>
        <w:autoSpaceDN/>
        <w:bidi w:val="0"/>
        <w:adjustRightInd/>
        <w:snapToGrid/>
        <w:spacing w:line="360" w:lineRule="auto"/>
        <w:ind w:firstLine="480"/>
        <w:jc w:val="left"/>
        <w:textAlignment w:val="auto"/>
        <w:rPr>
          <w:rFonts w:hint="eastAsia" w:ascii="宋体" w:hAnsi="宋体" w:cs="宋体"/>
          <w:color w:val="auto"/>
          <w:kern w:val="0"/>
          <w:szCs w:val="21"/>
        </w:rPr>
      </w:pPr>
      <w:r>
        <w:rPr>
          <w:rFonts w:hint="eastAsia" w:ascii="宋体" w:hAnsi="宋体" w:cs="宋体"/>
          <w:color w:val="auto"/>
          <w:kern w:val="0"/>
          <w:szCs w:val="21"/>
        </w:rPr>
        <w:t>4.该产品的关键组件要求实施前，“关键组件”栏可不填，下同。</w:t>
      </w:r>
    </w:p>
    <w:p w14:paraId="5D2299A1">
      <w:pPr>
        <w:keepNext w:val="0"/>
        <w:keepLines w:val="0"/>
        <w:pageBreakBefore w:val="0"/>
        <w:widowControl/>
        <w:shd w:val="clear" w:color="auto" w:fill="FFFFFF"/>
        <w:kinsoku/>
        <w:wordWrap/>
        <w:overflowPunct/>
        <w:topLinePunct w:val="0"/>
        <w:autoSpaceDE/>
        <w:autoSpaceDN/>
        <w:bidi w:val="0"/>
        <w:adjustRightInd/>
        <w:snapToGrid/>
        <w:spacing w:line="360" w:lineRule="auto"/>
        <w:ind w:firstLine="480"/>
        <w:jc w:val="left"/>
        <w:textAlignment w:val="auto"/>
        <w:rPr>
          <w:rFonts w:hint="eastAsia" w:ascii="宋体" w:hAnsi="宋体" w:cs="宋体"/>
          <w:color w:val="auto"/>
          <w:kern w:val="0"/>
          <w:szCs w:val="21"/>
        </w:rPr>
      </w:pPr>
      <w:r>
        <w:rPr>
          <w:rFonts w:hint="eastAsia" w:ascii="宋体" w:hAnsi="宋体" w:cs="宋体"/>
          <w:color w:val="auto"/>
          <w:kern w:val="0"/>
          <w:szCs w:val="21"/>
        </w:rPr>
        <w:t>5.该产品的关键工序要求实施前，“关键工序”栏可不填，下同。</w:t>
      </w:r>
    </w:p>
    <w:p w14:paraId="6F37EED6">
      <w:pPr>
        <w:spacing w:line="360" w:lineRule="auto"/>
        <w:contextualSpacing/>
        <w:rPr>
          <w:rFonts w:ascii="宋体" w:hAnsi="宋体" w:cs="仿宋_GB2312"/>
          <w:color w:val="auto"/>
          <w:sz w:val="24"/>
        </w:rPr>
      </w:pPr>
    </w:p>
    <w:p w14:paraId="293ADAFD">
      <w:pPr>
        <w:spacing w:line="360" w:lineRule="auto"/>
        <w:jc w:val="center"/>
        <w:rPr>
          <w:rFonts w:hint="eastAsia" w:ascii="宋体" w:hAnsi="宋体"/>
          <w:b/>
          <w:bCs/>
          <w:color w:val="auto"/>
          <w:sz w:val="32"/>
          <w:szCs w:val="32"/>
          <w:highlight w:val="none"/>
        </w:rPr>
      </w:pPr>
      <w:r>
        <w:rPr>
          <w:rFonts w:hint="eastAsia" w:ascii="方正小标宋简体" w:hAnsi="方正小标宋简体" w:eastAsia="方正小标宋简体" w:cs="方正小标宋简体"/>
          <w:color w:val="auto"/>
          <w:sz w:val="44"/>
          <w:szCs w:val="44"/>
          <w:highlight w:val="none"/>
        </w:rPr>
        <w:br w:type="page"/>
      </w:r>
      <w:r>
        <w:rPr>
          <w:rFonts w:hint="eastAsia" w:ascii="方正小标宋简体" w:hAnsi="方正小标宋简体" w:eastAsia="方正小标宋简体" w:cs="方正小标宋简体"/>
          <w:color w:val="auto"/>
          <w:sz w:val="44"/>
          <w:szCs w:val="44"/>
          <w:highlight w:val="none"/>
        </w:rPr>
        <w:t>质疑函（格式）</w:t>
      </w:r>
    </w:p>
    <w:p w14:paraId="5EC2E660">
      <w:pPr>
        <w:spacing w:line="360" w:lineRule="auto"/>
        <w:jc w:val="center"/>
        <w:rPr>
          <w:rFonts w:hint="eastAsia" w:ascii="宋体" w:hAnsi="宋体"/>
          <w:b/>
          <w:bCs/>
          <w:color w:val="auto"/>
          <w:sz w:val="32"/>
          <w:szCs w:val="32"/>
          <w:highlight w:val="none"/>
        </w:rPr>
      </w:pPr>
    </w:p>
    <w:p w14:paraId="4EC9A8D9">
      <w:pPr>
        <w:pStyle w:val="15"/>
        <w:spacing w:line="360" w:lineRule="auto"/>
        <w:ind w:firstLine="482" w:firstLineChars="200"/>
        <w:contextualSpacing/>
        <w:rPr>
          <w:rFonts w:hAnsi="宋体"/>
          <w:b/>
          <w:bCs/>
          <w:color w:val="auto"/>
          <w:sz w:val="24"/>
          <w:szCs w:val="24"/>
          <w:highlight w:val="none"/>
        </w:rPr>
      </w:pPr>
      <w:r>
        <w:rPr>
          <w:rFonts w:hint="eastAsia" w:hAnsi="宋体"/>
          <w:b/>
          <w:bCs/>
          <w:color w:val="auto"/>
          <w:sz w:val="24"/>
          <w:szCs w:val="24"/>
          <w:highlight w:val="none"/>
        </w:rPr>
        <w:t>一、质疑供应商基本信息：</w:t>
      </w:r>
    </w:p>
    <w:p w14:paraId="4A1A6FB4">
      <w:pPr>
        <w:pStyle w:val="15"/>
        <w:spacing w:line="360" w:lineRule="auto"/>
        <w:ind w:firstLine="480" w:firstLineChars="200"/>
        <w:contextualSpacing/>
        <w:rPr>
          <w:rFonts w:hint="eastAsia" w:hAnsi="宋体"/>
          <w:bCs/>
          <w:color w:val="auto"/>
          <w:sz w:val="24"/>
          <w:szCs w:val="24"/>
          <w:highlight w:val="none"/>
          <w:u w:val="single"/>
        </w:rPr>
      </w:pPr>
      <w:r>
        <w:rPr>
          <w:rFonts w:hint="eastAsia" w:hAnsi="宋体"/>
          <w:bCs/>
          <w:color w:val="auto"/>
          <w:sz w:val="24"/>
          <w:szCs w:val="24"/>
          <w:highlight w:val="none"/>
        </w:rPr>
        <w:t>质疑供应商：</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14:paraId="14FF1DCB">
      <w:pPr>
        <w:pStyle w:val="15"/>
        <w:spacing w:line="360" w:lineRule="auto"/>
        <w:ind w:firstLine="480" w:firstLineChars="200"/>
        <w:contextualSpacing/>
        <w:rPr>
          <w:rFonts w:hint="eastAsia" w:hAnsi="宋体"/>
          <w:bCs/>
          <w:color w:val="auto"/>
          <w:sz w:val="24"/>
          <w:szCs w:val="24"/>
          <w:highlight w:val="none"/>
        </w:rPr>
      </w:pPr>
      <w:r>
        <w:rPr>
          <w:rFonts w:hAnsi="宋体"/>
          <w:bCs/>
          <w:color w:val="auto"/>
          <w:sz w:val="24"/>
          <w:szCs w:val="24"/>
          <w:highlight w:val="none"/>
        </w:rPr>
        <w:t>地址</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Ansi="宋体"/>
          <w:bCs/>
          <w:color w:val="auto"/>
          <w:sz w:val="24"/>
          <w:szCs w:val="24"/>
          <w:highlight w:val="none"/>
        </w:rPr>
        <w:t>邮编</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14:paraId="039FB888">
      <w:pPr>
        <w:pStyle w:val="15"/>
        <w:spacing w:line="360" w:lineRule="auto"/>
        <w:ind w:firstLine="480" w:firstLineChars="200"/>
        <w:contextualSpacing/>
        <w:rPr>
          <w:rFonts w:hint="eastAsia" w:hAnsi="宋体"/>
          <w:bCs/>
          <w:color w:val="auto"/>
          <w:sz w:val="24"/>
          <w:szCs w:val="24"/>
          <w:highlight w:val="none"/>
        </w:rPr>
      </w:pPr>
      <w:r>
        <w:rPr>
          <w:rFonts w:hAnsi="宋体"/>
          <w:bCs/>
          <w:color w:val="auto"/>
          <w:sz w:val="24"/>
          <w:szCs w:val="24"/>
          <w:highlight w:val="none"/>
        </w:rPr>
        <w:t>联系人</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Ansi="宋体"/>
          <w:bCs/>
          <w:color w:val="auto"/>
          <w:sz w:val="24"/>
          <w:szCs w:val="24"/>
          <w:highlight w:val="none"/>
        </w:rPr>
        <w:t>联系电话</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p>
    <w:p w14:paraId="3308B6E6">
      <w:pPr>
        <w:pStyle w:val="15"/>
        <w:spacing w:line="360" w:lineRule="auto"/>
        <w:ind w:firstLine="480" w:firstLineChars="200"/>
        <w:contextualSpacing/>
        <w:rPr>
          <w:rFonts w:hint="eastAsia" w:hAnsi="宋体"/>
          <w:bCs/>
          <w:color w:val="auto"/>
          <w:sz w:val="24"/>
          <w:szCs w:val="24"/>
          <w:highlight w:val="none"/>
        </w:rPr>
      </w:pPr>
      <w:r>
        <w:rPr>
          <w:rFonts w:hint="eastAsia" w:hAnsi="宋体"/>
          <w:bCs/>
          <w:color w:val="auto"/>
          <w:sz w:val="24"/>
          <w:szCs w:val="24"/>
          <w:highlight w:val="none"/>
        </w:rPr>
        <w:t>授权代表：</w:t>
      </w:r>
      <w:r>
        <w:rPr>
          <w:rFonts w:hint="eastAsia" w:hAnsi="宋体"/>
          <w:bCs/>
          <w:color w:val="auto"/>
          <w:sz w:val="24"/>
          <w:szCs w:val="24"/>
          <w:highlight w:val="none"/>
          <w:u w:val="single"/>
        </w:rPr>
        <w:t xml:space="preserve">                      </w:t>
      </w:r>
    </w:p>
    <w:p w14:paraId="0591018C">
      <w:pPr>
        <w:pStyle w:val="15"/>
        <w:spacing w:line="360" w:lineRule="auto"/>
        <w:ind w:firstLine="480" w:firstLineChars="200"/>
        <w:contextualSpacing/>
        <w:rPr>
          <w:rFonts w:hint="eastAsia" w:hAnsi="宋体"/>
          <w:bCs/>
          <w:color w:val="auto"/>
          <w:sz w:val="24"/>
          <w:szCs w:val="24"/>
          <w:highlight w:val="none"/>
          <w:u w:val="single"/>
        </w:rPr>
      </w:pPr>
      <w:r>
        <w:rPr>
          <w:rFonts w:hAnsi="宋体"/>
          <w:bCs/>
          <w:color w:val="auto"/>
          <w:sz w:val="24"/>
          <w:szCs w:val="24"/>
          <w:highlight w:val="none"/>
        </w:rPr>
        <w:t>联系</w:t>
      </w:r>
      <w:r>
        <w:rPr>
          <w:rFonts w:hint="eastAsia" w:hAnsi="宋体"/>
          <w:bCs/>
          <w:color w:val="auto"/>
          <w:sz w:val="24"/>
          <w:szCs w:val="24"/>
          <w:highlight w:val="none"/>
        </w:rPr>
        <w:t>电话：</w:t>
      </w:r>
      <w:r>
        <w:rPr>
          <w:rFonts w:hint="eastAsia" w:hAnsi="宋体"/>
          <w:bCs/>
          <w:color w:val="auto"/>
          <w:sz w:val="24"/>
          <w:szCs w:val="24"/>
          <w:highlight w:val="none"/>
          <w:u w:val="single"/>
        </w:rPr>
        <w:t xml:space="preserve">                      </w:t>
      </w:r>
    </w:p>
    <w:p w14:paraId="67C19A89">
      <w:pPr>
        <w:pStyle w:val="15"/>
        <w:spacing w:line="360" w:lineRule="auto"/>
        <w:ind w:firstLine="480" w:firstLineChars="200"/>
        <w:contextualSpacing/>
        <w:rPr>
          <w:rFonts w:hint="eastAsia" w:hAnsi="宋体"/>
          <w:bCs/>
          <w:color w:val="auto"/>
          <w:sz w:val="24"/>
          <w:szCs w:val="24"/>
          <w:highlight w:val="none"/>
        </w:rPr>
      </w:pPr>
      <w:r>
        <w:rPr>
          <w:rFonts w:hAnsi="宋体"/>
          <w:bCs/>
          <w:color w:val="auto"/>
          <w:sz w:val="24"/>
          <w:szCs w:val="24"/>
          <w:highlight w:val="none"/>
        </w:rPr>
        <w:t>地址</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Ansi="宋体"/>
          <w:bCs/>
          <w:color w:val="auto"/>
          <w:sz w:val="24"/>
          <w:szCs w:val="24"/>
          <w:highlight w:val="none"/>
        </w:rPr>
        <w:t>邮编</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14:paraId="3519B238">
      <w:pPr>
        <w:pStyle w:val="15"/>
        <w:spacing w:line="360" w:lineRule="auto"/>
        <w:ind w:firstLine="482" w:firstLineChars="200"/>
        <w:contextualSpacing/>
        <w:rPr>
          <w:rFonts w:hint="eastAsia" w:hAnsi="宋体"/>
          <w:b/>
          <w:bCs/>
          <w:color w:val="auto"/>
          <w:sz w:val="24"/>
          <w:szCs w:val="24"/>
          <w:highlight w:val="none"/>
        </w:rPr>
      </w:pPr>
      <w:r>
        <w:rPr>
          <w:rFonts w:hint="eastAsia" w:hAnsi="宋体"/>
          <w:b/>
          <w:bCs/>
          <w:color w:val="auto"/>
          <w:sz w:val="24"/>
          <w:szCs w:val="24"/>
          <w:highlight w:val="none"/>
        </w:rPr>
        <w:t>二、质疑项目基本情况：</w:t>
      </w:r>
    </w:p>
    <w:p w14:paraId="25EBECD4">
      <w:pPr>
        <w:pStyle w:val="15"/>
        <w:spacing w:line="360" w:lineRule="auto"/>
        <w:ind w:left="25" w:leftChars="12" w:firstLine="472" w:firstLineChars="197"/>
        <w:contextualSpacing/>
        <w:rPr>
          <w:rFonts w:hint="eastAsia" w:hAnsi="宋体"/>
          <w:color w:val="auto"/>
          <w:sz w:val="24"/>
          <w:szCs w:val="24"/>
          <w:highlight w:val="none"/>
        </w:rPr>
      </w:pPr>
      <w:r>
        <w:rPr>
          <w:rFonts w:hint="eastAsia" w:hAnsi="宋体"/>
          <w:bCs/>
          <w:color w:val="auto"/>
          <w:sz w:val="24"/>
          <w:szCs w:val="24"/>
          <w:highlight w:val="none"/>
        </w:rPr>
        <w:t>质疑</w:t>
      </w:r>
      <w:r>
        <w:rPr>
          <w:rFonts w:hint="eastAsia" w:hAnsi="宋体"/>
          <w:color w:val="auto"/>
          <w:sz w:val="24"/>
          <w:szCs w:val="24"/>
          <w:highlight w:val="none"/>
        </w:rPr>
        <w:t>项目的名称：</w:t>
      </w:r>
      <w:r>
        <w:rPr>
          <w:rFonts w:hint="eastAsia" w:hAnsi="宋体"/>
          <w:bCs/>
          <w:color w:val="auto"/>
          <w:sz w:val="24"/>
          <w:szCs w:val="24"/>
          <w:highlight w:val="none"/>
          <w:u w:val="single"/>
        </w:rPr>
        <w:t xml:space="preserve">                                     </w:t>
      </w:r>
    </w:p>
    <w:p w14:paraId="491C9586">
      <w:pPr>
        <w:pStyle w:val="15"/>
        <w:spacing w:line="360" w:lineRule="auto"/>
        <w:ind w:left="25" w:leftChars="12" w:firstLine="472" w:firstLineChars="197"/>
        <w:contextualSpacing/>
        <w:rPr>
          <w:rFonts w:hint="eastAsia" w:hAnsi="宋体"/>
          <w:color w:val="auto"/>
          <w:sz w:val="24"/>
          <w:szCs w:val="24"/>
          <w:highlight w:val="none"/>
        </w:rPr>
      </w:pPr>
      <w:r>
        <w:rPr>
          <w:rFonts w:hint="eastAsia" w:hAnsi="宋体"/>
          <w:bCs/>
          <w:color w:val="auto"/>
          <w:sz w:val="24"/>
          <w:szCs w:val="24"/>
          <w:highlight w:val="none"/>
        </w:rPr>
        <w:t>质疑</w:t>
      </w:r>
      <w:r>
        <w:rPr>
          <w:rFonts w:hint="eastAsia" w:hAnsi="宋体"/>
          <w:color w:val="auto"/>
          <w:sz w:val="24"/>
          <w:szCs w:val="24"/>
          <w:highlight w:val="none"/>
        </w:rPr>
        <w:t>项目的编号：</w:t>
      </w:r>
      <w:r>
        <w:rPr>
          <w:rFonts w:hint="eastAsia" w:hAnsi="宋体"/>
          <w:bCs/>
          <w:color w:val="auto"/>
          <w:sz w:val="24"/>
          <w:szCs w:val="24"/>
          <w:highlight w:val="none"/>
          <w:u w:val="single"/>
        </w:rPr>
        <w:t xml:space="preserve">                                     </w:t>
      </w:r>
    </w:p>
    <w:p w14:paraId="795FF7A2">
      <w:pPr>
        <w:pStyle w:val="15"/>
        <w:spacing w:line="360" w:lineRule="auto"/>
        <w:ind w:left="25" w:leftChars="12" w:firstLine="472" w:firstLineChars="197"/>
        <w:contextualSpacing/>
        <w:rPr>
          <w:rFonts w:hint="eastAsia" w:hAnsi="宋体"/>
          <w:color w:val="auto"/>
          <w:sz w:val="24"/>
          <w:szCs w:val="24"/>
          <w:highlight w:val="none"/>
        </w:rPr>
      </w:pPr>
      <w:r>
        <w:rPr>
          <w:rFonts w:hint="eastAsia" w:hAnsi="宋体"/>
          <w:color w:val="auto"/>
          <w:sz w:val="24"/>
          <w:szCs w:val="24"/>
          <w:highlight w:val="none"/>
        </w:rPr>
        <w:t>采购人名称：</w:t>
      </w:r>
      <w:r>
        <w:rPr>
          <w:rFonts w:hint="eastAsia" w:hAnsi="宋体"/>
          <w:bCs/>
          <w:color w:val="auto"/>
          <w:sz w:val="24"/>
          <w:szCs w:val="24"/>
          <w:highlight w:val="none"/>
          <w:u w:val="single"/>
        </w:rPr>
        <w:t xml:space="preserve">                                         </w:t>
      </w:r>
    </w:p>
    <w:p w14:paraId="0CB05CC0">
      <w:pPr>
        <w:pStyle w:val="15"/>
        <w:spacing w:line="360" w:lineRule="auto"/>
        <w:ind w:left="25" w:leftChars="12" w:firstLine="472" w:firstLineChars="197"/>
        <w:contextualSpacing/>
        <w:rPr>
          <w:rFonts w:hint="eastAsia" w:hAnsi="宋体"/>
          <w:color w:val="auto"/>
          <w:sz w:val="24"/>
          <w:szCs w:val="24"/>
          <w:highlight w:val="none"/>
        </w:rPr>
      </w:pPr>
      <w:r>
        <w:rPr>
          <w:rFonts w:hint="eastAsia" w:hAnsi="宋体"/>
          <w:color w:val="auto"/>
          <w:sz w:val="24"/>
          <w:szCs w:val="24"/>
          <w:highlight w:val="none"/>
        </w:rPr>
        <w:t>质疑事项：</w:t>
      </w:r>
    </w:p>
    <w:p w14:paraId="7E2F0350">
      <w:pPr>
        <w:pStyle w:val="15"/>
        <w:spacing w:line="360" w:lineRule="auto"/>
        <w:ind w:left="25" w:leftChars="12" w:firstLine="352" w:firstLineChars="147"/>
        <w:contextualSpacing/>
        <w:rPr>
          <w:rFonts w:hint="eastAsia" w:hAnsi="宋体"/>
          <w:color w:val="auto"/>
          <w:sz w:val="24"/>
          <w:szCs w:val="24"/>
          <w:highlight w:val="none"/>
        </w:rPr>
      </w:pPr>
      <w:r>
        <w:rPr>
          <w:rFonts w:hint="eastAsia" w:hAnsi="宋体"/>
          <w:color w:val="auto"/>
          <w:sz w:val="24"/>
          <w:szCs w:val="24"/>
          <w:highlight w:val="none"/>
        </w:rPr>
        <w:t>□采购文件   采购文件获取日期：</w:t>
      </w:r>
      <w:r>
        <w:rPr>
          <w:rFonts w:hint="eastAsia" w:hAnsi="宋体"/>
          <w:bCs/>
          <w:color w:val="auto"/>
          <w:sz w:val="24"/>
          <w:szCs w:val="24"/>
          <w:highlight w:val="none"/>
          <w:u w:val="single"/>
        </w:rPr>
        <w:t xml:space="preserve">                                   </w:t>
      </w:r>
    </w:p>
    <w:p w14:paraId="20DE0709">
      <w:pPr>
        <w:pStyle w:val="15"/>
        <w:spacing w:line="360" w:lineRule="auto"/>
        <w:ind w:left="25" w:leftChars="12" w:firstLine="352" w:firstLineChars="147"/>
        <w:contextualSpacing/>
        <w:rPr>
          <w:rFonts w:hint="eastAsia" w:hAnsi="宋体"/>
          <w:color w:val="auto"/>
          <w:sz w:val="24"/>
          <w:szCs w:val="24"/>
          <w:highlight w:val="none"/>
        </w:rPr>
      </w:pPr>
      <w:r>
        <w:rPr>
          <w:rFonts w:hint="eastAsia" w:hAnsi="宋体"/>
          <w:color w:val="auto"/>
          <w:sz w:val="24"/>
          <w:szCs w:val="24"/>
          <w:highlight w:val="none"/>
        </w:rPr>
        <w:t xml:space="preserve">□采购过程   </w:t>
      </w:r>
    </w:p>
    <w:p w14:paraId="00F99D61">
      <w:pPr>
        <w:pStyle w:val="15"/>
        <w:spacing w:line="360" w:lineRule="auto"/>
        <w:ind w:left="25" w:leftChars="12" w:firstLine="352" w:firstLineChars="147"/>
        <w:contextualSpacing/>
        <w:rPr>
          <w:rFonts w:hint="eastAsia" w:hAnsi="宋体"/>
          <w:bCs/>
          <w:color w:val="auto"/>
          <w:sz w:val="24"/>
          <w:szCs w:val="24"/>
          <w:highlight w:val="none"/>
          <w:u w:val="single"/>
        </w:rPr>
      </w:pPr>
      <w:r>
        <w:rPr>
          <w:rFonts w:hint="eastAsia" w:hAnsi="宋体"/>
          <w:color w:val="auto"/>
          <w:sz w:val="24"/>
          <w:szCs w:val="24"/>
          <w:highlight w:val="none"/>
        </w:rPr>
        <w:t xml:space="preserve">□成交结果   </w:t>
      </w:r>
    </w:p>
    <w:p w14:paraId="02EA68F5">
      <w:pPr>
        <w:pStyle w:val="15"/>
        <w:spacing w:line="360" w:lineRule="auto"/>
        <w:ind w:left="25" w:leftChars="12" w:firstLine="472" w:firstLineChars="196"/>
        <w:contextualSpacing/>
        <w:rPr>
          <w:rFonts w:hint="eastAsia" w:hAnsi="宋体"/>
          <w:b/>
          <w:color w:val="auto"/>
          <w:sz w:val="24"/>
          <w:szCs w:val="24"/>
          <w:highlight w:val="none"/>
        </w:rPr>
      </w:pPr>
      <w:r>
        <w:rPr>
          <w:rFonts w:hint="eastAsia" w:hAnsi="宋体"/>
          <w:b/>
          <w:color w:val="auto"/>
          <w:sz w:val="24"/>
          <w:szCs w:val="24"/>
          <w:highlight w:val="none"/>
        </w:rPr>
        <w:t>三、质疑事项具体内容</w:t>
      </w:r>
    </w:p>
    <w:p w14:paraId="7CC050A6">
      <w:pPr>
        <w:pStyle w:val="15"/>
        <w:spacing w:line="360" w:lineRule="auto"/>
        <w:ind w:left="25" w:leftChars="12" w:firstLine="472" w:firstLineChars="197"/>
        <w:contextualSpacing/>
        <w:rPr>
          <w:rFonts w:hint="eastAsia" w:hAnsi="宋体"/>
          <w:color w:val="auto"/>
          <w:sz w:val="24"/>
          <w:szCs w:val="24"/>
          <w:highlight w:val="none"/>
        </w:rPr>
      </w:pPr>
      <w:r>
        <w:rPr>
          <w:rFonts w:hint="eastAsia" w:hAnsi="宋体"/>
          <w:color w:val="auto"/>
          <w:sz w:val="24"/>
          <w:szCs w:val="24"/>
          <w:highlight w:val="none"/>
        </w:rPr>
        <w:t>质疑事项1：</w:t>
      </w:r>
      <w:r>
        <w:rPr>
          <w:rFonts w:hint="eastAsia" w:hAnsi="宋体"/>
          <w:bCs/>
          <w:color w:val="auto"/>
          <w:sz w:val="24"/>
          <w:szCs w:val="24"/>
          <w:highlight w:val="none"/>
          <w:u w:val="single"/>
        </w:rPr>
        <w:t xml:space="preserve">                                                                    </w:t>
      </w:r>
    </w:p>
    <w:p w14:paraId="2078AFFE">
      <w:pPr>
        <w:pStyle w:val="15"/>
        <w:spacing w:line="360" w:lineRule="auto"/>
        <w:ind w:left="25" w:leftChars="12" w:firstLine="472" w:firstLineChars="197"/>
        <w:contextualSpacing/>
        <w:rPr>
          <w:rFonts w:hint="eastAsia" w:hAnsi="宋体"/>
          <w:color w:val="auto"/>
          <w:sz w:val="24"/>
          <w:szCs w:val="24"/>
          <w:highlight w:val="none"/>
        </w:rPr>
      </w:pPr>
      <w:r>
        <w:rPr>
          <w:rFonts w:hint="eastAsia" w:hAnsi="宋体"/>
          <w:color w:val="auto"/>
          <w:sz w:val="24"/>
          <w:szCs w:val="24"/>
          <w:highlight w:val="none"/>
        </w:rPr>
        <w:t>事实依据：</w:t>
      </w:r>
      <w:r>
        <w:rPr>
          <w:rFonts w:hint="eastAsia" w:hAnsi="宋体"/>
          <w:bCs/>
          <w:color w:val="auto"/>
          <w:sz w:val="24"/>
          <w:szCs w:val="24"/>
          <w:highlight w:val="none"/>
          <w:u w:val="single"/>
        </w:rPr>
        <w:t xml:space="preserve">                                                                      </w:t>
      </w:r>
    </w:p>
    <w:p w14:paraId="5F61A6B1">
      <w:pPr>
        <w:pStyle w:val="15"/>
        <w:spacing w:line="360" w:lineRule="auto"/>
        <w:ind w:left="25" w:leftChars="12" w:firstLine="472" w:firstLineChars="197"/>
        <w:contextualSpacing/>
        <w:rPr>
          <w:rFonts w:hint="eastAsia" w:hAnsi="宋体"/>
          <w:color w:val="auto"/>
          <w:sz w:val="24"/>
          <w:szCs w:val="24"/>
          <w:highlight w:val="none"/>
        </w:rPr>
      </w:pPr>
      <w:r>
        <w:rPr>
          <w:rFonts w:hint="eastAsia" w:hAnsi="宋体"/>
          <w:color w:val="auto"/>
          <w:sz w:val="24"/>
          <w:szCs w:val="24"/>
          <w:highlight w:val="none"/>
        </w:rPr>
        <w:t>法律依据：</w:t>
      </w:r>
      <w:r>
        <w:rPr>
          <w:rFonts w:hint="eastAsia" w:hAnsi="宋体"/>
          <w:color w:val="auto"/>
          <w:sz w:val="24"/>
          <w:szCs w:val="24"/>
          <w:highlight w:val="none"/>
          <w:u w:val="single"/>
        </w:rPr>
        <w:t xml:space="preserve">                                                        </w:t>
      </w:r>
      <w:r>
        <w:rPr>
          <w:rFonts w:hint="eastAsia" w:hAnsi="宋体"/>
          <w:bCs/>
          <w:color w:val="auto"/>
          <w:sz w:val="24"/>
          <w:szCs w:val="24"/>
          <w:highlight w:val="none"/>
          <w:u w:val="single"/>
        </w:rPr>
        <w:t xml:space="preserve">               </w:t>
      </w:r>
    </w:p>
    <w:p w14:paraId="34D190BE">
      <w:pPr>
        <w:pStyle w:val="15"/>
        <w:spacing w:line="360" w:lineRule="auto"/>
        <w:ind w:left="25" w:leftChars="12" w:firstLine="472" w:firstLineChars="197"/>
        <w:contextualSpacing/>
        <w:rPr>
          <w:rFonts w:hint="eastAsia" w:hAnsi="宋体"/>
          <w:color w:val="auto"/>
          <w:sz w:val="24"/>
          <w:szCs w:val="24"/>
          <w:highlight w:val="none"/>
        </w:rPr>
      </w:pPr>
      <w:r>
        <w:rPr>
          <w:rFonts w:hint="eastAsia" w:hAnsi="宋体"/>
          <w:color w:val="auto"/>
          <w:sz w:val="24"/>
          <w:szCs w:val="24"/>
          <w:highlight w:val="none"/>
        </w:rPr>
        <w:t>质疑事项2</w:t>
      </w:r>
    </w:p>
    <w:p w14:paraId="357CEF0F">
      <w:pPr>
        <w:pStyle w:val="15"/>
        <w:spacing w:line="360" w:lineRule="auto"/>
        <w:ind w:left="25" w:leftChars="12" w:firstLine="472" w:firstLineChars="197"/>
        <w:contextualSpacing/>
        <w:rPr>
          <w:rFonts w:hint="eastAsia" w:hAnsi="宋体"/>
          <w:color w:val="auto"/>
          <w:sz w:val="24"/>
          <w:szCs w:val="24"/>
          <w:highlight w:val="none"/>
        </w:rPr>
      </w:pPr>
      <w:r>
        <w:rPr>
          <w:rFonts w:hAnsi="宋体"/>
          <w:color w:val="auto"/>
          <w:sz w:val="24"/>
          <w:szCs w:val="24"/>
          <w:highlight w:val="none"/>
        </w:rPr>
        <w:t>……</w:t>
      </w:r>
    </w:p>
    <w:p w14:paraId="6755A5BF">
      <w:pPr>
        <w:pStyle w:val="15"/>
        <w:spacing w:line="360" w:lineRule="auto"/>
        <w:ind w:left="25" w:leftChars="12" w:firstLine="472" w:firstLineChars="197"/>
        <w:contextualSpacing/>
        <w:rPr>
          <w:rFonts w:hint="eastAsia" w:hAnsi="宋体"/>
          <w:color w:val="auto"/>
          <w:sz w:val="24"/>
          <w:szCs w:val="24"/>
          <w:highlight w:val="none"/>
        </w:rPr>
      </w:pPr>
      <w:r>
        <w:rPr>
          <w:rFonts w:hint="eastAsia" w:hAnsi="宋体"/>
          <w:color w:val="auto"/>
          <w:sz w:val="24"/>
          <w:szCs w:val="24"/>
          <w:highlight w:val="none"/>
        </w:rPr>
        <w:t>四、与质疑事项相关的质疑请求：</w:t>
      </w:r>
    </w:p>
    <w:p w14:paraId="55FCCF0F">
      <w:pPr>
        <w:pStyle w:val="15"/>
        <w:spacing w:line="360" w:lineRule="auto"/>
        <w:ind w:left="25" w:leftChars="12" w:firstLine="472" w:firstLineChars="197"/>
        <w:contextualSpacing/>
        <w:rPr>
          <w:rFonts w:hint="eastAsia" w:hAnsi="宋体"/>
          <w:color w:val="auto"/>
          <w:sz w:val="24"/>
          <w:szCs w:val="24"/>
          <w:highlight w:val="none"/>
        </w:rPr>
      </w:pPr>
      <w:r>
        <w:rPr>
          <w:rFonts w:hint="eastAsia" w:hAnsi="宋体"/>
          <w:color w:val="auto"/>
          <w:sz w:val="24"/>
          <w:szCs w:val="24"/>
          <w:highlight w:val="none"/>
        </w:rPr>
        <w:t>请求：</w:t>
      </w:r>
      <w:r>
        <w:rPr>
          <w:rFonts w:hint="eastAsia" w:hAnsi="宋体"/>
          <w:bCs/>
          <w:color w:val="auto"/>
          <w:sz w:val="24"/>
          <w:szCs w:val="24"/>
          <w:highlight w:val="none"/>
          <w:u w:val="single"/>
        </w:rPr>
        <w:t xml:space="preserve">                                                                </w:t>
      </w:r>
    </w:p>
    <w:p w14:paraId="0AE15C60">
      <w:pPr>
        <w:pStyle w:val="15"/>
        <w:spacing w:line="360" w:lineRule="auto"/>
        <w:ind w:left="25" w:leftChars="12" w:firstLine="352" w:firstLineChars="147"/>
        <w:contextualSpacing/>
        <w:rPr>
          <w:rFonts w:hint="eastAsia" w:hAnsi="宋体"/>
          <w:color w:val="auto"/>
          <w:sz w:val="24"/>
          <w:szCs w:val="24"/>
          <w:highlight w:val="none"/>
        </w:rPr>
      </w:pPr>
    </w:p>
    <w:p w14:paraId="43C65F1C">
      <w:pPr>
        <w:pStyle w:val="15"/>
        <w:spacing w:line="360" w:lineRule="auto"/>
        <w:ind w:left="25" w:leftChars="12" w:firstLine="472" w:firstLineChars="197"/>
        <w:contextualSpacing/>
        <w:rPr>
          <w:rFonts w:hint="eastAsia" w:hAnsi="宋体"/>
          <w:color w:val="auto"/>
          <w:sz w:val="24"/>
          <w:szCs w:val="24"/>
          <w:highlight w:val="none"/>
        </w:rPr>
      </w:pPr>
      <w:r>
        <w:rPr>
          <w:rFonts w:hint="eastAsia" w:hAnsi="宋体"/>
          <w:color w:val="auto"/>
          <w:sz w:val="24"/>
          <w:szCs w:val="24"/>
          <w:highlight w:val="none"/>
        </w:rPr>
        <w:t>签字（签章）：                                       公章：</w:t>
      </w:r>
    </w:p>
    <w:p w14:paraId="57EA2E28">
      <w:pPr>
        <w:pStyle w:val="15"/>
        <w:spacing w:line="360" w:lineRule="auto"/>
        <w:ind w:left="25" w:leftChars="12" w:firstLine="352" w:firstLineChars="147"/>
        <w:contextualSpacing/>
        <w:rPr>
          <w:rFonts w:hint="eastAsia" w:hAnsi="宋体"/>
          <w:color w:val="auto"/>
          <w:sz w:val="24"/>
          <w:szCs w:val="24"/>
          <w:highlight w:val="none"/>
        </w:rPr>
      </w:pPr>
    </w:p>
    <w:p w14:paraId="0CD6D7EE">
      <w:pPr>
        <w:pStyle w:val="15"/>
        <w:spacing w:line="360" w:lineRule="auto"/>
        <w:ind w:left="25" w:leftChars="12" w:firstLine="472" w:firstLineChars="197"/>
        <w:contextualSpacing/>
        <w:rPr>
          <w:rFonts w:hint="eastAsia" w:hAnsi="宋体"/>
          <w:color w:val="auto"/>
          <w:sz w:val="24"/>
          <w:szCs w:val="24"/>
          <w:highlight w:val="none"/>
        </w:rPr>
      </w:pPr>
      <w:r>
        <w:rPr>
          <w:rFonts w:hint="eastAsia" w:hAnsi="宋体"/>
          <w:color w:val="auto"/>
          <w:sz w:val="24"/>
          <w:szCs w:val="24"/>
          <w:highlight w:val="none"/>
        </w:rPr>
        <w:t>日期：</w:t>
      </w:r>
    </w:p>
    <w:p w14:paraId="632C6FE4">
      <w:pPr>
        <w:pStyle w:val="15"/>
        <w:spacing w:line="360" w:lineRule="auto"/>
        <w:contextualSpacing/>
        <w:rPr>
          <w:rFonts w:hint="eastAsia" w:hAnsi="宋体"/>
          <w:b/>
          <w:color w:val="auto"/>
          <w:sz w:val="24"/>
          <w:szCs w:val="24"/>
          <w:highlight w:val="none"/>
        </w:rPr>
      </w:pPr>
    </w:p>
    <w:p w14:paraId="0B572D1C">
      <w:pPr>
        <w:pStyle w:val="15"/>
        <w:spacing w:line="360" w:lineRule="auto"/>
        <w:contextualSpacing/>
        <w:rPr>
          <w:rFonts w:hint="eastAsia" w:hAnsi="宋体"/>
          <w:b/>
          <w:color w:val="auto"/>
          <w:sz w:val="24"/>
          <w:szCs w:val="24"/>
          <w:highlight w:val="none"/>
        </w:rPr>
      </w:pPr>
      <w:r>
        <w:rPr>
          <w:rFonts w:hint="eastAsia" w:hAnsi="宋体"/>
          <w:b/>
          <w:color w:val="auto"/>
          <w:sz w:val="24"/>
          <w:szCs w:val="24"/>
          <w:highlight w:val="none"/>
        </w:rPr>
        <w:t>说明：</w:t>
      </w:r>
    </w:p>
    <w:p w14:paraId="390F8518">
      <w:pPr>
        <w:pStyle w:val="15"/>
        <w:spacing w:line="360" w:lineRule="auto"/>
        <w:ind w:left="25" w:leftChars="12" w:firstLine="354" w:firstLineChars="147"/>
        <w:contextualSpacing/>
        <w:rPr>
          <w:rFonts w:hint="eastAsia" w:hAnsi="宋体"/>
          <w:b/>
          <w:bCs/>
          <w:color w:val="auto"/>
          <w:sz w:val="24"/>
          <w:szCs w:val="24"/>
          <w:highlight w:val="none"/>
        </w:rPr>
      </w:pPr>
      <w:r>
        <w:rPr>
          <w:rFonts w:hint="eastAsia" w:hAnsi="宋体"/>
          <w:b/>
          <w:color w:val="auto"/>
          <w:sz w:val="24"/>
          <w:szCs w:val="24"/>
          <w:highlight w:val="none"/>
        </w:rPr>
        <w:t>1.供应商提出质疑时，应提交质疑函和必要的证明材料</w:t>
      </w:r>
      <w:r>
        <w:rPr>
          <w:rFonts w:hint="eastAsia" w:hAnsi="宋体"/>
          <w:b/>
          <w:bCs/>
          <w:color w:val="auto"/>
          <w:sz w:val="24"/>
          <w:szCs w:val="24"/>
          <w:highlight w:val="none"/>
        </w:rPr>
        <w:t>。</w:t>
      </w:r>
    </w:p>
    <w:p w14:paraId="78454A2B">
      <w:pPr>
        <w:pStyle w:val="15"/>
        <w:spacing w:line="360" w:lineRule="auto"/>
        <w:ind w:left="25" w:leftChars="12" w:firstLine="354" w:firstLineChars="147"/>
        <w:contextualSpacing/>
        <w:rPr>
          <w:rFonts w:hint="eastAsia" w:hAnsi="宋体"/>
          <w:b/>
          <w:color w:val="auto"/>
          <w:sz w:val="24"/>
          <w:szCs w:val="24"/>
          <w:highlight w:val="none"/>
        </w:rPr>
      </w:pPr>
      <w:r>
        <w:rPr>
          <w:rFonts w:hint="eastAsia" w:hAnsi="宋体"/>
          <w:b/>
          <w:color w:val="auto"/>
          <w:sz w:val="24"/>
          <w:szCs w:val="24"/>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16A4090A">
      <w:pPr>
        <w:pStyle w:val="15"/>
        <w:spacing w:line="360" w:lineRule="auto"/>
        <w:ind w:left="25" w:leftChars="12" w:firstLine="354" w:firstLineChars="147"/>
        <w:contextualSpacing/>
        <w:rPr>
          <w:rFonts w:hint="eastAsia" w:hAnsi="宋体"/>
          <w:b/>
          <w:color w:val="auto"/>
          <w:sz w:val="24"/>
          <w:szCs w:val="24"/>
          <w:highlight w:val="none"/>
        </w:rPr>
      </w:pPr>
      <w:r>
        <w:rPr>
          <w:rFonts w:hint="eastAsia" w:hAnsi="宋体"/>
          <w:b/>
          <w:color w:val="auto"/>
          <w:sz w:val="24"/>
          <w:szCs w:val="24"/>
          <w:highlight w:val="none"/>
        </w:rPr>
        <w:t>3.质疑函的质疑事项应具体、明确，并有必要的事实依据和法律依据。</w:t>
      </w:r>
    </w:p>
    <w:p w14:paraId="330A809B">
      <w:pPr>
        <w:pStyle w:val="15"/>
        <w:spacing w:line="360" w:lineRule="auto"/>
        <w:ind w:left="25" w:leftChars="12" w:firstLine="354" w:firstLineChars="147"/>
        <w:contextualSpacing/>
        <w:rPr>
          <w:rFonts w:hint="eastAsia" w:hAnsi="宋体"/>
          <w:b/>
          <w:color w:val="auto"/>
          <w:sz w:val="24"/>
          <w:szCs w:val="24"/>
          <w:highlight w:val="none"/>
        </w:rPr>
      </w:pPr>
      <w:r>
        <w:rPr>
          <w:rFonts w:hint="eastAsia" w:hAnsi="宋体"/>
          <w:b/>
          <w:color w:val="auto"/>
          <w:sz w:val="24"/>
          <w:szCs w:val="24"/>
          <w:highlight w:val="none"/>
        </w:rPr>
        <w:t>4.质疑函的质疑请求应与质疑事项相关。</w:t>
      </w:r>
    </w:p>
    <w:p w14:paraId="5393C2DA">
      <w:pPr>
        <w:pStyle w:val="15"/>
        <w:spacing w:line="360" w:lineRule="auto"/>
        <w:ind w:left="25" w:leftChars="12" w:firstLine="354" w:firstLineChars="147"/>
        <w:contextualSpacing/>
        <w:rPr>
          <w:rFonts w:hint="eastAsia" w:hAnsi="宋体"/>
          <w:b/>
          <w:color w:val="auto"/>
          <w:highlight w:val="none"/>
        </w:rPr>
      </w:pPr>
      <w:r>
        <w:rPr>
          <w:rFonts w:hint="eastAsia" w:hAnsi="宋体"/>
          <w:b/>
          <w:color w:val="auto"/>
          <w:sz w:val="24"/>
          <w:szCs w:val="24"/>
          <w:highlight w:val="none"/>
        </w:rPr>
        <w:t>5.质疑供应商为法人或者其他组织的，质疑函应由法定代表人、主要负责人，或者其授权代表签字或者盖章，并加盖公章。</w:t>
      </w:r>
    </w:p>
    <w:p w14:paraId="1146ABD7">
      <w:pPr>
        <w:pStyle w:val="15"/>
        <w:snapToGrid w:val="0"/>
        <w:rPr>
          <w:rFonts w:hint="eastAsia"/>
          <w:b/>
          <w:color w:val="auto"/>
          <w:sz w:val="24"/>
          <w:szCs w:val="24"/>
          <w:highlight w:val="none"/>
        </w:rPr>
      </w:pPr>
    </w:p>
    <w:p w14:paraId="4CF2905F">
      <w:pPr>
        <w:rPr>
          <w:rFonts w:hint="eastAsia"/>
          <w:color w:val="auto"/>
          <w:highlight w:val="none"/>
        </w:rPr>
      </w:pPr>
      <w:r>
        <w:rPr>
          <w:color w:val="auto"/>
          <w:highlight w:val="none"/>
        </w:rPr>
        <w:br w:type="page"/>
      </w:r>
    </w:p>
    <w:p w14:paraId="18CF1925">
      <w:pPr>
        <w:spacing w:line="360" w:lineRule="auto"/>
        <w:jc w:val="center"/>
        <w:rPr>
          <w:rFonts w:hint="eastAsia" w:ascii="方正小标宋简体" w:hAnsi="方正小标宋简体" w:eastAsia="方正小标宋简体" w:cs="方正小标宋简体"/>
          <w:color w:val="auto"/>
          <w:sz w:val="44"/>
          <w:szCs w:val="44"/>
          <w:highlight w:val="none"/>
        </w:rPr>
      </w:pPr>
      <w:r>
        <w:rPr>
          <w:rFonts w:hint="eastAsia" w:ascii="方正小标宋简体" w:hAnsi="方正小标宋简体" w:eastAsia="方正小标宋简体" w:cs="方正小标宋简体"/>
          <w:color w:val="auto"/>
          <w:sz w:val="44"/>
          <w:szCs w:val="44"/>
          <w:highlight w:val="none"/>
        </w:rPr>
        <w:t>投诉书（格式）</w:t>
      </w:r>
    </w:p>
    <w:p w14:paraId="36A47FBB">
      <w:pPr>
        <w:pStyle w:val="15"/>
        <w:snapToGrid w:val="0"/>
        <w:spacing w:line="360" w:lineRule="auto"/>
        <w:ind w:firstLine="482" w:firstLineChars="200"/>
        <w:rPr>
          <w:rFonts w:hAnsi="宋体"/>
          <w:b/>
          <w:bCs/>
          <w:color w:val="auto"/>
          <w:sz w:val="24"/>
          <w:szCs w:val="24"/>
          <w:highlight w:val="none"/>
        </w:rPr>
      </w:pPr>
      <w:r>
        <w:rPr>
          <w:rFonts w:hint="eastAsia" w:hAnsi="宋体"/>
          <w:b/>
          <w:bCs/>
          <w:color w:val="auto"/>
          <w:sz w:val="24"/>
          <w:szCs w:val="24"/>
          <w:highlight w:val="none"/>
        </w:rPr>
        <w:t>一、投诉相关主体基本情况：</w:t>
      </w:r>
    </w:p>
    <w:p w14:paraId="1CC4A65C">
      <w:pPr>
        <w:pStyle w:val="15"/>
        <w:snapToGrid w:val="0"/>
        <w:spacing w:line="360" w:lineRule="auto"/>
        <w:ind w:firstLine="480" w:firstLineChars="200"/>
        <w:rPr>
          <w:rFonts w:hint="eastAsia" w:hAnsi="宋体"/>
          <w:bCs/>
          <w:color w:val="auto"/>
          <w:sz w:val="24"/>
          <w:szCs w:val="24"/>
          <w:highlight w:val="none"/>
          <w:u w:val="single"/>
        </w:rPr>
      </w:pPr>
      <w:r>
        <w:rPr>
          <w:rFonts w:hint="eastAsia" w:hAnsi="宋体"/>
          <w:bCs/>
          <w:color w:val="auto"/>
          <w:sz w:val="24"/>
          <w:szCs w:val="24"/>
          <w:highlight w:val="none"/>
        </w:rPr>
        <w:t>供应商：</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14:paraId="7A886B4B">
      <w:pPr>
        <w:pStyle w:val="15"/>
        <w:snapToGrid w:val="0"/>
        <w:spacing w:line="360" w:lineRule="auto"/>
        <w:ind w:firstLine="480" w:firstLineChars="200"/>
        <w:rPr>
          <w:rFonts w:hint="eastAsia" w:hAnsi="宋体"/>
          <w:bCs/>
          <w:color w:val="auto"/>
          <w:sz w:val="24"/>
          <w:szCs w:val="24"/>
          <w:highlight w:val="none"/>
        </w:rPr>
      </w:pPr>
      <w:r>
        <w:rPr>
          <w:rFonts w:hAnsi="宋体"/>
          <w:bCs/>
          <w:color w:val="auto"/>
          <w:sz w:val="24"/>
          <w:szCs w:val="24"/>
          <w:highlight w:val="none"/>
        </w:rPr>
        <w:t>地址</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Ansi="宋体"/>
          <w:bCs/>
          <w:color w:val="auto"/>
          <w:sz w:val="24"/>
          <w:szCs w:val="24"/>
          <w:highlight w:val="none"/>
        </w:rPr>
        <w:t>邮编</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14:paraId="4C38625E">
      <w:pPr>
        <w:pStyle w:val="15"/>
        <w:snapToGrid w:val="0"/>
        <w:spacing w:line="360" w:lineRule="auto"/>
        <w:ind w:firstLine="480" w:firstLineChars="200"/>
        <w:rPr>
          <w:rFonts w:hint="eastAsia" w:hAnsi="宋体"/>
          <w:bCs/>
          <w:color w:val="auto"/>
          <w:sz w:val="24"/>
          <w:szCs w:val="24"/>
          <w:highlight w:val="none"/>
          <w:u w:val="single"/>
        </w:rPr>
      </w:pPr>
      <w:r>
        <w:rPr>
          <w:rFonts w:hint="eastAsia" w:hAnsi="宋体"/>
          <w:bCs/>
          <w:color w:val="auto"/>
          <w:sz w:val="24"/>
          <w:szCs w:val="24"/>
          <w:highlight w:val="none"/>
        </w:rPr>
        <w:t>法定代表人/主要负责人：</w:t>
      </w:r>
      <w:r>
        <w:rPr>
          <w:rFonts w:hint="eastAsia" w:hAnsi="宋体"/>
          <w:bCs/>
          <w:color w:val="auto"/>
          <w:sz w:val="24"/>
          <w:szCs w:val="24"/>
          <w:highlight w:val="none"/>
          <w:u w:val="single"/>
        </w:rPr>
        <w:t xml:space="preserve">                                                         </w:t>
      </w:r>
    </w:p>
    <w:p w14:paraId="172D7237">
      <w:pPr>
        <w:pStyle w:val="15"/>
        <w:snapToGrid w:val="0"/>
        <w:spacing w:line="360" w:lineRule="auto"/>
        <w:ind w:firstLine="480" w:firstLineChars="200"/>
        <w:rPr>
          <w:rFonts w:hint="eastAsia" w:hAnsi="宋体"/>
          <w:bCs/>
          <w:color w:val="auto"/>
          <w:sz w:val="24"/>
          <w:szCs w:val="24"/>
          <w:highlight w:val="none"/>
        </w:rPr>
      </w:pPr>
      <w:r>
        <w:rPr>
          <w:rFonts w:hAnsi="宋体"/>
          <w:bCs/>
          <w:color w:val="auto"/>
          <w:sz w:val="24"/>
          <w:szCs w:val="24"/>
          <w:highlight w:val="none"/>
        </w:rPr>
        <w:t>联系电话</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p>
    <w:p w14:paraId="6FB0D6FB">
      <w:pPr>
        <w:pStyle w:val="15"/>
        <w:snapToGrid w:val="0"/>
        <w:spacing w:line="360" w:lineRule="auto"/>
        <w:ind w:firstLine="480" w:firstLineChars="200"/>
        <w:rPr>
          <w:rFonts w:hint="eastAsia" w:hAnsi="宋体"/>
          <w:bCs/>
          <w:color w:val="auto"/>
          <w:sz w:val="24"/>
          <w:szCs w:val="24"/>
          <w:highlight w:val="none"/>
          <w:u w:val="single"/>
        </w:rPr>
      </w:pPr>
      <w:r>
        <w:rPr>
          <w:rFonts w:hint="eastAsia" w:hAnsi="宋体"/>
          <w:bCs/>
          <w:color w:val="auto"/>
          <w:sz w:val="24"/>
          <w:szCs w:val="24"/>
          <w:highlight w:val="none"/>
        </w:rPr>
        <w:t>授权代表：</w:t>
      </w:r>
      <w:r>
        <w:rPr>
          <w:rFonts w:hint="eastAsia" w:hAnsi="宋体"/>
          <w:bCs/>
          <w:color w:val="auto"/>
          <w:sz w:val="24"/>
          <w:szCs w:val="24"/>
          <w:highlight w:val="none"/>
          <w:u w:val="single"/>
        </w:rPr>
        <w:t xml:space="preserve">                                         </w:t>
      </w:r>
      <w:r>
        <w:rPr>
          <w:rFonts w:hAnsi="宋体"/>
          <w:bCs/>
          <w:color w:val="auto"/>
          <w:sz w:val="24"/>
          <w:szCs w:val="24"/>
          <w:highlight w:val="none"/>
        </w:rPr>
        <w:t>联系</w:t>
      </w:r>
      <w:r>
        <w:rPr>
          <w:rFonts w:hint="eastAsia" w:hAnsi="宋体"/>
          <w:bCs/>
          <w:color w:val="auto"/>
          <w:sz w:val="24"/>
          <w:szCs w:val="24"/>
          <w:highlight w:val="none"/>
        </w:rPr>
        <w:t>电话：</w:t>
      </w:r>
      <w:r>
        <w:rPr>
          <w:rFonts w:hint="eastAsia" w:hAnsi="宋体"/>
          <w:bCs/>
          <w:color w:val="auto"/>
          <w:sz w:val="24"/>
          <w:szCs w:val="24"/>
          <w:highlight w:val="none"/>
          <w:u w:val="single"/>
        </w:rPr>
        <w:t xml:space="preserve">                   </w:t>
      </w:r>
    </w:p>
    <w:p w14:paraId="265A5565">
      <w:pPr>
        <w:pStyle w:val="15"/>
        <w:snapToGrid w:val="0"/>
        <w:spacing w:line="360" w:lineRule="auto"/>
        <w:ind w:firstLine="480" w:firstLineChars="200"/>
        <w:rPr>
          <w:rFonts w:hint="eastAsia" w:hAnsi="宋体"/>
          <w:bCs/>
          <w:color w:val="auto"/>
          <w:sz w:val="24"/>
          <w:szCs w:val="24"/>
          <w:highlight w:val="none"/>
          <w:u w:val="single"/>
        </w:rPr>
      </w:pPr>
      <w:r>
        <w:rPr>
          <w:rFonts w:hAnsi="宋体"/>
          <w:bCs/>
          <w:color w:val="auto"/>
          <w:sz w:val="24"/>
          <w:szCs w:val="24"/>
          <w:highlight w:val="none"/>
        </w:rPr>
        <w:t>地址</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p>
    <w:p w14:paraId="470441CD">
      <w:pPr>
        <w:pStyle w:val="15"/>
        <w:snapToGrid w:val="0"/>
        <w:spacing w:line="360" w:lineRule="auto"/>
        <w:ind w:firstLine="480" w:firstLineChars="200"/>
        <w:rPr>
          <w:rFonts w:hint="eastAsia" w:hAnsi="宋体"/>
          <w:bCs/>
          <w:color w:val="auto"/>
          <w:sz w:val="24"/>
          <w:szCs w:val="24"/>
          <w:highlight w:val="none"/>
        </w:rPr>
      </w:pPr>
      <w:r>
        <w:rPr>
          <w:rFonts w:hAnsi="宋体"/>
          <w:bCs/>
          <w:color w:val="auto"/>
          <w:sz w:val="24"/>
          <w:szCs w:val="24"/>
          <w:highlight w:val="none"/>
        </w:rPr>
        <w:t>邮编</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14:paraId="6106438A">
      <w:pPr>
        <w:pStyle w:val="15"/>
        <w:snapToGrid w:val="0"/>
        <w:spacing w:line="360" w:lineRule="auto"/>
        <w:ind w:firstLine="480" w:firstLineChars="200"/>
        <w:rPr>
          <w:rFonts w:hint="eastAsia" w:hAnsi="宋体"/>
          <w:bCs/>
          <w:color w:val="auto"/>
          <w:sz w:val="24"/>
          <w:szCs w:val="24"/>
          <w:highlight w:val="none"/>
        </w:rPr>
      </w:pPr>
      <w:r>
        <w:rPr>
          <w:rFonts w:hint="eastAsia" w:hAnsi="宋体"/>
          <w:bCs/>
          <w:color w:val="auto"/>
          <w:sz w:val="24"/>
          <w:szCs w:val="24"/>
          <w:highlight w:val="none"/>
        </w:rPr>
        <w:t>被投诉人1：</w:t>
      </w:r>
    </w:p>
    <w:p w14:paraId="44D6A64E">
      <w:pPr>
        <w:pStyle w:val="15"/>
        <w:snapToGrid w:val="0"/>
        <w:spacing w:line="360" w:lineRule="auto"/>
        <w:ind w:firstLine="480" w:firstLineChars="200"/>
        <w:rPr>
          <w:rFonts w:hint="eastAsia" w:hAnsi="宋体"/>
          <w:bCs/>
          <w:color w:val="auto"/>
          <w:sz w:val="24"/>
          <w:szCs w:val="24"/>
          <w:highlight w:val="none"/>
          <w:u w:val="single"/>
        </w:rPr>
      </w:pPr>
      <w:r>
        <w:rPr>
          <w:rFonts w:hint="eastAsia" w:hAnsi="宋体"/>
          <w:bCs/>
          <w:color w:val="auto"/>
          <w:sz w:val="24"/>
          <w:szCs w:val="24"/>
          <w:highlight w:val="none"/>
        </w:rPr>
        <w:t>地址：</w:t>
      </w:r>
      <w:r>
        <w:rPr>
          <w:rFonts w:hint="eastAsia" w:hAnsi="宋体"/>
          <w:bCs/>
          <w:color w:val="auto"/>
          <w:sz w:val="24"/>
          <w:szCs w:val="24"/>
          <w:highlight w:val="none"/>
          <w:u w:val="single"/>
        </w:rPr>
        <w:t xml:space="preserve">                                                            </w:t>
      </w:r>
    </w:p>
    <w:p w14:paraId="1C110377">
      <w:pPr>
        <w:pStyle w:val="15"/>
        <w:snapToGrid w:val="0"/>
        <w:spacing w:line="360" w:lineRule="auto"/>
        <w:ind w:firstLine="480" w:firstLineChars="200"/>
        <w:rPr>
          <w:rFonts w:hint="eastAsia" w:hAnsi="宋体"/>
          <w:bCs/>
          <w:color w:val="auto"/>
          <w:sz w:val="24"/>
          <w:szCs w:val="24"/>
          <w:highlight w:val="none"/>
        </w:rPr>
      </w:pPr>
      <w:r>
        <w:rPr>
          <w:rFonts w:hAnsi="宋体"/>
          <w:bCs/>
          <w:color w:val="auto"/>
          <w:sz w:val="24"/>
          <w:szCs w:val="24"/>
          <w:highlight w:val="none"/>
        </w:rPr>
        <w:t>邮编</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14:paraId="6A2D43D2">
      <w:pPr>
        <w:pStyle w:val="15"/>
        <w:snapToGrid w:val="0"/>
        <w:spacing w:line="360" w:lineRule="auto"/>
        <w:ind w:firstLine="480" w:firstLineChars="200"/>
        <w:rPr>
          <w:rFonts w:hint="eastAsia" w:hAnsi="宋体"/>
          <w:bCs/>
          <w:color w:val="auto"/>
          <w:sz w:val="24"/>
          <w:szCs w:val="24"/>
          <w:highlight w:val="none"/>
          <w:u w:val="single"/>
        </w:rPr>
      </w:pPr>
      <w:r>
        <w:rPr>
          <w:rFonts w:hint="eastAsia" w:hAnsi="宋体"/>
          <w:bCs/>
          <w:color w:val="auto"/>
          <w:sz w:val="24"/>
          <w:szCs w:val="24"/>
          <w:highlight w:val="none"/>
        </w:rPr>
        <w:t>联系人：</w:t>
      </w:r>
      <w:r>
        <w:rPr>
          <w:rFonts w:hint="eastAsia" w:hAnsi="宋体"/>
          <w:bCs/>
          <w:color w:val="auto"/>
          <w:sz w:val="24"/>
          <w:szCs w:val="24"/>
          <w:highlight w:val="none"/>
          <w:u w:val="single"/>
        </w:rPr>
        <w:t xml:space="preserve">                                                </w:t>
      </w:r>
      <w:r>
        <w:rPr>
          <w:rFonts w:hAnsi="宋体"/>
          <w:bCs/>
          <w:color w:val="auto"/>
          <w:sz w:val="24"/>
          <w:szCs w:val="24"/>
          <w:highlight w:val="none"/>
        </w:rPr>
        <w:t>联系</w:t>
      </w:r>
      <w:r>
        <w:rPr>
          <w:rFonts w:hint="eastAsia" w:hAnsi="宋体"/>
          <w:bCs/>
          <w:color w:val="auto"/>
          <w:sz w:val="24"/>
          <w:szCs w:val="24"/>
          <w:highlight w:val="none"/>
        </w:rPr>
        <w:t>电话：</w:t>
      </w:r>
      <w:r>
        <w:rPr>
          <w:rFonts w:hint="eastAsia" w:hAnsi="宋体"/>
          <w:bCs/>
          <w:color w:val="auto"/>
          <w:sz w:val="24"/>
          <w:szCs w:val="24"/>
          <w:highlight w:val="none"/>
          <w:u w:val="single"/>
        </w:rPr>
        <w:t xml:space="preserve">                </w:t>
      </w:r>
    </w:p>
    <w:p w14:paraId="06CCDAED">
      <w:pPr>
        <w:pStyle w:val="15"/>
        <w:snapToGrid w:val="0"/>
        <w:spacing w:line="360" w:lineRule="auto"/>
        <w:ind w:firstLine="480" w:firstLineChars="200"/>
        <w:rPr>
          <w:rFonts w:hint="eastAsia" w:hAnsi="宋体"/>
          <w:bCs/>
          <w:color w:val="auto"/>
          <w:sz w:val="24"/>
          <w:szCs w:val="24"/>
          <w:highlight w:val="none"/>
        </w:rPr>
      </w:pPr>
      <w:r>
        <w:rPr>
          <w:rFonts w:hint="eastAsia" w:hAnsi="宋体"/>
          <w:bCs/>
          <w:color w:val="auto"/>
          <w:sz w:val="24"/>
          <w:szCs w:val="24"/>
          <w:highlight w:val="none"/>
        </w:rPr>
        <w:t>被投诉人2：</w:t>
      </w:r>
    </w:p>
    <w:p w14:paraId="1EDBBBC2">
      <w:pPr>
        <w:pStyle w:val="15"/>
        <w:snapToGrid w:val="0"/>
        <w:spacing w:line="360" w:lineRule="auto"/>
        <w:ind w:firstLine="480" w:firstLineChars="200"/>
        <w:rPr>
          <w:rFonts w:hint="eastAsia" w:hAnsi="宋体"/>
          <w:bCs/>
          <w:color w:val="auto"/>
          <w:sz w:val="24"/>
          <w:szCs w:val="24"/>
          <w:highlight w:val="none"/>
        </w:rPr>
      </w:pPr>
      <w:r>
        <w:rPr>
          <w:rFonts w:hAnsi="宋体"/>
          <w:bCs/>
          <w:color w:val="auto"/>
          <w:sz w:val="24"/>
          <w:szCs w:val="24"/>
          <w:highlight w:val="none"/>
        </w:rPr>
        <w:t>……</w:t>
      </w:r>
    </w:p>
    <w:p w14:paraId="5D563C09">
      <w:pPr>
        <w:pStyle w:val="15"/>
        <w:snapToGrid w:val="0"/>
        <w:spacing w:line="360" w:lineRule="auto"/>
        <w:ind w:firstLine="480" w:firstLineChars="200"/>
        <w:rPr>
          <w:rFonts w:hint="eastAsia" w:hAnsi="宋体"/>
          <w:bCs/>
          <w:color w:val="auto"/>
          <w:sz w:val="24"/>
          <w:szCs w:val="24"/>
          <w:highlight w:val="none"/>
          <w:u w:val="single"/>
        </w:rPr>
      </w:pPr>
      <w:r>
        <w:rPr>
          <w:rFonts w:hint="eastAsia" w:hAnsi="宋体"/>
          <w:bCs/>
          <w:color w:val="auto"/>
          <w:sz w:val="24"/>
          <w:szCs w:val="24"/>
          <w:highlight w:val="none"/>
        </w:rPr>
        <w:t>相关供应商：</w:t>
      </w:r>
      <w:r>
        <w:rPr>
          <w:rFonts w:hint="eastAsia" w:hAnsi="宋体"/>
          <w:bCs/>
          <w:color w:val="auto"/>
          <w:sz w:val="24"/>
          <w:szCs w:val="24"/>
          <w:highlight w:val="none"/>
          <w:u w:val="single"/>
        </w:rPr>
        <w:t xml:space="preserve">                                                                       </w:t>
      </w:r>
    </w:p>
    <w:p w14:paraId="39625F1A">
      <w:pPr>
        <w:pStyle w:val="15"/>
        <w:snapToGrid w:val="0"/>
        <w:spacing w:line="360" w:lineRule="auto"/>
        <w:ind w:firstLine="480" w:firstLineChars="200"/>
        <w:rPr>
          <w:rFonts w:hint="eastAsia" w:hAnsi="宋体"/>
          <w:bCs/>
          <w:color w:val="auto"/>
          <w:sz w:val="24"/>
          <w:szCs w:val="24"/>
          <w:highlight w:val="none"/>
          <w:u w:val="single"/>
        </w:rPr>
      </w:pPr>
      <w:r>
        <w:rPr>
          <w:rFonts w:hAnsi="宋体"/>
          <w:bCs/>
          <w:color w:val="auto"/>
          <w:sz w:val="24"/>
          <w:szCs w:val="24"/>
          <w:highlight w:val="none"/>
        </w:rPr>
        <w:t>地址</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Ansi="宋体"/>
          <w:bCs/>
          <w:color w:val="auto"/>
          <w:sz w:val="24"/>
          <w:szCs w:val="24"/>
          <w:highlight w:val="none"/>
        </w:rPr>
        <w:t>邮编</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p>
    <w:p w14:paraId="449F7092">
      <w:pPr>
        <w:pStyle w:val="15"/>
        <w:snapToGrid w:val="0"/>
        <w:spacing w:line="360" w:lineRule="auto"/>
        <w:ind w:firstLine="480" w:firstLineChars="200"/>
        <w:rPr>
          <w:rFonts w:hint="eastAsia" w:hAnsi="宋体"/>
          <w:bCs/>
          <w:color w:val="auto"/>
          <w:sz w:val="24"/>
          <w:szCs w:val="24"/>
          <w:highlight w:val="none"/>
        </w:rPr>
      </w:pPr>
      <w:r>
        <w:rPr>
          <w:rFonts w:hint="eastAsia" w:hAnsi="宋体"/>
          <w:bCs/>
          <w:color w:val="auto"/>
          <w:sz w:val="24"/>
          <w:szCs w:val="24"/>
          <w:highlight w:val="none"/>
        </w:rPr>
        <w:t>联系人：</w:t>
      </w:r>
      <w:r>
        <w:rPr>
          <w:rFonts w:hint="eastAsia" w:hAnsi="宋体"/>
          <w:bCs/>
          <w:color w:val="auto"/>
          <w:sz w:val="24"/>
          <w:szCs w:val="24"/>
          <w:highlight w:val="none"/>
          <w:u w:val="single"/>
        </w:rPr>
        <w:t xml:space="preserve">                                            </w:t>
      </w:r>
      <w:r>
        <w:rPr>
          <w:rFonts w:hAnsi="宋体"/>
          <w:bCs/>
          <w:color w:val="auto"/>
          <w:sz w:val="24"/>
          <w:szCs w:val="24"/>
          <w:highlight w:val="none"/>
        </w:rPr>
        <w:t>联系</w:t>
      </w:r>
      <w:r>
        <w:rPr>
          <w:rFonts w:hint="eastAsia" w:hAnsi="宋体"/>
          <w:bCs/>
          <w:color w:val="auto"/>
          <w:sz w:val="24"/>
          <w:szCs w:val="24"/>
          <w:highlight w:val="none"/>
        </w:rPr>
        <w:t>电话：</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14:paraId="26C13158">
      <w:pPr>
        <w:pStyle w:val="15"/>
        <w:snapToGrid w:val="0"/>
        <w:spacing w:line="360" w:lineRule="auto"/>
        <w:ind w:firstLine="482" w:firstLineChars="200"/>
        <w:rPr>
          <w:rFonts w:hint="eastAsia" w:hAnsi="宋体"/>
          <w:b/>
          <w:bCs/>
          <w:color w:val="auto"/>
          <w:sz w:val="24"/>
          <w:szCs w:val="24"/>
          <w:highlight w:val="none"/>
        </w:rPr>
      </w:pPr>
      <w:r>
        <w:rPr>
          <w:rFonts w:hint="eastAsia" w:hAnsi="宋体"/>
          <w:b/>
          <w:bCs/>
          <w:color w:val="auto"/>
          <w:sz w:val="24"/>
          <w:szCs w:val="24"/>
          <w:highlight w:val="none"/>
        </w:rPr>
        <w:t>二、投诉项目基本情况：</w:t>
      </w:r>
    </w:p>
    <w:p w14:paraId="34E7FA45">
      <w:pPr>
        <w:pStyle w:val="15"/>
        <w:spacing w:line="360" w:lineRule="auto"/>
        <w:ind w:left="25" w:leftChars="12" w:firstLine="472" w:firstLineChars="197"/>
        <w:rPr>
          <w:rFonts w:hint="eastAsia" w:hAnsi="宋体"/>
          <w:color w:val="auto"/>
          <w:sz w:val="24"/>
          <w:szCs w:val="24"/>
          <w:highlight w:val="none"/>
        </w:rPr>
      </w:pPr>
      <w:r>
        <w:rPr>
          <w:rFonts w:hint="eastAsia" w:hAnsi="宋体"/>
          <w:bCs/>
          <w:color w:val="auto"/>
          <w:sz w:val="24"/>
          <w:szCs w:val="24"/>
          <w:highlight w:val="none"/>
        </w:rPr>
        <w:t>采购</w:t>
      </w:r>
      <w:r>
        <w:rPr>
          <w:rFonts w:hint="eastAsia" w:hAnsi="宋体"/>
          <w:color w:val="auto"/>
          <w:sz w:val="24"/>
          <w:szCs w:val="24"/>
          <w:highlight w:val="none"/>
        </w:rPr>
        <w:t>项目的名称：</w:t>
      </w:r>
      <w:r>
        <w:rPr>
          <w:rFonts w:hint="eastAsia" w:hAnsi="宋体"/>
          <w:bCs/>
          <w:color w:val="auto"/>
          <w:sz w:val="24"/>
          <w:szCs w:val="24"/>
          <w:highlight w:val="none"/>
          <w:u w:val="single"/>
        </w:rPr>
        <w:t xml:space="preserve">                                                                   </w:t>
      </w:r>
    </w:p>
    <w:p w14:paraId="32BB9818">
      <w:pPr>
        <w:pStyle w:val="15"/>
        <w:spacing w:line="360" w:lineRule="auto"/>
        <w:ind w:left="25" w:leftChars="12" w:firstLine="472" w:firstLineChars="197"/>
        <w:rPr>
          <w:rFonts w:hint="eastAsia" w:hAnsi="宋体"/>
          <w:color w:val="auto"/>
          <w:sz w:val="24"/>
          <w:szCs w:val="24"/>
          <w:highlight w:val="none"/>
        </w:rPr>
      </w:pPr>
      <w:r>
        <w:rPr>
          <w:rFonts w:hint="eastAsia" w:hAnsi="宋体"/>
          <w:bCs/>
          <w:color w:val="auto"/>
          <w:sz w:val="24"/>
          <w:szCs w:val="24"/>
          <w:highlight w:val="none"/>
        </w:rPr>
        <w:t>采购</w:t>
      </w:r>
      <w:r>
        <w:rPr>
          <w:rFonts w:hint="eastAsia" w:hAnsi="宋体"/>
          <w:color w:val="auto"/>
          <w:sz w:val="24"/>
          <w:szCs w:val="24"/>
          <w:highlight w:val="none"/>
        </w:rPr>
        <w:t>项目的编号：</w:t>
      </w:r>
      <w:r>
        <w:rPr>
          <w:rFonts w:hint="eastAsia" w:hAnsi="宋体"/>
          <w:bCs/>
          <w:color w:val="auto"/>
          <w:sz w:val="24"/>
          <w:szCs w:val="24"/>
          <w:highlight w:val="none"/>
          <w:u w:val="single"/>
        </w:rPr>
        <w:t xml:space="preserve">                                          </w:t>
      </w:r>
    </w:p>
    <w:p w14:paraId="040005DE">
      <w:pPr>
        <w:pStyle w:val="15"/>
        <w:spacing w:line="360" w:lineRule="auto"/>
        <w:ind w:left="25" w:leftChars="12" w:firstLine="472" w:firstLineChars="197"/>
        <w:rPr>
          <w:rFonts w:hint="eastAsia" w:hAnsi="宋体"/>
          <w:bCs/>
          <w:color w:val="auto"/>
          <w:sz w:val="24"/>
          <w:szCs w:val="24"/>
          <w:highlight w:val="none"/>
          <w:u w:val="single"/>
        </w:rPr>
      </w:pPr>
      <w:r>
        <w:rPr>
          <w:rFonts w:hint="eastAsia" w:hAnsi="宋体"/>
          <w:color w:val="auto"/>
          <w:sz w:val="24"/>
          <w:szCs w:val="24"/>
          <w:highlight w:val="none"/>
        </w:rPr>
        <w:t>采购人名称：</w:t>
      </w:r>
      <w:r>
        <w:rPr>
          <w:rFonts w:hint="eastAsia" w:hAnsi="宋体"/>
          <w:bCs/>
          <w:color w:val="auto"/>
          <w:sz w:val="24"/>
          <w:szCs w:val="24"/>
          <w:highlight w:val="none"/>
          <w:u w:val="single"/>
        </w:rPr>
        <w:t xml:space="preserve">                                                                        </w:t>
      </w:r>
    </w:p>
    <w:p w14:paraId="0088CA53">
      <w:pPr>
        <w:pStyle w:val="15"/>
        <w:spacing w:line="360" w:lineRule="auto"/>
        <w:ind w:left="25" w:leftChars="12" w:firstLine="472" w:firstLineChars="197"/>
        <w:rPr>
          <w:rFonts w:hint="eastAsia" w:hAnsi="宋体"/>
          <w:bCs/>
          <w:color w:val="auto"/>
          <w:sz w:val="24"/>
          <w:szCs w:val="24"/>
          <w:highlight w:val="none"/>
          <w:u w:val="single"/>
        </w:rPr>
      </w:pPr>
      <w:r>
        <w:rPr>
          <w:rFonts w:hint="eastAsia" w:hAnsi="宋体"/>
          <w:color w:val="auto"/>
          <w:sz w:val="24"/>
          <w:szCs w:val="24"/>
          <w:highlight w:val="none"/>
        </w:rPr>
        <w:t>代理机构名称：</w:t>
      </w:r>
      <w:r>
        <w:rPr>
          <w:rFonts w:hint="eastAsia" w:hAnsi="宋体"/>
          <w:bCs/>
          <w:color w:val="auto"/>
          <w:sz w:val="24"/>
          <w:szCs w:val="24"/>
          <w:highlight w:val="none"/>
          <w:u w:val="single"/>
        </w:rPr>
        <w:t xml:space="preserve">                                                                      </w:t>
      </w:r>
    </w:p>
    <w:p w14:paraId="5B959871">
      <w:pPr>
        <w:pStyle w:val="15"/>
        <w:spacing w:line="360" w:lineRule="auto"/>
        <w:ind w:left="25" w:leftChars="12" w:firstLine="472" w:firstLineChars="197"/>
        <w:rPr>
          <w:rFonts w:hint="eastAsia" w:hAnsi="宋体"/>
          <w:bCs/>
          <w:color w:val="auto"/>
          <w:sz w:val="24"/>
          <w:szCs w:val="24"/>
          <w:highlight w:val="none"/>
          <w:u w:val="single"/>
        </w:rPr>
      </w:pPr>
      <w:r>
        <w:rPr>
          <w:rFonts w:hint="eastAsia" w:hAnsi="宋体"/>
          <w:bCs/>
          <w:color w:val="auto"/>
          <w:sz w:val="24"/>
          <w:szCs w:val="24"/>
          <w:highlight w:val="none"/>
        </w:rPr>
        <w:t>采购文件公告：</w:t>
      </w:r>
      <w:r>
        <w:rPr>
          <w:rFonts w:hint="eastAsia" w:hAnsi="宋体"/>
          <w:bCs/>
          <w:color w:val="auto"/>
          <w:sz w:val="24"/>
          <w:szCs w:val="24"/>
          <w:highlight w:val="none"/>
          <w:u w:val="single"/>
        </w:rPr>
        <w:t>是/否</w:t>
      </w:r>
      <w:r>
        <w:rPr>
          <w:rFonts w:hint="eastAsia" w:hAnsi="宋体"/>
          <w:bCs/>
          <w:color w:val="auto"/>
          <w:sz w:val="24"/>
          <w:szCs w:val="24"/>
          <w:highlight w:val="none"/>
        </w:rPr>
        <w:t>公告期限：</w:t>
      </w:r>
      <w:r>
        <w:rPr>
          <w:rFonts w:hint="eastAsia" w:hAnsi="宋体"/>
          <w:bCs/>
          <w:color w:val="auto"/>
          <w:sz w:val="24"/>
          <w:szCs w:val="24"/>
          <w:highlight w:val="none"/>
          <w:u w:val="single"/>
        </w:rPr>
        <w:t xml:space="preserve">                                                       </w:t>
      </w:r>
    </w:p>
    <w:p w14:paraId="4195E2CC">
      <w:pPr>
        <w:pStyle w:val="15"/>
        <w:spacing w:line="360" w:lineRule="auto"/>
        <w:ind w:left="25" w:leftChars="12" w:firstLine="472" w:firstLineChars="197"/>
        <w:rPr>
          <w:rFonts w:hint="eastAsia" w:hAnsi="宋体"/>
          <w:b/>
          <w:color w:val="auto"/>
          <w:sz w:val="24"/>
          <w:szCs w:val="24"/>
          <w:highlight w:val="none"/>
        </w:rPr>
      </w:pPr>
      <w:r>
        <w:rPr>
          <w:rFonts w:hint="eastAsia" w:hAnsi="宋体"/>
          <w:bCs/>
          <w:color w:val="auto"/>
          <w:sz w:val="24"/>
          <w:szCs w:val="24"/>
          <w:highlight w:val="none"/>
        </w:rPr>
        <w:t>采购结果公告：</w:t>
      </w:r>
      <w:r>
        <w:rPr>
          <w:rFonts w:hint="eastAsia" w:hAnsi="宋体"/>
          <w:bCs/>
          <w:color w:val="auto"/>
          <w:sz w:val="24"/>
          <w:szCs w:val="24"/>
          <w:highlight w:val="none"/>
          <w:u w:val="single"/>
        </w:rPr>
        <w:t>是/否</w:t>
      </w:r>
      <w:r>
        <w:rPr>
          <w:rFonts w:hint="eastAsia" w:hAnsi="宋体"/>
          <w:bCs/>
          <w:color w:val="auto"/>
          <w:sz w:val="24"/>
          <w:szCs w:val="24"/>
          <w:highlight w:val="none"/>
        </w:rPr>
        <w:t>公告期限：</w:t>
      </w:r>
      <w:r>
        <w:rPr>
          <w:rFonts w:hint="eastAsia" w:hAnsi="宋体"/>
          <w:bCs/>
          <w:color w:val="auto"/>
          <w:sz w:val="24"/>
          <w:szCs w:val="24"/>
          <w:highlight w:val="none"/>
          <w:u w:val="single"/>
        </w:rPr>
        <w:t xml:space="preserve">                                                       </w:t>
      </w:r>
    </w:p>
    <w:p w14:paraId="3E5ACBF2">
      <w:pPr>
        <w:pStyle w:val="15"/>
        <w:spacing w:line="360" w:lineRule="auto"/>
        <w:ind w:left="25" w:leftChars="12" w:firstLine="472" w:firstLineChars="196"/>
        <w:rPr>
          <w:rFonts w:hint="eastAsia" w:hAnsi="宋体"/>
          <w:b/>
          <w:color w:val="auto"/>
          <w:sz w:val="24"/>
          <w:szCs w:val="24"/>
          <w:highlight w:val="none"/>
        </w:rPr>
      </w:pPr>
      <w:r>
        <w:rPr>
          <w:rFonts w:hint="eastAsia" w:hAnsi="宋体"/>
          <w:b/>
          <w:color w:val="auto"/>
          <w:sz w:val="24"/>
          <w:szCs w:val="24"/>
          <w:highlight w:val="none"/>
        </w:rPr>
        <w:t>三、质疑基本情况</w:t>
      </w:r>
    </w:p>
    <w:p w14:paraId="3038CFE4">
      <w:pPr>
        <w:pStyle w:val="15"/>
        <w:spacing w:line="360" w:lineRule="auto"/>
        <w:ind w:left="23" w:leftChars="11" w:firstLine="540" w:firstLineChars="225"/>
        <w:rPr>
          <w:rFonts w:hint="eastAsia" w:hAnsi="宋体"/>
          <w:color w:val="auto"/>
          <w:sz w:val="24"/>
          <w:szCs w:val="24"/>
          <w:highlight w:val="none"/>
        </w:rPr>
      </w:pPr>
      <w:r>
        <w:rPr>
          <w:rFonts w:hint="eastAsia" w:hAnsi="宋体"/>
          <w:color w:val="auto"/>
          <w:sz w:val="24"/>
          <w:szCs w:val="24"/>
          <w:highlight w:val="none"/>
        </w:rPr>
        <w:t>投诉人于</w:t>
      </w:r>
      <w:r>
        <w:rPr>
          <w:rFonts w:hint="eastAsia" w:hAnsi="宋体"/>
          <w:color w:val="auto"/>
          <w:sz w:val="24"/>
          <w:szCs w:val="24"/>
          <w:highlight w:val="none"/>
          <w:u w:val="single"/>
        </w:rPr>
        <w:t xml:space="preserve">      </w:t>
      </w:r>
      <w:r>
        <w:rPr>
          <w:rFonts w:hint="eastAsia" w:hAnsi="宋体"/>
          <w:color w:val="auto"/>
          <w:sz w:val="24"/>
          <w:szCs w:val="24"/>
          <w:highlight w:val="none"/>
        </w:rPr>
        <w:t>年</w:t>
      </w:r>
      <w:r>
        <w:rPr>
          <w:rFonts w:hint="eastAsia" w:hAnsi="宋体"/>
          <w:color w:val="auto"/>
          <w:sz w:val="24"/>
          <w:szCs w:val="24"/>
          <w:highlight w:val="none"/>
          <w:u w:val="single"/>
        </w:rPr>
        <w:t xml:space="preserve">   </w:t>
      </w:r>
      <w:r>
        <w:rPr>
          <w:rFonts w:hint="eastAsia" w:hAnsi="宋体"/>
          <w:color w:val="auto"/>
          <w:sz w:val="24"/>
          <w:szCs w:val="24"/>
          <w:highlight w:val="none"/>
        </w:rPr>
        <w:t>月</w:t>
      </w:r>
      <w:r>
        <w:rPr>
          <w:rFonts w:hint="eastAsia" w:hAnsi="宋体"/>
          <w:color w:val="auto"/>
          <w:sz w:val="24"/>
          <w:szCs w:val="24"/>
          <w:highlight w:val="none"/>
          <w:u w:val="single"/>
        </w:rPr>
        <w:t xml:space="preserve">   </w:t>
      </w:r>
      <w:r>
        <w:rPr>
          <w:rFonts w:hint="eastAsia" w:hAnsi="宋体"/>
          <w:color w:val="auto"/>
          <w:sz w:val="24"/>
          <w:szCs w:val="24"/>
          <w:highlight w:val="none"/>
        </w:rPr>
        <w:t>日，向</w:t>
      </w:r>
      <w:r>
        <w:rPr>
          <w:rFonts w:hint="eastAsia" w:hAnsi="宋体"/>
          <w:color w:val="auto"/>
          <w:sz w:val="24"/>
          <w:szCs w:val="24"/>
          <w:highlight w:val="none"/>
          <w:u w:val="single"/>
        </w:rPr>
        <w:t xml:space="preserve">                                </w:t>
      </w:r>
      <w:r>
        <w:rPr>
          <w:rFonts w:hint="eastAsia" w:hAnsi="宋体"/>
          <w:color w:val="auto"/>
          <w:sz w:val="24"/>
          <w:szCs w:val="24"/>
          <w:highlight w:val="none"/>
        </w:rPr>
        <w:t>提出质疑，质疑事项为：</w:t>
      </w:r>
    </w:p>
    <w:p w14:paraId="3E3EA51D">
      <w:pPr>
        <w:pStyle w:val="15"/>
        <w:spacing w:line="360" w:lineRule="auto"/>
        <w:ind w:left="23" w:leftChars="11" w:firstLine="540" w:firstLineChars="225"/>
        <w:rPr>
          <w:rFonts w:hint="eastAsia" w:hAnsi="宋体"/>
          <w:bCs/>
          <w:color w:val="auto"/>
          <w:sz w:val="24"/>
          <w:szCs w:val="24"/>
          <w:highlight w:val="none"/>
          <w:u w:val="single"/>
        </w:rPr>
      </w:pPr>
      <w:r>
        <w:rPr>
          <w:rFonts w:hint="eastAsia" w:hAnsi="宋体"/>
          <w:color w:val="auto"/>
          <w:sz w:val="24"/>
          <w:szCs w:val="24"/>
          <w:highlight w:val="none"/>
        </w:rPr>
        <w:t xml:space="preserve">    </w:t>
      </w:r>
      <w:r>
        <w:rPr>
          <w:rFonts w:hint="eastAsia" w:hAnsi="宋体"/>
          <w:bCs/>
          <w:color w:val="auto"/>
          <w:sz w:val="24"/>
          <w:szCs w:val="24"/>
          <w:highlight w:val="none"/>
          <w:u w:val="single"/>
        </w:rPr>
        <w:t xml:space="preserve">                                                                                      </w:t>
      </w:r>
    </w:p>
    <w:p w14:paraId="2B389728">
      <w:pPr>
        <w:pStyle w:val="15"/>
        <w:spacing w:line="360" w:lineRule="auto"/>
        <w:ind w:left="23" w:leftChars="11" w:firstLine="540" w:firstLineChars="225"/>
        <w:rPr>
          <w:rFonts w:hint="eastAsia" w:hAnsi="宋体"/>
          <w:bCs/>
          <w:color w:val="auto"/>
          <w:sz w:val="24"/>
          <w:szCs w:val="24"/>
          <w:highlight w:val="none"/>
          <w:u w:val="single"/>
        </w:rPr>
      </w:pPr>
      <w:r>
        <w:rPr>
          <w:rFonts w:hint="eastAsia" w:hAnsi="宋体"/>
          <w:bCs/>
          <w:color w:val="auto"/>
          <w:sz w:val="24"/>
          <w:szCs w:val="24"/>
          <w:highlight w:val="none"/>
        </w:rPr>
        <w:t xml:space="preserve">    </w:t>
      </w:r>
      <w:r>
        <w:rPr>
          <w:rFonts w:hint="eastAsia" w:hAnsi="宋体"/>
          <w:bCs/>
          <w:color w:val="auto"/>
          <w:sz w:val="24"/>
          <w:szCs w:val="24"/>
          <w:highlight w:val="none"/>
          <w:u w:val="single"/>
        </w:rPr>
        <w:t xml:space="preserve">                                                                                      </w:t>
      </w:r>
    </w:p>
    <w:p w14:paraId="0F4BE950">
      <w:pPr>
        <w:pStyle w:val="15"/>
        <w:spacing w:line="360" w:lineRule="auto"/>
        <w:ind w:left="23" w:leftChars="11" w:firstLine="540" w:firstLineChars="225"/>
        <w:rPr>
          <w:rFonts w:hint="eastAsia" w:hAnsi="宋体"/>
          <w:color w:val="auto"/>
          <w:sz w:val="24"/>
          <w:szCs w:val="24"/>
          <w:highlight w:val="none"/>
        </w:rPr>
      </w:pPr>
      <w:r>
        <w:rPr>
          <w:rFonts w:hint="eastAsia" w:hAnsi="宋体"/>
          <w:bCs/>
          <w:color w:val="auto"/>
          <w:sz w:val="24"/>
          <w:szCs w:val="24"/>
          <w:highlight w:val="none"/>
          <w:u w:val="single"/>
        </w:rPr>
        <w:t>采购人/代理机构</w:t>
      </w:r>
      <w:r>
        <w:rPr>
          <w:rFonts w:hint="eastAsia" w:hAnsi="宋体"/>
          <w:bCs/>
          <w:color w:val="auto"/>
          <w:sz w:val="24"/>
          <w:szCs w:val="24"/>
          <w:highlight w:val="none"/>
        </w:rPr>
        <w:t>于</w:t>
      </w:r>
      <w:r>
        <w:rPr>
          <w:rFonts w:hint="eastAsia" w:hAnsi="宋体"/>
          <w:color w:val="auto"/>
          <w:sz w:val="24"/>
          <w:szCs w:val="24"/>
          <w:highlight w:val="none"/>
          <w:u w:val="single"/>
        </w:rPr>
        <w:t xml:space="preserve">      </w:t>
      </w:r>
      <w:r>
        <w:rPr>
          <w:rFonts w:hint="eastAsia" w:hAnsi="宋体"/>
          <w:color w:val="auto"/>
          <w:sz w:val="24"/>
          <w:szCs w:val="24"/>
          <w:highlight w:val="none"/>
        </w:rPr>
        <w:t>年</w:t>
      </w:r>
      <w:r>
        <w:rPr>
          <w:rFonts w:hint="eastAsia" w:hAnsi="宋体"/>
          <w:color w:val="auto"/>
          <w:sz w:val="24"/>
          <w:szCs w:val="24"/>
          <w:highlight w:val="none"/>
          <w:u w:val="single"/>
        </w:rPr>
        <w:t xml:space="preserve">   </w:t>
      </w:r>
      <w:r>
        <w:rPr>
          <w:rFonts w:hint="eastAsia" w:hAnsi="宋体"/>
          <w:color w:val="auto"/>
          <w:sz w:val="24"/>
          <w:szCs w:val="24"/>
          <w:highlight w:val="none"/>
        </w:rPr>
        <w:t>月</w:t>
      </w:r>
      <w:r>
        <w:rPr>
          <w:rFonts w:hint="eastAsia" w:hAnsi="宋体"/>
          <w:color w:val="auto"/>
          <w:sz w:val="24"/>
          <w:szCs w:val="24"/>
          <w:highlight w:val="none"/>
          <w:u w:val="single"/>
        </w:rPr>
        <w:t xml:space="preserve">   </w:t>
      </w:r>
      <w:r>
        <w:rPr>
          <w:rFonts w:hint="eastAsia" w:hAnsi="宋体"/>
          <w:color w:val="auto"/>
          <w:sz w:val="24"/>
          <w:szCs w:val="24"/>
          <w:highlight w:val="none"/>
        </w:rPr>
        <w:t>日，</w:t>
      </w:r>
      <w:r>
        <w:rPr>
          <w:rFonts w:hint="eastAsia" w:hAnsi="宋体"/>
          <w:bCs/>
          <w:color w:val="auto"/>
          <w:sz w:val="24"/>
          <w:szCs w:val="24"/>
          <w:highlight w:val="none"/>
        </w:rPr>
        <w:t xml:space="preserve">就质疑事项作出了答复/没有在法定期限内作出答复。                                                                                             </w:t>
      </w:r>
    </w:p>
    <w:p w14:paraId="47792E34">
      <w:pPr>
        <w:pStyle w:val="15"/>
        <w:spacing w:line="360" w:lineRule="auto"/>
        <w:ind w:left="25" w:leftChars="12" w:firstLine="472" w:firstLineChars="196"/>
        <w:rPr>
          <w:rFonts w:hint="eastAsia" w:hAnsi="宋体"/>
          <w:b/>
          <w:color w:val="auto"/>
          <w:sz w:val="24"/>
          <w:szCs w:val="24"/>
          <w:highlight w:val="none"/>
        </w:rPr>
      </w:pPr>
      <w:r>
        <w:rPr>
          <w:rFonts w:hint="eastAsia" w:hAnsi="宋体"/>
          <w:b/>
          <w:color w:val="auto"/>
          <w:sz w:val="24"/>
          <w:szCs w:val="24"/>
          <w:highlight w:val="none"/>
        </w:rPr>
        <w:t>四、投诉事项具体内容</w:t>
      </w:r>
    </w:p>
    <w:p w14:paraId="5A5FEA02">
      <w:pPr>
        <w:pStyle w:val="15"/>
        <w:spacing w:line="360" w:lineRule="auto"/>
        <w:ind w:left="25" w:leftChars="12" w:firstLine="472" w:firstLineChars="197"/>
        <w:rPr>
          <w:rFonts w:hint="eastAsia" w:hAnsi="宋体"/>
          <w:bCs/>
          <w:color w:val="auto"/>
          <w:sz w:val="24"/>
          <w:szCs w:val="24"/>
          <w:highlight w:val="none"/>
          <w:u w:val="single"/>
        </w:rPr>
      </w:pPr>
      <w:r>
        <w:rPr>
          <w:rFonts w:hint="eastAsia" w:hAnsi="宋体"/>
          <w:color w:val="auto"/>
          <w:sz w:val="24"/>
          <w:szCs w:val="24"/>
          <w:highlight w:val="none"/>
        </w:rPr>
        <w:t>投诉事项1：</w:t>
      </w:r>
      <w:r>
        <w:rPr>
          <w:rFonts w:hint="eastAsia" w:hAnsi="宋体"/>
          <w:bCs/>
          <w:color w:val="auto"/>
          <w:sz w:val="24"/>
          <w:szCs w:val="24"/>
          <w:highlight w:val="none"/>
          <w:u w:val="single"/>
        </w:rPr>
        <w:t xml:space="preserve">                                                                           </w:t>
      </w:r>
    </w:p>
    <w:p w14:paraId="624EC9A5">
      <w:pPr>
        <w:pStyle w:val="15"/>
        <w:spacing w:line="360" w:lineRule="auto"/>
        <w:ind w:firstLine="480" w:firstLineChars="200"/>
        <w:rPr>
          <w:rFonts w:hint="eastAsia" w:hAnsi="宋体"/>
          <w:bCs/>
          <w:color w:val="auto"/>
          <w:sz w:val="24"/>
          <w:szCs w:val="24"/>
          <w:highlight w:val="none"/>
          <w:u w:val="single"/>
        </w:rPr>
      </w:pPr>
      <w:r>
        <w:rPr>
          <w:rFonts w:hint="eastAsia" w:hAnsi="宋体"/>
          <w:bCs/>
          <w:color w:val="auto"/>
          <w:sz w:val="24"/>
          <w:szCs w:val="24"/>
          <w:highlight w:val="none"/>
        </w:rPr>
        <w:t>事实依据：</w:t>
      </w:r>
      <w:r>
        <w:rPr>
          <w:rFonts w:hint="eastAsia" w:hAnsi="宋体"/>
          <w:color w:val="auto"/>
          <w:sz w:val="24"/>
          <w:szCs w:val="24"/>
          <w:highlight w:val="none"/>
        </w:rPr>
        <w:t xml:space="preserve"> </w:t>
      </w:r>
      <w:r>
        <w:rPr>
          <w:rFonts w:hint="eastAsia" w:hAnsi="宋体"/>
          <w:bCs/>
          <w:color w:val="auto"/>
          <w:sz w:val="24"/>
          <w:szCs w:val="24"/>
          <w:highlight w:val="none"/>
          <w:u w:val="single"/>
        </w:rPr>
        <w:t xml:space="preserve">                                                                                      </w:t>
      </w:r>
    </w:p>
    <w:p w14:paraId="7379798B">
      <w:pPr>
        <w:pStyle w:val="15"/>
        <w:spacing w:line="360" w:lineRule="auto"/>
        <w:ind w:left="25" w:leftChars="12" w:firstLine="472" w:firstLineChars="197"/>
        <w:rPr>
          <w:rFonts w:hint="eastAsia" w:hAnsi="宋体"/>
          <w:color w:val="auto"/>
          <w:sz w:val="24"/>
          <w:szCs w:val="24"/>
          <w:highlight w:val="none"/>
        </w:rPr>
      </w:pPr>
      <w:r>
        <w:rPr>
          <w:rFonts w:hint="eastAsia" w:hAnsi="宋体"/>
          <w:bCs/>
          <w:color w:val="auto"/>
          <w:sz w:val="24"/>
          <w:szCs w:val="24"/>
          <w:highlight w:val="none"/>
          <w:u w:val="single"/>
        </w:rPr>
        <w:t xml:space="preserve">                                                                                        </w:t>
      </w:r>
    </w:p>
    <w:p w14:paraId="757C2274">
      <w:pPr>
        <w:pStyle w:val="15"/>
        <w:spacing w:line="360" w:lineRule="auto"/>
        <w:ind w:firstLine="480" w:firstLineChars="200"/>
        <w:rPr>
          <w:rFonts w:hint="eastAsia" w:hAnsi="宋体"/>
          <w:bCs/>
          <w:color w:val="auto"/>
          <w:sz w:val="24"/>
          <w:szCs w:val="24"/>
          <w:highlight w:val="none"/>
          <w:u w:val="single"/>
        </w:rPr>
      </w:pPr>
      <w:r>
        <w:rPr>
          <w:rFonts w:hint="eastAsia" w:hAnsi="宋体"/>
          <w:bCs/>
          <w:color w:val="auto"/>
          <w:sz w:val="24"/>
          <w:szCs w:val="24"/>
          <w:highlight w:val="none"/>
        </w:rPr>
        <w:t>法律依据：</w:t>
      </w:r>
      <w:r>
        <w:rPr>
          <w:rFonts w:hint="eastAsia" w:hAnsi="宋体"/>
          <w:color w:val="auto"/>
          <w:sz w:val="24"/>
          <w:szCs w:val="24"/>
          <w:highlight w:val="none"/>
        </w:rPr>
        <w:t xml:space="preserve"> </w:t>
      </w:r>
      <w:r>
        <w:rPr>
          <w:rFonts w:hint="eastAsia" w:hAnsi="宋体"/>
          <w:bCs/>
          <w:color w:val="auto"/>
          <w:sz w:val="24"/>
          <w:szCs w:val="24"/>
          <w:highlight w:val="none"/>
          <w:u w:val="single"/>
        </w:rPr>
        <w:t xml:space="preserve">                                                                                      </w:t>
      </w:r>
    </w:p>
    <w:p w14:paraId="707A7A73">
      <w:pPr>
        <w:pStyle w:val="15"/>
        <w:spacing w:line="360" w:lineRule="auto"/>
        <w:ind w:left="25" w:leftChars="12" w:firstLine="352" w:firstLineChars="147"/>
        <w:rPr>
          <w:rFonts w:hint="eastAsia" w:hAnsi="宋体"/>
          <w:bCs/>
          <w:color w:val="auto"/>
          <w:sz w:val="24"/>
          <w:szCs w:val="24"/>
          <w:highlight w:val="none"/>
          <w:u w:val="single"/>
        </w:rPr>
      </w:pPr>
      <w:r>
        <w:rPr>
          <w:rFonts w:hint="eastAsia" w:hAnsi="宋体"/>
          <w:bCs/>
          <w:color w:val="auto"/>
          <w:sz w:val="24"/>
          <w:szCs w:val="24"/>
          <w:highlight w:val="none"/>
        </w:rPr>
        <w:t xml:space="preserve"> </w:t>
      </w:r>
      <w:r>
        <w:rPr>
          <w:rFonts w:hint="eastAsia" w:hAnsi="宋体"/>
          <w:bCs/>
          <w:color w:val="auto"/>
          <w:sz w:val="24"/>
          <w:szCs w:val="24"/>
          <w:highlight w:val="none"/>
          <w:u w:val="single"/>
        </w:rPr>
        <w:t xml:space="preserve">                                                                                        </w:t>
      </w:r>
    </w:p>
    <w:p w14:paraId="3E2694C4">
      <w:pPr>
        <w:pStyle w:val="15"/>
        <w:spacing w:line="360" w:lineRule="auto"/>
        <w:ind w:left="25" w:leftChars="12" w:firstLine="472" w:firstLineChars="197"/>
        <w:rPr>
          <w:rFonts w:hint="eastAsia" w:hAnsi="宋体"/>
          <w:bCs/>
          <w:color w:val="auto"/>
          <w:sz w:val="24"/>
          <w:szCs w:val="24"/>
          <w:highlight w:val="none"/>
        </w:rPr>
      </w:pPr>
      <w:r>
        <w:rPr>
          <w:rFonts w:hint="eastAsia" w:hAnsi="宋体"/>
          <w:color w:val="auto"/>
          <w:sz w:val="24"/>
          <w:szCs w:val="24"/>
          <w:highlight w:val="none"/>
        </w:rPr>
        <w:t xml:space="preserve">投诉事项2  </w:t>
      </w:r>
      <w:r>
        <w:rPr>
          <w:rFonts w:hint="eastAsia" w:hAnsi="宋体"/>
          <w:bCs/>
          <w:color w:val="auto"/>
          <w:sz w:val="24"/>
          <w:szCs w:val="24"/>
          <w:highlight w:val="none"/>
        </w:rPr>
        <w:t xml:space="preserve">   </w:t>
      </w:r>
    </w:p>
    <w:p w14:paraId="11750A8F">
      <w:pPr>
        <w:pStyle w:val="15"/>
        <w:spacing w:line="360" w:lineRule="auto"/>
        <w:ind w:left="25" w:leftChars="12" w:firstLine="472" w:firstLineChars="197"/>
        <w:rPr>
          <w:rFonts w:hint="eastAsia" w:hAnsi="宋体"/>
          <w:bCs/>
          <w:color w:val="auto"/>
          <w:sz w:val="24"/>
          <w:szCs w:val="24"/>
          <w:highlight w:val="none"/>
        </w:rPr>
      </w:pPr>
      <w:r>
        <w:rPr>
          <w:rFonts w:hAnsi="宋体"/>
          <w:bCs/>
          <w:color w:val="auto"/>
          <w:sz w:val="24"/>
          <w:szCs w:val="24"/>
          <w:highlight w:val="none"/>
        </w:rPr>
        <w:t>……</w:t>
      </w:r>
    </w:p>
    <w:p w14:paraId="1DEE0C9A">
      <w:pPr>
        <w:pStyle w:val="15"/>
        <w:spacing w:line="360" w:lineRule="auto"/>
        <w:ind w:left="25" w:leftChars="12" w:firstLine="472" w:firstLineChars="196"/>
        <w:rPr>
          <w:rFonts w:hint="eastAsia" w:hAnsi="宋体"/>
          <w:b/>
          <w:color w:val="auto"/>
          <w:sz w:val="24"/>
          <w:szCs w:val="24"/>
          <w:highlight w:val="none"/>
        </w:rPr>
      </w:pPr>
      <w:r>
        <w:rPr>
          <w:rFonts w:hint="eastAsia" w:hAnsi="宋体"/>
          <w:b/>
          <w:color w:val="auto"/>
          <w:sz w:val="24"/>
          <w:szCs w:val="24"/>
          <w:highlight w:val="none"/>
        </w:rPr>
        <w:t>五、与投诉事项相关的投诉请求：</w:t>
      </w:r>
    </w:p>
    <w:p w14:paraId="6A09932F">
      <w:pPr>
        <w:pStyle w:val="15"/>
        <w:spacing w:line="360" w:lineRule="auto"/>
        <w:ind w:left="25" w:leftChars="12" w:firstLine="472" w:firstLineChars="197"/>
        <w:rPr>
          <w:rFonts w:hint="eastAsia" w:hAnsi="宋体"/>
          <w:color w:val="auto"/>
          <w:sz w:val="24"/>
          <w:szCs w:val="24"/>
          <w:highlight w:val="none"/>
        </w:rPr>
      </w:pPr>
      <w:r>
        <w:rPr>
          <w:rFonts w:hint="eastAsia" w:hAnsi="宋体"/>
          <w:color w:val="auto"/>
          <w:sz w:val="24"/>
          <w:szCs w:val="24"/>
          <w:highlight w:val="none"/>
        </w:rPr>
        <w:t>请求：</w:t>
      </w:r>
      <w:r>
        <w:rPr>
          <w:rFonts w:hint="eastAsia" w:hAnsi="宋体"/>
          <w:bCs/>
          <w:color w:val="auto"/>
          <w:sz w:val="24"/>
          <w:szCs w:val="24"/>
          <w:highlight w:val="none"/>
          <w:u w:val="single"/>
        </w:rPr>
        <w:t xml:space="preserve">                                                                                 </w:t>
      </w:r>
    </w:p>
    <w:p w14:paraId="15798FB3">
      <w:pPr>
        <w:pStyle w:val="15"/>
        <w:spacing w:line="360" w:lineRule="auto"/>
        <w:ind w:left="25" w:leftChars="12" w:firstLine="352" w:firstLineChars="147"/>
        <w:rPr>
          <w:rFonts w:hint="eastAsia" w:hAnsi="宋体"/>
          <w:color w:val="auto"/>
          <w:sz w:val="24"/>
          <w:szCs w:val="24"/>
          <w:highlight w:val="none"/>
        </w:rPr>
      </w:pPr>
    </w:p>
    <w:p w14:paraId="5B8E14D8">
      <w:pPr>
        <w:pStyle w:val="15"/>
        <w:spacing w:line="360" w:lineRule="auto"/>
        <w:ind w:left="25" w:leftChars="12" w:firstLine="472" w:firstLineChars="197"/>
        <w:rPr>
          <w:rFonts w:hint="eastAsia" w:hAnsi="宋体"/>
          <w:color w:val="auto"/>
          <w:sz w:val="24"/>
          <w:szCs w:val="24"/>
          <w:highlight w:val="none"/>
        </w:rPr>
      </w:pPr>
      <w:r>
        <w:rPr>
          <w:rFonts w:hint="eastAsia" w:hAnsi="宋体"/>
          <w:color w:val="auto"/>
          <w:sz w:val="24"/>
          <w:szCs w:val="24"/>
          <w:highlight w:val="none"/>
        </w:rPr>
        <w:t>签字（签章）：                                       公章：</w:t>
      </w:r>
    </w:p>
    <w:p w14:paraId="623F547E">
      <w:pPr>
        <w:pStyle w:val="15"/>
        <w:spacing w:line="360" w:lineRule="auto"/>
        <w:ind w:left="25" w:leftChars="12" w:firstLine="352" w:firstLineChars="147"/>
        <w:rPr>
          <w:rFonts w:hint="eastAsia" w:hAnsi="宋体"/>
          <w:color w:val="auto"/>
          <w:sz w:val="24"/>
          <w:szCs w:val="24"/>
          <w:highlight w:val="none"/>
        </w:rPr>
      </w:pPr>
    </w:p>
    <w:p w14:paraId="1A84DCBD">
      <w:pPr>
        <w:pStyle w:val="15"/>
        <w:spacing w:line="360" w:lineRule="auto"/>
        <w:ind w:left="25" w:leftChars="12" w:firstLine="472" w:firstLineChars="197"/>
        <w:rPr>
          <w:rFonts w:hint="eastAsia" w:hAnsi="宋体"/>
          <w:color w:val="auto"/>
          <w:sz w:val="24"/>
          <w:szCs w:val="24"/>
          <w:highlight w:val="none"/>
        </w:rPr>
      </w:pPr>
      <w:r>
        <w:rPr>
          <w:rFonts w:hint="eastAsia" w:hAnsi="宋体"/>
          <w:color w:val="auto"/>
          <w:sz w:val="24"/>
          <w:szCs w:val="24"/>
          <w:highlight w:val="none"/>
        </w:rPr>
        <w:t>日期：</w:t>
      </w:r>
    </w:p>
    <w:p w14:paraId="569AF3CB">
      <w:pPr>
        <w:pStyle w:val="15"/>
        <w:spacing w:line="360" w:lineRule="auto"/>
        <w:ind w:left="25" w:leftChars="12" w:firstLine="472" w:firstLineChars="197"/>
        <w:rPr>
          <w:rFonts w:hint="eastAsia" w:hAnsi="宋体"/>
          <w:color w:val="auto"/>
          <w:sz w:val="24"/>
          <w:szCs w:val="24"/>
          <w:highlight w:val="none"/>
        </w:rPr>
      </w:pPr>
      <w:r>
        <w:rPr>
          <w:rFonts w:hint="eastAsia" w:hAnsi="宋体"/>
          <w:bCs/>
          <w:color w:val="auto"/>
          <w:sz w:val="24"/>
          <w:szCs w:val="24"/>
          <w:highlight w:val="none"/>
        </w:rPr>
        <w:t xml:space="preserve">                                                                                 </w:t>
      </w:r>
    </w:p>
    <w:p w14:paraId="1B9EB49E">
      <w:pPr>
        <w:pStyle w:val="15"/>
        <w:snapToGrid w:val="0"/>
        <w:spacing w:line="360" w:lineRule="auto"/>
        <w:rPr>
          <w:rFonts w:hint="eastAsia" w:hAnsi="宋体"/>
          <w:b/>
          <w:color w:val="auto"/>
          <w:sz w:val="24"/>
          <w:szCs w:val="24"/>
          <w:highlight w:val="none"/>
        </w:rPr>
      </w:pPr>
      <w:r>
        <w:rPr>
          <w:rFonts w:hint="eastAsia" w:hAnsi="宋体"/>
          <w:b/>
          <w:color w:val="auto"/>
          <w:sz w:val="24"/>
          <w:szCs w:val="24"/>
          <w:highlight w:val="none"/>
        </w:rPr>
        <w:t>说明：</w:t>
      </w:r>
    </w:p>
    <w:p w14:paraId="3FA2CA34">
      <w:pPr>
        <w:pStyle w:val="15"/>
        <w:spacing w:line="360" w:lineRule="auto"/>
        <w:ind w:left="25" w:leftChars="12" w:firstLine="354" w:firstLineChars="147"/>
        <w:rPr>
          <w:rFonts w:hint="eastAsia" w:hAnsi="宋体"/>
          <w:b/>
          <w:bCs/>
          <w:color w:val="auto"/>
          <w:sz w:val="24"/>
          <w:szCs w:val="24"/>
          <w:highlight w:val="none"/>
        </w:rPr>
      </w:pPr>
      <w:r>
        <w:rPr>
          <w:rFonts w:hint="eastAsia" w:hAnsi="宋体"/>
          <w:b/>
          <w:color w:val="auto"/>
          <w:sz w:val="24"/>
          <w:szCs w:val="24"/>
          <w:highlight w:val="none"/>
        </w:rPr>
        <w:t>1.投诉人提起投诉时，应当提交投诉书和必要的证明材料，并按照被投诉人和与投诉事项有关的供应商数量提供投诉书副本</w:t>
      </w:r>
      <w:r>
        <w:rPr>
          <w:rFonts w:hint="eastAsia" w:hAnsi="宋体"/>
          <w:b/>
          <w:bCs/>
          <w:color w:val="auto"/>
          <w:sz w:val="24"/>
          <w:szCs w:val="24"/>
          <w:highlight w:val="none"/>
        </w:rPr>
        <w:t>。</w:t>
      </w:r>
    </w:p>
    <w:p w14:paraId="7A598551">
      <w:pPr>
        <w:pStyle w:val="15"/>
        <w:spacing w:line="360" w:lineRule="auto"/>
        <w:ind w:left="25" w:leftChars="12" w:firstLine="354" w:firstLineChars="147"/>
        <w:rPr>
          <w:rFonts w:hint="eastAsia" w:hAnsi="宋体"/>
          <w:b/>
          <w:color w:val="auto"/>
          <w:sz w:val="24"/>
          <w:szCs w:val="24"/>
          <w:highlight w:val="none"/>
        </w:rPr>
      </w:pPr>
      <w:r>
        <w:rPr>
          <w:rFonts w:hint="eastAsia" w:hAnsi="宋体"/>
          <w:b/>
          <w:color w:val="auto"/>
          <w:sz w:val="24"/>
          <w:szCs w:val="24"/>
          <w:highlight w:val="none"/>
        </w:rPr>
        <w:t>2.投诉人若委托代理人进行投诉的，投诉书应按要求列明“授权代表”的有关内容，并在附件中提交由投诉人签署的授权委托书。授权委托书应当载明代理人的姓名或者名称、代理事项、具体权限、期限和相关事项。</w:t>
      </w:r>
    </w:p>
    <w:p w14:paraId="0C467EEB">
      <w:pPr>
        <w:pStyle w:val="15"/>
        <w:spacing w:line="360" w:lineRule="auto"/>
        <w:ind w:left="25" w:leftChars="12" w:firstLine="354" w:firstLineChars="147"/>
        <w:rPr>
          <w:rFonts w:hint="eastAsia" w:hAnsi="宋体"/>
          <w:b/>
          <w:color w:val="auto"/>
          <w:sz w:val="24"/>
          <w:szCs w:val="24"/>
          <w:highlight w:val="none"/>
        </w:rPr>
      </w:pPr>
      <w:r>
        <w:rPr>
          <w:rFonts w:hint="eastAsia" w:hAnsi="宋体"/>
          <w:b/>
          <w:color w:val="auto"/>
          <w:sz w:val="24"/>
          <w:szCs w:val="24"/>
          <w:highlight w:val="none"/>
        </w:rPr>
        <w:t>3.投诉书应简要列明质疑事项，质疑函、质疑答复等作为附件材料提供。</w:t>
      </w:r>
    </w:p>
    <w:p w14:paraId="50D39E8E">
      <w:pPr>
        <w:pStyle w:val="15"/>
        <w:spacing w:line="360" w:lineRule="auto"/>
        <w:ind w:left="25" w:leftChars="12" w:firstLine="354" w:firstLineChars="147"/>
        <w:rPr>
          <w:rFonts w:hint="eastAsia" w:hAnsi="宋体"/>
          <w:b/>
          <w:color w:val="auto"/>
          <w:sz w:val="24"/>
          <w:szCs w:val="24"/>
          <w:highlight w:val="none"/>
        </w:rPr>
      </w:pPr>
      <w:r>
        <w:rPr>
          <w:rFonts w:hint="eastAsia" w:hAnsi="宋体"/>
          <w:b/>
          <w:color w:val="auto"/>
          <w:sz w:val="24"/>
          <w:szCs w:val="24"/>
          <w:highlight w:val="none"/>
        </w:rPr>
        <w:t>4.投诉书的投诉事项应具体、明确，并有必要的事实依据和法律依据。</w:t>
      </w:r>
    </w:p>
    <w:p w14:paraId="591ED321">
      <w:pPr>
        <w:pStyle w:val="15"/>
        <w:spacing w:line="360" w:lineRule="auto"/>
        <w:ind w:left="25" w:leftChars="12" w:firstLine="354" w:firstLineChars="147"/>
        <w:rPr>
          <w:rFonts w:hint="eastAsia" w:hAnsi="宋体"/>
          <w:b/>
          <w:color w:val="auto"/>
          <w:sz w:val="24"/>
          <w:szCs w:val="24"/>
          <w:highlight w:val="none"/>
        </w:rPr>
      </w:pPr>
      <w:r>
        <w:rPr>
          <w:rFonts w:hint="eastAsia" w:hAnsi="宋体"/>
          <w:b/>
          <w:color w:val="auto"/>
          <w:sz w:val="24"/>
          <w:szCs w:val="24"/>
          <w:highlight w:val="none"/>
        </w:rPr>
        <w:t>5.投诉书的投诉请求应与投诉事项相关。</w:t>
      </w:r>
    </w:p>
    <w:p w14:paraId="22AAB054">
      <w:pPr>
        <w:pStyle w:val="15"/>
        <w:spacing w:line="360" w:lineRule="auto"/>
        <w:ind w:left="25" w:leftChars="12" w:firstLine="354" w:firstLineChars="147"/>
        <w:rPr>
          <w:rFonts w:hint="eastAsia" w:hAnsi="宋体"/>
          <w:b/>
          <w:color w:val="auto"/>
          <w:sz w:val="24"/>
          <w:szCs w:val="24"/>
          <w:highlight w:val="none"/>
        </w:rPr>
      </w:pPr>
      <w:r>
        <w:rPr>
          <w:rFonts w:hint="eastAsia" w:hAnsi="宋体"/>
          <w:b/>
          <w:color w:val="auto"/>
          <w:sz w:val="24"/>
          <w:szCs w:val="24"/>
          <w:highlight w:val="none"/>
        </w:rPr>
        <w:t>6.投诉人为法人或者其他组织的，投诉书应由法定代表人、主要负责人，或者其授权代表签字或者盖章，并加盖公章。</w:t>
      </w:r>
    </w:p>
    <w:p w14:paraId="3A4DB45F">
      <w:pPr>
        <w:pStyle w:val="2"/>
        <w:jc w:val="center"/>
        <w:rPr>
          <w:rFonts w:hint="eastAsia"/>
          <w:color w:val="auto"/>
          <w:highlight w:val="none"/>
        </w:rPr>
      </w:pPr>
      <w:bookmarkStart w:id="115" w:name="_Toc74322013"/>
      <w:r>
        <w:rPr>
          <w:rFonts w:hint="eastAsia"/>
          <w:color w:val="auto"/>
          <w:highlight w:val="none"/>
        </w:rPr>
        <w:t>第六章 合同文本</w:t>
      </w:r>
      <w:bookmarkEnd w:id="115"/>
    </w:p>
    <w:p w14:paraId="033CAB06">
      <w:pPr>
        <w:adjustRightInd w:val="0"/>
        <w:snapToGrid w:val="0"/>
        <w:spacing w:line="380" w:lineRule="exact"/>
        <w:ind w:firstLine="420" w:firstLineChars="200"/>
        <w:rPr>
          <w:rFonts w:hint="eastAsia" w:ascii="宋体" w:hAnsi="宋体"/>
          <w:color w:val="auto"/>
          <w:szCs w:val="21"/>
          <w:highlight w:val="none"/>
        </w:rPr>
      </w:pPr>
    </w:p>
    <w:p w14:paraId="153A5749">
      <w:pPr>
        <w:spacing w:line="840" w:lineRule="exact"/>
        <w:ind w:firstLine="420"/>
        <w:rPr>
          <w:rFonts w:hint="eastAsia" w:ascii="黑体" w:hAnsi="黑体" w:eastAsia="黑体" w:cs="Courier New"/>
          <w:b/>
          <w:bCs/>
          <w:color w:val="auto"/>
          <w:sz w:val="72"/>
          <w:szCs w:val="72"/>
          <w:highlight w:val="none"/>
        </w:rPr>
      </w:pPr>
    </w:p>
    <w:p w14:paraId="52755D5F">
      <w:pPr>
        <w:pStyle w:val="18"/>
        <w:rPr>
          <w:rFonts w:hint="eastAsia" w:ascii="黑体" w:hAnsi="黑体" w:eastAsia="黑体" w:cs="Courier New"/>
          <w:b/>
          <w:bCs/>
          <w:color w:val="auto"/>
          <w:sz w:val="72"/>
          <w:szCs w:val="72"/>
          <w:highlight w:val="none"/>
        </w:rPr>
      </w:pPr>
    </w:p>
    <w:p w14:paraId="7B788B35">
      <w:pPr>
        <w:spacing w:line="840" w:lineRule="exact"/>
        <w:ind w:firstLine="420"/>
        <w:jc w:val="center"/>
        <w:rPr>
          <w:rFonts w:ascii="宋体" w:hAnsi="宋体" w:cs="Courier New"/>
          <w:b/>
          <w:bCs/>
          <w:color w:val="auto"/>
          <w:sz w:val="36"/>
          <w:szCs w:val="36"/>
          <w:highlight w:val="none"/>
        </w:rPr>
      </w:pPr>
      <w:r>
        <w:rPr>
          <w:rFonts w:hint="eastAsia" w:ascii="宋体" w:hAnsi="宋体" w:cs="Courier New"/>
          <w:b/>
          <w:bCs/>
          <w:color w:val="auto"/>
          <w:sz w:val="36"/>
          <w:szCs w:val="36"/>
          <w:highlight w:val="none"/>
        </w:rPr>
        <w:t>采购合同书</w:t>
      </w:r>
    </w:p>
    <w:p w14:paraId="785AD365">
      <w:pPr>
        <w:spacing w:line="340" w:lineRule="exact"/>
        <w:ind w:firstLine="420"/>
        <w:rPr>
          <w:rFonts w:hint="eastAsia" w:ascii="黑体" w:hAnsi="Courier New" w:eastAsia="黑体" w:cs="Courier New"/>
          <w:color w:val="auto"/>
          <w:highlight w:val="none"/>
        </w:rPr>
      </w:pPr>
      <w:r>
        <w:rPr>
          <w:rFonts w:hint="eastAsia" w:ascii="黑体" w:hAnsi="Courier New" w:eastAsia="黑体" w:cs="Courier New"/>
          <w:color w:val="auto"/>
          <w:highlight w:val="none"/>
        </w:rPr>
        <w:t xml:space="preserve"> </w:t>
      </w:r>
    </w:p>
    <w:p w14:paraId="50452D84">
      <w:pPr>
        <w:spacing w:line="340" w:lineRule="exact"/>
        <w:ind w:firstLine="420"/>
        <w:rPr>
          <w:rFonts w:hint="eastAsia" w:ascii="宋体" w:hAnsi="Courier New" w:cs="Courier New"/>
          <w:color w:val="auto"/>
          <w:highlight w:val="none"/>
        </w:rPr>
      </w:pPr>
      <w:r>
        <w:rPr>
          <w:rFonts w:hint="eastAsia" w:ascii="宋体" w:hAnsi="Courier New" w:cs="Courier New"/>
          <w:color w:val="auto"/>
          <w:highlight w:val="none"/>
        </w:rPr>
        <w:t xml:space="preserve"> </w:t>
      </w:r>
    </w:p>
    <w:p w14:paraId="2A765979">
      <w:pPr>
        <w:spacing w:line="340" w:lineRule="exact"/>
        <w:ind w:firstLine="420"/>
        <w:rPr>
          <w:rFonts w:hint="eastAsia" w:ascii="宋体" w:hAnsi="Courier New" w:cs="Courier New"/>
          <w:color w:val="auto"/>
          <w:highlight w:val="none"/>
        </w:rPr>
      </w:pPr>
      <w:r>
        <w:rPr>
          <w:rFonts w:hint="eastAsia" w:ascii="宋体" w:hAnsi="Courier New" w:cs="Courier New"/>
          <w:color w:val="auto"/>
          <w:highlight w:val="none"/>
        </w:rPr>
        <w:t xml:space="preserve"> </w:t>
      </w:r>
    </w:p>
    <w:p w14:paraId="6034C82C">
      <w:pPr>
        <w:spacing w:line="340" w:lineRule="exact"/>
        <w:ind w:firstLine="420"/>
        <w:rPr>
          <w:rFonts w:hint="eastAsia" w:ascii="宋体" w:hAnsi="Courier New" w:cs="Courier New"/>
          <w:color w:val="auto"/>
          <w:highlight w:val="none"/>
        </w:rPr>
      </w:pPr>
      <w:r>
        <w:rPr>
          <w:rFonts w:hint="eastAsia" w:ascii="宋体" w:hAnsi="Courier New" w:cs="Courier New"/>
          <w:color w:val="auto"/>
          <w:highlight w:val="none"/>
        </w:rPr>
        <w:t xml:space="preserve"> </w:t>
      </w:r>
    </w:p>
    <w:p w14:paraId="35359490">
      <w:pPr>
        <w:spacing w:line="340" w:lineRule="exact"/>
        <w:ind w:firstLine="420"/>
        <w:rPr>
          <w:rFonts w:hint="eastAsia" w:ascii="宋体" w:hAnsi="Courier New" w:cs="Courier New"/>
          <w:color w:val="auto"/>
          <w:highlight w:val="none"/>
        </w:rPr>
      </w:pPr>
      <w:r>
        <w:rPr>
          <w:rFonts w:hint="eastAsia" w:ascii="宋体" w:hAnsi="Courier New" w:cs="Courier New"/>
          <w:color w:val="auto"/>
          <w:highlight w:val="none"/>
        </w:rPr>
        <w:t xml:space="preserve"> </w:t>
      </w:r>
    </w:p>
    <w:p w14:paraId="60D823F9">
      <w:pPr>
        <w:spacing w:line="340" w:lineRule="exact"/>
        <w:ind w:firstLine="420"/>
        <w:rPr>
          <w:rFonts w:hint="eastAsia" w:ascii="宋体" w:hAnsi="Courier New" w:cs="Courier New"/>
          <w:color w:val="auto"/>
          <w:highlight w:val="none"/>
        </w:rPr>
      </w:pPr>
      <w:r>
        <w:rPr>
          <w:rFonts w:hint="eastAsia" w:ascii="宋体" w:hAnsi="Courier New" w:cs="Courier New"/>
          <w:color w:val="auto"/>
          <w:highlight w:val="none"/>
        </w:rPr>
        <w:t xml:space="preserve"> </w:t>
      </w:r>
    </w:p>
    <w:p w14:paraId="7F9F710B">
      <w:pPr>
        <w:spacing w:line="340" w:lineRule="exact"/>
        <w:ind w:firstLine="420"/>
        <w:rPr>
          <w:rFonts w:hint="eastAsia" w:ascii="宋体" w:hAnsi="Courier New" w:cs="Courier New"/>
          <w:color w:val="auto"/>
          <w:highlight w:val="none"/>
        </w:rPr>
      </w:pPr>
      <w:r>
        <w:rPr>
          <w:rFonts w:hint="eastAsia" w:ascii="宋体" w:hAnsi="Courier New" w:cs="Courier New"/>
          <w:color w:val="auto"/>
          <w:highlight w:val="none"/>
        </w:rPr>
        <w:t xml:space="preserve"> </w:t>
      </w:r>
    </w:p>
    <w:p w14:paraId="400898F9">
      <w:pPr>
        <w:spacing w:line="340" w:lineRule="exact"/>
        <w:ind w:firstLine="420"/>
        <w:rPr>
          <w:rFonts w:hint="eastAsia" w:ascii="宋体" w:hAnsi="Courier New" w:cs="Courier New"/>
          <w:color w:val="auto"/>
          <w:highlight w:val="none"/>
        </w:rPr>
      </w:pPr>
      <w:r>
        <w:rPr>
          <w:rFonts w:hint="eastAsia" w:ascii="宋体" w:hAnsi="Courier New" w:cs="Courier New"/>
          <w:color w:val="auto"/>
          <w:highlight w:val="none"/>
        </w:rPr>
        <w:t xml:space="preserve"> </w:t>
      </w:r>
    </w:p>
    <w:p w14:paraId="5BA67051">
      <w:pPr>
        <w:spacing w:line="340" w:lineRule="exact"/>
        <w:ind w:firstLine="420"/>
        <w:rPr>
          <w:rFonts w:hint="eastAsia" w:ascii="宋体" w:hAnsi="Courier New" w:cs="Courier New"/>
          <w:color w:val="auto"/>
          <w:highlight w:val="none"/>
        </w:rPr>
      </w:pPr>
      <w:r>
        <w:rPr>
          <w:rFonts w:hint="eastAsia" w:ascii="宋体" w:hAnsi="Courier New" w:cs="Courier New"/>
          <w:color w:val="auto"/>
          <w:highlight w:val="none"/>
        </w:rPr>
        <w:t xml:space="preserve"> </w:t>
      </w:r>
    </w:p>
    <w:p w14:paraId="3F6B4353">
      <w:pPr>
        <w:spacing w:line="340" w:lineRule="exact"/>
        <w:ind w:firstLine="420"/>
        <w:rPr>
          <w:rFonts w:hint="eastAsia" w:ascii="宋体" w:hAnsi="Courier New" w:cs="Courier New"/>
          <w:color w:val="auto"/>
          <w:highlight w:val="none"/>
        </w:rPr>
      </w:pPr>
      <w:r>
        <w:rPr>
          <w:rFonts w:hint="eastAsia" w:ascii="宋体" w:hAnsi="Courier New" w:cs="Courier New"/>
          <w:color w:val="auto"/>
          <w:highlight w:val="none"/>
        </w:rPr>
        <w:t xml:space="preserve"> </w:t>
      </w:r>
    </w:p>
    <w:p w14:paraId="0098ADAF">
      <w:pPr>
        <w:spacing w:line="340" w:lineRule="exact"/>
        <w:ind w:firstLine="420"/>
        <w:rPr>
          <w:rFonts w:hint="eastAsia" w:ascii="宋体" w:hAnsi="Courier New" w:cs="Courier New"/>
          <w:color w:val="auto"/>
          <w:highlight w:val="none"/>
        </w:rPr>
      </w:pPr>
      <w:r>
        <w:rPr>
          <w:rFonts w:hint="eastAsia" w:ascii="宋体" w:hAnsi="Courier New" w:cs="Courier New"/>
          <w:color w:val="auto"/>
          <w:highlight w:val="none"/>
        </w:rPr>
        <w:t xml:space="preserve"> </w:t>
      </w:r>
    </w:p>
    <w:p w14:paraId="0DDA003C">
      <w:pPr>
        <w:spacing w:line="340" w:lineRule="exact"/>
        <w:ind w:firstLine="420"/>
        <w:rPr>
          <w:rFonts w:hint="eastAsia" w:ascii="宋体" w:hAnsi="Courier New" w:cs="Courier New"/>
          <w:color w:val="auto"/>
          <w:highlight w:val="none"/>
        </w:rPr>
      </w:pPr>
      <w:r>
        <w:rPr>
          <w:rFonts w:hint="eastAsia" w:ascii="宋体" w:hAnsi="Courier New" w:cs="Courier New"/>
          <w:color w:val="auto"/>
          <w:highlight w:val="none"/>
        </w:rPr>
        <w:t xml:space="preserve"> </w:t>
      </w:r>
    </w:p>
    <w:p w14:paraId="67C59D8B">
      <w:pPr>
        <w:spacing w:line="340" w:lineRule="exact"/>
        <w:ind w:firstLine="420"/>
        <w:rPr>
          <w:rFonts w:hint="eastAsia" w:ascii="宋体" w:hAnsi="Courier New" w:cs="Courier New"/>
          <w:color w:val="auto"/>
          <w:highlight w:val="none"/>
        </w:rPr>
      </w:pPr>
      <w:r>
        <w:rPr>
          <w:rFonts w:hint="eastAsia" w:ascii="宋体" w:hAnsi="Courier New" w:cs="Courier New"/>
          <w:color w:val="auto"/>
          <w:highlight w:val="none"/>
        </w:rPr>
        <w:t xml:space="preserve"> </w:t>
      </w:r>
    </w:p>
    <w:p w14:paraId="5F020991">
      <w:pPr>
        <w:spacing w:line="340" w:lineRule="exact"/>
        <w:ind w:firstLine="420"/>
        <w:rPr>
          <w:rFonts w:hint="eastAsia" w:ascii="宋体" w:hAnsi="Courier New" w:cs="Courier New"/>
          <w:color w:val="auto"/>
          <w:highlight w:val="none"/>
        </w:rPr>
      </w:pPr>
      <w:r>
        <w:rPr>
          <w:rFonts w:hint="eastAsia" w:ascii="宋体" w:hAnsi="Courier New" w:cs="Courier New"/>
          <w:color w:val="auto"/>
          <w:highlight w:val="none"/>
        </w:rPr>
        <w:t xml:space="preserve"> </w:t>
      </w:r>
    </w:p>
    <w:p w14:paraId="682F8C48">
      <w:pPr>
        <w:spacing w:line="340" w:lineRule="exact"/>
        <w:ind w:firstLine="420"/>
        <w:rPr>
          <w:rFonts w:hint="eastAsia" w:ascii="宋体" w:hAnsi="Courier New" w:cs="Courier New"/>
          <w:color w:val="auto"/>
          <w:highlight w:val="none"/>
        </w:rPr>
      </w:pPr>
      <w:r>
        <w:rPr>
          <w:rFonts w:hint="eastAsia" w:ascii="宋体" w:hAnsi="Courier New" w:cs="Courier New"/>
          <w:color w:val="auto"/>
          <w:highlight w:val="none"/>
        </w:rPr>
        <w:t xml:space="preserve"> </w:t>
      </w:r>
    </w:p>
    <w:p w14:paraId="6679E8BE">
      <w:pPr>
        <w:spacing w:line="340" w:lineRule="exact"/>
        <w:ind w:firstLine="420"/>
        <w:rPr>
          <w:rFonts w:hint="eastAsia" w:ascii="宋体" w:hAnsi="Courier New" w:cs="Courier New"/>
          <w:color w:val="auto"/>
          <w:highlight w:val="none"/>
        </w:rPr>
      </w:pPr>
      <w:r>
        <w:rPr>
          <w:rFonts w:hint="eastAsia" w:ascii="宋体" w:hAnsi="Courier New" w:cs="Courier New"/>
          <w:color w:val="auto"/>
          <w:highlight w:val="none"/>
        </w:rPr>
        <w:t xml:space="preserve"> </w:t>
      </w:r>
    </w:p>
    <w:p w14:paraId="4F207D4C">
      <w:pPr>
        <w:spacing w:line="340" w:lineRule="exact"/>
        <w:ind w:firstLine="420"/>
        <w:rPr>
          <w:rFonts w:hint="eastAsia" w:ascii="宋体" w:hAnsi="Courier New" w:cs="Courier New"/>
          <w:color w:val="auto"/>
          <w:highlight w:val="none"/>
        </w:rPr>
      </w:pPr>
      <w:r>
        <w:rPr>
          <w:rFonts w:hint="eastAsia" w:ascii="宋体" w:hAnsi="Courier New" w:cs="Courier New"/>
          <w:color w:val="auto"/>
          <w:highlight w:val="none"/>
        </w:rPr>
        <w:t xml:space="preserve"> </w:t>
      </w:r>
    </w:p>
    <w:p w14:paraId="65B8A45E">
      <w:pPr>
        <w:spacing w:line="340" w:lineRule="exact"/>
        <w:ind w:firstLine="420"/>
        <w:rPr>
          <w:rFonts w:hint="eastAsia" w:ascii="宋体" w:hAnsi="Courier New" w:cs="Courier New"/>
          <w:color w:val="auto"/>
          <w:highlight w:val="none"/>
        </w:rPr>
      </w:pPr>
      <w:r>
        <w:rPr>
          <w:rFonts w:hint="eastAsia" w:ascii="宋体" w:hAnsi="Courier New" w:cs="Courier New"/>
          <w:color w:val="auto"/>
          <w:highlight w:val="none"/>
        </w:rPr>
        <w:t xml:space="preserve"> </w:t>
      </w:r>
    </w:p>
    <w:p w14:paraId="311B59DE">
      <w:pPr>
        <w:spacing w:line="340" w:lineRule="exact"/>
        <w:ind w:firstLine="420"/>
        <w:rPr>
          <w:rFonts w:hint="eastAsia" w:ascii="宋体" w:hAnsi="Courier New" w:cs="Courier New"/>
          <w:color w:val="auto"/>
          <w:highlight w:val="none"/>
        </w:rPr>
      </w:pPr>
      <w:r>
        <w:rPr>
          <w:rFonts w:hint="eastAsia" w:ascii="宋体" w:hAnsi="Courier New" w:cs="Courier New"/>
          <w:color w:val="auto"/>
          <w:highlight w:val="none"/>
        </w:rPr>
        <w:t xml:space="preserve"> </w:t>
      </w:r>
    </w:p>
    <w:p w14:paraId="5B604F79">
      <w:pPr>
        <w:spacing w:line="340" w:lineRule="exact"/>
        <w:ind w:firstLine="420"/>
        <w:rPr>
          <w:rFonts w:hint="eastAsia" w:ascii="宋体" w:hAnsi="Courier New" w:cs="Courier New"/>
          <w:b/>
          <w:color w:val="auto"/>
          <w:highlight w:val="none"/>
        </w:rPr>
      </w:pPr>
      <w:r>
        <w:rPr>
          <w:rFonts w:hint="eastAsia" w:ascii="宋体" w:hAnsi="Courier New" w:cs="Courier New"/>
          <w:b/>
          <w:color w:val="auto"/>
          <w:highlight w:val="none"/>
        </w:rPr>
        <w:t xml:space="preserve"> </w:t>
      </w:r>
    </w:p>
    <w:p w14:paraId="19D97E80">
      <w:pPr>
        <w:spacing w:line="460" w:lineRule="exact"/>
        <w:ind w:left="2469" w:leftChars="650" w:hanging="1104" w:hangingChars="500"/>
        <w:rPr>
          <w:rFonts w:hint="eastAsia" w:ascii="宋体" w:hAnsi="Courier New" w:cs="Courier New"/>
          <w:b/>
          <w:color w:val="auto"/>
          <w:sz w:val="22"/>
          <w:szCs w:val="22"/>
          <w:highlight w:val="none"/>
        </w:rPr>
      </w:pPr>
      <w:r>
        <w:rPr>
          <w:rFonts w:hint="eastAsia" w:ascii="宋体" w:hAnsi="宋体" w:cs="Courier New"/>
          <w:b/>
          <w:color w:val="auto"/>
          <w:sz w:val="22"/>
          <w:szCs w:val="22"/>
          <w:highlight w:val="none"/>
        </w:rPr>
        <w:t>项目名称：</w:t>
      </w:r>
      <w:r>
        <w:rPr>
          <w:rFonts w:hint="eastAsia" w:ascii="宋体" w:hAnsi="Courier New" w:cs="Courier New"/>
          <w:b/>
          <w:color w:val="auto"/>
          <w:sz w:val="22"/>
          <w:szCs w:val="22"/>
          <w:highlight w:val="none"/>
        </w:rPr>
        <w:t xml:space="preserve"> </w:t>
      </w:r>
    </w:p>
    <w:p w14:paraId="03FECBF4">
      <w:pPr>
        <w:spacing w:line="460" w:lineRule="exact"/>
        <w:ind w:left="2469" w:leftChars="650" w:hanging="1104" w:hangingChars="500"/>
        <w:rPr>
          <w:rFonts w:hint="eastAsia" w:ascii="宋体" w:hAnsi="Courier New" w:cs="Courier New"/>
          <w:b/>
          <w:color w:val="auto"/>
          <w:sz w:val="22"/>
          <w:szCs w:val="22"/>
          <w:highlight w:val="none"/>
        </w:rPr>
      </w:pPr>
      <w:r>
        <w:rPr>
          <w:rFonts w:hint="eastAsia" w:ascii="宋体" w:hAnsi="宋体" w:cs="Courier New"/>
          <w:b/>
          <w:color w:val="auto"/>
          <w:sz w:val="22"/>
          <w:szCs w:val="22"/>
          <w:highlight w:val="none"/>
        </w:rPr>
        <w:t>项目编号：</w:t>
      </w:r>
    </w:p>
    <w:p w14:paraId="692F6125">
      <w:pPr>
        <w:spacing w:line="460" w:lineRule="exact"/>
        <w:ind w:left="2469" w:leftChars="650" w:hanging="1104" w:hangingChars="500"/>
        <w:rPr>
          <w:rFonts w:hint="eastAsia" w:ascii="宋体" w:hAnsi="Courier New" w:cs="Courier New"/>
          <w:b/>
          <w:color w:val="auto"/>
          <w:sz w:val="22"/>
          <w:szCs w:val="22"/>
          <w:highlight w:val="none"/>
        </w:rPr>
      </w:pPr>
      <w:r>
        <w:rPr>
          <w:rFonts w:hint="eastAsia" w:ascii="宋体" w:hAnsi="宋体" w:cs="Courier New"/>
          <w:b/>
          <w:color w:val="auto"/>
          <w:sz w:val="22"/>
          <w:szCs w:val="22"/>
          <w:highlight w:val="none"/>
        </w:rPr>
        <w:t>签订地点：</w:t>
      </w:r>
      <w:r>
        <w:rPr>
          <w:rFonts w:hint="eastAsia" w:ascii="宋体" w:hAnsi="Courier New" w:cs="Courier New"/>
          <w:b/>
          <w:color w:val="auto"/>
          <w:sz w:val="22"/>
          <w:szCs w:val="22"/>
          <w:highlight w:val="none"/>
        </w:rPr>
        <w:t xml:space="preserve"> </w:t>
      </w:r>
    </w:p>
    <w:p w14:paraId="7A9A349B">
      <w:pPr>
        <w:spacing w:line="460" w:lineRule="exact"/>
        <w:ind w:left="2469" w:leftChars="650" w:hanging="1104" w:hangingChars="500"/>
        <w:rPr>
          <w:rFonts w:hint="eastAsia" w:ascii="宋体" w:hAnsi="Courier New" w:cs="Courier New"/>
          <w:b/>
          <w:color w:val="auto"/>
          <w:sz w:val="22"/>
          <w:szCs w:val="22"/>
          <w:highlight w:val="none"/>
        </w:rPr>
      </w:pPr>
      <w:r>
        <w:rPr>
          <w:rFonts w:hint="eastAsia" w:ascii="宋体" w:hAnsi="宋体" w:cs="Courier New"/>
          <w:b/>
          <w:color w:val="auto"/>
          <w:sz w:val="22"/>
          <w:szCs w:val="22"/>
          <w:highlight w:val="none"/>
        </w:rPr>
        <w:t>签订时间：</w:t>
      </w:r>
    </w:p>
    <w:p w14:paraId="13B83001">
      <w:pPr>
        <w:spacing w:line="340" w:lineRule="exact"/>
        <w:ind w:firstLine="420"/>
        <w:jc w:val="center"/>
        <w:rPr>
          <w:rFonts w:hint="eastAsia" w:ascii="宋体" w:hAnsi="Courier New" w:cs="Courier New"/>
          <w:b/>
          <w:color w:val="auto"/>
          <w:sz w:val="28"/>
          <w:szCs w:val="28"/>
          <w:highlight w:val="none"/>
        </w:rPr>
      </w:pPr>
      <w:r>
        <w:rPr>
          <w:rFonts w:hint="eastAsia" w:ascii="宋体" w:hAnsi="Courier New" w:cs="Courier New"/>
          <w:b/>
          <w:color w:val="auto"/>
          <w:sz w:val="28"/>
          <w:szCs w:val="28"/>
          <w:highlight w:val="none"/>
        </w:rPr>
        <w:t xml:space="preserve"> </w:t>
      </w:r>
    </w:p>
    <w:p w14:paraId="6AE933E8">
      <w:pPr>
        <w:jc w:val="center"/>
        <w:rPr>
          <w:b/>
          <w:bCs/>
          <w:color w:val="auto"/>
          <w:sz w:val="44"/>
          <w:szCs w:val="44"/>
          <w:highlight w:val="none"/>
        </w:rPr>
      </w:pPr>
      <w:r>
        <w:rPr>
          <w:rFonts w:hint="eastAsia" w:ascii="宋体" w:hAnsi="宋体"/>
          <w:b/>
          <w:bCs/>
          <w:color w:val="auto"/>
          <w:sz w:val="44"/>
          <w:szCs w:val="44"/>
          <w:highlight w:val="none"/>
        </w:rPr>
        <w:t>目</w:t>
      </w:r>
      <w:r>
        <w:rPr>
          <w:b/>
          <w:bCs/>
          <w:color w:val="auto"/>
          <w:sz w:val="44"/>
          <w:szCs w:val="44"/>
          <w:highlight w:val="none"/>
        </w:rPr>
        <w:t xml:space="preserve">       </w:t>
      </w:r>
      <w:r>
        <w:rPr>
          <w:rFonts w:hint="eastAsia" w:ascii="宋体" w:hAnsi="宋体"/>
          <w:b/>
          <w:bCs/>
          <w:color w:val="auto"/>
          <w:sz w:val="44"/>
          <w:szCs w:val="44"/>
          <w:highlight w:val="none"/>
        </w:rPr>
        <w:t>录</w:t>
      </w:r>
    </w:p>
    <w:p w14:paraId="2264DD91">
      <w:pPr>
        <w:spacing w:line="600" w:lineRule="exact"/>
        <w:ind w:firstLine="2311" w:firstLineChars="642"/>
        <w:rPr>
          <w:color w:val="auto"/>
          <w:spacing w:val="40"/>
          <w:sz w:val="28"/>
          <w:szCs w:val="28"/>
          <w:highlight w:val="none"/>
        </w:rPr>
      </w:pPr>
      <w:r>
        <w:rPr>
          <w:color w:val="auto"/>
          <w:spacing w:val="40"/>
          <w:sz w:val="28"/>
          <w:szCs w:val="28"/>
          <w:highlight w:val="none"/>
        </w:rPr>
        <w:t xml:space="preserve"> </w:t>
      </w:r>
    </w:p>
    <w:p w14:paraId="41B107ED">
      <w:pPr>
        <w:spacing w:line="480" w:lineRule="auto"/>
        <w:ind w:firstLine="2311" w:firstLineChars="642"/>
        <w:rPr>
          <w:color w:val="auto"/>
          <w:spacing w:val="40"/>
          <w:sz w:val="28"/>
          <w:szCs w:val="28"/>
          <w:highlight w:val="none"/>
        </w:rPr>
      </w:pPr>
      <w:r>
        <w:rPr>
          <w:color w:val="auto"/>
          <w:spacing w:val="40"/>
          <w:sz w:val="28"/>
          <w:szCs w:val="28"/>
          <w:highlight w:val="none"/>
        </w:rPr>
        <w:t xml:space="preserve"> </w:t>
      </w:r>
    </w:p>
    <w:p w14:paraId="6BAED94F">
      <w:pPr>
        <w:spacing w:line="480" w:lineRule="auto"/>
        <w:ind w:firstLine="2800" w:firstLineChars="1000"/>
        <w:rPr>
          <w:color w:val="auto"/>
          <w:sz w:val="28"/>
          <w:szCs w:val="28"/>
          <w:highlight w:val="none"/>
        </w:rPr>
      </w:pPr>
      <w:r>
        <w:rPr>
          <w:rFonts w:hint="eastAsia" w:ascii="宋体" w:hAnsi="宋体"/>
          <w:color w:val="auto"/>
          <w:sz w:val="28"/>
          <w:szCs w:val="28"/>
          <w:highlight w:val="none"/>
        </w:rPr>
        <w:t>第一部分</w:t>
      </w:r>
      <w:r>
        <w:rPr>
          <w:color w:val="auto"/>
          <w:sz w:val="28"/>
          <w:szCs w:val="28"/>
          <w:highlight w:val="none"/>
        </w:rPr>
        <w:t xml:space="preserve">  </w:t>
      </w:r>
      <w:r>
        <w:rPr>
          <w:rFonts w:hint="eastAsia" w:ascii="宋体" w:hAnsi="宋体"/>
          <w:color w:val="auto"/>
          <w:sz w:val="28"/>
          <w:szCs w:val="28"/>
          <w:highlight w:val="none"/>
        </w:rPr>
        <w:t>合同主要条款</w:t>
      </w:r>
    </w:p>
    <w:p w14:paraId="3D2E40A1">
      <w:pPr>
        <w:spacing w:line="480" w:lineRule="auto"/>
        <w:ind w:firstLine="2800" w:firstLineChars="1000"/>
        <w:rPr>
          <w:color w:val="auto"/>
          <w:sz w:val="28"/>
          <w:szCs w:val="28"/>
          <w:highlight w:val="none"/>
        </w:rPr>
      </w:pPr>
      <w:r>
        <w:rPr>
          <w:rFonts w:hint="eastAsia" w:ascii="宋体" w:hAnsi="宋体"/>
          <w:color w:val="auto"/>
          <w:sz w:val="28"/>
          <w:szCs w:val="28"/>
          <w:highlight w:val="none"/>
        </w:rPr>
        <w:t>第二部分</w:t>
      </w:r>
      <w:r>
        <w:rPr>
          <w:color w:val="auto"/>
          <w:sz w:val="28"/>
          <w:szCs w:val="28"/>
          <w:highlight w:val="none"/>
        </w:rPr>
        <w:t xml:space="preserve">  </w:t>
      </w:r>
      <w:r>
        <w:rPr>
          <w:rFonts w:hint="eastAsia" w:ascii="宋体" w:hAnsi="宋体"/>
          <w:color w:val="auto"/>
          <w:sz w:val="28"/>
          <w:szCs w:val="28"/>
          <w:highlight w:val="none"/>
        </w:rPr>
        <w:t>合同附件</w:t>
      </w:r>
    </w:p>
    <w:p w14:paraId="4A431B5F">
      <w:pPr>
        <w:spacing w:line="480" w:lineRule="auto"/>
        <w:ind w:firstLine="2880" w:firstLineChars="1200"/>
        <w:rPr>
          <w:color w:val="auto"/>
          <w:sz w:val="24"/>
          <w:highlight w:val="none"/>
        </w:rPr>
      </w:pPr>
      <w:r>
        <w:rPr>
          <w:rFonts w:hint="eastAsia" w:ascii="宋体" w:hAnsi="宋体"/>
          <w:color w:val="auto"/>
          <w:sz w:val="24"/>
          <w:highlight w:val="none"/>
        </w:rPr>
        <w:t>附件</w:t>
      </w:r>
      <w:r>
        <w:rPr>
          <w:color w:val="auto"/>
          <w:sz w:val="24"/>
          <w:highlight w:val="none"/>
        </w:rPr>
        <w:t>1</w:t>
      </w:r>
      <w:r>
        <w:rPr>
          <w:rFonts w:hint="eastAsia" w:ascii="宋体" w:hAnsi="宋体"/>
          <w:color w:val="auto"/>
          <w:sz w:val="24"/>
          <w:highlight w:val="none"/>
        </w:rPr>
        <w:t>：项目采购需求</w:t>
      </w:r>
    </w:p>
    <w:p w14:paraId="001AB2D5">
      <w:pPr>
        <w:spacing w:line="480" w:lineRule="auto"/>
        <w:ind w:firstLine="2880" w:firstLineChars="1200"/>
        <w:rPr>
          <w:color w:val="auto"/>
          <w:sz w:val="24"/>
          <w:highlight w:val="none"/>
        </w:rPr>
      </w:pPr>
      <w:r>
        <w:rPr>
          <w:rFonts w:hint="eastAsia" w:ascii="宋体" w:hAnsi="宋体"/>
          <w:color w:val="auto"/>
          <w:sz w:val="24"/>
          <w:highlight w:val="none"/>
        </w:rPr>
        <w:t>附件</w:t>
      </w:r>
      <w:r>
        <w:rPr>
          <w:color w:val="auto"/>
          <w:sz w:val="24"/>
          <w:highlight w:val="none"/>
        </w:rPr>
        <w:t>2</w:t>
      </w:r>
      <w:r>
        <w:rPr>
          <w:rFonts w:hint="eastAsia" w:ascii="宋体" w:hAnsi="宋体"/>
          <w:color w:val="auto"/>
          <w:sz w:val="24"/>
          <w:highlight w:val="none"/>
        </w:rPr>
        <w:t>：响应函</w:t>
      </w:r>
    </w:p>
    <w:p w14:paraId="38365CDA">
      <w:pPr>
        <w:spacing w:line="480" w:lineRule="auto"/>
        <w:ind w:firstLine="2880" w:firstLineChars="1200"/>
        <w:rPr>
          <w:color w:val="auto"/>
          <w:sz w:val="24"/>
          <w:highlight w:val="none"/>
        </w:rPr>
      </w:pPr>
      <w:r>
        <w:rPr>
          <w:rFonts w:hint="eastAsia" w:ascii="宋体" w:hAnsi="宋体"/>
          <w:color w:val="auto"/>
          <w:sz w:val="24"/>
          <w:highlight w:val="none"/>
        </w:rPr>
        <w:t>附件</w:t>
      </w:r>
      <w:r>
        <w:rPr>
          <w:color w:val="auto"/>
          <w:sz w:val="24"/>
          <w:highlight w:val="none"/>
        </w:rPr>
        <w:t>3</w:t>
      </w:r>
      <w:r>
        <w:rPr>
          <w:rFonts w:hint="eastAsia" w:ascii="宋体" w:hAnsi="宋体"/>
          <w:color w:val="auto"/>
          <w:sz w:val="24"/>
          <w:highlight w:val="none"/>
        </w:rPr>
        <w:t>：响应报价明细表</w:t>
      </w:r>
    </w:p>
    <w:p w14:paraId="2EA85399">
      <w:pPr>
        <w:spacing w:line="480" w:lineRule="auto"/>
        <w:ind w:firstLine="2880" w:firstLineChars="1200"/>
        <w:rPr>
          <w:color w:val="auto"/>
          <w:sz w:val="24"/>
          <w:highlight w:val="none"/>
        </w:rPr>
      </w:pPr>
      <w:r>
        <w:rPr>
          <w:rFonts w:hint="eastAsia" w:ascii="宋体" w:hAnsi="宋体"/>
          <w:color w:val="auto"/>
          <w:sz w:val="24"/>
          <w:highlight w:val="none"/>
        </w:rPr>
        <w:t>附件</w:t>
      </w:r>
      <w:r>
        <w:rPr>
          <w:color w:val="auto"/>
          <w:sz w:val="24"/>
          <w:highlight w:val="none"/>
        </w:rPr>
        <w:t>4</w:t>
      </w:r>
      <w:r>
        <w:rPr>
          <w:rFonts w:hint="eastAsia" w:ascii="宋体" w:hAnsi="宋体"/>
          <w:color w:val="auto"/>
          <w:sz w:val="24"/>
          <w:highlight w:val="none"/>
        </w:rPr>
        <w:t>：商务、技术响应表</w:t>
      </w:r>
    </w:p>
    <w:p w14:paraId="28F5ED2F">
      <w:pPr>
        <w:spacing w:line="480" w:lineRule="auto"/>
        <w:ind w:firstLine="2880" w:firstLineChars="1200"/>
        <w:rPr>
          <w:color w:val="auto"/>
          <w:sz w:val="24"/>
          <w:highlight w:val="none"/>
        </w:rPr>
      </w:pPr>
      <w:r>
        <w:rPr>
          <w:rFonts w:hint="eastAsia" w:ascii="宋体" w:hAnsi="宋体"/>
          <w:color w:val="auto"/>
          <w:sz w:val="24"/>
          <w:highlight w:val="none"/>
        </w:rPr>
        <w:t>附件</w:t>
      </w:r>
      <w:r>
        <w:rPr>
          <w:color w:val="auto"/>
          <w:sz w:val="24"/>
          <w:highlight w:val="none"/>
        </w:rPr>
        <w:t>5</w:t>
      </w:r>
      <w:r>
        <w:rPr>
          <w:rFonts w:hint="eastAsia" w:ascii="宋体" w:hAnsi="宋体"/>
          <w:color w:val="auto"/>
          <w:sz w:val="24"/>
          <w:highlight w:val="none"/>
        </w:rPr>
        <w:t>：售后服务承诺</w:t>
      </w:r>
    </w:p>
    <w:p w14:paraId="73477734">
      <w:pPr>
        <w:spacing w:line="480" w:lineRule="auto"/>
        <w:ind w:firstLine="2880" w:firstLineChars="1200"/>
        <w:rPr>
          <w:color w:val="auto"/>
          <w:highlight w:val="none"/>
        </w:rPr>
      </w:pPr>
      <w:r>
        <w:rPr>
          <w:rFonts w:hint="eastAsia" w:ascii="宋体" w:hAnsi="宋体"/>
          <w:color w:val="auto"/>
          <w:sz w:val="24"/>
          <w:highlight w:val="none"/>
        </w:rPr>
        <w:t>附件</w:t>
      </w:r>
      <w:r>
        <w:rPr>
          <w:color w:val="auto"/>
          <w:sz w:val="24"/>
          <w:highlight w:val="none"/>
        </w:rPr>
        <w:t>6</w:t>
      </w:r>
      <w:r>
        <w:rPr>
          <w:rFonts w:hint="eastAsia" w:ascii="宋体" w:hAnsi="宋体"/>
          <w:color w:val="auto"/>
          <w:sz w:val="24"/>
          <w:highlight w:val="none"/>
        </w:rPr>
        <w:t>：成交通知书</w:t>
      </w:r>
    </w:p>
    <w:p w14:paraId="037AAB6E">
      <w:pPr>
        <w:spacing w:before="120" w:after="240" w:afterLines="100" w:line="320" w:lineRule="atLeast"/>
        <w:ind w:firstLine="723" w:firstLineChars="200"/>
        <w:jc w:val="center"/>
        <w:rPr>
          <w:rFonts w:hint="eastAsia" w:ascii="宋体" w:hAnsi="宋体"/>
          <w:b/>
          <w:bCs/>
          <w:color w:val="auto"/>
          <w:kern w:val="0"/>
          <w:sz w:val="36"/>
          <w:szCs w:val="36"/>
          <w:highlight w:val="none"/>
        </w:rPr>
      </w:pPr>
    </w:p>
    <w:p w14:paraId="486385A4">
      <w:pPr>
        <w:pStyle w:val="18"/>
        <w:rPr>
          <w:rFonts w:hint="eastAsia" w:ascii="宋体" w:hAnsi="宋体"/>
          <w:b/>
          <w:bCs/>
          <w:color w:val="auto"/>
          <w:sz w:val="36"/>
          <w:szCs w:val="36"/>
          <w:highlight w:val="none"/>
        </w:rPr>
      </w:pPr>
    </w:p>
    <w:p w14:paraId="07278535">
      <w:pPr>
        <w:pStyle w:val="18"/>
        <w:rPr>
          <w:rFonts w:hint="eastAsia" w:ascii="宋体" w:hAnsi="宋体"/>
          <w:b/>
          <w:bCs/>
          <w:color w:val="auto"/>
          <w:sz w:val="36"/>
          <w:szCs w:val="36"/>
          <w:highlight w:val="none"/>
        </w:rPr>
      </w:pPr>
    </w:p>
    <w:p w14:paraId="1A6B04F4">
      <w:pPr>
        <w:pStyle w:val="18"/>
        <w:rPr>
          <w:rFonts w:hint="eastAsia" w:ascii="宋体" w:hAnsi="宋体"/>
          <w:b/>
          <w:bCs/>
          <w:color w:val="auto"/>
          <w:sz w:val="36"/>
          <w:szCs w:val="36"/>
          <w:highlight w:val="none"/>
        </w:rPr>
      </w:pPr>
    </w:p>
    <w:p w14:paraId="500C8184">
      <w:pPr>
        <w:pStyle w:val="18"/>
        <w:rPr>
          <w:rFonts w:hint="eastAsia" w:ascii="宋体" w:hAnsi="宋体"/>
          <w:b/>
          <w:bCs/>
          <w:color w:val="auto"/>
          <w:sz w:val="36"/>
          <w:szCs w:val="36"/>
          <w:highlight w:val="none"/>
        </w:rPr>
      </w:pPr>
    </w:p>
    <w:p w14:paraId="5F639653">
      <w:pPr>
        <w:pStyle w:val="18"/>
        <w:rPr>
          <w:rFonts w:hint="eastAsia" w:ascii="宋体" w:hAnsi="宋体"/>
          <w:b/>
          <w:bCs/>
          <w:color w:val="auto"/>
          <w:sz w:val="36"/>
          <w:szCs w:val="36"/>
          <w:highlight w:val="none"/>
        </w:rPr>
      </w:pPr>
    </w:p>
    <w:p w14:paraId="328D484A">
      <w:pPr>
        <w:pStyle w:val="18"/>
        <w:rPr>
          <w:rFonts w:hint="eastAsia" w:ascii="宋体" w:hAnsi="宋体"/>
          <w:b/>
          <w:bCs/>
          <w:color w:val="auto"/>
          <w:sz w:val="36"/>
          <w:szCs w:val="36"/>
          <w:highlight w:val="none"/>
        </w:rPr>
      </w:pPr>
    </w:p>
    <w:p w14:paraId="02677828">
      <w:pPr>
        <w:pStyle w:val="18"/>
        <w:rPr>
          <w:rFonts w:hint="eastAsia" w:ascii="宋体" w:hAnsi="宋体"/>
          <w:b/>
          <w:bCs/>
          <w:color w:val="auto"/>
          <w:sz w:val="36"/>
          <w:szCs w:val="36"/>
          <w:highlight w:val="none"/>
        </w:rPr>
      </w:pPr>
    </w:p>
    <w:p w14:paraId="4DF092A2">
      <w:pPr>
        <w:pStyle w:val="18"/>
        <w:rPr>
          <w:rFonts w:hint="eastAsia" w:ascii="宋体" w:hAnsi="宋体"/>
          <w:b/>
          <w:bCs/>
          <w:color w:val="auto"/>
          <w:sz w:val="36"/>
          <w:szCs w:val="36"/>
          <w:highlight w:val="none"/>
        </w:rPr>
      </w:pPr>
    </w:p>
    <w:p w14:paraId="06839ACB">
      <w:pPr>
        <w:pStyle w:val="18"/>
        <w:rPr>
          <w:rFonts w:hint="eastAsia" w:ascii="宋体" w:hAnsi="宋体"/>
          <w:b/>
          <w:bCs/>
          <w:color w:val="auto"/>
          <w:sz w:val="36"/>
          <w:szCs w:val="36"/>
          <w:highlight w:val="none"/>
        </w:rPr>
      </w:pPr>
    </w:p>
    <w:p w14:paraId="6538644B">
      <w:pPr>
        <w:pStyle w:val="18"/>
        <w:rPr>
          <w:rFonts w:hint="eastAsia" w:ascii="宋体" w:hAnsi="宋体"/>
          <w:b/>
          <w:bCs/>
          <w:color w:val="auto"/>
          <w:sz w:val="36"/>
          <w:szCs w:val="36"/>
          <w:highlight w:val="none"/>
        </w:rPr>
      </w:pPr>
    </w:p>
    <w:p w14:paraId="0F5D2242">
      <w:pPr>
        <w:pStyle w:val="18"/>
        <w:rPr>
          <w:rFonts w:hint="eastAsia" w:ascii="宋体" w:hAnsi="宋体"/>
          <w:b/>
          <w:bCs/>
          <w:color w:val="auto"/>
          <w:sz w:val="36"/>
          <w:szCs w:val="36"/>
          <w:highlight w:val="none"/>
        </w:rPr>
      </w:pPr>
    </w:p>
    <w:p w14:paraId="43C7844A">
      <w:pPr>
        <w:spacing w:before="120" w:after="240" w:afterLines="100" w:line="320" w:lineRule="atLeast"/>
        <w:ind w:firstLine="723" w:firstLineChars="200"/>
        <w:jc w:val="center"/>
        <w:rPr>
          <w:rFonts w:hint="eastAsia" w:ascii="宋体" w:hAnsi="宋体"/>
          <w:b/>
          <w:bCs/>
          <w:color w:val="auto"/>
          <w:kern w:val="0"/>
          <w:sz w:val="36"/>
          <w:szCs w:val="36"/>
          <w:highlight w:val="none"/>
        </w:rPr>
      </w:pPr>
    </w:p>
    <w:p w14:paraId="03D73219">
      <w:pPr>
        <w:spacing w:before="120" w:after="240" w:afterLines="100" w:line="320" w:lineRule="atLeast"/>
        <w:ind w:firstLine="723" w:firstLineChars="200"/>
        <w:jc w:val="center"/>
        <w:rPr>
          <w:b/>
          <w:bCs/>
          <w:color w:val="auto"/>
          <w:kern w:val="0"/>
          <w:sz w:val="36"/>
          <w:szCs w:val="36"/>
          <w:highlight w:val="none"/>
        </w:rPr>
      </w:pPr>
      <w:r>
        <w:rPr>
          <w:rFonts w:hint="eastAsia" w:ascii="宋体" w:hAnsi="宋体"/>
          <w:b/>
          <w:bCs/>
          <w:color w:val="auto"/>
          <w:kern w:val="0"/>
          <w:sz w:val="36"/>
          <w:szCs w:val="36"/>
          <w:highlight w:val="none"/>
        </w:rPr>
        <w:t>广西壮族自治区政府采购合同</w:t>
      </w:r>
    </w:p>
    <w:p w14:paraId="12C51F9B">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 xml:space="preserve">合同编号：                                    </w:t>
      </w:r>
    </w:p>
    <w:p w14:paraId="6FC36976">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甲方</w:t>
      </w:r>
      <w:r>
        <w:rPr>
          <w:rFonts w:hint="eastAsia" w:ascii="仿宋" w:hAnsi="仿宋" w:eastAsia="仿宋" w:cs="仿宋"/>
          <w:b/>
          <w:bCs/>
          <w:color w:val="auto"/>
          <w:sz w:val="24"/>
          <w:highlight w:val="none"/>
        </w:rPr>
        <w:t>（采购单位）</w:t>
      </w:r>
      <w:r>
        <w:rPr>
          <w:rFonts w:hint="eastAsia" w:ascii="仿宋" w:hAnsi="仿宋" w:eastAsia="仿宋" w:cs="仿宋"/>
          <w:color w:val="auto"/>
          <w:sz w:val="24"/>
          <w:highlight w:val="none"/>
        </w:rPr>
        <w:t>：</w:t>
      </w:r>
    </w:p>
    <w:p w14:paraId="4BE8ECA7">
      <w:pPr>
        <w:snapToGrid w:val="0"/>
        <w:spacing w:line="440" w:lineRule="exact"/>
        <w:ind w:firstLine="720" w:firstLineChars="300"/>
        <w:jc w:val="left"/>
        <w:rPr>
          <w:rFonts w:hint="eastAsia" w:ascii="仿宋" w:hAnsi="仿宋" w:eastAsia="仿宋" w:cs="仿宋"/>
          <w:color w:val="auto"/>
          <w:sz w:val="24"/>
          <w:highlight w:val="none"/>
        </w:rPr>
      </w:pPr>
    </w:p>
    <w:p w14:paraId="411AD920">
      <w:pPr>
        <w:snapToGrid w:val="0"/>
        <w:spacing w:line="440" w:lineRule="exact"/>
        <w:jc w:val="left"/>
        <w:rPr>
          <w:rFonts w:ascii="仿宋" w:hAnsi="仿宋" w:eastAsia="仿宋" w:cs="仿宋"/>
          <w:strike/>
          <w:color w:val="auto"/>
          <w:sz w:val="24"/>
          <w:highlight w:val="none"/>
          <w:u w:val="single"/>
        </w:rPr>
      </w:pPr>
      <w:r>
        <w:rPr>
          <w:rFonts w:hint="eastAsia" w:ascii="仿宋" w:hAnsi="仿宋" w:eastAsia="仿宋" w:cs="仿宋"/>
          <w:color w:val="auto"/>
          <w:sz w:val="24"/>
          <w:highlight w:val="none"/>
        </w:rPr>
        <w:t>乙方</w:t>
      </w:r>
      <w:r>
        <w:rPr>
          <w:rFonts w:hint="eastAsia" w:ascii="仿宋" w:hAnsi="仿宋" w:eastAsia="仿宋" w:cs="仿宋"/>
          <w:b/>
          <w:bCs/>
          <w:color w:val="auto"/>
          <w:sz w:val="24"/>
          <w:highlight w:val="none"/>
        </w:rPr>
        <w:t>（成交供应商）</w:t>
      </w:r>
      <w:r>
        <w:rPr>
          <w:rFonts w:hint="eastAsia" w:ascii="仿宋" w:hAnsi="仿宋" w:eastAsia="仿宋" w:cs="仿宋"/>
          <w:color w:val="auto"/>
          <w:sz w:val="24"/>
          <w:highlight w:val="none"/>
        </w:rPr>
        <w:t xml:space="preserve">：                         </w:t>
      </w:r>
    </w:p>
    <w:p w14:paraId="1C7276A6">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 xml:space="preserve">采购计划号：                    </w:t>
      </w:r>
    </w:p>
    <w:p w14:paraId="6ED3A373">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 xml:space="preserve">项目名称：                          项目编号：                     </w:t>
      </w:r>
    </w:p>
    <w:p w14:paraId="222E8273">
      <w:pPr>
        <w:snapToGrid w:val="0"/>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签订地点：                          签订时间：       年    月    日</w:t>
      </w:r>
    </w:p>
    <w:p w14:paraId="20CDA96C">
      <w:pPr>
        <w:snapToGrid w:val="0"/>
        <w:spacing w:line="3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 </w:t>
      </w:r>
    </w:p>
    <w:p w14:paraId="3333B646">
      <w:pPr>
        <w:pStyle w:val="15"/>
        <w:spacing w:line="440" w:lineRule="exact"/>
        <w:ind w:firstLine="480" w:firstLineChars="200"/>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根据《中华人民共和国政府采购法》、《政府采购货物和服务招标投标管理办法》、《中华人民共和国民法典》等法律、法规规定，按照</w:t>
      </w:r>
      <w:r>
        <w:rPr>
          <w:rFonts w:hint="eastAsia" w:ascii="仿宋" w:hAnsi="仿宋" w:eastAsia="仿宋" w:cs="仿宋"/>
          <w:color w:val="auto"/>
          <w:sz w:val="24"/>
          <w:szCs w:val="24"/>
          <w:highlight w:val="none"/>
          <w:lang w:eastAsia="zh-CN"/>
        </w:rPr>
        <w:t>采购文件</w:t>
      </w:r>
      <w:r>
        <w:rPr>
          <w:rFonts w:hint="eastAsia" w:ascii="仿宋" w:hAnsi="仿宋" w:eastAsia="仿宋" w:cs="仿宋"/>
          <w:color w:val="auto"/>
          <w:sz w:val="24"/>
          <w:szCs w:val="24"/>
          <w:highlight w:val="none"/>
        </w:rPr>
        <w:t>规定和乙方</w:t>
      </w:r>
      <w:r>
        <w:rPr>
          <w:rFonts w:hint="eastAsia" w:ascii="仿宋" w:hAnsi="仿宋" w:eastAsia="仿宋" w:cs="仿宋"/>
          <w:color w:val="auto"/>
          <w:sz w:val="24"/>
          <w:szCs w:val="24"/>
          <w:highlight w:val="none"/>
          <w:lang w:eastAsia="zh-CN"/>
        </w:rPr>
        <w:t>响应文件</w:t>
      </w:r>
      <w:r>
        <w:rPr>
          <w:rFonts w:hint="eastAsia" w:ascii="仿宋" w:hAnsi="仿宋" w:eastAsia="仿宋" w:cs="仿宋"/>
          <w:color w:val="auto"/>
          <w:sz w:val="24"/>
          <w:szCs w:val="24"/>
          <w:highlight w:val="none"/>
        </w:rPr>
        <w:t>及其承诺，甲乙双方经友好协商，就    项目（项目编号：    ）的采购事宜达成如下条款，供双方共同遵守。</w:t>
      </w:r>
    </w:p>
    <w:p w14:paraId="308A1E34">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第一条 合同标的</w:t>
      </w:r>
    </w:p>
    <w:p w14:paraId="2EC8BD7B">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1.供货一览表</w:t>
      </w:r>
    </w:p>
    <w:tbl>
      <w:tblPr>
        <w:tblStyle w:val="24"/>
        <w:tblW w:w="8458"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6"/>
        <w:gridCol w:w="996"/>
        <w:gridCol w:w="954"/>
        <w:gridCol w:w="944"/>
        <w:gridCol w:w="1181"/>
        <w:gridCol w:w="716"/>
        <w:gridCol w:w="875"/>
        <w:gridCol w:w="1023"/>
        <w:gridCol w:w="1273"/>
      </w:tblGrid>
      <w:tr w14:paraId="738E4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0" w:hRule="atLeast"/>
        </w:trPr>
        <w:tc>
          <w:tcPr>
            <w:tcW w:w="496" w:type="dxa"/>
            <w:tcBorders>
              <w:top w:val="single" w:color="auto" w:sz="4" w:space="0"/>
              <w:left w:val="single" w:color="auto" w:sz="4" w:space="0"/>
              <w:bottom w:val="single" w:color="auto" w:sz="4" w:space="0"/>
              <w:right w:val="single" w:color="auto" w:sz="4" w:space="0"/>
            </w:tcBorders>
            <w:noWrap w:val="0"/>
            <w:vAlign w:val="center"/>
          </w:tcPr>
          <w:p w14:paraId="6CB50D37">
            <w:pPr>
              <w:snapToGrid w:val="0"/>
              <w:spacing w:line="3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996" w:type="dxa"/>
            <w:tcBorders>
              <w:top w:val="single" w:color="auto" w:sz="4" w:space="0"/>
              <w:left w:val="nil"/>
              <w:bottom w:val="single" w:color="auto" w:sz="4" w:space="0"/>
              <w:right w:val="single" w:color="auto" w:sz="4" w:space="0"/>
            </w:tcBorders>
            <w:noWrap w:val="0"/>
            <w:vAlign w:val="center"/>
          </w:tcPr>
          <w:p w14:paraId="0D6CD8C5">
            <w:pPr>
              <w:snapToGrid w:val="0"/>
              <w:spacing w:line="3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产品</w:t>
            </w:r>
          </w:p>
          <w:p w14:paraId="594A7DD8">
            <w:pPr>
              <w:snapToGrid w:val="0"/>
              <w:spacing w:line="3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名称</w:t>
            </w:r>
          </w:p>
        </w:tc>
        <w:tc>
          <w:tcPr>
            <w:tcW w:w="954" w:type="dxa"/>
            <w:tcBorders>
              <w:top w:val="single" w:color="auto" w:sz="4" w:space="0"/>
              <w:left w:val="nil"/>
              <w:bottom w:val="single" w:color="auto" w:sz="4" w:space="0"/>
              <w:right w:val="single" w:color="auto" w:sz="4" w:space="0"/>
            </w:tcBorders>
            <w:noWrap w:val="0"/>
            <w:vAlign w:val="center"/>
          </w:tcPr>
          <w:p w14:paraId="605736A6">
            <w:pPr>
              <w:snapToGrid w:val="0"/>
              <w:spacing w:line="3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商标</w:t>
            </w:r>
          </w:p>
          <w:p w14:paraId="01C5C478">
            <w:pPr>
              <w:snapToGrid w:val="0"/>
              <w:spacing w:line="3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品牌</w:t>
            </w:r>
          </w:p>
        </w:tc>
        <w:tc>
          <w:tcPr>
            <w:tcW w:w="944" w:type="dxa"/>
            <w:tcBorders>
              <w:top w:val="single" w:color="auto" w:sz="4" w:space="0"/>
              <w:left w:val="nil"/>
              <w:bottom w:val="single" w:color="auto" w:sz="4" w:space="0"/>
              <w:right w:val="single" w:color="auto" w:sz="4" w:space="0"/>
            </w:tcBorders>
            <w:noWrap w:val="0"/>
            <w:vAlign w:val="center"/>
          </w:tcPr>
          <w:p w14:paraId="14C6679F">
            <w:pPr>
              <w:snapToGrid w:val="0"/>
              <w:spacing w:line="3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型号</w:t>
            </w:r>
          </w:p>
          <w:p w14:paraId="4E512039">
            <w:pPr>
              <w:snapToGrid w:val="0"/>
              <w:spacing w:line="3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参数</w:t>
            </w:r>
          </w:p>
        </w:tc>
        <w:tc>
          <w:tcPr>
            <w:tcW w:w="1181" w:type="dxa"/>
            <w:tcBorders>
              <w:top w:val="single" w:color="auto" w:sz="4" w:space="0"/>
              <w:left w:val="nil"/>
              <w:bottom w:val="single" w:color="auto" w:sz="4" w:space="0"/>
              <w:right w:val="single" w:color="auto" w:sz="4" w:space="0"/>
            </w:tcBorders>
            <w:noWrap w:val="0"/>
            <w:vAlign w:val="center"/>
          </w:tcPr>
          <w:p w14:paraId="05C56408">
            <w:pPr>
              <w:snapToGrid w:val="0"/>
              <w:spacing w:line="3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生产</w:t>
            </w:r>
          </w:p>
          <w:p w14:paraId="59B6F40C">
            <w:pPr>
              <w:snapToGrid w:val="0"/>
              <w:spacing w:line="3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厂家</w:t>
            </w:r>
          </w:p>
        </w:tc>
        <w:tc>
          <w:tcPr>
            <w:tcW w:w="716" w:type="dxa"/>
            <w:tcBorders>
              <w:top w:val="single" w:color="auto" w:sz="4" w:space="0"/>
              <w:left w:val="nil"/>
              <w:bottom w:val="single" w:color="auto" w:sz="4" w:space="0"/>
              <w:right w:val="single" w:color="auto" w:sz="4" w:space="0"/>
            </w:tcBorders>
            <w:noWrap w:val="0"/>
            <w:vAlign w:val="center"/>
          </w:tcPr>
          <w:p w14:paraId="3C69FF9F">
            <w:pPr>
              <w:snapToGrid w:val="0"/>
              <w:spacing w:line="3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数  量</w:t>
            </w:r>
          </w:p>
        </w:tc>
        <w:tc>
          <w:tcPr>
            <w:tcW w:w="875" w:type="dxa"/>
            <w:tcBorders>
              <w:top w:val="single" w:color="auto" w:sz="4" w:space="0"/>
              <w:left w:val="nil"/>
              <w:bottom w:val="single" w:color="auto" w:sz="4" w:space="0"/>
              <w:right w:val="single" w:color="auto" w:sz="4" w:space="0"/>
            </w:tcBorders>
            <w:noWrap w:val="0"/>
            <w:vAlign w:val="center"/>
          </w:tcPr>
          <w:p w14:paraId="4F4076C6">
            <w:pPr>
              <w:snapToGrid w:val="0"/>
              <w:spacing w:line="3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单位</w:t>
            </w:r>
          </w:p>
        </w:tc>
        <w:tc>
          <w:tcPr>
            <w:tcW w:w="1023" w:type="dxa"/>
            <w:tcBorders>
              <w:top w:val="single" w:color="auto" w:sz="4" w:space="0"/>
              <w:left w:val="nil"/>
              <w:bottom w:val="single" w:color="auto" w:sz="4" w:space="0"/>
              <w:right w:val="single" w:color="auto" w:sz="4" w:space="0"/>
            </w:tcBorders>
            <w:noWrap w:val="0"/>
            <w:vAlign w:val="center"/>
          </w:tcPr>
          <w:p w14:paraId="30B520C2">
            <w:pPr>
              <w:snapToGrid w:val="0"/>
              <w:spacing w:line="3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单价</w:t>
            </w:r>
          </w:p>
          <w:p w14:paraId="04EF56E4">
            <w:pPr>
              <w:snapToGrid w:val="0"/>
              <w:spacing w:line="3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（元）</w:t>
            </w:r>
          </w:p>
        </w:tc>
        <w:tc>
          <w:tcPr>
            <w:tcW w:w="1273" w:type="dxa"/>
            <w:tcBorders>
              <w:top w:val="single" w:color="auto" w:sz="4" w:space="0"/>
              <w:left w:val="nil"/>
              <w:bottom w:val="single" w:color="auto" w:sz="4" w:space="0"/>
              <w:right w:val="single" w:color="auto" w:sz="4" w:space="0"/>
            </w:tcBorders>
            <w:noWrap w:val="0"/>
            <w:vAlign w:val="center"/>
          </w:tcPr>
          <w:p w14:paraId="176669AB">
            <w:pPr>
              <w:snapToGrid w:val="0"/>
              <w:spacing w:line="3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金额</w:t>
            </w:r>
          </w:p>
          <w:p w14:paraId="10B34EF9">
            <w:pPr>
              <w:snapToGrid w:val="0"/>
              <w:spacing w:line="3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（元）</w:t>
            </w:r>
          </w:p>
        </w:tc>
      </w:tr>
      <w:tr w14:paraId="01898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1" w:hRule="atLeast"/>
        </w:trPr>
        <w:tc>
          <w:tcPr>
            <w:tcW w:w="496" w:type="dxa"/>
            <w:tcBorders>
              <w:top w:val="single" w:color="auto" w:sz="4" w:space="0"/>
              <w:left w:val="single" w:color="auto" w:sz="4" w:space="0"/>
              <w:bottom w:val="single" w:color="auto" w:sz="4" w:space="0"/>
              <w:right w:val="single" w:color="auto" w:sz="4" w:space="0"/>
            </w:tcBorders>
            <w:noWrap w:val="0"/>
            <w:vAlign w:val="center"/>
          </w:tcPr>
          <w:p w14:paraId="7EE50646">
            <w:pPr>
              <w:snapToGrid w:val="0"/>
              <w:spacing w:line="3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p>
        </w:tc>
        <w:tc>
          <w:tcPr>
            <w:tcW w:w="996" w:type="dxa"/>
            <w:tcBorders>
              <w:top w:val="single" w:color="auto" w:sz="4" w:space="0"/>
              <w:left w:val="nil"/>
              <w:bottom w:val="single" w:color="auto" w:sz="4" w:space="0"/>
              <w:right w:val="single" w:color="auto" w:sz="4" w:space="0"/>
            </w:tcBorders>
            <w:noWrap w:val="0"/>
            <w:vAlign w:val="center"/>
          </w:tcPr>
          <w:p w14:paraId="041B138D">
            <w:pPr>
              <w:snapToGrid w:val="0"/>
              <w:spacing w:line="300" w:lineRule="exact"/>
              <w:jc w:val="center"/>
              <w:rPr>
                <w:rFonts w:ascii="仿宋" w:hAnsi="仿宋" w:eastAsia="仿宋" w:cs="仿宋"/>
                <w:color w:val="auto"/>
                <w:sz w:val="24"/>
                <w:highlight w:val="none"/>
              </w:rPr>
            </w:pPr>
          </w:p>
        </w:tc>
        <w:tc>
          <w:tcPr>
            <w:tcW w:w="954" w:type="dxa"/>
            <w:tcBorders>
              <w:top w:val="single" w:color="auto" w:sz="4" w:space="0"/>
              <w:left w:val="nil"/>
              <w:bottom w:val="single" w:color="auto" w:sz="4" w:space="0"/>
              <w:right w:val="single" w:color="auto" w:sz="4" w:space="0"/>
            </w:tcBorders>
            <w:noWrap w:val="0"/>
            <w:vAlign w:val="center"/>
          </w:tcPr>
          <w:p w14:paraId="102B61FF">
            <w:pPr>
              <w:snapToGrid w:val="0"/>
              <w:spacing w:line="300" w:lineRule="exact"/>
              <w:jc w:val="center"/>
              <w:rPr>
                <w:rFonts w:ascii="仿宋" w:hAnsi="仿宋" w:eastAsia="仿宋" w:cs="仿宋"/>
                <w:color w:val="auto"/>
                <w:sz w:val="24"/>
                <w:highlight w:val="none"/>
              </w:rPr>
            </w:pPr>
          </w:p>
        </w:tc>
        <w:tc>
          <w:tcPr>
            <w:tcW w:w="944" w:type="dxa"/>
            <w:tcBorders>
              <w:top w:val="single" w:color="auto" w:sz="4" w:space="0"/>
              <w:left w:val="nil"/>
              <w:bottom w:val="single" w:color="auto" w:sz="4" w:space="0"/>
              <w:right w:val="single" w:color="auto" w:sz="4" w:space="0"/>
            </w:tcBorders>
            <w:noWrap w:val="0"/>
            <w:vAlign w:val="center"/>
          </w:tcPr>
          <w:p w14:paraId="1EF3E244">
            <w:pPr>
              <w:snapToGrid w:val="0"/>
              <w:spacing w:line="300" w:lineRule="exact"/>
              <w:jc w:val="center"/>
              <w:rPr>
                <w:rFonts w:ascii="仿宋" w:hAnsi="仿宋" w:eastAsia="仿宋" w:cs="仿宋"/>
                <w:color w:val="auto"/>
                <w:sz w:val="24"/>
                <w:highlight w:val="none"/>
              </w:rPr>
            </w:pPr>
          </w:p>
        </w:tc>
        <w:tc>
          <w:tcPr>
            <w:tcW w:w="1181" w:type="dxa"/>
            <w:tcBorders>
              <w:top w:val="single" w:color="auto" w:sz="4" w:space="0"/>
              <w:left w:val="nil"/>
              <w:bottom w:val="single" w:color="auto" w:sz="4" w:space="0"/>
              <w:right w:val="single" w:color="auto" w:sz="4" w:space="0"/>
            </w:tcBorders>
            <w:noWrap w:val="0"/>
            <w:vAlign w:val="top"/>
          </w:tcPr>
          <w:p w14:paraId="5BADE106">
            <w:pPr>
              <w:snapToGrid w:val="0"/>
              <w:spacing w:line="300" w:lineRule="exact"/>
              <w:jc w:val="center"/>
              <w:rPr>
                <w:rFonts w:ascii="仿宋" w:hAnsi="仿宋" w:eastAsia="仿宋" w:cs="仿宋"/>
                <w:color w:val="auto"/>
                <w:sz w:val="24"/>
                <w:highlight w:val="none"/>
              </w:rPr>
            </w:pPr>
          </w:p>
        </w:tc>
        <w:tc>
          <w:tcPr>
            <w:tcW w:w="716" w:type="dxa"/>
            <w:tcBorders>
              <w:top w:val="single" w:color="auto" w:sz="4" w:space="0"/>
              <w:left w:val="nil"/>
              <w:bottom w:val="single" w:color="auto" w:sz="4" w:space="0"/>
              <w:right w:val="single" w:color="auto" w:sz="4" w:space="0"/>
            </w:tcBorders>
            <w:noWrap w:val="0"/>
            <w:vAlign w:val="top"/>
          </w:tcPr>
          <w:p w14:paraId="3EE3DAA8">
            <w:pPr>
              <w:snapToGrid w:val="0"/>
              <w:spacing w:line="300" w:lineRule="exact"/>
              <w:jc w:val="center"/>
              <w:rPr>
                <w:rFonts w:ascii="仿宋" w:hAnsi="仿宋" w:eastAsia="仿宋" w:cs="仿宋"/>
                <w:color w:val="auto"/>
                <w:sz w:val="24"/>
                <w:highlight w:val="none"/>
              </w:rPr>
            </w:pPr>
          </w:p>
        </w:tc>
        <w:tc>
          <w:tcPr>
            <w:tcW w:w="875" w:type="dxa"/>
            <w:tcBorders>
              <w:top w:val="single" w:color="auto" w:sz="4" w:space="0"/>
              <w:left w:val="nil"/>
              <w:bottom w:val="single" w:color="auto" w:sz="4" w:space="0"/>
              <w:right w:val="single" w:color="auto" w:sz="4" w:space="0"/>
            </w:tcBorders>
            <w:noWrap w:val="0"/>
            <w:vAlign w:val="top"/>
          </w:tcPr>
          <w:p w14:paraId="4195914A">
            <w:pPr>
              <w:snapToGrid w:val="0"/>
              <w:spacing w:line="300" w:lineRule="exact"/>
              <w:jc w:val="center"/>
              <w:rPr>
                <w:rFonts w:ascii="仿宋" w:hAnsi="仿宋" w:eastAsia="仿宋" w:cs="仿宋"/>
                <w:color w:val="auto"/>
                <w:sz w:val="24"/>
                <w:highlight w:val="none"/>
              </w:rPr>
            </w:pPr>
          </w:p>
        </w:tc>
        <w:tc>
          <w:tcPr>
            <w:tcW w:w="1023" w:type="dxa"/>
            <w:tcBorders>
              <w:top w:val="single" w:color="auto" w:sz="4" w:space="0"/>
              <w:left w:val="nil"/>
              <w:bottom w:val="single" w:color="auto" w:sz="4" w:space="0"/>
              <w:right w:val="single" w:color="auto" w:sz="4" w:space="0"/>
            </w:tcBorders>
            <w:noWrap w:val="0"/>
            <w:vAlign w:val="center"/>
          </w:tcPr>
          <w:p w14:paraId="026CDD9D">
            <w:pPr>
              <w:snapToGrid w:val="0"/>
              <w:spacing w:line="300" w:lineRule="exact"/>
              <w:jc w:val="center"/>
              <w:rPr>
                <w:rFonts w:ascii="仿宋" w:hAnsi="仿宋" w:eastAsia="仿宋" w:cs="仿宋"/>
                <w:color w:val="auto"/>
                <w:sz w:val="24"/>
                <w:highlight w:val="none"/>
              </w:rPr>
            </w:pPr>
          </w:p>
        </w:tc>
        <w:tc>
          <w:tcPr>
            <w:tcW w:w="1273" w:type="dxa"/>
            <w:tcBorders>
              <w:top w:val="single" w:color="auto" w:sz="4" w:space="0"/>
              <w:left w:val="nil"/>
              <w:bottom w:val="single" w:color="auto" w:sz="4" w:space="0"/>
              <w:right w:val="single" w:color="auto" w:sz="4" w:space="0"/>
            </w:tcBorders>
            <w:noWrap w:val="0"/>
            <w:vAlign w:val="center"/>
          </w:tcPr>
          <w:p w14:paraId="669783BB">
            <w:pPr>
              <w:snapToGrid w:val="0"/>
              <w:spacing w:line="300" w:lineRule="exact"/>
              <w:jc w:val="center"/>
              <w:rPr>
                <w:rFonts w:ascii="仿宋" w:hAnsi="仿宋" w:eastAsia="仿宋" w:cs="仿宋"/>
                <w:color w:val="auto"/>
                <w:sz w:val="24"/>
                <w:highlight w:val="none"/>
              </w:rPr>
            </w:pPr>
          </w:p>
        </w:tc>
      </w:tr>
      <w:tr w14:paraId="363EB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8" w:hRule="atLeast"/>
        </w:trPr>
        <w:tc>
          <w:tcPr>
            <w:tcW w:w="496" w:type="dxa"/>
            <w:tcBorders>
              <w:top w:val="single" w:color="auto" w:sz="4" w:space="0"/>
              <w:left w:val="single" w:color="auto" w:sz="4" w:space="0"/>
              <w:bottom w:val="single" w:color="auto" w:sz="4" w:space="0"/>
              <w:right w:val="single" w:color="auto" w:sz="4" w:space="0"/>
            </w:tcBorders>
            <w:noWrap w:val="0"/>
            <w:vAlign w:val="center"/>
          </w:tcPr>
          <w:p w14:paraId="3A269D0C">
            <w:pPr>
              <w:snapToGrid w:val="0"/>
              <w:spacing w:line="3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2</w:t>
            </w:r>
          </w:p>
        </w:tc>
        <w:tc>
          <w:tcPr>
            <w:tcW w:w="996" w:type="dxa"/>
            <w:tcBorders>
              <w:top w:val="single" w:color="auto" w:sz="4" w:space="0"/>
              <w:left w:val="nil"/>
              <w:bottom w:val="single" w:color="auto" w:sz="4" w:space="0"/>
              <w:right w:val="single" w:color="auto" w:sz="4" w:space="0"/>
            </w:tcBorders>
            <w:noWrap w:val="0"/>
            <w:vAlign w:val="center"/>
          </w:tcPr>
          <w:p w14:paraId="30C19A1C">
            <w:pPr>
              <w:snapToGrid w:val="0"/>
              <w:spacing w:line="300" w:lineRule="exact"/>
              <w:jc w:val="center"/>
              <w:rPr>
                <w:rFonts w:ascii="仿宋" w:hAnsi="仿宋" w:eastAsia="仿宋" w:cs="仿宋"/>
                <w:color w:val="auto"/>
                <w:sz w:val="24"/>
                <w:highlight w:val="none"/>
              </w:rPr>
            </w:pPr>
          </w:p>
        </w:tc>
        <w:tc>
          <w:tcPr>
            <w:tcW w:w="954" w:type="dxa"/>
            <w:tcBorders>
              <w:top w:val="single" w:color="auto" w:sz="4" w:space="0"/>
              <w:left w:val="nil"/>
              <w:bottom w:val="single" w:color="auto" w:sz="4" w:space="0"/>
              <w:right w:val="single" w:color="auto" w:sz="4" w:space="0"/>
            </w:tcBorders>
            <w:noWrap w:val="0"/>
            <w:vAlign w:val="center"/>
          </w:tcPr>
          <w:p w14:paraId="538C9C01">
            <w:pPr>
              <w:snapToGrid w:val="0"/>
              <w:spacing w:line="300" w:lineRule="exact"/>
              <w:jc w:val="center"/>
              <w:rPr>
                <w:rFonts w:ascii="仿宋" w:hAnsi="仿宋" w:eastAsia="仿宋" w:cs="仿宋"/>
                <w:color w:val="auto"/>
                <w:sz w:val="24"/>
                <w:highlight w:val="none"/>
              </w:rPr>
            </w:pPr>
          </w:p>
        </w:tc>
        <w:tc>
          <w:tcPr>
            <w:tcW w:w="944" w:type="dxa"/>
            <w:tcBorders>
              <w:top w:val="single" w:color="auto" w:sz="4" w:space="0"/>
              <w:left w:val="nil"/>
              <w:bottom w:val="single" w:color="auto" w:sz="4" w:space="0"/>
              <w:right w:val="single" w:color="auto" w:sz="4" w:space="0"/>
            </w:tcBorders>
            <w:noWrap w:val="0"/>
            <w:vAlign w:val="center"/>
          </w:tcPr>
          <w:p w14:paraId="3D6B197C">
            <w:pPr>
              <w:snapToGrid w:val="0"/>
              <w:spacing w:line="300" w:lineRule="exact"/>
              <w:jc w:val="center"/>
              <w:rPr>
                <w:rFonts w:ascii="仿宋" w:hAnsi="仿宋" w:eastAsia="仿宋" w:cs="仿宋"/>
                <w:color w:val="auto"/>
                <w:sz w:val="24"/>
                <w:highlight w:val="none"/>
              </w:rPr>
            </w:pPr>
          </w:p>
        </w:tc>
        <w:tc>
          <w:tcPr>
            <w:tcW w:w="1181" w:type="dxa"/>
            <w:tcBorders>
              <w:top w:val="single" w:color="auto" w:sz="4" w:space="0"/>
              <w:left w:val="nil"/>
              <w:bottom w:val="single" w:color="auto" w:sz="4" w:space="0"/>
              <w:right w:val="single" w:color="auto" w:sz="4" w:space="0"/>
            </w:tcBorders>
            <w:noWrap w:val="0"/>
            <w:vAlign w:val="top"/>
          </w:tcPr>
          <w:p w14:paraId="504E090A">
            <w:pPr>
              <w:snapToGrid w:val="0"/>
              <w:spacing w:line="300" w:lineRule="exact"/>
              <w:jc w:val="center"/>
              <w:rPr>
                <w:rFonts w:ascii="仿宋" w:hAnsi="仿宋" w:eastAsia="仿宋" w:cs="仿宋"/>
                <w:color w:val="auto"/>
                <w:sz w:val="24"/>
                <w:highlight w:val="none"/>
              </w:rPr>
            </w:pPr>
          </w:p>
        </w:tc>
        <w:tc>
          <w:tcPr>
            <w:tcW w:w="716" w:type="dxa"/>
            <w:tcBorders>
              <w:top w:val="single" w:color="auto" w:sz="4" w:space="0"/>
              <w:left w:val="nil"/>
              <w:bottom w:val="single" w:color="auto" w:sz="4" w:space="0"/>
              <w:right w:val="single" w:color="auto" w:sz="4" w:space="0"/>
            </w:tcBorders>
            <w:noWrap w:val="0"/>
            <w:vAlign w:val="top"/>
          </w:tcPr>
          <w:p w14:paraId="2D421273">
            <w:pPr>
              <w:snapToGrid w:val="0"/>
              <w:spacing w:line="300" w:lineRule="exact"/>
              <w:jc w:val="center"/>
              <w:rPr>
                <w:rFonts w:ascii="仿宋" w:hAnsi="仿宋" w:eastAsia="仿宋" w:cs="仿宋"/>
                <w:color w:val="auto"/>
                <w:sz w:val="24"/>
                <w:highlight w:val="none"/>
              </w:rPr>
            </w:pPr>
          </w:p>
        </w:tc>
        <w:tc>
          <w:tcPr>
            <w:tcW w:w="875" w:type="dxa"/>
            <w:tcBorders>
              <w:top w:val="single" w:color="auto" w:sz="4" w:space="0"/>
              <w:left w:val="nil"/>
              <w:bottom w:val="single" w:color="auto" w:sz="4" w:space="0"/>
              <w:right w:val="single" w:color="auto" w:sz="4" w:space="0"/>
            </w:tcBorders>
            <w:noWrap w:val="0"/>
            <w:vAlign w:val="top"/>
          </w:tcPr>
          <w:p w14:paraId="4AC09438">
            <w:pPr>
              <w:snapToGrid w:val="0"/>
              <w:spacing w:line="300" w:lineRule="exact"/>
              <w:jc w:val="center"/>
              <w:rPr>
                <w:rFonts w:ascii="仿宋" w:hAnsi="仿宋" w:eastAsia="仿宋" w:cs="仿宋"/>
                <w:color w:val="auto"/>
                <w:sz w:val="24"/>
                <w:highlight w:val="none"/>
              </w:rPr>
            </w:pPr>
          </w:p>
        </w:tc>
        <w:tc>
          <w:tcPr>
            <w:tcW w:w="1023" w:type="dxa"/>
            <w:tcBorders>
              <w:top w:val="single" w:color="auto" w:sz="4" w:space="0"/>
              <w:left w:val="nil"/>
              <w:bottom w:val="single" w:color="auto" w:sz="4" w:space="0"/>
              <w:right w:val="single" w:color="auto" w:sz="4" w:space="0"/>
            </w:tcBorders>
            <w:noWrap w:val="0"/>
            <w:vAlign w:val="center"/>
          </w:tcPr>
          <w:p w14:paraId="45A49E7F">
            <w:pPr>
              <w:snapToGrid w:val="0"/>
              <w:spacing w:line="300" w:lineRule="exact"/>
              <w:jc w:val="center"/>
              <w:rPr>
                <w:rFonts w:ascii="仿宋" w:hAnsi="仿宋" w:eastAsia="仿宋" w:cs="仿宋"/>
                <w:color w:val="auto"/>
                <w:sz w:val="24"/>
                <w:highlight w:val="none"/>
              </w:rPr>
            </w:pPr>
          </w:p>
        </w:tc>
        <w:tc>
          <w:tcPr>
            <w:tcW w:w="1273" w:type="dxa"/>
            <w:tcBorders>
              <w:top w:val="single" w:color="auto" w:sz="4" w:space="0"/>
              <w:left w:val="nil"/>
              <w:bottom w:val="single" w:color="auto" w:sz="4" w:space="0"/>
              <w:right w:val="single" w:color="auto" w:sz="4" w:space="0"/>
            </w:tcBorders>
            <w:noWrap w:val="0"/>
            <w:vAlign w:val="center"/>
          </w:tcPr>
          <w:p w14:paraId="6702B0C6">
            <w:pPr>
              <w:snapToGrid w:val="0"/>
              <w:spacing w:line="300" w:lineRule="exact"/>
              <w:jc w:val="center"/>
              <w:rPr>
                <w:rFonts w:ascii="仿宋" w:hAnsi="仿宋" w:eastAsia="仿宋" w:cs="仿宋"/>
                <w:color w:val="auto"/>
                <w:sz w:val="24"/>
                <w:highlight w:val="none"/>
              </w:rPr>
            </w:pPr>
          </w:p>
        </w:tc>
      </w:tr>
      <w:tr w14:paraId="4397D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1" w:hRule="atLeast"/>
        </w:trPr>
        <w:tc>
          <w:tcPr>
            <w:tcW w:w="496" w:type="dxa"/>
            <w:tcBorders>
              <w:top w:val="single" w:color="auto" w:sz="4" w:space="0"/>
              <w:left w:val="single" w:color="auto" w:sz="4" w:space="0"/>
              <w:bottom w:val="single" w:color="auto" w:sz="4" w:space="0"/>
              <w:right w:val="single" w:color="auto" w:sz="4" w:space="0"/>
            </w:tcBorders>
            <w:noWrap w:val="0"/>
            <w:vAlign w:val="center"/>
          </w:tcPr>
          <w:p w14:paraId="4E8405EA">
            <w:pPr>
              <w:snapToGrid w:val="0"/>
              <w:spacing w:line="3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3</w:t>
            </w:r>
          </w:p>
        </w:tc>
        <w:tc>
          <w:tcPr>
            <w:tcW w:w="996" w:type="dxa"/>
            <w:tcBorders>
              <w:top w:val="single" w:color="auto" w:sz="4" w:space="0"/>
              <w:left w:val="nil"/>
              <w:bottom w:val="single" w:color="auto" w:sz="4" w:space="0"/>
              <w:right w:val="single" w:color="auto" w:sz="4" w:space="0"/>
            </w:tcBorders>
            <w:noWrap w:val="0"/>
            <w:vAlign w:val="center"/>
          </w:tcPr>
          <w:p w14:paraId="5B291D3C">
            <w:pPr>
              <w:snapToGrid w:val="0"/>
              <w:spacing w:line="300" w:lineRule="exact"/>
              <w:jc w:val="center"/>
              <w:rPr>
                <w:rFonts w:ascii="仿宋" w:hAnsi="仿宋" w:eastAsia="仿宋" w:cs="仿宋"/>
                <w:color w:val="auto"/>
                <w:sz w:val="24"/>
                <w:highlight w:val="none"/>
              </w:rPr>
            </w:pPr>
          </w:p>
        </w:tc>
        <w:tc>
          <w:tcPr>
            <w:tcW w:w="954" w:type="dxa"/>
            <w:tcBorders>
              <w:top w:val="single" w:color="auto" w:sz="4" w:space="0"/>
              <w:left w:val="nil"/>
              <w:bottom w:val="single" w:color="auto" w:sz="4" w:space="0"/>
              <w:right w:val="single" w:color="auto" w:sz="4" w:space="0"/>
            </w:tcBorders>
            <w:noWrap w:val="0"/>
            <w:vAlign w:val="center"/>
          </w:tcPr>
          <w:p w14:paraId="2ADBA8F4">
            <w:pPr>
              <w:snapToGrid w:val="0"/>
              <w:spacing w:line="300" w:lineRule="exact"/>
              <w:jc w:val="center"/>
              <w:rPr>
                <w:rFonts w:ascii="仿宋" w:hAnsi="仿宋" w:eastAsia="仿宋" w:cs="仿宋"/>
                <w:color w:val="auto"/>
                <w:sz w:val="24"/>
                <w:highlight w:val="none"/>
              </w:rPr>
            </w:pPr>
          </w:p>
        </w:tc>
        <w:tc>
          <w:tcPr>
            <w:tcW w:w="944" w:type="dxa"/>
            <w:tcBorders>
              <w:top w:val="single" w:color="auto" w:sz="4" w:space="0"/>
              <w:left w:val="nil"/>
              <w:bottom w:val="single" w:color="auto" w:sz="4" w:space="0"/>
              <w:right w:val="single" w:color="auto" w:sz="4" w:space="0"/>
            </w:tcBorders>
            <w:noWrap w:val="0"/>
            <w:vAlign w:val="center"/>
          </w:tcPr>
          <w:p w14:paraId="22446D76">
            <w:pPr>
              <w:snapToGrid w:val="0"/>
              <w:spacing w:line="300" w:lineRule="exact"/>
              <w:jc w:val="center"/>
              <w:rPr>
                <w:rFonts w:ascii="仿宋" w:hAnsi="仿宋" w:eastAsia="仿宋" w:cs="仿宋"/>
                <w:color w:val="auto"/>
                <w:sz w:val="24"/>
                <w:highlight w:val="none"/>
              </w:rPr>
            </w:pPr>
          </w:p>
        </w:tc>
        <w:tc>
          <w:tcPr>
            <w:tcW w:w="1181" w:type="dxa"/>
            <w:tcBorders>
              <w:top w:val="single" w:color="auto" w:sz="4" w:space="0"/>
              <w:left w:val="nil"/>
              <w:bottom w:val="single" w:color="auto" w:sz="4" w:space="0"/>
              <w:right w:val="single" w:color="auto" w:sz="4" w:space="0"/>
            </w:tcBorders>
            <w:noWrap w:val="0"/>
            <w:vAlign w:val="top"/>
          </w:tcPr>
          <w:p w14:paraId="24AFF4E5">
            <w:pPr>
              <w:snapToGrid w:val="0"/>
              <w:spacing w:line="300" w:lineRule="exact"/>
              <w:jc w:val="center"/>
              <w:rPr>
                <w:rFonts w:ascii="仿宋" w:hAnsi="仿宋" w:eastAsia="仿宋" w:cs="仿宋"/>
                <w:color w:val="auto"/>
                <w:sz w:val="24"/>
                <w:highlight w:val="none"/>
              </w:rPr>
            </w:pPr>
          </w:p>
        </w:tc>
        <w:tc>
          <w:tcPr>
            <w:tcW w:w="716" w:type="dxa"/>
            <w:tcBorders>
              <w:top w:val="single" w:color="auto" w:sz="4" w:space="0"/>
              <w:left w:val="nil"/>
              <w:bottom w:val="single" w:color="auto" w:sz="4" w:space="0"/>
              <w:right w:val="single" w:color="auto" w:sz="4" w:space="0"/>
            </w:tcBorders>
            <w:noWrap w:val="0"/>
            <w:vAlign w:val="top"/>
          </w:tcPr>
          <w:p w14:paraId="1627AF30">
            <w:pPr>
              <w:snapToGrid w:val="0"/>
              <w:spacing w:line="300" w:lineRule="exact"/>
              <w:jc w:val="center"/>
              <w:rPr>
                <w:rFonts w:ascii="仿宋" w:hAnsi="仿宋" w:eastAsia="仿宋" w:cs="仿宋"/>
                <w:color w:val="auto"/>
                <w:sz w:val="24"/>
                <w:highlight w:val="none"/>
              </w:rPr>
            </w:pPr>
          </w:p>
        </w:tc>
        <w:tc>
          <w:tcPr>
            <w:tcW w:w="875" w:type="dxa"/>
            <w:tcBorders>
              <w:top w:val="single" w:color="auto" w:sz="4" w:space="0"/>
              <w:left w:val="nil"/>
              <w:bottom w:val="single" w:color="auto" w:sz="4" w:space="0"/>
              <w:right w:val="single" w:color="auto" w:sz="4" w:space="0"/>
            </w:tcBorders>
            <w:noWrap w:val="0"/>
            <w:vAlign w:val="top"/>
          </w:tcPr>
          <w:p w14:paraId="4A185818">
            <w:pPr>
              <w:snapToGrid w:val="0"/>
              <w:spacing w:line="300" w:lineRule="exact"/>
              <w:jc w:val="center"/>
              <w:rPr>
                <w:rFonts w:ascii="仿宋" w:hAnsi="仿宋" w:eastAsia="仿宋" w:cs="仿宋"/>
                <w:color w:val="auto"/>
                <w:sz w:val="24"/>
                <w:highlight w:val="none"/>
              </w:rPr>
            </w:pPr>
          </w:p>
        </w:tc>
        <w:tc>
          <w:tcPr>
            <w:tcW w:w="1023" w:type="dxa"/>
            <w:tcBorders>
              <w:top w:val="single" w:color="auto" w:sz="4" w:space="0"/>
              <w:left w:val="nil"/>
              <w:bottom w:val="single" w:color="auto" w:sz="4" w:space="0"/>
              <w:right w:val="single" w:color="auto" w:sz="4" w:space="0"/>
            </w:tcBorders>
            <w:noWrap w:val="0"/>
            <w:vAlign w:val="center"/>
          </w:tcPr>
          <w:p w14:paraId="723905ED">
            <w:pPr>
              <w:snapToGrid w:val="0"/>
              <w:spacing w:line="300" w:lineRule="exact"/>
              <w:jc w:val="center"/>
              <w:rPr>
                <w:rFonts w:ascii="仿宋" w:hAnsi="仿宋" w:eastAsia="仿宋" w:cs="仿宋"/>
                <w:color w:val="auto"/>
                <w:sz w:val="24"/>
                <w:highlight w:val="none"/>
              </w:rPr>
            </w:pPr>
          </w:p>
        </w:tc>
        <w:tc>
          <w:tcPr>
            <w:tcW w:w="1273" w:type="dxa"/>
            <w:tcBorders>
              <w:top w:val="single" w:color="auto" w:sz="4" w:space="0"/>
              <w:left w:val="nil"/>
              <w:bottom w:val="single" w:color="auto" w:sz="4" w:space="0"/>
              <w:right w:val="single" w:color="auto" w:sz="4" w:space="0"/>
            </w:tcBorders>
            <w:noWrap w:val="0"/>
            <w:vAlign w:val="center"/>
          </w:tcPr>
          <w:p w14:paraId="293D93C9">
            <w:pPr>
              <w:snapToGrid w:val="0"/>
              <w:spacing w:line="300" w:lineRule="exact"/>
              <w:jc w:val="center"/>
              <w:rPr>
                <w:rFonts w:ascii="仿宋" w:hAnsi="仿宋" w:eastAsia="仿宋" w:cs="仿宋"/>
                <w:color w:val="auto"/>
                <w:sz w:val="24"/>
                <w:highlight w:val="none"/>
              </w:rPr>
            </w:pPr>
          </w:p>
        </w:tc>
      </w:tr>
      <w:tr w14:paraId="61672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6" w:hRule="atLeast"/>
        </w:trPr>
        <w:tc>
          <w:tcPr>
            <w:tcW w:w="8458" w:type="dxa"/>
            <w:gridSpan w:val="9"/>
            <w:tcBorders>
              <w:top w:val="single" w:color="auto" w:sz="4" w:space="0"/>
              <w:left w:val="single" w:color="auto" w:sz="4" w:space="0"/>
              <w:bottom w:val="single" w:color="auto" w:sz="4" w:space="0"/>
              <w:right w:val="single" w:color="auto" w:sz="4" w:space="0"/>
            </w:tcBorders>
            <w:noWrap w:val="0"/>
            <w:vAlign w:val="center"/>
          </w:tcPr>
          <w:p w14:paraId="66D4D1D6">
            <w:pPr>
              <w:snapToGrid w:val="0"/>
              <w:spacing w:line="30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 xml:space="preserve">人民币合计金额（大写）                          （小写                ）                 </w:t>
            </w:r>
          </w:p>
        </w:tc>
      </w:tr>
    </w:tbl>
    <w:p w14:paraId="4EBDD51D">
      <w:pPr>
        <w:pStyle w:val="15"/>
        <w:spacing w:line="440" w:lineRule="exact"/>
        <w:ind w:firstLine="480" w:firstLineChars="200"/>
        <w:jc w:val="left"/>
        <w:rPr>
          <w:rFonts w:ascii="仿宋" w:hAnsi="仿宋" w:eastAsia="仿宋" w:cs="仿宋"/>
          <w:b/>
          <w:bCs/>
          <w:color w:val="auto"/>
          <w:sz w:val="24"/>
          <w:szCs w:val="24"/>
          <w:highlight w:val="none"/>
          <w:u w:val="single"/>
        </w:rPr>
      </w:pPr>
      <w:r>
        <w:rPr>
          <w:rFonts w:hint="eastAsia" w:ascii="仿宋" w:hAnsi="仿宋" w:eastAsia="仿宋" w:cs="仿宋"/>
          <w:color w:val="auto"/>
          <w:sz w:val="24"/>
          <w:szCs w:val="24"/>
          <w:highlight w:val="none"/>
        </w:rPr>
        <w:t>2.合同价格形式：合同总价为人民币         元，此价格为固定总价，不因市场变化或其他因素而调整。</w:t>
      </w:r>
    </w:p>
    <w:p w14:paraId="58BDCC2B">
      <w:pPr>
        <w:pStyle w:val="15"/>
        <w:spacing w:line="440" w:lineRule="exact"/>
        <w:ind w:firstLine="480" w:firstLineChars="200"/>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3.合同合计金额包括产品价、税费、备件、包装、运输（含装卸、上楼）、保险、安装、调试、技术培训、产品检测、产品质保期内维护、各类验收过程中涉及的测试和验收等类似服务内容的全部费用。如</w:t>
      </w:r>
      <w:r>
        <w:rPr>
          <w:rFonts w:hint="eastAsia" w:ascii="仿宋" w:hAnsi="仿宋" w:eastAsia="仿宋" w:cs="仿宋"/>
          <w:color w:val="auto"/>
          <w:sz w:val="24"/>
          <w:szCs w:val="24"/>
          <w:highlight w:val="none"/>
          <w:lang w:eastAsia="zh-CN"/>
        </w:rPr>
        <w:t>采购文件</w:t>
      </w:r>
      <w:r>
        <w:rPr>
          <w:rFonts w:hint="eastAsia" w:ascii="仿宋" w:hAnsi="仿宋" w:eastAsia="仿宋" w:cs="仿宋"/>
          <w:color w:val="auto"/>
          <w:sz w:val="24"/>
          <w:szCs w:val="24"/>
          <w:highlight w:val="none"/>
        </w:rPr>
        <w:t>对其另有规定的，从其规定。</w:t>
      </w:r>
    </w:p>
    <w:p w14:paraId="4D3608A3">
      <w:pPr>
        <w:snapToGrid w:val="0"/>
        <w:spacing w:line="440" w:lineRule="exact"/>
        <w:ind w:firstLine="482" w:firstLineChars="200"/>
        <w:jc w:val="left"/>
        <w:rPr>
          <w:rFonts w:ascii="仿宋" w:hAnsi="仿宋" w:eastAsia="仿宋" w:cs="仿宋"/>
          <w:color w:val="auto"/>
          <w:sz w:val="24"/>
          <w:highlight w:val="none"/>
        </w:rPr>
      </w:pPr>
      <w:r>
        <w:rPr>
          <w:rFonts w:hint="eastAsia" w:ascii="仿宋" w:hAnsi="仿宋" w:eastAsia="仿宋" w:cs="仿宋"/>
          <w:b/>
          <w:color w:val="auto"/>
          <w:sz w:val="24"/>
          <w:highlight w:val="none"/>
        </w:rPr>
        <w:t>第二条  质量保证</w:t>
      </w:r>
    </w:p>
    <w:p w14:paraId="49A4F43D">
      <w:pPr>
        <w:pStyle w:val="15"/>
        <w:spacing w:line="440" w:lineRule="exact"/>
        <w:ind w:firstLine="480" w:firstLineChars="200"/>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1.乙方所提供的货物型号、规格、技术参数等必须与</w:t>
      </w:r>
      <w:r>
        <w:rPr>
          <w:rFonts w:hint="eastAsia" w:ascii="仿宋" w:hAnsi="仿宋" w:eastAsia="仿宋" w:cs="仿宋"/>
          <w:color w:val="auto"/>
          <w:sz w:val="24"/>
          <w:szCs w:val="24"/>
          <w:highlight w:val="none"/>
          <w:lang w:eastAsia="zh-CN"/>
        </w:rPr>
        <w:t>采购文件</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eastAsia="zh-CN"/>
        </w:rPr>
        <w:t>响应文件</w:t>
      </w:r>
      <w:r>
        <w:rPr>
          <w:rFonts w:hint="eastAsia" w:ascii="仿宋" w:hAnsi="仿宋" w:eastAsia="仿宋" w:cs="仿宋"/>
          <w:color w:val="auto"/>
          <w:sz w:val="24"/>
          <w:szCs w:val="24"/>
          <w:highlight w:val="none"/>
        </w:rPr>
        <w:t>和承诺相一致。</w:t>
      </w:r>
    </w:p>
    <w:p w14:paraId="6EEB9632">
      <w:pPr>
        <w:pStyle w:val="15"/>
        <w:spacing w:line="44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2.乙方所提供的货物必须是全新、未使用的原装产品，且在正常安装、使用和保养条件下，其使用寿命期内各项指标均达到质量要求。</w:t>
      </w:r>
    </w:p>
    <w:p w14:paraId="17888713">
      <w:pPr>
        <w:pStyle w:val="15"/>
        <w:spacing w:line="44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3.乙方提供的商品或者服务有欺诈行为，甲方有权要求乙方赔偿的金额为本合同总金额的三倍。</w:t>
      </w:r>
    </w:p>
    <w:p w14:paraId="38E84D22">
      <w:pPr>
        <w:pStyle w:val="15"/>
        <w:spacing w:line="440" w:lineRule="exact"/>
        <w:ind w:firstLine="480" w:firstLineChars="200"/>
        <w:jc w:val="left"/>
        <w:rPr>
          <w:rFonts w:hint="eastAsia" w:ascii="仿宋" w:hAnsi="仿宋" w:eastAsia="仿宋"/>
          <w:color w:val="auto"/>
          <w:sz w:val="24"/>
          <w:szCs w:val="24"/>
          <w:highlight w:val="none"/>
        </w:rPr>
      </w:pPr>
      <w:r>
        <w:rPr>
          <w:rFonts w:hint="eastAsia" w:ascii="仿宋" w:hAnsi="仿宋" w:eastAsia="仿宋"/>
          <w:color w:val="auto"/>
          <w:sz w:val="24"/>
          <w:szCs w:val="24"/>
          <w:highlight w:val="none"/>
        </w:rPr>
        <w:t>4.验收货物时发现货物外观和质量不符合合同要求的，甲方有权退货或者要求乙方重新发货。</w:t>
      </w:r>
    </w:p>
    <w:p w14:paraId="75C90ED6">
      <w:pPr>
        <w:snapToGrid w:val="0"/>
        <w:spacing w:line="440" w:lineRule="exact"/>
        <w:ind w:firstLine="482" w:firstLineChars="200"/>
        <w:jc w:val="left"/>
        <w:rPr>
          <w:rFonts w:ascii="仿宋" w:hAnsi="仿宋" w:eastAsia="仿宋" w:cs="仿宋"/>
          <w:color w:val="auto"/>
          <w:sz w:val="24"/>
          <w:highlight w:val="none"/>
        </w:rPr>
      </w:pPr>
      <w:r>
        <w:rPr>
          <w:rFonts w:hint="eastAsia" w:ascii="仿宋" w:hAnsi="仿宋" w:eastAsia="仿宋" w:cs="仿宋"/>
          <w:b/>
          <w:color w:val="auto"/>
          <w:sz w:val="24"/>
          <w:highlight w:val="none"/>
        </w:rPr>
        <w:t>第三条  权利保证</w:t>
      </w:r>
    </w:p>
    <w:p w14:paraId="74241E07">
      <w:pPr>
        <w:pStyle w:val="15"/>
        <w:spacing w:line="440" w:lineRule="exact"/>
        <w:ind w:firstLine="480" w:firstLineChars="200"/>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1.乙方应保证所提供货物在使用时不会侵犯任何第三方的专利权、商标权、工业设计权或其他权利。</w:t>
      </w:r>
    </w:p>
    <w:p w14:paraId="517E8B63">
      <w:pPr>
        <w:pStyle w:val="15"/>
        <w:spacing w:line="440" w:lineRule="exact"/>
        <w:ind w:firstLine="480" w:firstLineChars="200"/>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2.乙方应按</w:t>
      </w:r>
      <w:r>
        <w:rPr>
          <w:rFonts w:hint="eastAsia" w:ascii="仿宋" w:hAnsi="仿宋" w:eastAsia="仿宋" w:cs="仿宋"/>
          <w:color w:val="auto"/>
          <w:sz w:val="24"/>
          <w:szCs w:val="24"/>
          <w:highlight w:val="none"/>
          <w:lang w:eastAsia="zh-CN"/>
        </w:rPr>
        <w:t>采购文件</w:t>
      </w:r>
      <w:r>
        <w:rPr>
          <w:rFonts w:hint="eastAsia" w:ascii="仿宋" w:hAnsi="仿宋" w:eastAsia="仿宋" w:cs="仿宋"/>
          <w:color w:val="auto"/>
          <w:sz w:val="24"/>
          <w:szCs w:val="24"/>
          <w:highlight w:val="none"/>
        </w:rPr>
        <w:t>规定的时间向甲方提供使用货物的有关技术资料。</w:t>
      </w:r>
    </w:p>
    <w:p w14:paraId="3F293A42">
      <w:pPr>
        <w:pStyle w:val="15"/>
        <w:spacing w:line="440" w:lineRule="exact"/>
        <w:ind w:firstLine="480" w:firstLineChars="200"/>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3.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14:paraId="533A25C6">
      <w:pPr>
        <w:pStyle w:val="15"/>
        <w:spacing w:line="440" w:lineRule="exact"/>
        <w:ind w:firstLine="480" w:firstLineChars="200"/>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4.乙方保证所交付的货物的所有权完全属于乙方且无任何抵押、质押、查封等产权瑕疵。</w:t>
      </w:r>
    </w:p>
    <w:p w14:paraId="4B4C7C82">
      <w:pPr>
        <w:pStyle w:val="15"/>
        <w:spacing w:line="440" w:lineRule="exact"/>
        <w:ind w:firstLine="480" w:firstLineChars="200"/>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5.如采购项目涉及采购标的的知识产权归属的，产权归属为：甲方所有。</w:t>
      </w:r>
    </w:p>
    <w:p w14:paraId="07D723CC">
      <w:pPr>
        <w:pStyle w:val="15"/>
        <w:spacing w:line="440" w:lineRule="exact"/>
        <w:ind w:firstLine="480" w:firstLineChars="200"/>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6.如果甲方在使用乙方提供的产品及服务时，受到第三方提出的侵犯其知识产权的起诉，给甲方造成经济损失的，乙方应当赔偿甲方的经济损失。</w:t>
      </w:r>
    </w:p>
    <w:p w14:paraId="0173AFE4">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第四条  包装和运输</w:t>
      </w:r>
    </w:p>
    <w:p w14:paraId="19DF2614">
      <w:pPr>
        <w:pStyle w:val="15"/>
        <w:spacing w:line="440" w:lineRule="exact"/>
        <w:ind w:firstLine="480" w:firstLineChars="200"/>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1.乙方提供的货物均应按</w:t>
      </w:r>
      <w:r>
        <w:rPr>
          <w:rFonts w:hint="eastAsia" w:ascii="仿宋" w:hAnsi="仿宋" w:eastAsia="仿宋" w:cs="仿宋"/>
          <w:color w:val="auto"/>
          <w:sz w:val="24"/>
          <w:szCs w:val="24"/>
          <w:highlight w:val="none"/>
          <w:lang w:eastAsia="zh-CN"/>
        </w:rPr>
        <w:t>采购文件</w:t>
      </w:r>
      <w:r>
        <w:rPr>
          <w:rFonts w:hint="eastAsia" w:ascii="仿宋" w:hAnsi="仿宋" w:eastAsia="仿宋" w:cs="仿宋"/>
          <w:color w:val="auto"/>
          <w:sz w:val="24"/>
          <w:szCs w:val="24"/>
          <w:highlight w:val="none"/>
        </w:rPr>
        <w:t>要求的包装材料、包装标准、包装方式进行包装，每一包装单元内应附详细的装箱单和质量合格证，</w:t>
      </w:r>
      <w:r>
        <w:rPr>
          <w:rFonts w:ascii="仿宋" w:hAnsi="仿宋" w:eastAsia="仿宋" w:cs="仿宋"/>
          <w:color w:val="auto"/>
          <w:sz w:val="24"/>
          <w:szCs w:val="24"/>
          <w:highlight w:val="none"/>
        </w:rPr>
        <w:t>如有缺失应及时补齐，否则视为交付</w:t>
      </w:r>
      <w:r>
        <w:rPr>
          <w:rFonts w:hint="eastAsia" w:ascii="仿宋" w:hAnsi="仿宋" w:eastAsia="仿宋" w:cs="仿宋"/>
          <w:color w:val="auto"/>
          <w:sz w:val="24"/>
          <w:szCs w:val="24"/>
          <w:highlight w:val="none"/>
        </w:rPr>
        <w:t>不合格，甲方有权拒收</w:t>
      </w:r>
      <w:r>
        <w:rPr>
          <w:rFonts w:ascii="仿宋" w:hAnsi="仿宋" w:eastAsia="仿宋" w:cs="仿宋"/>
          <w:color w:val="auto"/>
          <w:sz w:val="24"/>
          <w:szCs w:val="24"/>
          <w:highlight w:val="none"/>
        </w:rPr>
        <w:t>。</w:t>
      </w:r>
    </w:p>
    <w:p w14:paraId="199A7CBB">
      <w:pPr>
        <w:pStyle w:val="15"/>
        <w:spacing w:line="440" w:lineRule="exact"/>
        <w:ind w:firstLine="480" w:firstLineChars="200"/>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2.货物的运输方式：乙方自定。</w:t>
      </w:r>
    </w:p>
    <w:p w14:paraId="37E06AAF">
      <w:pPr>
        <w:pStyle w:val="15"/>
        <w:spacing w:line="440" w:lineRule="exact"/>
        <w:ind w:firstLine="480" w:firstLineChars="200"/>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3.乙方负责货物运输，货物运输合理损耗及计算方法：本合同交付货物不接受损耗。</w:t>
      </w:r>
    </w:p>
    <w:p w14:paraId="7F59087C">
      <w:pPr>
        <w:pStyle w:val="15"/>
        <w:spacing w:line="440" w:lineRule="exact"/>
        <w:ind w:firstLine="480" w:firstLineChars="200"/>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4.乙方提供的货物包装及快递包装应满足《财政部等三部门联合印发商品包装和快递包装政府采购需求标准（试行）》财办库【2020】123号文要求。</w:t>
      </w:r>
    </w:p>
    <w:p w14:paraId="738DA7F0">
      <w:pPr>
        <w:pStyle w:val="15"/>
        <w:spacing w:line="440" w:lineRule="exact"/>
        <w:ind w:firstLine="480" w:firstLineChars="200"/>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5.货物在交付甲方前发生的风险均由乙方负责。</w:t>
      </w:r>
    </w:p>
    <w:p w14:paraId="05D841E8">
      <w:pPr>
        <w:snapToGrid w:val="0"/>
        <w:spacing w:line="440" w:lineRule="exact"/>
        <w:ind w:firstLine="482" w:firstLineChars="200"/>
        <w:jc w:val="left"/>
        <w:rPr>
          <w:rFonts w:ascii="仿宋" w:hAnsi="仿宋" w:eastAsia="仿宋" w:cs="仿宋"/>
          <w:color w:val="auto"/>
          <w:sz w:val="24"/>
          <w:highlight w:val="none"/>
        </w:rPr>
      </w:pPr>
      <w:r>
        <w:rPr>
          <w:rFonts w:hint="eastAsia" w:ascii="仿宋" w:hAnsi="仿宋" w:eastAsia="仿宋" w:cs="仿宋"/>
          <w:b/>
          <w:color w:val="auto"/>
          <w:sz w:val="24"/>
          <w:highlight w:val="none"/>
        </w:rPr>
        <w:t>第五条  交付和验收</w:t>
      </w:r>
    </w:p>
    <w:p w14:paraId="556DD3CD">
      <w:pPr>
        <w:pStyle w:val="15"/>
        <w:spacing w:line="440" w:lineRule="exact"/>
        <w:ind w:firstLine="480" w:firstLineChars="200"/>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1.交付使用时间：自合同签订之日起    天内全部安装并调试合格；</w:t>
      </w:r>
    </w:p>
    <w:p w14:paraId="1FCC0CBD">
      <w:pPr>
        <w:pStyle w:val="15"/>
        <w:spacing w:line="440" w:lineRule="exact"/>
        <w:ind w:firstLine="480" w:firstLineChars="200"/>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交付地点：广西区内甲方指定地点。</w:t>
      </w:r>
    </w:p>
    <w:p w14:paraId="02837665">
      <w:pPr>
        <w:pStyle w:val="15"/>
        <w:spacing w:line="440" w:lineRule="exact"/>
        <w:ind w:firstLine="480" w:firstLineChars="200"/>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2.乙方提供不符合</w:t>
      </w:r>
      <w:r>
        <w:rPr>
          <w:rFonts w:hint="eastAsia" w:ascii="仿宋" w:hAnsi="仿宋" w:eastAsia="仿宋" w:cs="仿宋"/>
          <w:color w:val="auto"/>
          <w:sz w:val="24"/>
          <w:szCs w:val="24"/>
          <w:highlight w:val="none"/>
          <w:lang w:eastAsia="zh-CN"/>
        </w:rPr>
        <w:t>采购文件</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eastAsia="zh-CN"/>
        </w:rPr>
        <w:t>响应文件</w:t>
      </w:r>
      <w:r>
        <w:rPr>
          <w:rFonts w:hint="eastAsia" w:ascii="仿宋" w:hAnsi="仿宋" w:eastAsia="仿宋" w:cs="仿宋"/>
          <w:color w:val="auto"/>
          <w:sz w:val="24"/>
          <w:szCs w:val="24"/>
          <w:highlight w:val="none"/>
        </w:rPr>
        <w:t>和本合同规定的货物，甲方有权拒绝接收。</w:t>
      </w:r>
    </w:p>
    <w:p w14:paraId="0E12FA3B">
      <w:pPr>
        <w:pStyle w:val="15"/>
        <w:spacing w:line="440" w:lineRule="exact"/>
        <w:ind w:firstLine="480" w:firstLineChars="200"/>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3.乙方交货前应对产品作出全面检查和对验收材料进行整理，并列出清单随货物交甲方。乙方不能完整交付货物及验收材料，应及时补齐，否则视为未按合同约定交货。</w:t>
      </w:r>
    </w:p>
    <w:p w14:paraId="0350988D">
      <w:pPr>
        <w:pStyle w:val="15"/>
        <w:spacing w:line="440" w:lineRule="exact"/>
        <w:ind w:firstLine="480" w:firstLineChars="200"/>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.货物到达甲方指定地点后，甲方依据合同的要求和乙方提供的货物清单进行清点和检查，外观、说明书、包装、数量等符合要求的，给予签收，不符合的不予签收。</w:t>
      </w:r>
    </w:p>
    <w:p w14:paraId="267B5F74">
      <w:pPr>
        <w:pStyle w:val="15"/>
        <w:spacing w:line="440" w:lineRule="exact"/>
        <w:ind w:firstLine="480" w:firstLineChars="200"/>
        <w:jc w:val="left"/>
        <w:rPr>
          <w:rFonts w:ascii="仿宋" w:hAnsi="仿宋" w:eastAsia="仿宋" w:cs="仿宋"/>
          <w:b/>
          <w:bCs/>
          <w:color w:val="auto"/>
          <w:sz w:val="24"/>
          <w:szCs w:val="24"/>
          <w:highlight w:val="none"/>
        </w:rPr>
      </w:pP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w:t>
      </w:r>
      <w:r>
        <w:rPr>
          <w:rFonts w:hint="eastAsia" w:ascii="仿宋" w:hAnsi="仿宋" w:eastAsia="仿宋" w:cs="仿宋"/>
          <w:b/>
          <w:bCs/>
          <w:color w:val="auto"/>
          <w:sz w:val="24"/>
          <w:szCs w:val="24"/>
          <w:highlight w:val="none"/>
        </w:rPr>
        <w:t>乙方需完成安装和调试，直到符合合同、甲方</w:t>
      </w:r>
      <w:r>
        <w:rPr>
          <w:rFonts w:hint="eastAsia" w:ascii="仿宋" w:hAnsi="仿宋" w:eastAsia="仿宋" w:cs="仿宋"/>
          <w:b/>
          <w:bCs/>
          <w:color w:val="auto"/>
          <w:sz w:val="24"/>
          <w:szCs w:val="24"/>
          <w:highlight w:val="none"/>
          <w:lang w:eastAsia="zh-CN"/>
        </w:rPr>
        <w:t>采购文件</w:t>
      </w:r>
      <w:r>
        <w:rPr>
          <w:rFonts w:hint="eastAsia" w:ascii="仿宋" w:hAnsi="仿宋" w:eastAsia="仿宋" w:cs="仿宋"/>
          <w:b/>
          <w:bCs/>
          <w:color w:val="auto"/>
          <w:sz w:val="24"/>
          <w:szCs w:val="24"/>
          <w:highlight w:val="none"/>
        </w:rPr>
        <w:t>、乙方</w:t>
      </w:r>
      <w:r>
        <w:rPr>
          <w:rFonts w:hint="eastAsia" w:ascii="仿宋" w:hAnsi="仿宋" w:eastAsia="仿宋" w:cs="仿宋"/>
          <w:b/>
          <w:bCs/>
          <w:color w:val="auto"/>
          <w:sz w:val="24"/>
          <w:szCs w:val="24"/>
          <w:highlight w:val="none"/>
          <w:lang w:eastAsia="zh-CN"/>
        </w:rPr>
        <w:t>响应文件</w:t>
      </w:r>
      <w:r>
        <w:rPr>
          <w:rFonts w:hint="eastAsia" w:ascii="仿宋" w:hAnsi="仿宋" w:eastAsia="仿宋" w:cs="仿宋"/>
          <w:b/>
          <w:bCs/>
          <w:color w:val="auto"/>
          <w:sz w:val="24"/>
          <w:szCs w:val="24"/>
          <w:highlight w:val="none"/>
        </w:rPr>
        <w:t>及承诺等有关要求。乙方完成安装调试</w:t>
      </w:r>
      <w:r>
        <w:rPr>
          <w:rFonts w:hint="eastAsia" w:ascii="仿宋" w:hAnsi="仿宋" w:eastAsia="仿宋" w:cs="仿宋"/>
          <w:b/>
          <w:bCs/>
          <w:color w:val="auto"/>
          <w:sz w:val="24"/>
          <w:szCs w:val="24"/>
          <w:highlight w:val="none"/>
          <w:lang w:val="en-US" w:eastAsia="zh-CN"/>
        </w:rPr>
        <w:t>及试运行</w:t>
      </w:r>
      <w:r>
        <w:rPr>
          <w:rFonts w:hint="eastAsia" w:ascii="仿宋" w:hAnsi="仿宋" w:eastAsia="仿宋" w:cs="仿宋"/>
          <w:b/>
          <w:bCs/>
          <w:color w:val="auto"/>
          <w:sz w:val="24"/>
          <w:szCs w:val="24"/>
          <w:highlight w:val="none"/>
        </w:rPr>
        <w:t>后七个工作日内，向甲方提请合同验收。甲方组织验收时，乙方应予以配合，验收合格</w:t>
      </w:r>
      <w:r>
        <w:rPr>
          <w:rFonts w:hint="eastAsia" w:ascii="仿宋" w:hAnsi="仿宋" w:eastAsia="仿宋" w:cs="仿宋"/>
          <w:b/>
          <w:bCs/>
          <w:color w:val="auto"/>
          <w:sz w:val="24"/>
          <w:szCs w:val="24"/>
          <w:highlight w:val="none"/>
        </w:rPr>
        <w:tab/>
      </w:r>
      <w:r>
        <w:rPr>
          <w:rFonts w:hint="eastAsia" w:ascii="仿宋" w:hAnsi="仿宋" w:eastAsia="仿宋" w:cs="仿宋"/>
          <w:b/>
          <w:bCs/>
          <w:color w:val="auto"/>
          <w:sz w:val="24"/>
          <w:szCs w:val="24"/>
          <w:highlight w:val="none"/>
        </w:rPr>
        <w:t>后由甲乙双方签署货物验收单并加盖甲乙双方单位公章，甲乙双方各执一份。</w:t>
      </w:r>
    </w:p>
    <w:p w14:paraId="1A209681">
      <w:pPr>
        <w:pStyle w:val="15"/>
        <w:spacing w:line="440" w:lineRule="exact"/>
        <w:ind w:firstLine="480" w:firstLineChars="200"/>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6</w:t>
      </w:r>
      <w:r>
        <w:rPr>
          <w:rFonts w:ascii="仿宋" w:hAnsi="仿宋" w:eastAsia="仿宋" w:cs="仿宋"/>
          <w:color w:val="auto"/>
          <w:sz w:val="24"/>
          <w:szCs w:val="24"/>
          <w:highlight w:val="none"/>
        </w:rPr>
        <w:t>.其他未尽事宜应严格按照《关于印发广西壮族自治区政府采购项目履约验收管理办法的通知》[桂财采〔2015〕22号]以及《财政部关于进一步加强政府采购需求和履约验收管理的指导意见》[财库〔2016〕205号]规定执行。</w:t>
      </w:r>
    </w:p>
    <w:p w14:paraId="6EBC04D6">
      <w:pPr>
        <w:pStyle w:val="15"/>
        <w:spacing w:line="440" w:lineRule="exact"/>
        <w:ind w:firstLine="480" w:firstLineChars="200"/>
        <w:jc w:val="left"/>
        <w:rPr>
          <w:rFonts w:hint="eastAsia" w:ascii="仿宋" w:hAnsi="仿宋" w:eastAsia="仿宋" w:cs="仿宋"/>
          <w:b/>
          <w:bCs/>
          <w:color w:val="auto"/>
          <w:sz w:val="24"/>
          <w:szCs w:val="24"/>
          <w:highlight w:val="none"/>
        </w:rPr>
      </w:pPr>
      <w:r>
        <w:rPr>
          <w:rFonts w:hint="eastAsia" w:ascii="仿宋" w:hAnsi="仿宋" w:eastAsia="仿宋" w:cs="仿宋"/>
          <w:color w:val="auto"/>
          <w:sz w:val="24"/>
          <w:szCs w:val="24"/>
          <w:highlight w:val="none"/>
          <w:lang w:val="en-US" w:eastAsia="zh-CN"/>
        </w:rPr>
        <w:t>7</w:t>
      </w:r>
      <w:r>
        <w:rPr>
          <w:rFonts w:hint="eastAsia" w:ascii="仿宋" w:hAnsi="仿宋" w:eastAsia="仿宋" w:cs="仿宋"/>
          <w:color w:val="auto"/>
          <w:sz w:val="24"/>
          <w:szCs w:val="24"/>
          <w:highlight w:val="none"/>
        </w:rPr>
        <w:t>.</w:t>
      </w:r>
      <w:r>
        <w:rPr>
          <w:rFonts w:hint="eastAsia" w:ascii="仿宋" w:hAnsi="仿宋" w:eastAsia="仿宋" w:cs="仿宋"/>
          <w:b/>
          <w:bCs/>
          <w:color w:val="auto"/>
          <w:sz w:val="24"/>
          <w:szCs w:val="24"/>
          <w:highlight w:val="none"/>
        </w:rPr>
        <w:t>合同验收通过后，</w:t>
      </w:r>
      <w:r>
        <w:rPr>
          <w:rFonts w:hint="eastAsia" w:ascii="仿宋" w:hAnsi="仿宋" w:eastAsia="仿宋" w:cs="仿宋"/>
          <w:b/>
          <w:bCs/>
          <w:color w:val="auto"/>
          <w:sz w:val="24"/>
          <w:szCs w:val="24"/>
          <w:highlight w:val="none"/>
          <w:lang w:val="en-US" w:eastAsia="zh-CN"/>
        </w:rPr>
        <w:t>后续如有进一步验收工作，</w:t>
      </w:r>
      <w:r>
        <w:rPr>
          <w:rFonts w:hint="eastAsia" w:ascii="仿宋" w:hAnsi="仿宋" w:eastAsia="仿宋" w:cs="仿宋"/>
          <w:b/>
          <w:bCs/>
          <w:color w:val="auto"/>
          <w:sz w:val="24"/>
          <w:szCs w:val="24"/>
          <w:highlight w:val="none"/>
        </w:rPr>
        <w:t>乙方应</w:t>
      </w:r>
      <w:r>
        <w:rPr>
          <w:rFonts w:hint="eastAsia" w:ascii="仿宋" w:hAnsi="仿宋" w:eastAsia="仿宋" w:cs="仿宋"/>
          <w:b/>
          <w:bCs/>
          <w:color w:val="auto"/>
          <w:sz w:val="24"/>
          <w:szCs w:val="24"/>
          <w:highlight w:val="none"/>
          <w:lang w:val="en-US" w:eastAsia="zh-CN"/>
        </w:rPr>
        <w:t>积极</w:t>
      </w:r>
      <w:r>
        <w:rPr>
          <w:rFonts w:hint="eastAsia" w:ascii="仿宋" w:hAnsi="仿宋" w:eastAsia="仿宋" w:cs="仿宋"/>
          <w:b/>
          <w:bCs/>
          <w:color w:val="auto"/>
          <w:sz w:val="24"/>
          <w:szCs w:val="24"/>
          <w:highlight w:val="none"/>
        </w:rPr>
        <w:t>配合并</w:t>
      </w:r>
      <w:r>
        <w:rPr>
          <w:rFonts w:hint="eastAsia" w:ascii="仿宋" w:hAnsi="仿宋" w:eastAsia="仿宋" w:cs="仿宋"/>
          <w:b/>
          <w:bCs/>
          <w:color w:val="auto"/>
          <w:sz w:val="24"/>
          <w:szCs w:val="24"/>
          <w:highlight w:val="none"/>
          <w:lang w:val="en-US" w:eastAsia="zh-CN"/>
        </w:rPr>
        <w:t>按照验收意见</w:t>
      </w:r>
      <w:r>
        <w:rPr>
          <w:rFonts w:hint="eastAsia" w:ascii="仿宋" w:hAnsi="仿宋" w:eastAsia="仿宋" w:cs="仿宋"/>
          <w:b/>
          <w:bCs/>
          <w:color w:val="auto"/>
          <w:sz w:val="24"/>
          <w:szCs w:val="24"/>
          <w:highlight w:val="none"/>
        </w:rPr>
        <w:t>完成相关整改</w:t>
      </w:r>
      <w:r>
        <w:rPr>
          <w:rFonts w:hint="eastAsia" w:ascii="仿宋" w:hAnsi="仿宋" w:eastAsia="仿宋" w:cs="仿宋"/>
          <w:b/>
          <w:bCs/>
          <w:color w:val="auto"/>
          <w:sz w:val="24"/>
          <w:szCs w:val="24"/>
          <w:highlight w:val="none"/>
          <w:lang w:val="en-US" w:eastAsia="zh-CN"/>
        </w:rPr>
        <w:t>工作</w:t>
      </w:r>
      <w:r>
        <w:rPr>
          <w:rFonts w:hint="eastAsia" w:ascii="仿宋" w:hAnsi="仿宋" w:eastAsia="仿宋" w:cs="仿宋"/>
          <w:b/>
          <w:bCs/>
          <w:color w:val="auto"/>
          <w:sz w:val="24"/>
          <w:szCs w:val="24"/>
          <w:highlight w:val="none"/>
          <w:lang w:eastAsia="zh-CN"/>
        </w:rPr>
        <w:t>。</w:t>
      </w:r>
    </w:p>
    <w:p w14:paraId="5355AECE">
      <w:pPr>
        <w:pStyle w:val="15"/>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第六条  安装和培训</w:t>
      </w:r>
    </w:p>
    <w:p w14:paraId="5FFE32CE">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1.甲方应提供必要安装条件（如场地、电源、水源等），乙方负责安装。</w:t>
      </w:r>
    </w:p>
    <w:p w14:paraId="2A8D1A4C">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2.乙方负责甲方有关人员的培训。培训时间、次数、地点：由甲方决定。</w:t>
      </w:r>
    </w:p>
    <w:p w14:paraId="65377EFA">
      <w:pPr>
        <w:snapToGrid w:val="0"/>
        <w:spacing w:line="440" w:lineRule="exact"/>
        <w:ind w:firstLine="482" w:firstLineChars="200"/>
        <w:jc w:val="left"/>
        <w:rPr>
          <w:rFonts w:ascii="仿宋" w:hAnsi="仿宋" w:eastAsia="仿宋" w:cs="仿宋"/>
          <w:color w:val="auto"/>
          <w:sz w:val="24"/>
          <w:highlight w:val="none"/>
        </w:rPr>
      </w:pPr>
      <w:r>
        <w:rPr>
          <w:rFonts w:hint="eastAsia" w:ascii="仿宋" w:hAnsi="仿宋" w:eastAsia="仿宋" w:cs="仿宋"/>
          <w:b/>
          <w:color w:val="auto"/>
          <w:sz w:val="24"/>
          <w:highlight w:val="none"/>
        </w:rPr>
        <w:t>第七条  付款方式</w:t>
      </w:r>
    </w:p>
    <w:p w14:paraId="6802F218">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1.资金性质：财政性资金。</w:t>
      </w:r>
    </w:p>
    <w:p w14:paraId="04E26B8B">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2.付款方式：</w:t>
      </w:r>
    </w:p>
    <w:p w14:paraId="3A82B022">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支付形式：转账。</w:t>
      </w:r>
    </w:p>
    <w:p w14:paraId="74E8D034">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第八条  履约保证金</w:t>
      </w:r>
    </w:p>
    <w:p w14:paraId="729C240F">
      <w:pPr>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本合同履约保证金金额：无。</w:t>
      </w:r>
    </w:p>
    <w:p w14:paraId="536E799B">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第九条  税费</w:t>
      </w:r>
    </w:p>
    <w:p w14:paraId="5F2D5575">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本合同执行中相关的一切税费均由乙方负担。</w:t>
      </w:r>
    </w:p>
    <w:p w14:paraId="4F67660F">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第十条  质保期及售后服务</w:t>
      </w:r>
    </w:p>
    <w:p w14:paraId="2082F206">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1.乙方应按照国家有关法律法规和“三包”规定以及</w:t>
      </w:r>
      <w:r>
        <w:rPr>
          <w:rFonts w:hint="eastAsia" w:ascii="仿宋" w:hAnsi="仿宋" w:eastAsia="仿宋" w:cs="仿宋"/>
          <w:color w:val="auto"/>
          <w:sz w:val="24"/>
          <w:highlight w:val="none"/>
          <w:lang w:eastAsia="zh-CN"/>
        </w:rPr>
        <w:t>采购文件</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响应文件</w:t>
      </w:r>
      <w:r>
        <w:rPr>
          <w:rFonts w:hint="eastAsia" w:ascii="仿宋" w:hAnsi="仿宋" w:eastAsia="仿宋" w:cs="仿宋"/>
          <w:color w:val="auto"/>
          <w:sz w:val="24"/>
          <w:highlight w:val="none"/>
        </w:rPr>
        <w:t>和本合同附件，为甲方提供售后服务。</w:t>
      </w:r>
    </w:p>
    <w:p w14:paraId="1CE9E4CA">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2.货物质保期：设备验收合格正式交付使用之日起计算，整套设备免费保修期为   年（因战争、严重火灾、洪水、台风、雷击、地震等不可抗拒因素和人为因素出现的故障不在免费保修范围内，可有偿维修）。质保期内免费维修、更换配件。质保期满后，以优惠价格提供维修和备件更换，且免除一切手续费。</w:t>
      </w:r>
    </w:p>
    <w:p w14:paraId="3579EE44">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w:t>
      </w:r>
      <w:r>
        <w:rPr>
          <w:rFonts w:ascii="仿宋" w:hAnsi="仿宋" w:eastAsia="仿宋" w:cs="仿宋"/>
          <w:color w:val="auto"/>
          <w:sz w:val="24"/>
          <w:highlight w:val="none"/>
        </w:rPr>
        <w:t>.如在使用过程中发生质量问题，乙方在接到甲方通知后在    小时内到达甲方现场。</w:t>
      </w:r>
    </w:p>
    <w:p w14:paraId="12104AB3">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w:t>
      </w:r>
      <w:r>
        <w:rPr>
          <w:rFonts w:ascii="仿宋" w:hAnsi="仿宋" w:eastAsia="仿宋" w:cs="仿宋"/>
          <w:color w:val="auto"/>
          <w:sz w:val="24"/>
          <w:highlight w:val="none"/>
        </w:rPr>
        <w:t>在质保期内，乙方应对货物或服务成果出现的质量及安全问题负责处理解决并承担一切费用。</w:t>
      </w:r>
    </w:p>
    <w:p w14:paraId="4DECDF95">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w:t>
      </w:r>
      <w:r>
        <w:rPr>
          <w:rFonts w:ascii="仿宋" w:hAnsi="仿宋" w:eastAsia="仿宋" w:cs="仿宋"/>
          <w:color w:val="auto"/>
          <w:sz w:val="24"/>
          <w:highlight w:val="none"/>
        </w:rPr>
        <w:t>.乙方提供的服务承诺和售后服务及质保期责任等其它具体约定事项。</w:t>
      </w:r>
    </w:p>
    <w:p w14:paraId="395A76FC">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第十一条  违约责任</w:t>
      </w:r>
    </w:p>
    <w:p w14:paraId="7C92357C">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1.乙方所提供的货物经验收不合格，乙方必须在30天内无条件更换，并经验收合格；如果验收不合格，视为乙方构成根本性违约，甲方有权解除合同，乙方应向甲方退还全部合同货款，</w:t>
      </w:r>
      <w:r>
        <w:rPr>
          <w:rFonts w:hint="eastAsia" w:ascii="仿宋" w:hAnsi="仿宋" w:eastAsia="仿宋" w:cs="仿宋"/>
          <w:b/>
          <w:bCs/>
          <w:color w:val="auto"/>
          <w:sz w:val="24"/>
          <w:highlight w:val="none"/>
        </w:rPr>
        <w:t>并支付违约金为验收不合格货款金额的 30%。</w:t>
      </w:r>
      <w:r>
        <w:rPr>
          <w:rFonts w:hint="eastAsia" w:ascii="仿宋" w:hAnsi="仿宋" w:eastAsia="仿宋" w:cs="仿宋"/>
          <w:color w:val="auto"/>
          <w:sz w:val="24"/>
          <w:highlight w:val="none"/>
        </w:rPr>
        <w:t xml:space="preserve">                                       </w:t>
      </w:r>
    </w:p>
    <w:p w14:paraId="61BD9C88">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2.乙方提供的货物如侵犯了第三方合法权益而引发的任何纠纷或诉讼，均由乙方负责交涉并承担全部责任。</w:t>
      </w:r>
    </w:p>
    <w:p w14:paraId="1E698045">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3.因包装、运输引起的货物损坏，按质量不合格处理，由乙方自行承担。</w:t>
      </w:r>
    </w:p>
    <w:p w14:paraId="2AC0A1C1">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4.甲方无故延期接收货物，每天向乙方偿付延期接货货款总金额3‰违约金，但违约金累计不得超过合同货款总金额5%，超过 30 天乙方有权解除合同，甲方应向乙方支付剩余合同款；甲方延期付货款的，每天向乙方偿付延期货款额3‰ 违约金，但违约金累计不得超过延期货款总金额5%。</w:t>
      </w:r>
    </w:p>
    <w:p w14:paraId="0EEBB413">
      <w:pPr>
        <w:snapToGrid w:val="0"/>
        <w:spacing w:line="440" w:lineRule="exact"/>
        <w:ind w:firstLine="480" w:firstLineChars="200"/>
        <w:jc w:val="left"/>
        <w:rPr>
          <w:rFonts w:ascii="仿宋" w:hAnsi="仿宋" w:eastAsia="仿宋" w:cs="仿宋"/>
          <w:b/>
          <w:bCs/>
          <w:color w:val="auto"/>
          <w:sz w:val="24"/>
          <w:highlight w:val="none"/>
        </w:rPr>
      </w:pPr>
      <w:r>
        <w:rPr>
          <w:rFonts w:hint="eastAsia" w:ascii="仿宋" w:hAnsi="仿宋" w:eastAsia="仿宋" w:cs="仿宋"/>
          <w:color w:val="auto"/>
          <w:sz w:val="24"/>
          <w:highlight w:val="none"/>
        </w:rPr>
        <w:t>5.乙方逾期交货的，每天向甲方支付逾期交货货款总金额3‰违约金，但违约金累计不得超过合同货款总金额5%，超过 30 天甲方有权解除合同，乙方应向甲方退还全部合同货款，</w:t>
      </w:r>
      <w:r>
        <w:rPr>
          <w:rFonts w:hint="eastAsia" w:ascii="仿宋" w:hAnsi="仿宋" w:eastAsia="仿宋" w:cs="仿宋"/>
          <w:b/>
          <w:bCs/>
          <w:color w:val="auto"/>
          <w:sz w:val="24"/>
          <w:highlight w:val="none"/>
        </w:rPr>
        <w:t>并支付违约货款金额30%违约金。</w:t>
      </w:r>
    </w:p>
    <w:p w14:paraId="1A1CBA8C">
      <w:pPr>
        <w:snapToGrid w:val="0"/>
        <w:spacing w:line="440" w:lineRule="exact"/>
        <w:ind w:firstLine="480" w:firstLineChars="200"/>
        <w:jc w:val="left"/>
        <w:rPr>
          <w:rFonts w:ascii="仿宋" w:hAnsi="仿宋" w:eastAsia="仿宋" w:cs="仿宋"/>
          <w:b/>
          <w:bCs/>
          <w:color w:val="auto"/>
          <w:sz w:val="24"/>
          <w:highlight w:val="none"/>
        </w:rPr>
      </w:pPr>
      <w:r>
        <w:rPr>
          <w:rFonts w:hint="eastAsia" w:ascii="仿宋" w:hAnsi="仿宋" w:eastAsia="仿宋" w:cs="仿宋"/>
          <w:color w:val="auto"/>
          <w:sz w:val="24"/>
          <w:highlight w:val="none"/>
        </w:rPr>
        <w:t>6.</w:t>
      </w:r>
      <w:r>
        <w:rPr>
          <w:rFonts w:hint="eastAsia" w:ascii="仿宋" w:hAnsi="仿宋" w:eastAsia="仿宋" w:cs="仿宋"/>
          <w:b/>
          <w:bCs/>
          <w:color w:val="auto"/>
          <w:sz w:val="24"/>
          <w:highlight w:val="none"/>
        </w:rPr>
        <w:t>乙方未按本合同和</w:t>
      </w:r>
      <w:r>
        <w:rPr>
          <w:rFonts w:hint="eastAsia" w:ascii="仿宋" w:hAnsi="仿宋" w:eastAsia="仿宋" w:cs="仿宋"/>
          <w:b/>
          <w:bCs/>
          <w:color w:val="auto"/>
          <w:sz w:val="24"/>
          <w:highlight w:val="none"/>
          <w:lang w:eastAsia="zh-CN"/>
        </w:rPr>
        <w:t>响应文件</w:t>
      </w:r>
      <w:r>
        <w:rPr>
          <w:rFonts w:hint="eastAsia" w:ascii="仿宋" w:hAnsi="仿宋" w:eastAsia="仿宋" w:cs="仿宋"/>
          <w:b/>
          <w:bCs/>
          <w:color w:val="auto"/>
          <w:sz w:val="24"/>
          <w:highlight w:val="none"/>
        </w:rPr>
        <w:t>中规定的服务承诺提供售后服务的，乙方应按本合同合计金额5%向甲方支付违约金。</w:t>
      </w:r>
    </w:p>
    <w:p w14:paraId="2645C33E">
      <w:pPr>
        <w:snapToGrid w:val="0"/>
        <w:spacing w:line="440" w:lineRule="exact"/>
        <w:ind w:firstLine="480" w:firstLineChars="200"/>
        <w:jc w:val="left"/>
        <w:rPr>
          <w:rFonts w:ascii="仿宋" w:hAnsi="仿宋" w:eastAsia="仿宋" w:cs="仿宋"/>
          <w:b/>
          <w:bCs/>
          <w:color w:val="auto"/>
          <w:sz w:val="24"/>
          <w:highlight w:val="none"/>
        </w:rPr>
      </w:pPr>
      <w:r>
        <w:rPr>
          <w:rFonts w:hint="eastAsia" w:ascii="仿宋" w:hAnsi="仿宋" w:eastAsia="仿宋" w:cs="仿宋"/>
          <w:color w:val="auto"/>
          <w:sz w:val="24"/>
          <w:highlight w:val="none"/>
        </w:rPr>
        <w:t>7.乙方提供的货物在质量保证期内，因设计、工艺或材料的缺陷和其它质量原因造成的问题，</w:t>
      </w:r>
      <w:r>
        <w:rPr>
          <w:rFonts w:hint="eastAsia" w:ascii="仿宋" w:hAnsi="仿宋" w:eastAsia="仿宋" w:cs="仿宋"/>
          <w:b/>
          <w:bCs/>
          <w:color w:val="auto"/>
          <w:sz w:val="24"/>
          <w:highlight w:val="none"/>
        </w:rPr>
        <w:t>由乙方负责，费用从剩余支付货款中扣除，剩余支付货款不足以支付的，由乙方另行支付。</w:t>
      </w:r>
    </w:p>
    <w:p w14:paraId="78E83765">
      <w:pPr>
        <w:pStyle w:val="15"/>
        <w:spacing w:line="440" w:lineRule="exact"/>
        <w:ind w:firstLine="480" w:firstLineChars="200"/>
        <w:jc w:val="left"/>
        <w:rPr>
          <w:rFonts w:ascii="仿宋" w:hAnsi="仿宋" w:eastAsia="仿宋"/>
          <w:color w:val="auto"/>
          <w:sz w:val="24"/>
          <w:szCs w:val="24"/>
          <w:highlight w:val="none"/>
        </w:rPr>
      </w:pPr>
      <w:r>
        <w:rPr>
          <w:rFonts w:hint="eastAsia" w:ascii="仿宋" w:hAnsi="仿宋" w:eastAsia="仿宋"/>
          <w:color w:val="auto"/>
          <w:sz w:val="24"/>
          <w:szCs w:val="24"/>
          <w:highlight w:val="none"/>
        </w:rPr>
        <w:t>8.因产品质量不合格造成他人财产、人身损害的，乙方应当承担赔偿责任。</w:t>
      </w:r>
    </w:p>
    <w:p w14:paraId="47B57E47">
      <w:pPr>
        <w:snapToGrid w:val="0"/>
        <w:spacing w:line="440" w:lineRule="exact"/>
        <w:jc w:val="left"/>
        <w:rPr>
          <w:rFonts w:ascii="仿宋" w:hAnsi="仿宋" w:eastAsia="仿宋" w:cs="仿宋"/>
          <w:color w:val="auto"/>
          <w:sz w:val="24"/>
          <w:highlight w:val="none"/>
        </w:rPr>
      </w:pPr>
      <w:r>
        <w:rPr>
          <w:rFonts w:hint="eastAsia" w:ascii="仿宋" w:hAnsi="仿宋" w:eastAsia="仿宋" w:cs="仿宋"/>
          <w:b/>
          <w:bCs/>
          <w:color w:val="auto"/>
          <w:sz w:val="24"/>
          <w:highlight w:val="none"/>
        </w:rPr>
        <w:t>其它违约行为按违约货款额30%收取违约金，</w:t>
      </w:r>
      <w:r>
        <w:rPr>
          <w:rFonts w:hint="eastAsia" w:ascii="仿宋" w:hAnsi="仿宋" w:eastAsia="仿宋" w:cs="仿宋"/>
          <w:color w:val="auto"/>
          <w:sz w:val="24"/>
          <w:highlight w:val="none"/>
        </w:rPr>
        <w:t>如果违约金不足于赔偿甲方的经济损失，乙方应当足额赔偿甲方经济损失。</w:t>
      </w:r>
    </w:p>
    <w:p w14:paraId="2C3264ED">
      <w:pPr>
        <w:pStyle w:val="15"/>
        <w:snapToGrid w:val="0"/>
        <w:spacing w:before="120" w:after="120" w:line="440" w:lineRule="exact"/>
        <w:ind w:firstLine="472" w:firstLineChars="196"/>
        <w:jc w:val="left"/>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第十二条  不可抗力事件处理</w:t>
      </w:r>
    </w:p>
    <w:p w14:paraId="7E7F5F83">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1.在合同有效期内，任何一方因不可抗力事件导致不能履行合同，则合同履行期可延长，其延长期与不可抗力影响期相同。</w:t>
      </w:r>
    </w:p>
    <w:p w14:paraId="65688293">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2.不可抗力事件发生后，应立即书面通知对方，并寄送有关权威机构出具的证明。</w:t>
      </w:r>
    </w:p>
    <w:p w14:paraId="3F12CB04">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3.不可抗力事件延续一百二十天以上，双方应通过友好协商，确定是否继续履行合同。</w:t>
      </w:r>
    </w:p>
    <w:p w14:paraId="50AB9F36">
      <w:pPr>
        <w:snapToGrid w:val="0"/>
        <w:spacing w:line="440" w:lineRule="exact"/>
        <w:ind w:firstLine="482" w:firstLineChars="200"/>
        <w:jc w:val="left"/>
        <w:rPr>
          <w:rFonts w:ascii="仿宋" w:hAnsi="仿宋" w:eastAsia="仿宋" w:cs="仿宋"/>
          <w:color w:val="auto"/>
          <w:sz w:val="24"/>
          <w:highlight w:val="none"/>
        </w:rPr>
      </w:pPr>
      <w:r>
        <w:rPr>
          <w:rFonts w:hint="eastAsia" w:ascii="仿宋" w:hAnsi="仿宋" w:eastAsia="仿宋" w:cs="仿宋"/>
          <w:b/>
          <w:color w:val="auto"/>
          <w:sz w:val="24"/>
          <w:highlight w:val="none"/>
        </w:rPr>
        <w:t>第十三条  合同争议解决</w:t>
      </w:r>
    </w:p>
    <w:p w14:paraId="63B094DF">
      <w:pPr>
        <w:snapToGrid w:val="0"/>
        <w:spacing w:line="440" w:lineRule="exact"/>
        <w:ind w:firstLine="480" w:firstLineChars="200"/>
        <w:jc w:val="left"/>
        <w:rPr>
          <w:rFonts w:ascii="仿宋" w:hAnsi="仿宋" w:eastAsia="仿宋" w:cs="仿宋"/>
          <w:b/>
          <w:bCs/>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b/>
          <w:bCs/>
          <w:color w:val="auto"/>
          <w:sz w:val="24"/>
          <w:highlight w:val="none"/>
        </w:rPr>
        <w:t>因货物质量问题发生争议的，应对货物进行封存，并邀请省级以上具备质量检测资质的机构按照</w:t>
      </w:r>
      <w:r>
        <w:rPr>
          <w:rFonts w:hint="eastAsia" w:ascii="仿宋" w:hAnsi="仿宋" w:eastAsia="仿宋" w:cs="仿宋"/>
          <w:b/>
          <w:bCs/>
          <w:color w:val="auto"/>
          <w:sz w:val="24"/>
          <w:highlight w:val="none"/>
          <w:lang w:val="en-US" w:eastAsia="zh-CN"/>
        </w:rPr>
        <w:t>采购有关</w:t>
      </w:r>
      <w:r>
        <w:rPr>
          <w:rFonts w:hint="eastAsia" w:ascii="仿宋" w:hAnsi="仿宋" w:eastAsia="仿宋" w:cs="仿宋"/>
          <w:b/>
          <w:bCs/>
          <w:color w:val="auto"/>
          <w:sz w:val="24"/>
          <w:highlight w:val="none"/>
        </w:rPr>
        <w:t>标准对货物质量进行鉴定。货物符合标准的，鉴定费由甲方承担；货物不符合标准的，鉴定费由乙方承担。</w:t>
      </w:r>
    </w:p>
    <w:p w14:paraId="21B6D611">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2.因履行本合同引起的或与本合同有关的争议，甲乙双方应首先通过友好协商解决，如果协商不能解决，可向甲方所在地人民法院提起诉讼。</w:t>
      </w:r>
    </w:p>
    <w:p w14:paraId="51EB2329">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3.诉讼期间，本合同继续履行。</w:t>
      </w:r>
    </w:p>
    <w:p w14:paraId="369E040F">
      <w:pPr>
        <w:pStyle w:val="15"/>
        <w:snapToGrid w:val="0"/>
        <w:spacing w:before="120" w:after="120" w:line="440" w:lineRule="exact"/>
        <w:ind w:firstLine="482" w:firstLineChars="200"/>
        <w:jc w:val="left"/>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第十四条  合同生效及其它</w:t>
      </w:r>
    </w:p>
    <w:p w14:paraId="0B034038">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1.合同经双方法定代表人或授权代表签字并加盖单位公章后生效。</w:t>
      </w:r>
    </w:p>
    <w:p w14:paraId="47A11FFC">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2.合同执行中涉及采购资金和采购内容修改或补充的，须经财政部门审批，并签书面补充协议报财政部门备案，方可作为主合同不可分割的一部分。</w:t>
      </w:r>
    </w:p>
    <w:p w14:paraId="047AD857">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3.本合同未尽事宜，由双方协商，签订补充协议。</w:t>
      </w:r>
    </w:p>
    <w:p w14:paraId="547D1157">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第十五条  签订本合同依据</w:t>
      </w:r>
    </w:p>
    <w:p w14:paraId="45D93B9F">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1.政府采购</w:t>
      </w:r>
      <w:r>
        <w:rPr>
          <w:rFonts w:hint="eastAsia" w:ascii="仿宋" w:hAnsi="仿宋" w:eastAsia="仿宋" w:cs="仿宋"/>
          <w:color w:val="auto"/>
          <w:sz w:val="24"/>
          <w:highlight w:val="none"/>
          <w:lang w:eastAsia="zh-CN"/>
        </w:rPr>
        <w:t>采购文件</w:t>
      </w:r>
      <w:r>
        <w:rPr>
          <w:rFonts w:hint="eastAsia" w:ascii="仿宋" w:hAnsi="仿宋" w:eastAsia="仿宋" w:cs="仿宋"/>
          <w:color w:val="auto"/>
          <w:sz w:val="24"/>
          <w:highlight w:val="none"/>
        </w:rPr>
        <w:t>；</w:t>
      </w:r>
    </w:p>
    <w:p w14:paraId="10666D3A">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2.乙方提供的</w:t>
      </w:r>
      <w:r>
        <w:rPr>
          <w:rFonts w:hint="eastAsia" w:ascii="仿宋" w:hAnsi="仿宋" w:eastAsia="仿宋" w:cs="仿宋"/>
          <w:color w:val="auto"/>
          <w:sz w:val="24"/>
          <w:highlight w:val="none"/>
          <w:lang w:eastAsia="zh-CN"/>
        </w:rPr>
        <w:t>响应文件</w:t>
      </w:r>
      <w:r>
        <w:rPr>
          <w:rFonts w:hint="eastAsia" w:ascii="仿宋" w:hAnsi="仿宋" w:eastAsia="仿宋" w:cs="仿宋"/>
          <w:color w:val="auto"/>
          <w:sz w:val="24"/>
          <w:highlight w:val="none"/>
        </w:rPr>
        <w:t>；</w:t>
      </w:r>
    </w:p>
    <w:p w14:paraId="372EBBB1">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3.投标承诺书；</w:t>
      </w:r>
    </w:p>
    <w:p w14:paraId="25DACF1C">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4.中标（成交）通知书。</w:t>
      </w:r>
    </w:p>
    <w:p w14:paraId="7B00AC26">
      <w:pPr>
        <w:snapToGrid w:val="0"/>
        <w:spacing w:line="440" w:lineRule="exact"/>
        <w:ind w:firstLine="482" w:firstLineChars="200"/>
        <w:jc w:val="left"/>
        <w:rPr>
          <w:rFonts w:ascii="仿宋" w:hAnsi="仿宋" w:eastAsia="仿宋" w:cs="仿宋"/>
          <w:color w:val="auto"/>
          <w:sz w:val="24"/>
          <w:highlight w:val="none"/>
        </w:rPr>
      </w:pPr>
      <w:r>
        <w:rPr>
          <w:rFonts w:hint="eastAsia" w:ascii="仿宋" w:hAnsi="仿宋" w:eastAsia="仿宋" w:cs="仿宋"/>
          <w:b/>
          <w:color w:val="auto"/>
          <w:sz w:val="24"/>
          <w:highlight w:val="none"/>
        </w:rPr>
        <w:t xml:space="preserve">第十六条 </w:t>
      </w:r>
      <w:r>
        <w:rPr>
          <w:rFonts w:hint="eastAsia" w:ascii="仿宋" w:hAnsi="仿宋" w:eastAsia="仿宋" w:cs="仿宋"/>
          <w:color w:val="auto"/>
          <w:sz w:val="24"/>
          <w:highlight w:val="none"/>
        </w:rPr>
        <w:t>本合同一式    份，具有同等法律效力。</w:t>
      </w:r>
      <w:r>
        <w:rPr>
          <w:rFonts w:hint="eastAsia" w:ascii="仿宋" w:hAnsi="仿宋" w:eastAsia="仿宋" w:cs="仿宋"/>
          <w:color w:val="auto"/>
          <w:spacing w:val="4"/>
          <w:sz w:val="24"/>
          <w:highlight w:val="none"/>
        </w:rPr>
        <w:t>政府采购监督管理部门、采购代理机构</w:t>
      </w:r>
      <w:r>
        <w:rPr>
          <w:rFonts w:hint="eastAsia" w:ascii="仿宋" w:hAnsi="仿宋" w:eastAsia="仿宋" w:cs="仿宋"/>
          <w:color w:val="auto"/>
          <w:sz w:val="24"/>
          <w:highlight w:val="none"/>
        </w:rPr>
        <w:t>各一份，甲方（采购单位）三份，乙方二份。</w:t>
      </w:r>
    </w:p>
    <w:p w14:paraId="37E14284">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本合同经甲乙双方法定代表人或授权代表签字并加盖单位公章之日起生效。</w:t>
      </w:r>
    </w:p>
    <w:p w14:paraId="041E165E">
      <w:pPr>
        <w:widowControl/>
        <w:jc w:val="left"/>
        <w:rPr>
          <w:rFonts w:ascii="仿宋" w:hAnsi="仿宋" w:eastAsia="仿宋" w:cs="仿宋"/>
          <w:color w:val="auto"/>
          <w:sz w:val="24"/>
          <w:highlight w:val="none"/>
        </w:rPr>
      </w:pPr>
      <w:r>
        <w:rPr>
          <w:rFonts w:ascii="仿宋" w:hAnsi="仿宋" w:eastAsia="仿宋" w:cs="仿宋"/>
          <w:color w:val="auto"/>
          <w:sz w:val="24"/>
          <w:highlight w:val="none"/>
        </w:rPr>
        <w:br w:type="page"/>
      </w:r>
    </w:p>
    <w:tbl>
      <w:tblPr>
        <w:tblStyle w:val="24"/>
        <w:tblW w:w="9125" w:type="dxa"/>
        <w:jc w:val="center"/>
        <w:tblLayout w:type="fixed"/>
        <w:tblCellMar>
          <w:top w:w="0" w:type="dxa"/>
          <w:left w:w="108" w:type="dxa"/>
          <w:bottom w:w="0" w:type="dxa"/>
          <w:right w:w="108" w:type="dxa"/>
        </w:tblCellMar>
      </w:tblPr>
      <w:tblGrid>
        <w:gridCol w:w="4437"/>
        <w:gridCol w:w="4688"/>
      </w:tblGrid>
      <w:tr w14:paraId="473CA2D0">
        <w:tblPrEx>
          <w:tblCellMar>
            <w:top w:w="0" w:type="dxa"/>
            <w:left w:w="108" w:type="dxa"/>
            <w:bottom w:w="0" w:type="dxa"/>
            <w:right w:w="108" w:type="dxa"/>
          </w:tblCellMar>
        </w:tblPrEx>
        <w:trPr>
          <w:cantSplit/>
          <w:trHeight w:val="975" w:hRule="atLeast"/>
          <w:jc w:val="center"/>
        </w:trPr>
        <w:tc>
          <w:tcPr>
            <w:tcW w:w="4437" w:type="dxa"/>
            <w:noWrap w:val="0"/>
            <w:vAlign w:val="center"/>
          </w:tcPr>
          <w:p w14:paraId="473959E1">
            <w:pPr>
              <w:snapToGrid w:val="0"/>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甲方（采购单位）：</w:t>
            </w:r>
          </w:p>
          <w:p w14:paraId="65F24D88">
            <w:pPr>
              <w:snapToGrid w:val="0"/>
              <w:spacing w:line="360" w:lineRule="exact"/>
              <w:jc w:val="right"/>
              <w:rPr>
                <w:rFonts w:ascii="仿宋" w:hAnsi="仿宋" w:eastAsia="仿宋" w:cs="仿宋"/>
                <w:color w:val="auto"/>
                <w:sz w:val="24"/>
                <w:highlight w:val="none"/>
              </w:rPr>
            </w:pPr>
            <w:r>
              <w:rPr>
                <w:rFonts w:hint="eastAsia" w:ascii="仿宋" w:hAnsi="仿宋" w:eastAsia="仿宋" w:cs="仿宋"/>
                <w:color w:val="auto"/>
                <w:sz w:val="24"/>
                <w:highlight w:val="none"/>
              </w:rPr>
              <w:t>（章）</w:t>
            </w:r>
          </w:p>
        </w:tc>
        <w:tc>
          <w:tcPr>
            <w:tcW w:w="4688" w:type="dxa"/>
            <w:noWrap w:val="0"/>
            <w:vAlign w:val="center"/>
          </w:tcPr>
          <w:p w14:paraId="0C3714A8">
            <w:pPr>
              <w:snapToGrid w:val="0"/>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乙方（供应商）：</w:t>
            </w:r>
          </w:p>
          <w:p w14:paraId="705F3DCE">
            <w:pPr>
              <w:snapToGrid w:val="0"/>
              <w:spacing w:line="360" w:lineRule="exact"/>
              <w:jc w:val="right"/>
              <w:rPr>
                <w:rFonts w:ascii="仿宋" w:hAnsi="仿宋" w:eastAsia="仿宋" w:cs="仿宋"/>
                <w:color w:val="auto"/>
                <w:sz w:val="24"/>
                <w:highlight w:val="none"/>
              </w:rPr>
            </w:pPr>
            <w:r>
              <w:rPr>
                <w:rFonts w:hint="eastAsia" w:ascii="仿宋" w:hAnsi="仿宋" w:eastAsia="仿宋" w:cs="仿宋"/>
                <w:color w:val="auto"/>
                <w:sz w:val="24"/>
                <w:highlight w:val="none"/>
              </w:rPr>
              <w:t>（章）</w:t>
            </w:r>
          </w:p>
        </w:tc>
      </w:tr>
      <w:tr w14:paraId="63ACBE88">
        <w:tblPrEx>
          <w:tblCellMar>
            <w:top w:w="0" w:type="dxa"/>
            <w:left w:w="108" w:type="dxa"/>
            <w:bottom w:w="0" w:type="dxa"/>
            <w:right w:w="108" w:type="dxa"/>
          </w:tblCellMar>
        </w:tblPrEx>
        <w:trPr>
          <w:cantSplit/>
          <w:trHeight w:val="482" w:hRule="atLeast"/>
          <w:jc w:val="center"/>
        </w:trPr>
        <w:tc>
          <w:tcPr>
            <w:tcW w:w="4437" w:type="dxa"/>
            <w:noWrap w:val="0"/>
            <w:vAlign w:val="center"/>
          </w:tcPr>
          <w:p w14:paraId="7C69F98F">
            <w:pPr>
              <w:snapToGrid w:val="0"/>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单位地址：</w:t>
            </w:r>
          </w:p>
        </w:tc>
        <w:tc>
          <w:tcPr>
            <w:tcW w:w="4688" w:type="dxa"/>
            <w:noWrap w:val="0"/>
            <w:vAlign w:val="center"/>
          </w:tcPr>
          <w:p w14:paraId="3A05DF94">
            <w:pPr>
              <w:snapToGrid w:val="0"/>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单位地址：</w:t>
            </w:r>
          </w:p>
        </w:tc>
      </w:tr>
      <w:tr w14:paraId="1A9ECCA3">
        <w:tblPrEx>
          <w:tblCellMar>
            <w:top w:w="0" w:type="dxa"/>
            <w:left w:w="108" w:type="dxa"/>
            <w:bottom w:w="0" w:type="dxa"/>
            <w:right w:w="108" w:type="dxa"/>
          </w:tblCellMar>
        </w:tblPrEx>
        <w:trPr>
          <w:cantSplit/>
          <w:trHeight w:val="465" w:hRule="atLeast"/>
          <w:jc w:val="center"/>
        </w:trPr>
        <w:tc>
          <w:tcPr>
            <w:tcW w:w="4437" w:type="dxa"/>
            <w:noWrap w:val="0"/>
            <w:vAlign w:val="center"/>
          </w:tcPr>
          <w:p w14:paraId="227736D4">
            <w:pPr>
              <w:snapToGrid w:val="0"/>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法定代表人：</w:t>
            </w:r>
          </w:p>
        </w:tc>
        <w:tc>
          <w:tcPr>
            <w:tcW w:w="4688" w:type="dxa"/>
            <w:noWrap w:val="0"/>
            <w:vAlign w:val="center"/>
          </w:tcPr>
          <w:p w14:paraId="09161F07">
            <w:pPr>
              <w:snapToGrid w:val="0"/>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法定代表人：</w:t>
            </w:r>
          </w:p>
        </w:tc>
      </w:tr>
      <w:tr w14:paraId="7007A534">
        <w:tblPrEx>
          <w:tblCellMar>
            <w:top w:w="0" w:type="dxa"/>
            <w:left w:w="108" w:type="dxa"/>
            <w:bottom w:w="0" w:type="dxa"/>
            <w:right w:w="108" w:type="dxa"/>
          </w:tblCellMar>
        </w:tblPrEx>
        <w:trPr>
          <w:cantSplit/>
          <w:trHeight w:val="434" w:hRule="atLeast"/>
          <w:jc w:val="center"/>
        </w:trPr>
        <w:tc>
          <w:tcPr>
            <w:tcW w:w="4437" w:type="dxa"/>
            <w:noWrap w:val="0"/>
            <w:vAlign w:val="center"/>
          </w:tcPr>
          <w:p w14:paraId="7DC7414F">
            <w:pPr>
              <w:snapToGrid w:val="0"/>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委托代理人：</w:t>
            </w:r>
          </w:p>
        </w:tc>
        <w:tc>
          <w:tcPr>
            <w:tcW w:w="4688" w:type="dxa"/>
            <w:noWrap w:val="0"/>
            <w:vAlign w:val="center"/>
          </w:tcPr>
          <w:p w14:paraId="7EEC8881">
            <w:pPr>
              <w:snapToGrid w:val="0"/>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委托代理人</w:t>
            </w:r>
          </w:p>
        </w:tc>
      </w:tr>
      <w:tr w14:paraId="3F2E1614">
        <w:tblPrEx>
          <w:tblCellMar>
            <w:top w:w="0" w:type="dxa"/>
            <w:left w:w="108" w:type="dxa"/>
            <w:bottom w:w="0" w:type="dxa"/>
            <w:right w:w="108" w:type="dxa"/>
          </w:tblCellMar>
        </w:tblPrEx>
        <w:trPr>
          <w:cantSplit/>
          <w:trHeight w:val="413" w:hRule="atLeast"/>
          <w:jc w:val="center"/>
        </w:trPr>
        <w:tc>
          <w:tcPr>
            <w:tcW w:w="4437" w:type="dxa"/>
            <w:noWrap w:val="0"/>
            <w:vAlign w:val="center"/>
          </w:tcPr>
          <w:p w14:paraId="5E9AF432">
            <w:pPr>
              <w:snapToGrid w:val="0"/>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电话：</w:t>
            </w:r>
          </w:p>
        </w:tc>
        <w:tc>
          <w:tcPr>
            <w:tcW w:w="4688" w:type="dxa"/>
            <w:noWrap w:val="0"/>
            <w:vAlign w:val="center"/>
          </w:tcPr>
          <w:p w14:paraId="476CE8B7">
            <w:pPr>
              <w:snapToGrid w:val="0"/>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电话：</w:t>
            </w:r>
          </w:p>
        </w:tc>
      </w:tr>
      <w:tr w14:paraId="75635551">
        <w:tblPrEx>
          <w:tblCellMar>
            <w:top w:w="0" w:type="dxa"/>
            <w:left w:w="108" w:type="dxa"/>
            <w:bottom w:w="0" w:type="dxa"/>
            <w:right w:w="108" w:type="dxa"/>
          </w:tblCellMar>
        </w:tblPrEx>
        <w:trPr>
          <w:cantSplit/>
          <w:trHeight w:val="410" w:hRule="atLeast"/>
          <w:jc w:val="center"/>
        </w:trPr>
        <w:tc>
          <w:tcPr>
            <w:tcW w:w="4437" w:type="dxa"/>
            <w:noWrap w:val="0"/>
            <w:vAlign w:val="center"/>
          </w:tcPr>
          <w:p w14:paraId="3D56DE5C">
            <w:pPr>
              <w:snapToGrid w:val="0"/>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电子邮箱：</w:t>
            </w:r>
          </w:p>
        </w:tc>
        <w:tc>
          <w:tcPr>
            <w:tcW w:w="4688" w:type="dxa"/>
            <w:noWrap w:val="0"/>
            <w:vAlign w:val="center"/>
          </w:tcPr>
          <w:p w14:paraId="1F62ADDF">
            <w:pPr>
              <w:snapToGrid w:val="0"/>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电子邮箱：</w:t>
            </w:r>
          </w:p>
        </w:tc>
      </w:tr>
      <w:tr w14:paraId="2761928A">
        <w:tblPrEx>
          <w:tblCellMar>
            <w:top w:w="0" w:type="dxa"/>
            <w:left w:w="108" w:type="dxa"/>
            <w:bottom w:w="0" w:type="dxa"/>
            <w:right w:w="108" w:type="dxa"/>
          </w:tblCellMar>
        </w:tblPrEx>
        <w:trPr>
          <w:cantSplit/>
          <w:trHeight w:val="410" w:hRule="atLeast"/>
          <w:jc w:val="center"/>
        </w:trPr>
        <w:tc>
          <w:tcPr>
            <w:tcW w:w="4437" w:type="dxa"/>
            <w:noWrap w:val="0"/>
            <w:vAlign w:val="center"/>
          </w:tcPr>
          <w:p w14:paraId="06277EEA">
            <w:pPr>
              <w:snapToGrid w:val="0"/>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开户银行：</w:t>
            </w:r>
          </w:p>
        </w:tc>
        <w:tc>
          <w:tcPr>
            <w:tcW w:w="4688" w:type="dxa"/>
            <w:noWrap w:val="0"/>
            <w:vAlign w:val="center"/>
          </w:tcPr>
          <w:p w14:paraId="69DDDDD8">
            <w:pPr>
              <w:snapToGrid w:val="0"/>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开户银行：</w:t>
            </w:r>
          </w:p>
        </w:tc>
      </w:tr>
      <w:tr w14:paraId="60FC9B6F">
        <w:tblPrEx>
          <w:tblCellMar>
            <w:top w:w="0" w:type="dxa"/>
            <w:left w:w="108" w:type="dxa"/>
            <w:bottom w:w="0" w:type="dxa"/>
            <w:right w:w="108" w:type="dxa"/>
          </w:tblCellMar>
        </w:tblPrEx>
        <w:trPr>
          <w:cantSplit/>
          <w:trHeight w:val="416" w:hRule="atLeast"/>
          <w:jc w:val="center"/>
        </w:trPr>
        <w:tc>
          <w:tcPr>
            <w:tcW w:w="4437" w:type="dxa"/>
            <w:noWrap w:val="0"/>
            <w:vAlign w:val="center"/>
          </w:tcPr>
          <w:p w14:paraId="425F0F5D">
            <w:pPr>
              <w:snapToGrid w:val="0"/>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账号：</w:t>
            </w:r>
          </w:p>
        </w:tc>
        <w:tc>
          <w:tcPr>
            <w:tcW w:w="4688" w:type="dxa"/>
            <w:noWrap w:val="0"/>
            <w:vAlign w:val="center"/>
          </w:tcPr>
          <w:p w14:paraId="788D5325">
            <w:pPr>
              <w:snapToGrid w:val="0"/>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账号：</w:t>
            </w:r>
          </w:p>
        </w:tc>
      </w:tr>
      <w:tr w14:paraId="55E97D0E">
        <w:tblPrEx>
          <w:tblCellMar>
            <w:top w:w="0" w:type="dxa"/>
            <w:left w:w="108" w:type="dxa"/>
            <w:bottom w:w="0" w:type="dxa"/>
            <w:right w:w="108" w:type="dxa"/>
          </w:tblCellMar>
        </w:tblPrEx>
        <w:trPr>
          <w:cantSplit/>
          <w:trHeight w:val="421" w:hRule="atLeast"/>
          <w:jc w:val="center"/>
        </w:trPr>
        <w:tc>
          <w:tcPr>
            <w:tcW w:w="4437" w:type="dxa"/>
            <w:noWrap w:val="0"/>
            <w:vAlign w:val="center"/>
          </w:tcPr>
          <w:p w14:paraId="65382F83">
            <w:pPr>
              <w:snapToGrid w:val="0"/>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邮政编码：</w:t>
            </w:r>
          </w:p>
        </w:tc>
        <w:tc>
          <w:tcPr>
            <w:tcW w:w="4688" w:type="dxa"/>
            <w:noWrap w:val="0"/>
            <w:vAlign w:val="center"/>
          </w:tcPr>
          <w:p w14:paraId="4F0DB898">
            <w:pPr>
              <w:snapToGrid w:val="0"/>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邮政编码：</w:t>
            </w:r>
          </w:p>
        </w:tc>
      </w:tr>
      <w:tr w14:paraId="5FDD7A90">
        <w:tblPrEx>
          <w:tblCellMar>
            <w:top w:w="0" w:type="dxa"/>
            <w:left w:w="108" w:type="dxa"/>
            <w:bottom w:w="0" w:type="dxa"/>
            <w:right w:w="108" w:type="dxa"/>
          </w:tblCellMar>
        </w:tblPrEx>
        <w:trPr>
          <w:cantSplit/>
          <w:trHeight w:val="807" w:hRule="atLeast"/>
          <w:jc w:val="center"/>
        </w:trPr>
        <w:tc>
          <w:tcPr>
            <w:tcW w:w="9125" w:type="dxa"/>
            <w:gridSpan w:val="2"/>
            <w:noWrap w:val="0"/>
            <w:vAlign w:val="top"/>
          </w:tcPr>
          <w:p w14:paraId="02CA0DC0">
            <w:pPr>
              <w:snapToGrid w:val="0"/>
              <w:spacing w:line="360" w:lineRule="exact"/>
              <w:ind w:firstLine="720" w:firstLineChars="300"/>
              <w:jc w:val="right"/>
              <w:rPr>
                <w:rFonts w:ascii="仿宋" w:hAnsi="仿宋" w:eastAsia="仿宋" w:cs="仿宋"/>
                <w:color w:val="auto"/>
                <w:sz w:val="24"/>
                <w:highlight w:val="none"/>
              </w:rPr>
            </w:pPr>
          </w:p>
          <w:p w14:paraId="7E15D028">
            <w:pPr>
              <w:snapToGrid w:val="0"/>
              <w:spacing w:line="36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签订日期：    年    月    日</w:t>
            </w:r>
          </w:p>
        </w:tc>
      </w:tr>
    </w:tbl>
    <w:p w14:paraId="12336A6E">
      <w:pPr>
        <w:snapToGrid w:val="0"/>
        <w:spacing w:line="380" w:lineRule="exact"/>
        <w:ind w:firstLine="480" w:firstLineChars="200"/>
        <w:rPr>
          <w:rFonts w:hint="eastAsia" w:ascii="宋体" w:hAnsi="宋体"/>
          <w:color w:val="auto"/>
          <w:sz w:val="24"/>
          <w:highlight w:val="none"/>
        </w:rPr>
      </w:pPr>
    </w:p>
    <w:sectPr>
      <w:footerReference r:id="rId8" w:type="first"/>
      <w:footerReference r:id="rId7" w:type="default"/>
      <w:pgSz w:w="11910" w:h="16840"/>
      <w:pgMar w:top="1440" w:right="1080" w:bottom="1440" w:left="1080" w:header="720" w:footer="720" w:gutter="0"/>
      <w:pgNumType w:fmt="decimal"/>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decorative"/>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AA964D85-72BF-4CB8-BFD0-CFDC63D94B59}"/>
  </w:font>
  <w:font w:name="黑体">
    <w:panose1 w:val="02010609060101010101"/>
    <w:charset w:val="86"/>
    <w:family w:val="auto"/>
    <w:pitch w:val="default"/>
    <w:sig w:usb0="800002BF" w:usb1="38CF7CFA" w:usb2="00000016" w:usb3="00000000" w:csb0="00040001" w:csb1="00000000"/>
    <w:embedRegular r:id="rId2" w:fontKey="{F9B5E49C-89DC-4729-B9E4-5EB17F72EBE2}"/>
  </w:font>
  <w:font w:name="Courier New">
    <w:panose1 w:val="02070309020205020404"/>
    <w:charset w:val="01"/>
    <w:family w:val="modern"/>
    <w:pitch w:val="default"/>
    <w:sig w:usb0="E0002EFF" w:usb1="C0007843" w:usb2="00000009" w:usb3="00000000" w:csb0="400001FF" w:csb1="FFFF0000"/>
    <w:embedRegular r:id="rId3" w:fontKey="{9F5CB692-FD7C-4BB7-8F67-3F4EBEE64765}"/>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4" w:fontKey="{624DEB36-2758-4131-ACAB-AF460BFDCA8B}"/>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embedRegular r:id="rId5" w:fontKey="{4641870A-AD3B-497A-AF16-674F9D9C1D96}"/>
  </w:font>
  <w:font w:name="Tahoma">
    <w:panose1 w:val="020B0604030504040204"/>
    <w:charset w:val="00"/>
    <w:family w:val="swiss"/>
    <w:pitch w:val="default"/>
    <w:sig w:usb0="E1002EFF" w:usb1="C000605B" w:usb2="00000029" w:usb3="00000000" w:csb0="200101FF" w:csb1="20280000"/>
  </w:font>
  <w:font w:name="MS Mincho">
    <w:panose1 w:val="02020609040205080304"/>
    <w:charset w:val="80"/>
    <w:family w:val="modern"/>
    <w:pitch w:val="default"/>
    <w:sig w:usb0="A00002BF" w:usb1="68C7FCFB" w:usb2="00000010" w:usb3="00000000" w:csb0="4002009F" w:csb1="DFD70000"/>
    <w:embedRegular r:id="rId6" w:fontKey="{8681E4D6-FCA9-458B-A38B-F82E9C0C6F24}"/>
  </w:font>
  <w:font w:name="MS Gothic">
    <w:panose1 w:val="020B0609070205080204"/>
    <w:charset w:val="80"/>
    <w:family w:val="modern"/>
    <w:pitch w:val="default"/>
    <w:sig w:usb0="E00002FF" w:usb1="6AC7FDFB" w:usb2="08000012" w:usb3="00000000" w:csb0="4002009F" w:csb1="DFD70000"/>
    <w:embedRegular r:id="rId7" w:fontKey="{9DED8F28-7CB1-4C56-B2B7-832D7344E4F4}"/>
  </w:font>
  <w:font w:name="楷体">
    <w:panose1 w:val="02010609060101010101"/>
    <w:charset w:val="86"/>
    <w:family w:val="auto"/>
    <w:pitch w:val="default"/>
    <w:sig w:usb0="800002BF" w:usb1="38CF7CFA" w:usb2="00000016" w:usb3="00000000" w:csb0="00040001" w:csb1="00000000"/>
    <w:embedRegular r:id="rId8" w:fontKey="{C852C7EB-980A-4F9C-A2FD-701E432EBAE1}"/>
  </w:font>
  <w:font w:name="Arial Unicode MS">
    <w:panose1 w:val="020B0604020202020204"/>
    <w:charset w:val="86"/>
    <w:family w:val="swiss"/>
    <w:pitch w:val="default"/>
    <w:sig w:usb0="FFFFFFFF" w:usb1="E9FFFFFF" w:usb2="0000003F" w:usb3="00000000" w:csb0="603F01FF" w:csb1="FFFF0000"/>
    <w:embedRegular r:id="rId9" w:fontKey="{82CBA69D-E671-4642-9E5F-ED44883A9564}"/>
  </w:font>
  <w:font w:name="等线">
    <w:panose1 w:val="02010600030101010101"/>
    <w:charset w:val="86"/>
    <w:family w:val="auto"/>
    <w:pitch w:val="default"/>
    <w:sig w:usb0="A00002BF" w:usb1="38CF7CFA" w:usb2="00000016" w:usb3="00000000" w:csb0="0004000F" w:csb1="00000000"/>
    <w:embedRegular r:id="rId10" w:fontKey="{B4798D93-13C4-48A6-B18E-922836AD1EEA}"/>
  </w:font>
  <w:font w:name="微软雅黑">
    <w:panose1 w:val="020B0503020204020204"/>
    <w:charset w:val="86"/>
    <w:family w:val="swiss"/>
    <w:pitch w:val="default"/>
    <w:sig w:usb0="80000287" w:usb1="2ACF3C50" w:usb2="00000016" w:usb3="00000000" w:csb0="0004001F" w:csb1="00000000"/>
    <w:embedRegular r:id="rId11" w:fontKey="{63438565-78DC-475A-8D39-6593444ACE2B}"/>
  </w:font>
  <w:font w:name="仿宋">
    <w:panose1 w:val="02010609060101010101"/>
    <w:charset w:val="86"/>
    <w:family w:val="modern"/>
    <w:pitch w:val="default"/>
    <w:sig w:usb0="800002BF" w:usb1="38CF7CFA" w:usb2="00000016" w:usb3="00000000" w:csb0="00040001" w:csb1="00000000"/>
    <w:embedRegular r:id="rId12" w:fontKey="{CCD95BAD-3BDC-4210-A4D7-F2B1B0700DFD}"/>
  </w:font>
  <w:font w:name="方正小标宋简体">
    <w:panose1 w:val="03000509000000000000"/>
    <w:charset w:val="86"/>
    <w:family w:val="auto"/>
    <w:pitch w:val="default"/>
    <w:sig w:usb0="00000001" w:usb1="080E0000" w:usb2="00000000" w:usb3="00000000" w:csb0="00040000" w:csb1="00000000"/>
    <w:embedRegular r:id="rId13" w:fontKey="{FB523206-BE53-44E0-82C7-148779231CD1}"/>
  </w:font>
  <w:font w:name="Wingdings 2">
    <w:panose1 w:val="05020102010507070707"/>
    <w:charset w:val="02"/>
    <w:family w:val="roman"/>
    <w:pitch w:val="default"/>
    <w:sig w:usb0="00000000" w:usb1="00000000" w:usb2="00000000" w:usb3="00000000" w:csb0="80000000" w:csb1="00000000"/>
    <w:embedRegular r:id="rId14" w:fontKey="{057DA5C8-A35A-4CE3-82B5-A818C98891A4}"/>
  </w:font>
  <w:font w:name="WPSEMBED1">
    <w:panose1 w:val="02010609030101010101"/>
    <w:charset w:val="86"/>
    <w:family w:val="auto"/>
    <w:pitch w:val="default"/>
    <w:sig w:usb0="00000001" w:usb1="080E0000" w:usb2="00000000" w:usb3="00000000" w:csb0="00040000" w:csb1="00000000"/>
  </w:font>
  <w:font w:name="WPSEMBED2">
    <w:panose1 w:val="02020609040205080304"/>
    <w:charset w:val="80"/>
    <w:family w:val="auto"/>
    <w:pitch w:val="default"/>
    <w:sig w:usb0="A00002BF" w:usb1="68C7FCFB" w:usb2="00000010" w:usb3="00000000" w:csb0="4002009F" w:csb1="DFD70000"/>
  </w:font>
  <w:font w:name="WPSEMBED3">
    <w:panose1 w:val="020B0604020202020204"/>
    <w:charset w:val="86"/>
    <w:family w:val="auto"/>
    <w:pitch w:val="default"/>
    <w:sig w:usb0="FFFFFFFF" w:usb1="E9FFFFFF" w:usb2="0000003F" w:usb3="00000000" w:csb0="603F01FF" w:csb1="FFFF0000"/>
  </w:font>
  <w:font w:name="WPSEMBED4">
    <w:panose1 w:val="03000509000000000000"/>
    <w:charset w:val="86"/>
    <w:family w:val="auto"/>
    <w:pitch w:val="default"/>
    <w:sig w:usb0="00000001" w:usb1="080E0000" w:usb2="00000000" w:usb3="00000000" w:csb0="00040000" w:csb1="00000000"/>
  </w:font>
  <w:font w:name="WPSEMBED5">
    <w:panose1 w:val="050201020105070707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099BBD">
    <w:pPr>
      <w:pStyle w:val="18"/>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51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14:paraId="19583C93">
                          <w:pPr>
                            <w:pStyle w:val="18"/>
                          </w:pPr>
                          <w:r>
                            <w:fldChar w:fldCharType="begin"/>
                          </w:r>
                          <w:r>
                            <w:instrText xml:space="preserve"> PAGE  \* MERGEFORMAT </w:instrText>
                          </w:r>
                          <w:r>
                            <w:fldChar w:fldCharType="separate"/>
                          </w:r>
                          <w:r>
                            <w:t>2</w:t>
                          </w:r>
                          <w:r>
                            <w:fldChar w:fldCharType="end"/>
                          </w:r>
                        </w:p>
                      </w:txbxContent>
                    </wps:txbx>
                    <wps:bodyPr vert="horz" wrap="none" lIns="0" tIns="0" rIns="0" bIns="0" anchor="t" anchorCtr="0" upright="0">
                      <a:spAutoFit/>
                    </wps:bodyPr>
                  </wps:wsp>
                </a:graphicData>
              </a:graphic>
            </wp:anchor>
          </w:drawing>
        </mc:Choice>
        <mc:Fallback>
          <w:pict>
            <v:shape id="文本框 5124"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DOqXm5zwAAAAUBAAAP&#10;AAAAAAAAAAEAIAAAACIAAABkcnMvZG93bnJldi54bWxQSwECFAAUAAAACACHTuJA1sObMugBAADK&#10;AwAADgAAAAAAAAABACAAAAAeAQAAZHJzL2Uyb0RvYy54bWxQSwUGAAAAAAYABgBZAQAAeAUAAAAA&#10;">
              <v:fill on="f" focussize="0,0"/>
              <v:stroke on="f"/>
              <v:imagedata o:title=""/>
              <o:lock v:ext="edit" aspectratio="f"/>
              <v:textbox inset="0mm,0mm,0mm,0mm" style="mso-fit-shape-to-text:t;">
                <w:txbxContent>
                  <w:p w14:paraId="19583C93">
                    <w:pPr>
                      <w:pStyle w:val="18"/>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0C46CE">
    <w:pPr>
      <w:pStyle w:val="18"/>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51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14:paraId="4938961E">
                          <w:pPr>
                            <w:pStyle w:val="18"/>
                          </w:pPr>
                          <w:r>
                            <w:fldChar w:fldCharType="begin"/>
                          </w:r>
                          <w:r>
                            <w:instrText xml:space="preserve"> PAGE  \* MERGEFORMAT </w:instrText>
                          </w:r>
                          <w:r>
                            <w:fldChar w:fldCharType="separate"/>
                          </w:r>
                          <w:r>
                            <w:t>1</w:t>
                          </w:r>
                          <w:r>
                            <w:fldChar w:fldCharType="end"/>
                          </w:r>
                        </w:p>
                      </w:txbxContent>
                    </wps:txbx>
                    <wps:bodyPr vert="horz" wrap="none" lIns="0" tIns="0" rIns="0" bIns="0" anchor="t" anchorCtr="0" upright="0">
                      <a:spAutoFit/>
                    </wps:bodyPr>
                  </wps:wsp>
                </a:graphicData>
              </a:graphic>
            </wp:anchor>
          </w:drawing>
        </mc:Choice>
        <mc:Fallback>
          <w:pict>
            <v:shape id="文本框 5125"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zql5uc8AAAAFAQAADwAA&#10;AAAAAAABACAAAAAiAAAAZHJzL2Rvd25yZXYueG1sUEsBAhQAFAAAAAgAh07iQLlrhWnmAQAAygMA&#10;AA4AAAAAAAAAAQAgAAAAHgEAAGRycy9lMm9Eb2MueG1sUEsFBgAAAAAGAAYAWQEAAHYFAAAAAA==&#10;">
              <v:fill on="f" focussize="0,0"/>
              <v:stroke on="f"/>
              <v:imagedata o:title=""/>
              <o:lock v:ext="edit" aspectratio="f"/>
              <v:textbox inset="0mm,0mm,0mm,0mm" style="mso-fit-shape-to-text:t;">
                <w:txbxContent>
                  <w:p w14:paraId="4938961E">
                    <w:pPr>
                      <w:pStyle w:val="18"/>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A87D11">
    <w:pPr>
      <w:pStyle w:val="18"/>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51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1A0CA62">
                          <w:pPr>
                            <w:pStyle w:val="18"/>
                          </w:pPr>
                          <w:r>
                            <w:fldChar w:fldCharType="begin"/>
                          </w:r>
                          <w:r>
                            <w:instrText xml:space="preserve"> PAGE  \* MERGEFORMAT </w:instrText>
                          </w:r>
                          <w:r>
                            <w:fldChar w:fldCharType="separate"/>
                          </w:r>
                          <w:r>
                            <w:t>1</w:t>
                          </w:r>
                          <w:r>
                            <w:fldChar w:fldCharType="end"/>
                          </w:r>
                        </w:p>
                      </w:txbxContent>
                    </wps:txbx>
                    <wps:bodyPr vert="horz" wrap="none" lIns="0" tIns="0" rIns="0" bIns="0" anchor="t" anchorCtr="0" upright="0">
                      <a:spAutoFit/>
                    </wps:bodyPr>
                  </wps:wsp>
                </a:graphicData>
              </a:graphic>
            </wp:anchor>
          </w:drawing>
        </mc:Choice>
        <mc:Fallback>
          <w:pict>
            <v:shape id="文本框 5123"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M6pebnPAAAABQEAAA8AAAAAAAAA&#10;AQAgAAAAIgAAAGRycy9kb3ducmV2LnhtbFBLAQIUABQAAAAIAIdO4kCh9Wz14QEAAMEDAAAOAAAA&#10;AAAAAAEAIAAAAB4BAABkcnMvZTJvRG9jLnhtbFBLBQYAAAAABgAGAFkBAABxBQAAAAA=&#10;">
              <v:fill on="f" focussize="0,0"/>
              <v:stroke on="f"/>
              <v:imagedata o:title=""/>
              <o:lock v:ext="edit" aspectratio="f"/>
              <v:textbox inset="0mm,0mm,0mm,0mm" style="mso-fit-shape-to-text:t;">
                <w:txbxContent>
                  <w:p w14:paraId="11A0CA62">
                    <w:pPr>
                      <w:pStyle w:val="18"/>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FC22B0">
    <w:pPr>
      <w:pStyle w:val="18"/>
      <w:ind w:firstLine="360"/>
      <w:jc w:val="cente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51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14:paraId="5DF932E0">
                          <w:pPr>
                            <w:pStyle w:val="18"/>
                            <w:ind w:firstLine="360"/>
                            <w:jc w:val="center"/>
                          </w:pPr>
                          <w:r>
                            <w:fldChar w:fldCharType="begin"/>
                          </w:r>
                          <w:r>
                            <w:instrText xml:space="preserve">PAGE   \* MERGEFORMAT</w:instrText>
                          </w:r>
                          <w:r>
                            <w:fldChar w:fldCharType="separate"/>
                          </w:r>
                          <w:r>
                            <w:rPr>
                              <w:lang w:val="zh-CN"/>
                            </w:rPr>
                            <w:t>61</w:t>
                          </w:r>
                          <w:r>
                            <w:rPr>
                              <w:lang w:val="zh-CN"/>
                            </w:rPr>
                            <w:fldChar w:fldCharType="end"/>
                          </w:r>
                        </w:p>
                      </w:txbxContent>
                    </wps:txbx>
                    <wps:bodyPr vert="horz" wrap="none" lIns="0" tIns="0" rIns="0" bIns="0" anchor="t" anchorCtr="0" upright="0">
                      <a:spAutoFit/>
                    </wps:bodyPr>
                  </wps:wsp>
                </a:graphicData>
              </a:graphic>
            </wp:anchor>
          </w:drawing>
        </mc:Choice>
        <mc:Fallback>
          <w:pict>
            <v:shape id="文本框 51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DOqXm5zwAAAAUBAAAP&#10;AAAAAAAAAAEAIAAAACIAAABkcnMvZG93bnJldi54bWxQSwECFAAUAAAACACHTuJAT9vX6egBAADL&#10;AwAADgAAAAAAAAABACAAAAAeAQAAZHJzL2Uyb0RvYy54bWxQSwUGAAAAAAYABgBZAQAAeAUAAAAA&#10;">
              <v:fill on="f" focussize="0,0"/>
              <v:stroke on="f"/>
              <v:imagedata o:title=""/>
              <o:lock v:ext="edit" aspectratio="f"/>
              <v:textbox inset="0mm,0mm,0mm,0mm" style="mso-fit-shape-to-text:t;">
                <w:txbxContent>
                  <w:p w14:paraId="5DF932E0">
                    <w:pPr>
                      <w:pStyle w:val="18"/>
                      <w:ind w:firstLine="360"/>
                      <w:jc w:val="center"/>
                    </w:pPr>
                    <w:r>
                      <w:fldChar w:fldCharType="begin"/>
                    </w:r>
                    <w:r>
                      <w:instrText xml:space="preserve">PAGE   \* MERGEFORMAT</w:instrText>
                    </w:r>
                    <w:r>
                      <w:fldChar w:fldCharType="separate"/>
                    </w:r>
                    <w:r>
                      <w:rPr>
                        <w:lang w:val="zh-CN"/>
                      </w:rPr>
                      <w:t>61</w:t>
                    </w:r>
                    <w:r>
                      <w:rPr>
                        <w:lang w:val="zh-CN"/>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269FDD">
    <w:pPr>
      <w:pStyle w:val="18"/>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51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56E9A11">
                          <w:pPr>
                            <w:pStyle w:val="18"/>
                            <w:rPr>
                              <w:rFonts w:hint="eastAsia"/>
                            </w:rPr>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wps:txbx>
                    <wps:bodyPr wrap="none" lIns="0" tIns="0" rIns="0" bIns="0" upright="0">
                      <a:spAutoFit/>
                    </wps:bodyPr>
                  </wps:wsp>
                </a:graphicData>
              </a:graphic>
            </wp:anchor>
          </w:drawing>
        </mc:Choice>
        <mc:Fallback>
          <w:pict>
            <v:shape id="文本框 5122"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HpnZnrLAQAAnAMAAA4AAAAAAAAAAQAgAAAAHgEAAGRycy9lMm9E&#10;b2MueG1sUEsFBgAAAAAGAAYAWQEAAFsFAAAAAA==&#10;">
              <v:fill on="f" focussize="0,0"/>
              <v:stroke on="f"/>
              <v:imagedata o:title=""/>
              <o:lock v:ext="edit" aspectratio="f"/>
              <v:textbox inset="0mm,0mm,0mm,0mm" style="mso-fit-shape-to-text:t;">
                <w:txbxContent>
                  <w:p w14:paraId="056E9A11">
                    <w:pPr>
                      <w:pStyle w:val="18"/>
                      <w:rPr>
                        <w:rFonts w:hint="eastAsia"/>
                      </w:rPr>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33042E">
    <w:pPr>
      <w:pStyle w:val="19"/>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hyphenationZone w:val="36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2,3,4,5,6,7"/>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ZhM2JhMjViNGU0NTcyZDJlM2Q3Y2E3ZWY1ZWUyNjAifQ=="/>
  </w:docVars>
  <w:rsids>
    <w:rsidRoot w:val="767D7008"/>
    <w:rsid w:val="00000672"/>
    <w:rsid w:val="00001799"/>
    <w:rsid w:val="000018C1"/>
    <w:rsid w:val="00001ED4"/>
    <w:rsid w:val="00002D29"/>
    <w:rsid w:val="00002EDB"/>
    <w:rsid w:val="000040C5"/>
    <w:rsid w:val="00004514"/>
    <w:rsid w:val="0000458F"/>
    <w:rsid w:val="00004A8A"/>
    <w:rsid w:val="000058AB"/>
    <w:rsid w:val="00005A00"/>
    <w:rsid w:val="00005E55"/>
    <w:rsid w:val="00005FDF"/>
    <w:rsid w:val="00006586"/>
    <w:rsid w:val="000067F3"/>
    <w:rsid w:val="0001017F"/>
    <w:rsid w:val="00010C4B"/>
    <w:rsid w:val="00010D39"/>
    <w:rsid w:val="0001120F"/>
    <w:rsid w:val="000112BB"/>
    <w:rsid w:val="0001149B"/>
    <w:rsid w:val="0001172C"/>
    <w:rsid w:val="00012854"/>
    <w:rsid w:val="00012C05"/>
    <w:rsid w:val="00012EA6"/>
    <w:rsid w:val="00013116"/>
    <w:rsid w:val="0001338D"/>
    <w:rsid w:val="000139DC"/>
    <w:rsid w:val="00013D8C"/>
    <w:rsid w:val="00013DFE"/>
    <w:rsid w:val="00013E8B"/>
    <w:rsid w:val="000141EA"/>
    <w:rsid w:val="00014385"/>
    <w:rsid w:val="00014A11"/>
    <w:rsid w:val="00014B02"/>
    <w:rsid w:val="00014F38"/>
    <w:rsid w:val="00015147"/>
    <w:rsid w:val="000166C4"/>
    <w:rsid w:val="00016960"/>
    <w:rsid w:val="00017396"/>
    <w:rsid w:val="000177DB"/>
    <w:rsid w:val="00017F35"/>
    <w:rsid w:val="00020227"/>
    <w:rsid w:val="000203E4"/>
    <w:rsid w:val="00020455"/>
    <w:rsid w:val="00021BA2"/>
    <w:rsid w:val="00022731"/>
    <w:rsid w:val="00022792"/>
    <w:rsid w:val="000228A4"/>
    <w:rsid w:val="00022BF1"/>
    <w:rsid w:val="00022E75"/>
    <w:rsid w:val="0002392D"/>
    <w:rsid w:val="00024B43"/>
    <w:rsid w:val="00024E84"/>
    <w:rsid w:val="000250C3"/>
    <w:rsid w:val="00025382"/>
    <w:rsid w:val="00025636"/>
    <w:rsid w:val="00025E36"/>
    <w:rsid w:val="00026627"/>
    <w:rsid w:val="00026886"/>
    <w:rsid w:val="00030496"/>
    <w:rsid w:val="00031AE1"/>
    <w:rsid w:val="000329A1"/>
    <w:rsid w:val="000329E0"/>
    <w:rsid w:val="00032E77"/>
    <w:rsid w:val="000331D8"/>
    <w:rsid w:val="000333A0"/>
    <w:rsid w:val="000335D6"/>
    <w:rsid w:val="00034E64"/>
    <w:rsid w:val="000352E9"/>
    <w:rsid w:val="00036A07"/>
    <w:rsid w:val="00036E33"/>
    <w:rsid w:val="000376F9"/>
    <w:rsid w:val="00037E2D"/>
    <w:rsid w:val="00040571"/>
    <w:rsid w:val="00040D19"/>
    <w:rsid w:val="0004156E"/>
    <w:rsid w:val="00041597"/>
    <w:rsid w:val="0004239F"/>
    <w:rsid w:val="0004259D"/>
    <w:rsid w:val="00042B75"/>
    <w:rsid w:val="0004440C"/>
    <w:rsid w:val="00045590"/>
    <w:rsid w:val="00045832"/>
    <w:rsid w:val="00045880"/>
    <w:rsid w:val="00045DE2"/>
    <w:rsid w:val="000462CB"/>
    <w:rsid w:val="00046B5E"/>
    <w:rsid w:val="00047293"/>
    <w:rsid w:val="0004783A"/>
    <w:rsid w:val="000509D9"/>
    <w:rsid w:val="00051A44"/>
    <w:rsid w:val="00052314"/>
    <w:rsid w:val="000552A6"/>
    <w:rsid w:val="000557F2"/>
    <w:rsid w:val="00055D41"/>
    <w:rsid w:val="00056C5B"/>
    <w:rsid w:val="000574E2"/>
    <w:rsid w:val="00057625"/>
    <w:rsid w:val="00057CEC"/>
    <w:rsid w:val="00060571"/>
    <w:rsid w:val="0006088E"/>
    <w:rsid w:val="00060DCE"/>
    <w:rsid w:val="0006191D"/>
    <w:rsid w:val="000623B4"/>
    <w:rsid w:val="0006331E"/>
    <w:rsid w:val="000634A7"/>
    <w:rsid w:val="00063D20"/>
    <w:rsid w:val="00063E85"/>
    <w:rsid w:val="00063F81"/>
    <w:rsid w:val="000641EC"/>
    <w:rsid w:val="00064847"/>
    <w:rsid w:val="0006484B"/>
    <w:rsid w:val="00064933"/>
    <w:rsid w:val="00064F6C"/>
    <w:rsid w:val="0006549E"/>
    <w:rsid w:val="00065536"/>
    <w:rsid w:val="00065BBC"/>
    <w:rsid w:val="00066DDF"/>
    <w:rsid w:val="000672BB"/>
    <w:rsid w:val="000673E2"/>
    <w:rsid w:val="00067B5A"/>
    <w:rsid w:val="00070007"/>
    <w:rsid w:val="000708F7"/>
    <w:rsid w:val="000711E4"/>
    <w:rsid w:val="0007153A"/>
    <w:rsid w:val="00072789"/>
    <w:rsid w:val="00072AED"/>
    <w:rsid w:val="00073538"/>
    <w:rsid w:val="00073A49"/>
    <w:rsid w:val="00073F47"/>
    <w:rsid w:val="000747B6"/>
    <w:rsid w:val="00075B7E"/>
    <w:rsid w:val="00075C07"/>
    <w:rsid w:val="00076754"/>
    <w:rsid w:val="00076DC5"/>
    <w:rsid w:val="00076FC9"/>
    <w:rsid w:val="00077B97"/>
    <w:rsid w:val="00077C6A"/>
    <w:rsid w:val="00077C70"/>
    <w:rsid w:val="00080B57"/>
    <w:rsid w:val="00080BC5"/>
    <w:rsid w:val="00080D08"/>
    <w:rsid w:val="000817D1"/>
    <w:rsid w:val="00081BA3"/>
    <w:rsid w:val="00081D2E"/>
    <w:rsid w:val="00082079"/>
    <w:rsid w:val="0008267B"/>
    <w:rsid w:val="00082D02"/>
    <w:rsid w:val="00083723"/>
    <w:rsid w:val="00083B91"/>
    <w:rsid w:val="00084542"/>
    <w:rsid w:val="0008520B"/>
    <w:rsid w:val="000863BE"/>
    <w:rsid w:val="000870D0"/>
    <w:rsid w:val="000871B8"/>
    <w:rsid w:val="000877EF"/>
    <w:rsid w:val="00087DB6"/>
    <w:rsid w:val="00090639"/>
    <w:rsid w:val="00090DE7"/>
    <w:rsid w:val="000913BE"/>
    <w:rsid w:val="000918F8"/>
    <w:rsid w:val="00091CB0"/>
    <w:rsid w:val="00091D42"/>
    <w:rsid w:val="00092442"/>
    <w:rsid w:val="000946C0"/>
    <w:rsid w:val="00095487"/>
    <w:rsid w:val="000957A0"/>
    <w:rsid w:val="0009588E"/>
    <w:rsid w:val="000959EE"/>
    <w:rsid w:val="00095B2F"/>
    <w:rsid w:val="00095B51"/>
    <w:rsid w:val="000969C2"/>
    <w:rsid w:val="00097820"/>
    <w:rsid w:val="00097DA0"/>
    <w:rsid w:val="000A0D6B"/>
    <w:rsid w:val="000A0EEE"/>
    <w:rsid w:val="000A121D"/>
    <w:rsid w:val="000A1389"/>
    <w:rsid w:val="000A15C2"/>
    <w:rsid w:val="000A166E"/>
    <w:rsid w:val="000A17D0"/>
    <w:rsid w:val="000A208D"/>
    <w:rsid w:val="000A21AA"/>
    <w:rsid w:val="000A21F0"/>
    <w:rsid w:val="000A22CA"/>
    <w:rsid w:val="000A2B0E"/>
    <w:rsid w:val="000A398F"/>
    <w:rsid w:val="000A4AEE"/>
    <w:rsid w:val="000A509C"/>
    <w:rsid w:val="000A6007"/>
    <w:rsid w:val="000A65A6"/>
    <w:rsid w:val="000A6980"/>
    <w:rsid w:val="000A7275"/>
    <w:rsid w:val="000A7A12"/>
    <w:rsid w:val="000A7AD8"/>
    <w:rsid w:val="000A7CA5"/>
    <w:rsid w:val="000B039A"/>
    <w:rsid w:val="000B07A2"/>
    <w:rsid w:val="000B1801"/>
    <w:rsid w:val="000B19B3"/>
    <w:rsid w:val="000B1D0C"/>
    <w:rsid w:val="000B22D7"/>
    <w:rsid w:val="000B25E3"/>
    <w:rsid w:val="000B2D03"/>
    <w:rsid w:val="000B3815"/>
    <w:rsid w:val="000B3B6F"/>
    <w:rsid w:val="000B3C7B"/>
    <w:rsid w:val="000B41DD"/>
    <w:rsid w:val="000B5EB6"/>
    <w:rsid w:val="000B6C95"/>
    <w:rsid w:val="000B7824"/>
    <w:rsid w:val="000B7C32"/>
    <w:rsid w:val="000C0971"/>
    <w:rsid w:val="000C0C58"/>
    <w:rsid w:val="000C1044"/>
    <w:rsid w:val="000C1679"/>
    <w:rsid w:val="000C1EF7"/>
    <w:rsid w:val="000C2898"/>
    <w:rsid w:val="000C2F89"/>
    <w:rsid w:val="000C3152"/>
    <w:rsid w:val="000C39BE"/>
    <w:rsid w:val="000C435F"/>
    <w:rsid w:val="000C4635"/>
    <w:rsid w:val="000C474E"/>
    <w:rsid w:val="000C4B09"/>
    <w:rsid w:val="000C52CD"/>
    <w:rsid w:val="000C548E"/>
    <w:rsid w:val="000C5C0E"/>
    <w:rsid w:val="000C6318"/>
    <w:rsid w:val="000C67CB"/>
    <w:rsid w:val="000C6DE4"/>
    <w:rsid w:val="000C7815"/>
    <w:rsid w:val="000D01EB"/>
    <w:rsid w:val="000D056E"/>
    <w:rsid w:val="000D0675"/>
    <w:rsid w:val="000D0740"/>
    <w:rsid w:val="000D0A89"/>
    <w:rsid w:val="000D1389"/>
    <w:rsid w:val="000D1798"/>
    <w:rsid w:val="000D1A2A"/>
    <w:rsid w:val="000D1EFB"/>
    <w:rsid w:val="000D22E1"/>
    <w:rsid w:val="000D2626"/>
    <w:rsid w:val="000D2E68"/>
    <w:rsid w:val="000D37CB"/>
    <w:rsid w:val="000D3ABF"/>
    <w:rsid w:val="000D40BF"/>
    <w:rsid w:val="000D4348"/>
    <w:rsid w:val="000D4A06"/>
    <w:rsid w:val="000D5100"/>
    <w:rsid w:val="000D532D"/>
    <w:rsid w:val="000D54D4"/>
    <w:rsid w:val="000D56A9"/>
    <w:rsid w:val="000D6669"/>
    <w:rsid w:val="000D73DD"/>
    <w:rsid w:val="000D7D9B"/>
    <w:rsid w:val="000E0216"/>
    <w:rsid w:val="000E0CE2"/>
    <w:rsid w:val="000E1629"/>
    <w:rsid w:val="000E18E2"/>
    <w:rsid w:val="000E28AB"/>
    <w:rsid w:val="000E2E3E"/>
    <w:rsid w:val="000E33C5"/>
    <w:rsid w:val="000E3583"/>
    <w:rsid w:val="000E385F"/>
    <w:rsid w:val="000E3AF0"/>
    <w:rsid w:val="000E3D53"/>
    <w:rsid w:val="000E3D9C"/>
    <w:rsid w:val="000E415C"/>
    <w:rsid w:val="000E48CE"/>
    <w:rsid w:val="000E4E04"/>
    <w:rsid w:val="000E6BFD"/>
    <w:rsid w:val="000E6EC9"/>
    <w:rsid w:val="000E70B4"/>
    <w:rsid w:val="000E7536"/>
    <w:rsid w:val="000E7FC6"/>
    <w:rsid w:val="000F0EF2"/>
    <w:rsid w:val="000F2341"/>
    <w:rsid w:val="000F29D3"/>
    <w:rsid w:val="000F3281"/>
    <w:rsid w:val="000F3733"/>
    <w:rsid w:val="000F38E0"/>
    <w:rsid w:val="000F4D88"/>
    <w:rsid w:val="000F5062"/>
    <w:rsid w:val="000F5463"/>
    <w:rsid w:val="000F5B1B"/>
    <w:rsid w:val="000F5DE3"/>
    <w:rsid w:val="000F64AA"/>
    <w:rsid w:val="000F6BEE"/>
    <w:rsid w:val="000F7AF4"/>
    <w:rsid w:val="000F7C33"/>
    <w:rsid w:val="000F7D5A"/>
    <w:rsid w:val="000F7F0C"/>
    <w:rsid w:val="000F7F80"/>
    <w:rsid w:val="00100246"/>
    <w:rsid w:val="001003F5"/>
    <w:rsid w:val="001004D6"/>
    <w:rsid w:val="00100B67"/>
    <w:rsid w:val="00100D90"/>
    <w:rsid w:val="00101507"/>
    <w:rsid w:val="00103293"/>
    <w:rsid w:val="00103918"/>
    <w:rsid w:val="00104324"/>
    <w:rsid w:val="00104889"/>
    <w:rsid w:val="00104897"/>
    <w:rsid w:val="001048B4"/>
    <w:rsid w:val="00104E71"/>
    <w:rsid w:val="00104EDE"/>
    <w:rsid w:val="00105372"/>
    <w:rsid w:val="0010551F"/>
    <w:rsid w:val="00106425"/>
    <w:rsid w:val="00106BEE"/>
    <w:rsid w:val="00107788"/>
    <w:rsid w:val="001100A2"/>
    <w:rsid w:val="00110BC6"/>
    <w:rsid w:val="00111A7E"/>
    <w:rsid w:val="0011216C"/>
    <w:rsid w:val="00113134"/>
    <w:rsid w:val="001132D8"/>
    <w:rsid w:val="00113AC0"/>
    <w:rsid w:val="00113E75"/>
    <w:rsid w:val="00114851"/>
    <w:rsid w:val="00115E11"/>
    <w:rsid w:val="00115F56"/>
    <w:rsid w:val="0011696F"/>
    <w:rsid w:val="00116C26"/>
    <w:rsid w:val="00117161"/>
    <w:rsid w:val="0011735A"/>
    <w:rsid w:val="001176EB"/>
    <w:rsid w:val="00117B64"/>
    <w:rsid w:val="00117CBD"/>
    <w:rsid w:val="0012006A"/>
    <w:rsid w:val="00120990"/>
    <w:rsid w:val="001217B5"/>
    <w:rsid w:val="00121888"/>
    <w:rsid w:val="00121979"/>
    <w:rsid w:val="00122064"/>
    <w:rsid w:val="0012422A"/>
    <w:rsid w:val="00124E11"/>
    <w:rsid w:val="00125004"/>
    <w:rsid w:val="001254BD"/>
    <w:rsid w:val="00125B0B"/>
    <w:rsid w:val="001263B8"/>
    <w:rsid w:val="00126763"/>
    <w:rsid w:val="00126F3C"/>
    <w:rsid w:val="00130217"/>
    <w:rsid w:val="00130783"/>
    <w:rsid w:val="00130C05"/>
    <w:rsid w:val="00130D12"/>
    <w:rsid w:val="00131108"/>
    <w:rsid w:val="001312CB"/>
    <w:rsid w:val="00131B4B"/>
    <w:rsid w:val="00131B75"/>
    <w:rsid w:val="0013288D"/>
    <w:rsid w:val="00132B47"/>
    <w:rsid w:val="00132E64"/>
    <w:rsid w:val="00132F9D"/>
    <w:rsid w:val="0013436E"/>
    <w:rsid w:val="00134ADC"/>
    <w:rsid w:val="001351CB"/>
    <w:rsid w:val="001359A2"/>
    <w:rsid w:val="00135C8A"/>
    <w:rsid w:val="00135E37"/>
    <w:rsid w:val="00136020"/>
    <w:rsid w:val="00136445"/>
    <w:rsid w:val="00140132"/>
    <w:rsid w:val="00140D7B"/>
    <w:rsid w:val="00141AF3"/>
    <w:rsid w:val="00141C9C"/>
    <w:rsid w:val="00142049"/>
    <w:rsid w:val="001434BE"/>
    <w:rsid w:val="00143843"/>
    <w:rsid w:val="0014479F"/>
    <w:rsid w:val="0014490F"/>
    <w:rsid w:val="00144B6D"/>
    <w:rsid w:val="001452B4"/>
    <w:rsid w:val="0014550E"/>
    <w:rsid w:val="001460A5"/>
    <w:rsid w:val="0014632B"/>
    <w:rsid w:val="00146EC6"/>
    <w:rsid w:val="001478D2"/>
    <w:rsid w:val="00147E6C"/>
    <w:rsid w:val="00150CC9"/>
    <w:rsid w:val="0015101D"/>
    <w:rsid w:val="00151FF5"/>
    <w:rsid w:val="00152A87"/>
    <w:rsid w:val="00152EAE"/>
    <w:rsid w:val="00154053"/>
    <w:rsid w:val="00154486"/>
    <w:rsid w:val="00156D0E"/>
    <w:rsid w:val="00157567"/>
    <w:rsid w:val="001576D2"/>
    <w:rsid w:val="0015776A"/>
    <w:rsid w:val="00157955"/>
    <w:rsid w:val="00160332"/>
    <w:rsid w:val="0016086E"/>
    <w:rsid w:val="00160D0C"/>
    <w:rsid w:val="00161172"/>
    <w:rsid w:val="0016139E"/>
    <w:rsid w:val="00161E65"/>
    <w:rsid w:val="00162006"/>
    <w:rsid w:val="00162597"/>
    <w:rsid w:val="001629AF"/>
    <w:rsid w:val="0016428A"/>
    <w:rsid w:val="00164761"/>
    <w:rsid w:val="001647C9"/>
    <w:rsid w:val="00164ABB"/>
    <w:rsid w:val="001661A3"/>
    <w:rsid w:val="00166385"/>
    <w:rsid w:val="001665BD"/>
    <w:rsid w:val="001666A1"/>
    <w:rsid w:val="0016782B"/>
    <w:rsid w:val="00170C2E"/>
    <w:rsid w:val="0017231C"/>
    <w:rsid w:val="001726B6"/>
    <w:rsid w:val="00173256"/>
    <w:rsid w:val="001733E1"/>
    <w:rsid w:val="00173F74"/>
    <w:rsid w:val="001740D1"/>
    <w:rsid w:val="00175086"/>
    <w:rsid w:val="001750CD"/>
    <w:rsid w:val="00175BA6"/>
    <w:rsid w:val="00176159"/>
    <w:rsid w:val="001762F9"/>
    <w:rsid w:val="00176CA7"/>
    <w:rsid w:val="001778C5"/>
    <w:rsid w:val="00177E56"/>
    <w:rsid w:val="00177F0A"/>
    <w:rsid w:val="001800EC"/>
    <w:rsid w:val="00180669"/>
    <w:rsid w:val="00181B95"/>
    <w:rsid w:val="001828BA"/>
    <w:rsid w:val="00182B6B"/>
    <w:rsid w:val="00182CEC"/>
    <w:rsid w:val="00183088"/>
    <w:rsid w:val="00185617"/>
    <w:rsid w:val="001859F0"/>
    <w:rsid w:val="00186658"/>
    <w:rsid w:val="001876F3"/>
    <w:rsid w:val="0019085F"/>
    <w:rsid w:val="0019171E"/>
    <w:rsid w:val="00191C63"/>
    <w:rsid w:val="0019220F"/>
    <w:rsid w:val="001928B1"/>
    <w:rsid w:val="00193468"/>
    <w:rsid w:val="00193C9A"/>
    <w:rsid w:val="00193EBA"/>
    <w:rsid w:val="00194ED5"/>
    <w:rsid w:val="00194FDE"/>
    <w:rsid w:val="00195424"/>
    <w:rsid w:val="001955FF"/>
    <w:rsid w:val="0019676E"/>
    <w:rsid w:val="00197C32"/>
    <w:rsid w:val="00197EDD"/>
    <w:rsid w:val="001A000D"/>
    <w:rsid w:val="001A0254"/>
    <w:rsid w:val="001A02B3"/>
    <w:rsid w:val="001A04BB"/>
    <w:rsid w:val="001A04DD"/>
    <w:rsid w:val="001A082A"/>
    <w:rsid w:val="001A08D0"/>
    <w:rsid w:val="001A14B1"/>
    <w:rsid w:val="001A18D3"/>
    <w:rsid w:val="001A1B39"/>
    <w:rsid w:val="001A2492"/>
    <w:rsid w:val="001A2498"/>
    <w:rsid w:val="001A2774"/>
    <w:rsid w:val="001A2CD7"/>
    <w:rsid w:val="001A2E69"/>
    <w:rsid w:val="001A310C"/>
    <w:rsid w:val="001A3377"/>
    <w:rsid w:val="001A3886"/>
    <w:rsid w:val="001A3C34"/>
    <w:rsid w:val="001A3EDE"/>
    <w:rsid w:val="001A4222"/>
    <w:rsid w:val="001A50EA"/>
    <w:rsid w:val="001A5AB8"/>
    <w:rsid w:val="001A5E24"/>
    <w:rsid w:val="001A6076"/>
    <w:rsid w:val="001A6D8B"/>
    <w:rsid w:val="001B079E"/>
    <w:rsid w:val="001B0CDA"/>
    <w:rsid w:val="001B0E26"/>
    <w:rsid w:val="001B0FBE"/>
    <w:rsid w:val="001B0FE4"/>
    <w:rsid w:val="001B125A"/>
    <w:rsid w:val="001B1924"/>
    <w:rsid w:val="001B1E05"/>
    <w:rsid w:val="001B1EBA"/>
    <w:rsid w:val="001B1FC8"/>
    <w:rsid w:val="001B2142"/>
    <w:rsid w:val="001B26CF"/>
    <w:rsid w:val="001B2F2B"/>
    <w:rsid w:val="001B327A"/>
    <w:rsid w:val="001B35DE"/>
    <w:rsid w:val="001B3935"/>
    <w:rsid w:val="001B3A13"/>
    <w:rsid w:val="001B47F1"/>
    <w:rsid w:val="001B59FF"/>
    <w:rsid w:val="001B636D"/>
    <w:rsid w:val="001B65D7"/>
    <w:rsid w:val="001B6752"/>
    <w:rsid w:val="001B6768"/>
    <w:rsid w:val="001B6F1F"/>
    <w:rsid w:val="001B70B6"/>
    <w:rsid w:val="001B7B3F"/>
    <w:rsid w:val="001B7ECC"/>
    <w:rsid w:val="001C0976"/>
    <w:rsid w:val="001C09D0"/>
    <w:rsid w:val="001C190B"/>
    <w:rsid w:val="001C1AED"/>
    <w:rsid w:val="001C2220"/>
    <w:rsid w:val="001C25A7"/>
    <w:rsid w:val="001C2B9E"/>
    <w:rsid w:val="001C318C"/>
    <w:rsid w:val="001C3804"/>
    <w:rsid w:val="001C3C98"/>
    <w:rsid w:val="001C4245"/>
    <w:rsid w:val="001C4287"/>
    <w:rsid w:val="001C435E"/>
    <w:rsid w:val="001C4479"/>
    <w:rsid w:val="001C5702"/>
    <w:rsid w:val="001C5D2A"/>
    <w:rsid w:val="001C5FB8"/>
    <w:rsid w:val="001C6F44"/>
    <w:rsid w:val="001C74E7"/>
    <w:rsid w:val="001C76B7"/>
    <w:rsid w:val="001C76FB"/>
    <w:rsid w:val="001C7F3D"/>
    <w:rsid w:val="001D0621"/>
    <w:rsid w:val="001D2764"/>
    <w:rsid w:val="001D2D66"/>
    <w:rsid w:val="001D2E31"/>
    <w:rsid w:val="001D3697"/>
    <w:rsid w:val="001D3752"/>
    <w:rsid w:val="001D3EE8"/>
    <w:rsid w:val="001D40AC"/>
    <w:rsid w:val="001D431D"/>
    <w:rsid w:val="001D51DE"/>
    <w:rsid w:val="001D540E"/>
    <w:rsid w:val="001D58A1"/>
    <w:rsid w:val="001D5A8A"/>
    <w:rsid w:val="001D650F"/>
    <w:rsid w:val="001D709B"/>
    <w:rsid w:val="001D735E"/>
    <w:rsid w:val="001D73C8"/>
    <w:rsid w:val="001D74D4"/>
    <w:rsid w:val="001D7E1F"/>
    <w:rsid w:val="001E0510"/>
    <w:rsid w:val="001E0756"/>
    <w:rsid w:val="001E0A09"/>
    <w:rsid w:val="001E0A8D"/>
    <w:rsid w:val="001E0FFB"/>
    <w:rsid w:val="001E129E"/>
    <w:rsid w:val="001E21E0"/>
    <w:rsid w:val="001E292B"/>
    <w:rsid w:val="001E2B9F"/>
    <w:rsid w:val="001E2CB1"/>
    <w:rsid w:val="001E4242"/>
    <w:rsid w:val="001E4A8D"/>
    <w:rsid w:val="001E5980"/>
    <w:rsid w:val="001E5A94"/>
    <w:rsid w:val="001E642B"/>
    <w:rsid w:val="001E65B3"/>
    <w:rsid w:val="001E7219"/>
    <w:rsid w:val="001E7648"/>
    <w:rsid w:val="001F00B2"/>
    <w:rsid w:val="001F1070"/>
    <w:rsid w:val="001F127B"/>
    <w:rsid w:val="001F1A53"/>
    <w:rsid w:val="001F2A2E"/>
    <w:rsid w:val="001F2E3D"/>
    <w:rsid w:val="001F2EF1"/>
    <w:rsid w:val="001F2F37"/>
    <w:rsid w:val="001F3B72"/>
    <w:rsid w:val="001F3C63"/>
    <w:rsid w:val="001F3E8E"/>
    <w:rsid w:val="001F4460"/>
    <w:rsid w:val="001F4AF5"/>
    <w:rsid w:val="001F4FEC"/>
    <w:rsid w:val="001F55B6"/>
    <w:rsid w:val="001F56EC"/>
    <w:rsid w:val="001F5774"/>
    <w:rsid w:val="001F5DAF"/>
    <w:rsid w:val="001F6222"/>
    <w:rsid w:val="001F637C"/>
    <w:rsid w:val="001F6B6C"/>
    <w:rsid w:val="001F711A"/>
    <w:rsid w:val="001F75B0"/>
    <w:rsid w:val="001F7686"/>
    <w:rsid w:val="001F76D4"/>
    <w:rsid w:val="00200CE5"/>
    <w:rsid w:val="00200D9C"/>
    <w:rsid w:val="002014DB"/>
    <w:rsid w:val="00201E12"/>
    <w:rsid w:val="00202689"/>
    <w:rsid w:val="002026AB"/>
    <w:rsid w:val="002031E2"/>
    <w:rsid w:val="002033B5"/>
    <w:rsid w:val="0020382C"/>
    <w:rsid w:val="00203CB0"/>
    <w:rsid w:val="002042F3"/>
    <w:rsid w:val="0020437A"/>
    <w:rsid w:val="00204605"/>
    <w:rsid w:val="00204A3D"/>
    <w:rsid w:val="00204B5F"/>
    <w:rsid w:val="0020532C"/>
    <w:rsid w:val="00205D23"/>
    <w:rsid w:val="00205DA9"/>
    <w:rsid w:val="00206178"/>
    <w:rsid w:val="0020647C"/>
    <w:rsid w:val="002066C1"/>
    <w:rsid w:val="0021064F"/>
    <w:rsid w:val="002114C7"/>
    <w:rsid w:val="002118F3"/>
    <w:rsid w:val="002125AD"/>
    <w:rsid w:val="00212756"/>
    <w:rsid w:val="00212763"/>
    <w:rsid w:val="0021302C"/>
    <w:rsid w:val="00213045"/>
    <w:rsid w:val="00213483"/>
    <w:rsid w:val="00213B1C"/>
    <w:rsid w:val="00214202"/>
    <w:rsid w:val="002146F3"/>
    <w:rsid w:val="002148E3"/>
    <w:rsid w:val="00214C02"/>
    <w:rsid w:val="00214DC2"/>
    <w:rsid w:val="00214F16"/>
    <w:rsid w:val="00215373"/>
    <w:rsid w:val="00215458"/>
    <w:rsid w:val="0021552D"/>
    <w:rsid w:val="002156AE"/>
    <w:rsid w:val="0021622A"/>
    <w:rsid w:val="00216A99"/>
    <w:rsid w:val="00216D10"/>
    <w:rsid w:val="00217861"/>
    <w:rsid w:val="00217ED2"/>
    <w:rsid w:val="002204C9"/>
    <w:rsid w:val="0022054D"/>
    <w:rsid w:val="00220B9D"/>
    <w:rsid w:val="00220F64"/>
    <w:rsid w:val="002210E7"/>
    <w:rsid w:val="00221571"/>
    <w:rsid w:val="002222C6"/>
    <w:rsid w:val="0022290A"/>
    <w:rsid w:val="00223378"/>
    <w:rsid w:val="002233EB"/>
    <w:rsid w:val="00223708"/>
    <w:rsid w:val="00223905"/>
    <w:rsid w:val="0022480F"/>
    <w:rsid w:val="00224A36"/>
    <w:rsid w:val="00224DE1"/>
    <w:rsid w:val="00224EF4"/>
    <w:rsid w:val="00225664"/>
    <w:rsid w:val="00226622"/>
    <w:rsid w:val="002269DC"/>
    <w:rsid w:val="00227F2D"/>
    <w:rsid w:val="00227FA1"/>
    <w:rsid w:val="00230859"/>
    <w:rsid w:val="0023089D"/>
    <w:rsid w:val="0023091E"/>
    <w:rsid w:val="00230BB7"/>
    <w:rsid w:val="00231015"/>
    <w:rsid w:val="0023147E"/>
    <w:rsid w:val="00231851"/>
    <w:rsid w:val="002319FB"/>
    <w:rsid w:val="00231B89"/>
    <w:rsid w:val="002320B8"/>
    <w:rsid w:val="00232C92"/>
    <w:rsid w:val="00233732"/>
    <w:rsid w:val="002338AF"/>
    <w:rsid w:val="00233B18"/>
    <w:rsid w:val="00233FEF"/>
    <w:rsid w:val="002350C0"/>
    <w:rsid w:val="002355BE"/>
    <w:rsid w:val="002361F1"/>
    <w:rsid w:val="00236DE9"/>
    <w:rsid w:val="002370E5"/>
    <w:rsid w:val="00237D5A"/>
    <w:rsid w:val="00237EA9"/>
    <w:rsid w:val="00241300"/>
    <w:rsid w:val="00241D3C"/>
    <w:rsid w:val="00242687"/>
    <w:rsid w:val="0024274D"/>
    <w:rsid w:val="0024313D"/>
    <w:rsid w:val="002439AB"/>
    <w:rsid w:val="00243ADE"/>
    <w:rsid w:val="002450D5"/>
    <w:rsid w:val="002452B1"/>
    <w:rsid w:val="00245587"/>
    <w:rsid w:val="00245F2B"/>
    <w:rsid w:val="00246F95"/>
    <w:rsid w:val="00247B30"/>
    <w:rsid w:val="00247D5A"/>
    <w:rsid w:val="00247F3A"/>
    <w:rsid w:val="00250122"/>
    <w:rsid w:val="00250755"/>
    <w:rsid w:val="00250AE3"/>
    <w:rsid w:val="00251C4A"/>
    <w:rsid w:val="00251CA9"/>
    <w:rsid w:val="00251F93"/>
    <w:rsid w:val="0025271C"/>
    <w:rsid w:val="00252A91"/>
    <w:rsid w:val="002533CD"/>
    <w:rsid w:val="00253B8D"/>
    <w:rsid w:val="002544C1"/>
    <w:rsid w:val="00254EAB"/>
    <w:rsid w:val="002557AF"/>
    <w:rsid w:val="002561FA"/>
    <w:rsid w:val="00256474"/>
    <w:rsid w:val="002566B1"/>
    <w:rsid w:val="002566E5"/>
    <w:rsid w:val="00257179"/>
    <w:rsid w:val="002575E3"/>
    <w:rsid w:val="002579B4"/>
    <w:rsid w:val="002603C1"/>
    <w:rsid w:val="002607F0"/>
    <w:rsid w:val="002609A1"/>
    <w:rsid w:val="002612B1"/>
    <w:rsid w:val="00261F6C"/>
    <w:rsid w:val="002624A7"/>
    <w:rsid w:val="00262672"/>
    <w:rsid w:val="00262BC3"/>
    <w:rsid w:val="00263118"/>
    <w:rsid w:val="0026327A"/>
    <w:rsid w:val="002656C6"/>
    <w:rsid w:val="00265DA6"/>
    <w:rsid w:val="00265FC1"/>
    <w:rsid w:val="00266165"/>
    <w:rsid w:val="00267468"/>
    <w:rsid w:val="00270330"/>
    <w:rsid w:val="00270A5B"/>
    <w:rsid w:val="00270A8D"/>
    <w:rsid w:val="0027125E"/>
    <w:rsid w:val="0027140A"/>
    <w:rsid w:val="00271532"/>
    <w:rsid w:val="00271767"/>
    <w:rsid w:val="00272293"/>
    <w:rsid w:val="002723C8"/>
    <w:rsid w:val="00272676"/>
    <w:rsid w:val="002729C8"/>
    <w:rsid w:val="00272A98"/>
    <w:rsid w:val="00273CBE"/>
    <w:rsid w:val="002742E4"/>
    <w:rsid w:val="0027513D"/>
    <w:rsid w:val="00275223"/>
    <w:rsid w:val="002769C1"/>
    <w:rsid w:val="00276A52"/>
    <w:rsid w:val="002772D6"/>
    <w:rsid w:val="00277441"/>
    <w:rsid w:val="0027789E"/>
    <w:rsid w:val="00280138"/>
    <w:rsid w:val="002802D7"/>
    <w:rsid w:val="00280972"/>
    <w:rsid w:val="00281C56"/>
    <w:rsid w:val="0028232C"/>
    <w:rsid w:val="002827F1"/>
    <w:rsid w:val="00282E88"/>
    <w:rsid w:val="00282EC3"/>
    <w:rsid w:val="002835B0"/>
    <w:rsid w:val="0028382E"/>
    <w:rsid w:val="00283C90"/>
    <w:rsid w:val="0028407E"/>
    <w:rsid w:val="0028410F"/>
    <w:rsid w:val="00284FEA"/>
    <w:rsid w:val="00286022"/>
    <w:rsid w:val="00286603"/>
    <w:rsid w:val="00286A98"/>
    <w:rsid w:val="00286FB5"/>
    <w:rsid w:val="00287443"/>
    <w:rsid w:val="00287763"/>
    <w:rsid w:val="00290606"/>
    <w:rsid w:val="00290613"/>
    <w:rsid w:val="00290AFD"/>
    <w:rsid w:val="00290F9D"/>
    <w:rsid w:val="002918A7"/>
    <w:rsid w:val="00291D6D"/>
    <w:rsid w:val="00291F4C"/>
    <w:rsid w:val="00291FF1"/>
    <w:rsid w:val="002920A0"/>
    <w:rsid w:val="002923F6"/>
    <w:rsid w:val="00292BF2"/>
    <w:rsid w:val="00292EB6"/>
    <w:rsid w:val="00293361"/>
    <w:rsid w:val="0029376C"/>
    <w:rsid w:val="00293770"/>
    <w:rsid w:val="00295287"/>
    <w:rsid w:val="002952B1"/>
    <w:rsid w:val="00295853"/>
    <w:rsid w:val="00295D11"/>
    <w:rsid w:val="00295FA0"/>
    <w:rsid w:val="0029632D"/>
    <w:rsid w:val="00296656"/>
    <w:rsid w:val="00297139"/>
    <w:rsid w:val="0029743E"/>
    <w:rsid w:val="00297A7A"/>
    <w:rsid w:val="002A0C3A"/>
    <w:rsid w:val="002A1130"/>
    <w:rsid w:val="002A14D3"/>
    <w:rsid w:val="002A1880"/>
    <w:rsid w:val="002A1D47"/>
    <w:rsid w:val="002A23B5"/>
    <w:rsid w:val="002A23B7"/>
    <w:rsid w:val="002A2D12"/>
    <w:rsid w:val="002A3073"/>
    <w:rsid w:val="002A372B"/>
    <w:rsid w:val="002A3A57"/>
    <w:rsid w:val="002A4B3F"/>
    <w:rsid w:val="002A4C23"/>
    <w:rsid w:val="002A6D22"/>
    <w:rsid w:val="002A6DEF"/>
    <w:rsid w:val="002A7411"/>
    <w:rsid w:val="002A7C24"/>
    <w:rsid w:val="002A7D43"/>
    <w:rsid w:val="002B013E"/>
    <w:rsid w:val="002B058D"/>
    <w:rsid w:val="002B0C16"/>
    <w:rsid w:val="002B0DE0"/>
    <w:rsid w:val="002B11C9"/>
    <w:rsid w:val="002B169E"/>
    <w:rsid w:val="002B2621"/>
    <w:rsid w:val="002B2AC5"/>
    <w:rsid w:val="002B3528"/>
    <w:rsid w:val="002B3539"/>
    <w:rsid w:val="002B37E3"/>
    <w:rsid w:val="002B3B2B"/>
    <w:rsid w:val="002B4C84"/>
    <w:rsid w:val="002B4E32"/>
    <w:rsid w:val="002B6643"/>
    <w:rsid w:val="002B6D17"/>
    <w:rsid w:val="002C0C1C"/>
    <w:rsid w:val="002C184E"/>
    <w:rsid w:val="002C29C1"/>
    <w:rsid w:val="002C2EF8"/>
    <w:rsid w:val="002C33D0"/>
    <w:rsid w:val="002C4142"/>
    <w:rsid w:val="002C443C"/>
    <w:rsid w:val="002C4DBE"/>
    <w:rsid w:val="002C539D"/>
    <w:rsid w:val="002C54C2"/>
    <w:rsid w:val="002C58F6"/>
    <w:rsid w:val="002C5D34"/>
    <w:rsid w:val="002C5DF1"/>
    <w:rsid w:val="002C5EA7"/>
    <w:rsid w:val="002C661A"/>
    <w:rsid w:val="002C730C"/>
    <w:rsid w:val="002D0AF5"/>
    <w:rsid w:val="002D10E4"/>
    <w:rsid w:val="002D158F"/>
    <w:rsid w:val="002D1C54"/>
    <w:rsid w:val="002D20DF"/>
    <w:rsid w:val="002D2231"/>
    <w:rsid w:val="002D23AF"/>
    <w:rsid w:val="002D25FC"/>
    <w:rsid w:val="002D318B"/>
    <w:rsid w:val="002D3380"/>
    <w:rsid w:val="002D358C"/>
    <w:rsid w:val="002D433A"/>
    <w:rsid w:val="002D44E9"/>
    <w:rsid w:val="002D4925"/>
    <w:rsid w:val="002D4AC6"/>
    <w:rsid w:val="002D5C49"/>
    <w:rsid w:val="002D5C7B"/>
    <w:rsid w:val="002D60F6"/>
    <w:rsid w:val="002D6DFC"/>
    <w:rsid w:val="002D750D"/>
    <w:rsid w:val="002D7648"/>
    <w:rsid w:val="002D7909"/>
    <w:rsid w:val="002D7E56"/>
    <w:rsid w:val="002E109C"/>
    <w:rsid w:val="002E115E"/>
    <w:rsid w:val="002E1602"/>
    <w:rsid w:val="002E193E"/>
    <w:rsid w:val="002E1D76"/>
    <w:rsid w:val="002E21DF"/>
    <w:rsid w:val="002E223B"/>
    <w:rsid w:val="002E243C"/>
    <w:rsid w:val="002E26C4"/>
    <w:rsid w:val="002E330F"/>
    <w:rsid w:val="002E3562"/>
    <w:rsid w:val="002E4621"/>
    <w:rsid w:val="002E4B37"/>
    <w:rsid w:val="002E4BF9"/>
    <w:rsid w:val="002E5608"/>
    <w:rsid w:val="002E6590"/>
    <w:rsid w:val="002E68CE"/>
    <w:rsid w:val="002E6F5B"/>
    <w:rsid w:val="002E71C2"/>
    <w:rsid w:val="002F0631"/>
    <w:rsid w:val="002F0690"/>
    <w:rsid w:val="002F0853"/>
    <w:rsid w:val="002F0EF0"/>
    <w:rsid w:val="002F16DD"/>
    <w:rsid w:val="002F199D"/>
    <w:rsid w:val="002F23B2"/>
    <w:rsid w:val="002F2AC5"/>
    <w:rsid w:val="002F3349"/>
    <w:rsid w:val="002F338D"/>
    <w:rsid w:val="002F3657"/>
    <w:rsid w:val="002F4084"/>
    <w:rsid w:val="002F4672"/>
    <w:rsid w:val="002F4A08"/>
    <w:rsid w:val="002F4ADB"/>
    <w:rsid w:val="002F50E5"/>
    <w:rsid w:val="002F531E"/>
    <w:rsid w:val="002F5ACC"/>
    <w:rsid w:val="002F65E3"/>
    <w:rsid w:val="002F66A7"/>
    <w:rsid w:val="002F6C2C"/>
    <w:rsid w:val="002F704B"/>
    <w:rsid w:val="002F70A6"/>
    <w:rsid w:val="002F70EE"/>
    <w:rsid w:val="002F72C3"/>
    <w:rsid w:val="002F768C"/>
    <w:rsid w:val="002F780C"/>
    <w:rsid w:val="002F7D1E"/>
    <w:rsid w:val="002F7EE4"/>
    <w:rsid w:val="00300441"/>
    <w:rsid w:val="003005B7"/>
    <w:rsid w:val="00300EAB"/>
    <w:rsid w:val="00300F92"/>
    <w:rsid w:val="00301839"/>
    <w:rsid w:val="00302469"/>
    <w:rsid w:val="00302929"/>
    <w:rsid w:val="00302F0F"/>
    <w:rsid w:val="0030319A"/>
    <w:rsid w:val="00303243"/>
    <w:rsid w:val="00303BCC"/>
    <w:rsid w:val="00303F2B"/>
    <w:rsid w:val="00303F8D"/>
    <w:rsid w:val="00304541"/>
    <w:rsid w:val="00304580"/>
    <w:rsid w:val="00304E6D"/>
    <w:rsid w:val="003054DD"/>
    <w:rsid w:val="0030586A"/>
    <w:rsid w:val="00306700"/>
    <w:rsid w:val="003074C5"/>
    <w:rsid w:val="00307A3C"/>
    <w:rsid w:val="00307E03"/>
    <w:rsid w:val="00307FA4"/>
    <w:rsid w:val="00310CC1"/>
    <w:rsid w:val="0031202C"/>
    <w:rsid w:val="0031284A"/>
    <w:rsid w:val="00313026"/>
    <w:rsid w:val="00313ED5"/>
    <w:rsid w:val="0031421F"/>
    <w:rsid w:val="00314A21"/>
    <w:rsid w:val="00314B31"/>
    <w:rsid w:val="00314B36"/>
    <w:rsid w:val="00315158"/>
    <w:rsid w:val="00315346"/>
    <w:rsid w:val="00315A65"/>
    <w:rsid w:val="00316288"/>
    <w:rsid w:val="00316CEC"/>
    <w:rsid w:val="00317BA7"/>
    <w:rsid w:val="00320A7F"/>
    <w:rsid w:val="00320BE2"/>
    <w:rsid w:val="003212C7"/>
    <w:rsid w:val="00321886"/>
    <w:rsid w:val="00321902"/>
    <w:rsid w:val="00321947"/>
    <w:rsid w:val="00321B71"/>
    <w:rsid w:val="00321EA7"/>
    <w:rsid w:val="00322826"/>
    <w:rsid w:val="00322C81"/>
    <w:rsid w:val="00322F03"/>
    <w:rsid w:val="003231B3"/>
    <w:rsid w:val="0032347D"/>
    <w:rsid w:val="003234B3"/>
    <w:rsid w:val="00323694"/>
    <w:rsid w:val="0032436A"/>
    <w:rsid w:val="00324AB4"/>
    <w:rsid w:val="00324D63"/>
    <w:rsid w:val="003255AF"/>
    <w:rsid w:val="003256EB"/>
    <w:rsid w:val="003259DB"/>
    <w:rsid w:val="00325A1E"/>
    <w:rsid w:val="00325C0E"/>
    <w:rsid w:val="00326148"/>
    <w:rsid w:val="0032617A"/>
    <w:rsid w:val="0032677A"/>
    <w:rsid w:val="00326DEB"/>
    <w:rsid w:val="003272AD"/>
    <w:rsid w:val="00327839"/>
    <w:rsid w:val="0032793F"/>
    <w:rsid w:val="00327DA0"/>
    <w:rsid w:val="00330340"/>
    <w:rsid w:val="00331026"/>
    <w:rsid w:val="00331060"/>
    <w:rsid w:val="00331A48"/>
    <w:rsid w:val="00331C56"/>
    <w:rsid w:val="00332A42"/>
    <w:rsid w:val="003330C9"/>
    <w:rsid w:val="003330DC"/>
    <w:rsid w:val="0033364C"/>
    <w:rsid w:val="00333C9B"/>
    <w:rsid w:val="00334415"/>
    <w:rsid w:val="00334CFA"/>
    <w:rsid w:val="00334F92"/>
    <w:rsid w:val="00335735"/>
    <w:rsid w:val="003357CD"/>
    <w:rsid w:val="0033691E"/>
    <w:rsid w:val="00336B2B"/>
    <w:rsid w:val="00336CCB"/>
    <w:rsid w:val="0033745F"/>
    <w:rsid w:val="00337631"/>
    <w:rsid w:val="00337F44"/>
    <w:rsid w:val="00340640"/>
    <w:rsid w:val="003411D1"/>
    <w:rsid w:val="00341533"/>
    <w:rsid w:val="003416BA"/>
    <w:rsid w:val="00341BD6"/>
    <w:rsid w:val="00341FB1"/>
    <w:rsid w:val="00342A8A"/>
    <w:rsid w:val="00342F99"/>
    <w:rsid w:val="00343024"/>
    <w:rsid w:val="00343E82"/>
    <w:rsid w:val="00344726"/>
    <w:rsid w:val="00344E2E"/>
    <w:rsid w:val="003454A4"/>
    <w:rsid w:val="00346195"/>
    <w:rsid w:val="003466FF"/>
    <w:rsid w:val="00347DDA"/>
    <w:rsid w:val="00347E1D"/>
    <w:rsid w:val="003504D1"/>
    <w:rsid w:val="00350C2F"/>
    <w:rsid w:val="00350E6C"/>
    <w:rsid w:val="00351691"/>
    <w:rsid w:val="003518A6"/>
    <w:rsid w:val="00351CB0"/>
    <w:rsid w:val="00351E7F"/>
    <w:rsid w:val="003527DA"/>
    <w:rsid w:val="00352953"/>
    <w:rsid w:val="00352C07"/>
    <w:rsid w:val="00353425"/>
    <w:rsid w:val="00354062"/>
    <w:rsid w:val="00355C0D"/>
    <w:rsid w:val="00356012"/>
    <w:rsid w:val="003566A9"/>
    <w:rsid w:val="00356988"/>
    <w:rsid w:val="00356B20"/>
    <w:rsid w:val="00356E94"/>
    <w:rsid w:val="00357128"/>
    <w:rsid w:val="003574E8"/>
    <w:rsid w:val="0035755E"/>
    <w:rsid w:val="00357A80"/>
    <w:rsid w:val="00357CCC"/>
    <w:rsid w:val="0036085A"/>
    <w:rsid w:val="00360E30"/>
    <w:rsid w:val="00361B8B"/>
    <w:rsid w:val="00361B95"/>
    <w:rsid w:val="003629B7"/>
    <w:rsid w:val="00362E65"/>
    <w:rsid w:val="003637CD"/>
    <w:rsid w:val="00363C11"/>
    <w:rsid w:val="00363F39"/>
    <w:rsid w:val="003640E6"/>
    <w:rsid w:val="0036467D"/>
    <w:rsid w:val="00364A19"/>
    <w:rsid w:val="00364AB0"/>
    <w:rsid w:val="00364FE4"/>
    <w:rsid w:val="00365A32"/>
    <w:rsid w:val="003663B1"/>
    <w:rsid w:val="003667B0"/>
    <w:rsid w:val="003667DD"/>
    <w:rsid w:val="00366B48"/>
    <w:rsid w:val="003675FB"/>
    <w:rsid w:val="00367676"/>
    <w:rsid w:val="00367764"/>
    <w:rsid w:val="00367BB4"/>
    <w:rsid w:val="00370316"/>
    <w:rsid w:val="00370DC7"/>
    <w:rsid w:val="0037156C"/>
    <w:rsid w:val="00371CBD"/>
    <w:rsid w:val="00372A7B"/>
    <w:rsid w:val="00373981"/>
    <w:rsid w:val="00373CBE"/>
    <w:rsid w:val="003740CC"/>
    <w:rsid w:val="00374304"/>
    <w:rsid w:val="0037435E"/>
    <w:rsid w:val="003746C6"/>
    <w:rsid w:val="00374CFC"/>
    <w:rsid w:val="00374E79"/>
    <w:rsid w:val="00375388"/>
    <w:rsid w:val="00375B2A"/>
    <w:rsid w:val="00375FB9"/>
    <w:rsid w:val="00376851"/>
    <w:rsid w:val="00376F6F"/>
    <w:rsid w:val="00376FA2"/>
    <w:rsid w:val="003779D4"/>
    <w:rsid w:val="00377A3B"/>
    <w:rsid w:val="00377BA1"/>
    <w:rsid w:val="00377E3C"/>
    <w:rsid w:val="00380BBE"/>
    <w:rsid w:val="00381266"/>
    <w:rsid w:val="00381775"/>
    <w:rsid w:val="00381984"/>
    <w:rsid w:val="00381D70"/>
    <w:rsid w:val="00382128"/>
    <w:rsid w:val="0038235E"/>
    <w:rsid w:val="003829D0"/>
    <w:rsid w:val="00382FBA"/>
    <w:rsid w:val="0038435A"/>
    <w:rsid w:val="0038444F"/>
    <w:rsid w:val="0038461F"/>
    <w:rsid w:val="00384E83"/>
    <w:rsid w:val="00385333"/>
    <w:rsid w:val="003859CB"/>
    <w:rsid w:val="00385C8B"/>
    <w:rsid w:val="00387051"/>
    <w:rsid w:val="003870EA"/>
    <w:rsid w:val="00387712"/>
    <w:rsid w:val="00387C88"/>
    <w:rsid w:val="00387ECF"/>
    <w:rsid w:val="0039021B"/>
    <w:rsid w:val="00390429"/>
    <w:rsid w:val="0039071C"/>
    <w:rsid w:val="00390A12"/>
    <w:rsid w:val="00392A7A"/>
    <w:rsid w:val="0039327C"/>
    <w:rsid w:val="003933A2"/>
    <w:rsid w:val="0039366C"/>
    <w:rsid w:val="003938F3"/>
    <w:rsid w:val="00393EC8"/>
    <w:rsid w:val="00394BC6"/>
    <w:rsid w:val="00395B9F"/>
    <w:rsid w:val="00395E42"/>
    <w:rsid w:val="00396052"/>
    <w:rsid w:val="00396191"/>
    <w:rsid w:val="00396A2D"/>
    <w:rsid w:val="00396E36"/>
    <w:rsid w:val="00396FC3"/>
    <w:rsid w:val="003A0831"/>
    <w:rsid w:val="003A0B61"/>
    <w:rsid w:val="003A0C5B"/>
    <w:rsid w:val="003A0F1E"/>
    <w:rsid w:val="003A1554"/>
    <w:rsid w:val="003A1A94"/>
    <w:rsid w:val="003A204E"/>
    <w:rsid w:val="003A29BC"/>
    <w:rsid w:val="003A2D25"/>
    <w:rsid w:val="003A2D7C"/>
    <w:rsid w:val="003A39B2"/>
    <w:rsid w:val="003A4DDB"/>
    <w:rsid w:val="003A54F4"/>
    <w:rsid w:val="003A60E7"/>
    <w:rsid w:val="003A6E03"/>
    <w:rsid w:val="003A72A3"/>
    <w:rsid w:val="003A7429"/>
    <w:rsid w:val="003B0B6A"/>
    <w:rsid w:val="003B0EBE"/>
    <w:rsid w:val="003B0F79"/>
    <w:rsid w:val="003B1483"/>
    <w:rsid w:val="003B1B8C"/>
    <w:rsid w:val="003B1CFD"/>
    <w:rsid w:val="003B2003"/>
    <w:rsid w:val="003B2686"/>
    <w:rsid w:val="003B26DF"/>
    <w:rsid w:val="003B29CF"/>
    <w:rsid w:val="003B30DC"/>
    <w:rsid w:val="003B372D"/>
    <w:rsid w:val="003B3CDF"/>
    <w:rsid w:val="003B41B5"/>
    <w:rsid w:val="003B4284"/>
    <w:rsid w:val="003B4F7D"/>
    <w:rsid w:val="003B54DF"/>
    <w:rsid w:val="003B5654"/>
    <w:rsid w:val="003B5CD6"/>
    <w:rsid w:val="003B5F96"/>
    <w:rsid w:val="003B6659"/>
    <w:rsid w:val="003B7733"/>
    <w:rsid w:val="003B7C99"/>
    <w:rsid w:val="003C0166"/>
    <w:rsid w:val="003C07E2"/>
    <w:rsid w:val="003C1CAB"/>
    <w:rsid w:val="003C350C"/>
    <w:rsid w:val="003C3903"/>
    <w:rsid w:val="003C3BA0"/>
    <w:rsid w:val="003C3E24"/>
    <w:rsid w:val="003C4580"/>
    <w:rsid w:val="003C45BE"/>
    <w:rsid w:val="003C52D8"/>
    <w:rsid w:val="003C58BA"/>
    <w:rsid w:val="003C5C5E"/>
    <w:rsid w:val="003C5CBD"/>
    <w:rsid w:val="003C5FC2"/>
    <w:rsid w:val="003C6562"/>
    <w:rsid w:val="003C6746"/>
    <w:rsid w:val="003C7133"/>
    <w:rsid w:val="003C71A3"/>
    <w:rsid w:val="003C7320"/>
    <w:rsid w:val="003C7555"/>
    <w:rsid w:val="003C7898"/>
    <w:rsid w:val="003D010A"/>
    <w:rsid w:val="003D0FF5"/>
    <w:rsid w:val="003D1929"/>
    <w:rsid w:val="003D2D1B"/>
    <w:rsid w:val="003D30AB"/>
    <w:rsid w:val="003D3709"/>
    <w:rsid w:val="003D3D94"/>
    <w:rsid w:val="003D48C7"/>
    <w:rsid w:val="003D4978"/>
    <w:rsid w:val="003D4B26"/>
    <w:rsid w:val="003D4C08"/>
    <w:rsid w:val="003D51ED"/>
    <w:rsid w:val="003D53BF"/>
    <w:rsid w:val="003D5572"/>
    <w:rsid w:val="003D618D"/>
    <w:rsid w:val="003D7256"/>
    <w:rsid w:val="003D7448"/>
    <w:rsid w:val="003D7A7A"/>
    <w:rsid w:val="003D7CE8"/>
    <w:rsid w:val="003E0C4F"/>
    <w:rsid w:val="003E1032"/>
    <w:rsid w:val="003E1904"/>
    <w:rsid w:val="003E1D02"/>
    <w:rsid w:val="003E2069"/>
    <w:rsid w:val="003E2292"/>
    <w:rsid w:val="003E285E"/>
    <w:rsid w:val="003E3300"/>
    <w:rsid w:val="003E4D84"/>
    <w:rsid w:val="003E589E"/>
    <w:rsid w:val="003E65AC"/>
    <w:rsid w:val="003E6E24"/>
    <w:rsid w:val="003E72B9"/>
    <w:rsid w:val="003E7ED4"/>
    <w:rsid w:val="003F0E52"/>
    <w:rsid w:val="003F0EF2"/>
    <w:rsid w:val="003F0F6B"/>
    <w:rsid w:val="003F19B7"/>
    <w:rsid w:val="003F1F40"/>
    <w:rsid w:val="003F1FE3"/>
    <w:rsid w:val="003F2EC0"/>
    <w:rsid w:val="003F3865"/>
    <w:rsid w:val="003F3A0A"/>
    <w:rsid w:val="003F442F"/>
    <w:rsid w:val="003F4510"/>
    <w:rsid w:val="003F4632"/>
    <w:rsid w:val="003F47BA"/>
    <w:rsid w:val="003F52B2"/>
    <w:rsid w:val="003F6617"/>
    <w:rsid w:val="003F6B54"/>
    <w:rsid w:val="003F7917"/>
    <w:rsid w:val="003F7F92"/>
    <w:rsid w:val="0040008F"/>
    <w:rsid w:val="00400121"/>
    <w:rsid w:val="0040065B"/>
    <w:rsid w:val="0040112A"/>
    <w:rsid w:val="004013F5"/>
    <w:rsid w:val="00402332"/>
    <w:rsid w:val="004025C2"/>
    <w:rsid w:val="00403134"/>
    <w:rsid w:val="00403E55"/>
    <w:rsid w:val="00403EF3"/>
    <w:rsid w:val="00404532"/>
    <w:rsid w:val="00404681"/>
    <w:rsid w:val="0040496D"/>
    <w:rsid w:val="00405010"/>
    <w:rsid w:val="0040595A"/>
    <w:rsid w:val="00405BD3"/>
    <w:rsid w:val="00406923"/>
    <w:rsid w:val="004070B5"/>
    <w:rsid w:val="0040713A"/>
    <w:rsid w:val="0040763D"/>
    <w:rsid w:val="004105B0"/>
    <w:rsid w:val="004105DF"/>
    <w:rsid w:val="00410624"/>
    <w:rsid w:val="00410AA2"/>
    <w:rsid w:val="00410E0D"/>
    <w:rsid w:val="00410EC5"/>
    <w:rsid w:val="00411788"/>
    <w:rsid w:val="00411FC3"/>
    <w:rsid w:val="0041250F"/>
    <w:rsid w:val="004133A8"/>
    <w:rsid w:val="00413821"/>
    <w:rsid w:val="00413D43"/>
    <w:rsid w:val="004141A3"/>
    <w:rsid w:val="0041462E"/>
    <w:rsid w:val="004147B7"/>
    <w:rsid w:val="00414909"/>
    <w:rsid w:val="00415E66"/>
    <w:rsid w:val="00415E85"/>
    <w:rsid w:val="00416112"/>
    <w:rsid w:val="00416DF0"/>
    <w:rsid w:val="00417A57"/>
    <w:rsid w:val="00417A69"/>
    <w:rsid w:val="00417AE0"/>
    <w:rsid w:val="00417BAA"/>
    <w:rsid w:val="00417D81"/>
    <w:rsid w:val="00420BA9"/>
    <w:rsid w:val="00420D7A"/>
    <w:rsid w:val="004223DE"/>
    <w:rsid w:val="0042293E"/>
    <w:rsid w:val="00422A10"/>
    <w:rsid w:val="00423557"/>
    <w:rsid w:val="00423D86"/>
    <w:rsid w:val="0042409F"/>
    <w:rsid w:val="0042467E"/>
    <w:rsid w:val="00424D17"/>
    <w:rsid w:val="00425421"/>
    <w:rsid w:val="00425DFD"/>
    <w:rsid w:val="004263A3"/>
    <w:rsid w:val="00427437"/>
    <w:rsid w:val="00427713"/>
    <w:rsid w:val="00427CCC"/>
    <w:rsid w:val="0043004E"/>
    <w:rsid w:val="0043013A"/>
    <w:rsid w:val="00430421"/>
    <w:rsid w:val="004305B7"/>
    <w:rsid w:val="00430B4F"/>
    <w:rsid w:val="004314B1"/>
    <w:rsid w:val="0043172B"/>
    <w:rsid w:val="00431D04"/>
    <w:rsid w:val="00431E65"/>
    <w:rsid w:val="00432589"/>
    <w:rsid w:val="00432A94"/>
    <w:rsid w:val="0043366D"/>
    <w:rsid w:val="00433827"/>
    <w:rsid w:val="00435584"/>
    <w:rsid w:val="004360C8"/>
    <w:rsid w:val="00436408"/>
    <w:rsid w:val="00436A73"/>
    <w:rsid w:val="00436ADF"/>
    <w:rsid w:val="00436BBA"/>
    <w:rsid w:val="0044006B"/>
    <w:rsid w:val="0044033F"/>
    <w:rsid w:val="00440630"/>
    <w:rsid w:val="00440ED0"/>
    <w:rsid w:val="00441123"/>
    <w:rsid w:val="00441345"/>
    <w:rsid w:val="00441361"/>
    <w:rsid w:val="00441767"/>
    <w:rsid w:val="00442095"/>
    <w:rsid w:val="004420F3"/>
    <w:rsid w:val="00442930"/>
    <w:rsid w:val="00442965"/>
    <w:rsid w:val="00443C06"/>
    <w:rsid w:val="00444157"/>
    <w:rsid w:val="0044417C"/>
    <w:rsid w:val="00444848"/>
    <w:rsid w:val="00444DB3"/>
    <w:rsid w:val="00444DB9"/>
    <w:rsid w:val="004450D4"/>
    <w:rsid w:val="004452B9"/>
    <w:rsid w:val="00445A2F"/>
    <w:rsid w:val="00446328"/>
    <w:rsid w:val="00446341"/>
    <w:rsid w:val="00446648"/>
    <w:rsid w:val="0044684E"/>
    <w:rsid w:val="004479CA"/>
    <w:rsid w:val="0045009E"/>
    <w:rsid w:val="004503A4"/>
    <w:rsid w:val="00450555"/>
    <w:rsid w:val="00450C6A"/>
    <w:rsid w:val="00450DC6"/>
    <w:rsid w:val="00451598"/>
    <w:rsid w:val="004516A5"/>
    <w:rsid w:val="00451C4D"/>
    <w:rsid w:val="00451D6D"/>
    <w:rsid w:val="00451FE8"/>
    <w:rsid w:val="00452179"/>
    <w:rsid w:val="004522E3"/>
    <w:rsid w:val="0045256C"/>
    <w:rsid w:val="00452E99"/>
    <w:rsid w:val="00452F63"/>
    <w:rsid w:val="004535AE"/>
    <w:rsid w:val="00453B6B"/>
    <w:rsid w:val="00453C42"/>
    <w:rsid w:val="00454477"/>
    <w:rsid w:val="0045463A"/>
    <w:rsid w:val="00454AC9"/>
    <w:rsid w:val="00454C1B"/>
    <w:rsid w:val="00454E26"/>
    <w:rsid w:val="004554A3"/>
    <w:rsid w:val="00455A6E"/>
    <w:rsid w:val="00455D41"/>
    <w:rsid w:val="00456303"/>
    <w:rsid w:val="00456758"/>
    <w:rsid w:val="004569CD"/>
    <w:rsid w:val="004578EB"/>
    <w:rsid w:val="004600A0"/>
    <w:rsid w:val="00460303"/>
    <w:rsid w:val="00460697"/>
    <w:rsid w:val="004609D2"/>
    <w:rsid w:val="00460DEF"/>
    <w:rsid w:val="00461467"/>
    <w:rsid w:val="00461B85"/>
    <w:rsid w:val="00461E52"/>
    <w:rsid w:val="00462593"/>
    <w:rsid w:val="004632C1"/>
    <w:rsid w:val="00465A6C"/>
    <w:rsid w:val="00465EEF"/>
    <w:rsid w:val="00466161"/>
    <w:rsid w:val="00466925"/>
    <w:rsid w:val="00466D03"/>
    <w:rsid w:val="00466F2D"/>
    <w:rsid w:val="0046711B"/>
    <w:rsid w:val="00467312"/>
    <w:rsid w:val="004704F7"/>
    <w:rsid w:val="00471156"/>
    <w:rsid w:val="00471F15"/>
    <w:rsid w:val="00472429"/>
    <w:rsid w:val="004725E5"/>
    <w:rsid w:val="004726FE"/>
    <w:rsid w:val="00472751"/>
    <w:rsid w:val="00472A7E"/>
    <w:rsid w:val="00473128"/>
    <w:rsid w:val="00473C80"/>
    <w:rsid w:val="00475078"/>
    <w:rsid w:val="00475226"/>
    <w:rsid w:val="004757CC"/>
    <w:rsid w:val="00475B09"/>
    <w:rsid w:val="00475B4C"/>
    <w:rsid w:val="004779A0"/>
    <w:rsid w:val="004808E3"/>
    <w:rsid w:val="00480F2A"/>
    <w:rsid w:val="00481016"/>
    <w:rsid w:val="004814D3"/>
    <w:rsid w:val="0048203F"/>
    <w:rsid w:val="0048204C"/>
    <w:rsid w:val="004821BB"/>
    <w:rsid w:val="00482233"/>
    <w:rsid w:val="0048261A"/>
    <w:rsid w:val="004826FE"/>
    <w:rsid w:val="004827D5"/>
    <w:rsid w:val="00482EB8"/>
    <w:rsid w:val="004830C9"/>
    <w:rsid w:val="00483136"/>
    <w:rsid w:val="00483347"/>
    <w:rsid w:val="004838E6"/>
    <w:rsid w:val="00483E2E"/>
    <w:rsid w:val="004843C3"/>
    <w:rsid w:val="00484B69"/>
    <w:rsid w:val="004850C3"/>
    <w:rsid w:val="004850D8"/>
    <w:rsid w:val="00485406"/>
    <w:rsid w:val="0048590F"/>
    <w:rsid w:val="00485C38"/>
    <w:rsid w:val="004867A5"/>
    <w:rsid w:val="00486D60"/>
    <w:rsid w:val="004876B3"/>
    <w:rsid w:val="00487C87"/>
    <w:rsid w:val="00487E8B"/>
    <w:rsid w:val="00490012"/>
    <w:rsid w:val="00490AE8"/>
    <w:rsid w:val="00490BB8"/>
    <w:rsid w:val="004912FF"/>
    <w:rsid w:val="00491947"/>
    <w:rsid w:val="00492A25"/>
    <w:rsid w:val="00492BA4"/>
    <w:rsid w:val="00493665"/>
    <w:rsid w:val="00493847"/>
    <w:rsid w:val="0049474A"/>
    <w:rsid w:val="00494EEE"/>
    <w:rsid w:val="00495318"/>
    <w:rsid w:val="00495A43"/>
    <w:rsid w:val="00495AC1"/>
    <w:rsid w:val="004961EA"/>
    <w:rsid w:val="00496350"/>
    <w:rsid w:val="00496976"/>
    <w:rsid w:val="00496EF9"/>
    <w:rsid w:val="00496F91"/>
    <w:rsid w:val="00497274"/>
    <w:rsid w:val="00497708"/>
    <w:rsid w:val="0049797C"/>
    <w:rsid w:val="00497C2C"/>
    <w:rsid w:val="00497E9D"/>
    <w:rsid w:val="004A07AC"/>
    <w:rsid w:val="004A1363"/>
    <w:rsid w:val="004A1405"/>
    <w:rsid w:val="004A1FC6"/>
    <w:rsid w:val="004A3244"/>
    <w:rsid w:val="004A3C03"/>
    <w:rsid w:val="004A3DB7"/>
    <w:rsid w:val="004A3FB3"/>
    <w:rsid w:val="004A5088"/>
    <w:rsid w:val="004A5255"/>
    <w:rsid w:val="004A5FA1"/>
    <w:rsid w:val="004A6097"/>
    <w:rsid w:val="004A6CB0"/>
    <w:rsid w:val="004A70FF"/>
    <w:rsid w:val="004A78B5"/>
    <w:rsid w:val="004A7CCC"/>
    <w:rsid w:val="004A7F10"/>
    <w:rsid w:val="004B0A69"/>
    <w:rsid w:val="004B1B84"/>
    <w:rsid w:val="004B2220"/>
    <w:rsid w:val="004B29AC"/>
    <w:rsid w:val="004B2B3A"/>
    <w:rsid w:val="004B35DF"/>
    <w:rsid w:val="004B3627"/>
    <w:rsid w:val="004B3F3A"/>
    <w:rsid w:val="004B42D9"/>
    <w:rsid w:val="004B4779"/>
    <w:rsid w:val="004B4922"/>
    <w:rsid w:val="004B57DF"/>
    <w:rsid w:val="004B6CD1"/>
    <w:rsid w:val="004C03A0"/>
    <w:rsid w:val="004C04AB"/>
    <w:rsid w:val="004C05A9"/>
    <w:rsid w:val="004C202C"/>
    <w:rsid w:val="004C2138"/>
    <w:rsid w:val="004C25B1"/>
    <w:rsid w:val="004C2DEF"/>
    <w:rsid w:val="004C2E7F"/>
    <w:rsid w:val="004C2ED0"/>
    <w:rsid w:val="004C32D4"/>
    <w:rsid w:val="004C3454"/>
    <w:rsid w:val="004C3464"/>
    <w:rsid w:val="004C3940"/>
    <w:rsid w:val="004C3E10"/>
    <w:rsid w:val="004C43CA"/>
    <w:rsid w:val="004C4847"/>
    <w:rsid w:val="004C4CD1"/>
    <w:rsid w:val="004C5143"/>
    <w:rsid w:val="004C51FD"/>
    <w:rsid w:val="004C534B"/>
    <w:rsid w:val="004C5BA7"/>
    <w:rsid w:val="004C65A8"/>
    <w:rsid w:val="004C6F74"/>
    <w:rsid w:val="004C786C"/>
    <w:rsid w:val="004C7963"/>
    <w:rsid w:val="004D1C4D"/>
    <w:rsid w:val="004D298C"/>
    <w:rsid w:val="004D2F63"/>
    <w:rsid w:val="004D35BA"/>
    <w:rsid w:val="004D3F2A"/>
    <w:rsid w:val="004D4701"/>
    <w:rsid w:val="004D47C7"/>
    <w:rsid w:val="004D6146"/>
    <w:rsid w:val="004D618D"/>
    <w:rsid w:val="004D62A9"/>
    <w:rsid w:val="004D6AEE"/>
    <w:rsid w:val="004D6FC3"/>
    <w:rsid w:val="004D7476"/>
    <w:rsid w:val="004E0306"/>
    <w:rsid w:val="004E0572"/>
    <w:rsid w:val="004E222D"/>
    <w:rsid w:val="004E25A8"/>
    <w:rsid w:val="004E26D8"/>
    <w:rsid w:val="004E2AA0"/>
    <w:rsid w:val="004E3930"/>
    <w:rsid w:val="004E3ED9"/>
    <w:rsid w:val="004E5056"/>
    <w:rsid w:val="004E5866"/>
    <w:rsid w:val="004E59F9"/>
    <w:rsid w:val="004E5D94"/>
    <w:rsid w:val="004E5FF7"/>
    <w:rsid w:val="004E6097"/>
    <w:rsid w:val="004E61EF"/>
    <w:rsid w:val="004E64BA"/>
    <w:rsid w:val="004E6535"/>
    <w:rsid w:val="004E6772"/>
    <w:rsid w:val="004E6F07"/>
    <w:rsid w:val="004E76A7"/>
    <w:rsid w:val="004E7736"/>
    <w:rsid w:val="004E77A4"/>
    <w:rsid w:val="004E7B03"/>
    <w:rsid w:val="004F0064"/>
    <w:rsid w:val="004F03C4"/>
    <w:rsid w:val="004F0509"/>
    <w:rsid w:val="004F068B"/>
    <w:rsid w:val="004F06AC"/>
    <w:rsid w:val="004F0DD7"/>
    <w:rsid w:val="004F17A0"/>
    <w:rsid w:val="004F1AE6"/>
    <w:rsid w:val="004F243F"/>
    <w:rsid w:val="004F3E0C"/>
    <w:rsid w:val="004F6A2D"/>
    <w:rsid w:val="004F6AE3"/>
    <w:rsid w:val="004F6CE0"/>
    <w:rsid w:val="004F7160"/>
    <w:rsid w:val="004F7337"/>
    <w:rsid w:val="004F7515"/>
    <w:rsid w:val="004F7737"/>
    <w:rsid w:val="004F7AC9"/>
    <w:rsid w:val="004F7F8E"/>
    <w:rsid w:val="00500258"/>
    <w:rsid w:val="0050028B"/>
    <w:rsid w:val="00501123"/>
    <w:rsid w:val="0050175E"/>
    <w:rsid w:val="00501973"/>
    <w:rsid w:val="00501A99"/>
    <w:rsid w:val="005025A6"/>
    <w:rsid w:val="00503180"/>
    <w:rsid w:val="00503A8B"/>
    <w:rsid w:val="0050417C"/>
    <w:rsid w:val="00504C34"/>
    <w:rsid w:val="005050C9"/>
    <w:rsid w:val="00505450"/>
    <w:rsid w:val="00505584"/>
    <w:rsid w:val="005055EF"/>
    <w:rsid w:val="00505D36"/>
    <w:rsid w:val="005062B5"/>
    <w:rsid w:val="00506CB9"/>
    <w:rsid w:val="00507450"/>
    <w:rsid w:val="00507596"/>
    <w:rsid w:val="005100B7"/>
    <w:rsid w:val="005113C9"/>
    <w:rsid w:val="00511987"/>
    <w:rsid w:val="00512018"/>
    <w:rsid w:val="005124CB"/>
    <w:rsid w:val="0051280C"/>
    <w:rsid w:val="00512842"/>
    <w:rsid w:val="005128BE"/>
    <w:rsid w:val="00512B7B"/>
    <w:rsid w:val="00512C02"/>
    <w:rsid w:val="00512E6C"/>
    <w:rsid w:val="0051356F"/>
    <w:rsid w:val="00513980"/>
    <w:rsid w:val="00513E7C"/>
    <w:rsid w:val="005140BB"/>
    <w:rsid w:val="00514288"/>
    <w:rsid w:val="005143C2"/>
    <w:rsid w:val="0051454F"/>
    <w:rsid w:val="00514FD9"/>
    <w:rsid w:val="00515158"/>
    <w:rsid w:val="00515A28"/>
    <w:rsid w:val="00515BB2"/>
    <w:rsid w:val="0051608F"/>
    <w:rsid w:val="005167DA"/>
    <w:rsid w:val="00517521"/>
    <w:rsid w:val="00517847"/>
    <w:rsid w:val="005210F7"/>
    <w:rsid w:val="00521753"/>
    <w:rsid w:val="00521A44"/>
    <w:rsid w:val="00521D16"/>
    <w:rsid w:val="00521F81"/>
    <w:rsid w:val="005222BE"/>
    <w:rsid w:val="005224EE"/>
    <w:rsid w:val="0052280D"/>
    <w:rsid w:val="00523675"/>
    <w:rsid w:val="00523BB1"/>
    <w:rsid w:val="00523DF6"/>
    <w:rsid w:val="0052451A"/>
    <w:rsid w:val="00524737"/>
    <w:rsid w:val="00524BE0"/>
    <w:rsid w:val="00526265"/>
    <w:rsid w:val="0052652D"/>
    <w:rsid w:val="0052655D"/>
    <w:rsid w:val="005265E0"/>
    <w:rsid w:val="00526BC3"/>
    <w:rsid w:val="00527076"/>
    <w:rsid w:val="0053070B"/>
    <w:rsid w:val="00530F9E"/>
    <w:rsid w:val="00531090"/>
    <w:rsid w:val="00531279"/>
    <w:rsid w:val="005321E2"/>
    <w:rsid w:val="0053270D"/>
    <w:rsid w:val="0053274E"/>
    <w:rsid w:val="00532802"/>
    <w:rsid w:val="0053358A"/>
    <w:rsid w:val="00534668"/>
    <w:rsid w:val="00534DDD"/>
    <w:rsid w:val="00535291"/>
    <w:rsid w:val="00535A94"/>
    <w:rsid w:val="00537874"/>
    <w:rsid w:val="00537A8D"/>
    <w:rsid w:val="00537F23"/>
    <w:rsid w:val="0054007E"/>
    <w:rsid w:val="00540204"/>
    <w:rsid w:val="0054045B"/>
    <w:rsid w:val="00540578"/>
    <w:rsid w:val="0054060B"/>
    <w:rsid w:val="005407D2"/>
    <w:rsid w:val="00540808"/>
    <w:rsid w:val="0054080E"/>
    <w:rsid w:val="00540EA1"/>
    <w:rsid w:val="00540FEF"/>
    <w:rsid w:val="0054131B"/>
    <w:rsid w:val="00541AC8"/>
    <w:rsid w:val="00541F62"/>
    <w:rsid w:val="005426A0"/>
    <w:rsid w:val="00542AD8"/>
    <w:rsid w:val="00543337"/>
    <w:rsid w:val="0054337D"/>
    <w:rsid w:val="0054358E"/>
    <w:rsid w:val="00543AF4"/>
    <w:rsid w:val="00543EB4"/>
    <w:rsid w:val="00543FD8"/>
    <w:rsid w:val="00544191"/>
    <w:rsid w:val="00544841"/>
    <w:rsid w:val="00544B68"/>
    <w:rsid w:val="00544C5B"/>
    <w:rsid w:val="00544F39"/>
    <w:rsid w:val="0054515D"/>
    <w:rsid w:val="00546212"/>
    <w:rsid w:val="00546FB3"/>
    <w:rsid w:val="00547EFB"/>
    <w:rsid w:val="0055009E"/>
    <w:rsid w:val="00551E96"/>
    <w:rsid w:val="00552563"/>
    <w:rsid w:val="0055316E"/>
    <w:rsid w:val="005531DF"/>
    <w:rsid w:val="00553874"/>
    <w:rsid w:val="00553ACC"/>
    <w:rsid w:val="00554AD8"/>
    <w:rsid w:val="00554F78"/>
    <w:rsid w:val="005556A5"/>
    <w:rsid w:val="005561F0"/>
    <w:rsid w:val="00556749"/>
    <w:rsid w:val="00556BF7"/>
    <w:rsid w:val="00557512"/>
    <w:rsid w:val="005611E1"/>
    <w:rsid w:val="00561C58"/>
    <w:rsid w:val="00562149"/>
    <w:rsid w:val="005630D8"/>
    <w:rsid w:val="00563FFD"/>
    <w:rsid w:val="00565855"/>
    <w:rsid w:val="005666BB"/>
    <w:rsid w:val="0056746F"/>
    <w:rsid w:val="005677CE"/>
    <w:rsid w:val="00567B5D"/>
    <w:rsid w:val="00570C00"/>
    <w:rsid w:val="00571A68"/>
    <w:rsid w:val="00572159"/>
    <w:rsid w:val="00573733"/>
    <w:rsid w:val="0057398E"/>
    <w:rsid w:val="00573A76"/>
    <w:rsid w:val="00574554"/>
    <w:rsid w:val="0057495D"/>
    <w:rsid w:val="005752CB"/>
    <w:rsid w:val="005754D3"/>
    <w:rsid w:val="00576089"/>
    <w:rsid w:val="005764B1"/>
    <w:rsid w:val="00576A56"/>
    <w:rsid w:val="00576D06"/>
    <w:rsid w:val="00577042"/>
    <w:rsid w:val="005778C8"/>
    <w:rsid w:val="005779E4"/>
    <w:rsid w:val="00580512"/>
    <w:rsid w:val="00580AC5"/>
    <w:rsid w:val="00580EB3"/>
    <w:rsid w:val="0058172A"/>
    <w:rsid w:val="00581A2A"/>
    <w:rsid w:val="005822E4"/>
    <w:rsid w:val="0058289C"/>
    <w:rsid w:val="00582C35"/>
    <w:rsid w:val="00582DC6"/>
    <w:rsid w:val="005836C7"/>
    <w:rsid w:val="0058395F"/>
    <w:rsid w:val="00583E30"/>
    <w:rsid w:val="0058408E"/>
    <w:rsid w:val="00584AD3"/>
    <w:rsid w:val="00584F3D"/>
    <w:rsid w:val="0058506A"/>
    <w:rsid w:val="00585374"/>
    <w:rsid w:val="00586F3C"/>
    <w:rsid w:val="005878D8"/>
    <w:rsid w:val="00587CDD"/>
    <w:rsid w:val="005903E4"/>
    <w:rsid w:val="005905EF"/>
    <w:rsid w:val="00590615"/>
    <w:rsid w:val="00590B77"/>
    <w:rsid w:val="005913A3"/>
    <w:rsid w:val="0059189B"/>
    <w:rsid w:val="00591DCD"/>
    <w:rsid w:val="00591E6C"/>
    <w:rsid w:val="00592CF0"/>
    <w:rsid w:val="00593173"/>
    <w:rsid w:val="005934B3"/>
    <w:rsid w:val="005936BA"/>
    <w:rsid w:val="0059410A"/>
    <w:rsid w:val="0059418E"/>
    <w:rsid w:val="00594A7B"/>
    <w:rsid w:val="00594AFA"/>
    <w:rsid w:val="005952B1"/>
    <w:rsid w:val="00595454"/>
    <w:rsid w:val="0059580E"/>
    <w:rsid w:val="00596A6F"/>
    <w:rsid w:val="00596C93"/>
    <w:rsid w:val="005973F2"/>
    <w:rsid w:val="005976E1"/>
    <w:rsid w:val="00597A8A"/>
    <w:rsid w:val="00597ED1"/>
    <w:rsid w:val="005A0131"/>
    <w:rsid w:val="005A0541"/>
    <w:rsid w:val="005A1525"/>
    <w:rsid w:val="005A1EC3"/>
    <w:rsid w:val="005A21A1"/>
    <w:rsid w:val="005A252B"/>
    <w:rsid w:val="005A2968"/>
    <w:rsid w:val="005A2A71"/>
    <w:rsid w:val="005A2B10"/>
    <w:rsid w:val="005A3204"/>
    <w:rsid w:val="005A3220"/>
    <w:rsid w:val="005A333D"/>
    <w:rsid w:val="005A3341"/>
    <w:rsid w:val="005A3FA1"/>
    <w:rsid w:val="005A3FC3"/>
    <w:rsid w:val="005A46EC"/>
    <w:rsid w:val="005A4847"/>
    <w:rsid w:val="005A494F"/>
    <w:rsid w:val="005A52B6"/>
    <w:rsid w:val="005A71BE"/>
    <w:rsid w:val="005B0160"/>
    <w:rsid w:val="005B0185"/>
    <w:rsid w:val="005B07EC"/>
    <w:rsid w:val="005B09D8"/>
    <w:rsid w:val="005B120C"/>
    <w:rsid w:val="005B24F3"/>
    <w:rsid w:val="005B274C"/>
    <w:rsid w:val="005B2B11"/>
    <w:rsid w:val="005B2E00"/>
    <w:rsid w:val="005B370E"/>
    <w:rsid w:val="005B4CC8"/>
    <w:rsid w:val="005B4DA3"/>
    <w:rsid w:val="005B55D3"/>
    <w:rsid w:val="005B5BEE"/>
    <w:rsid w:val="005B5FA9"/>
    <w:rsid w:val="005B658D"/>
    <w:rsid w:val="005B77D2"/>
    <w:rsid w:val="005C019B"/>
    <w:rsid w:val="005C090A"/>
    <w:rsid w:val="005C0F11"/>
    <w:rsid w:val="005C144E"/>
    <w:rsid w:val="005C14A8"/>
    <w:rsid w:val="005C30F5"/>
    <w:rsid w:val="005C357E"/>
    <w:rsid w:val="005C37EA"/>
    <w:rsid w:val="005C3951"/>
    <w:rsid w:val="005C51A5"/>
    <w:rsid w:val="005C5370"/>
    <w:rsid w:val="005C557A"/>
    <w:rsid w:val="005C5DD2"/>
    <w:rsid w:val="005C5FA8"/>
    <w:rsid w:val="005C61DD"/>
    <w:rsid w:val="005C6438"/>
    <w:rsid w:val="005C6705"/>
    <w:rsid w:val="005C6B8B"/>
    <w:rsid w:val="005C7981"/>
    <w:rsid w:val="005D02E3"/>
    <w:rsid w:val="005D0310"/>
    <w:rsid w:val="005D039C"/>
    <w:rsid w:val="005D0CF7"/>
    <w:rsid w:val="005D1861"/>
    <w:rsid w:val="005D1AE3"/>
    <w:rsid w:val="005D1F34"/>
    <w:rsid w:val="005D23E4"/>
    <w:rsid w:val="005D244E"/>
    <w:rsid w:val="005D2529"/>
    <w:rsid w:val="005D2C1F"/>
    <w:rsid w:val="005D301E"/>
    <w:rsid w:val="005D34B2"/>
    <w:rsid w:val="005D3725"/>
    <w:rsid w:val="005D3B54"/>
    <w:rsid w:val="005D40CD"/>
    <w:rsid w:val="005D4C04"/>
    <w:rsid w:val="005D5419"/>
    <w:rsid w:val="005D5B93"/>
    <w:rsid w:val="005D6B59"/>
    <w:rsid w:val="005D7037"/>
    <w:rsid w:val="005E03E4"/>
    <w:rsid w:val="005E0454"/>
    <w:rsid w:val="005E0BD8"/>
    <w:rsid w:val="005E171D"/>
    <w:rsid w:val="005E1726"/>
    <w:rsid w:val="005E237E"/>
    <w:rsid w:val="005E34C2"/>
    <w:rsid w:val="005E35C6"/>
    <w:rsid w:val="005E35DB"/>
    <w:rsid w:val="005E370F"/>
    <w:rsid w:val="005E406B"/>
    <w:rsid w:val="005E48E7"/>
    <w:rsid w:val="005E4996"/>
    <w:rsid w:val="005E5954"/>
    <w:rsid w:val="005E5B01"/>
    <w:rsid w:val="005E6E1F"/>
    <w:rsid w:val="005E6E56"/>
    <w:rsid w:val="005E7933"/>
    <w:rsid w:val="005E7E0B"/>
    <w:rsid w:val="005F000E"/>
    <w:rsid w:val="005F009E"/>
    <w:rsid w:val="005F0A88"/>
    <w:rsid w:val="005F0DF1"/>
    <w:rsid w:val="005F1187"/>
    <w:rsid w:val="005F1516"/>
    <w:rsid w:val="005F229E"/>
    <w:rsid w:val="005F2564"/>
    <w:rsid w:val="005F2A50"/>
    <w:rsid w:val="005F30A7"/>
    <w:rsid w:val="005F3714"/>
    <w:rsid w:val="005F3822"/>
    <w:rsid w:val="005F3843"/>
    <w:rsid w:val="005F3CBA"/>
    <w:rsid w:val="005F3DD5"/>
    <w:rsid w:val="005F3E0B"/>
    <w:rsid w:val="005F45DF"/>
    <w:rsid w:val="005F4D16"/>
    <w:rsid w:val="005F4E09"/>
    <w:rsid w:val="005F4E52"/>
    <w:rsid w:val="005F5590"/>
    <w:rsid w:val="005F5967"/>
    <w:rsid w:val="005F6A62"/>
    <w:rsid w:val="005F7152"/>
    <w:rsid w:val="005F738F"/>
    <w:rsid w:val="005F77C8"/>
    <w:rsid w:val="0060058E"/>
    <w:rsid w:val="006017B6"/>
    <w:rsid w:val="00602740"/>
    <w:rsid w:val="00602A3C"/>
    <w:rsid w:val="0060375F"/>
    <w:rsid w:val="00603BE3"/>
    <w:rsid w:val="00603EFD"/>
    <w:rsid w:val="006041DF"/>
    <w:rsid w:val="00604458"/>
    <w:rsid w:val="0060475B"/>
    <w:rsid w:val="00604FB6"/>
    <w:rsid w:val="00605387"/>
    <w:rsid w:val="006057EA"/>
    <w:rsid w:val="00605C8C"/>
    <w:rsid w:val="00606302"/>
    <w:rsid w:val="0060637F"/>
    <w:rsid w:val="00606619"/>
    <w:rsid w:val="006072A6"/>
    <w:rsid w:val="006072EF"/>
    <w:rsid w:val="006076FD"/>
    <w:rsid w:val="00607BA3"/>
    <w:rsid w:val="00607C11"/>
    <w:rsid w:val="00607E87"/>
    <w:rsid w:val="006108AF"/>
    <w:rsid w:val="00610F92"/>
    <w:rsid w:val="0061143F"/>
    <w:rsid w:val="006114D8"/>
    <w:rsid w:val="00611585"/>
    <w:rsid w:val="00612931"/>
    <w:rsid w:val="006132EB"/>
    <w:rsid w:val="00613447"/>
    <w:rsid w:val="00613601"/>
    <w:rsid w:val="00613791"/>
    <w:rsid w:val="00613AAB"/>
    <w:rsid w:val="00613CF2"/>
    <w:rsid w:val="00614505"/>
    <w:rsid w:val="0061454F"/>
    <w:rsid w:val="006145B1"/>
    <w:rsid w:val="006148C7"/>
    <w:rsid w:val="006150D6"/>
    <w:rsid w:val="00615408"/>
    <w:rsid w:val="0061569F"/>
    <w:rsid w:val="00615F7F"/>
    <w:rsid w:val="00616F56"/>
    <w:rsid w:val="00616FE4"/>
    <w:rsid w:val="00617B76"/>
    <w:rsid w:val="00617EC2"/>
    <w:rsid w:val="00617EEE"/>
    <w:rsid w:val="00620D22"/>
    <w:rsid w:val="006210FE"/>
    <w:rsid w:val="00622811"/>
    <w:rsid w:val="00622894"/>
    <w:rsid w:val="00622BB7"/>
    <w:rsid w:val="00622D48"/>
    <w:rsid w:val="00622F3B"/>
    <w:rsid w:val="00623389"/>
    <w:rsid w:val="0062352A"/>
    <w:rsid w:val="00623D2B"/>
    <w:rsid w:val="006244DA"/>
    <w:rsid w:val="00624A22"/>
    <w:rsid w:val="00625E45"/>
    <w:rsid w:val="006265C4"/>
    <w:rsid w:val="006272C0"/>
    <w:rsid w:val="00627383"/>
    <w:rsid w:val="00627733"/>
    <w:rsid w:val="00627B43"/>
    <w:rsid w:val="006301BB"/>
    <w:rsid w:val="00630E64"/>
    <w:rsid w:val="00630FD6"/>
    <w:rsid w:val="00632605"/>
    <w:rsid w:val="00633F8D"/>
    <w:rsid w:val="006341EF"/>
    <w:rsid w:val="00634BED"/>
    <w:rsid w:val="00635029"/>
    <w:rsid w:val="00635A4A"/>
    <w:rsid w:val="00635FB9"/>
    <w:rsid w:val="00636148"/>
    <w:rsid w:val="00636C88"/>
    <w:rsid w:val="00637774"/>
    <w:rsid w:val="0064024C"/>
    <w:rsid w:val="00640291"/>
    <w:rsid w:val="00640421"/>
    <w:rsid w:val="006415AF"/>
    <w:rsid w:val="00641DFC"/>
    <w:rsid w:val="00641FAC"/>
    <w:rsid w:val="006432A5"/>
    <w:rsid w:val="00643664"/>
    <w:rsid w:val="00643CAA"/>
    <w:rsid w:val="00643E13"/>
    <w:rsid w:val="00643EAE"/>
    <w:rsid w:val="006452B7"/>
    <w:rsid w:val="006454AE"/>
    <w:rsid w:val="00645869"/>
    <w:rsid w:val="00645F1F"/>
    <w:rsid w:val="0064629B"/>
    <w:rsid w:val="006463EA"/>
    <w:rsid w:val="00646454"/>
    <w:rsid w:val="006505D0"/>
    <w:rsid w:val="0065086D"/>
    <w:rsid w:val="006510A2"/>
    <w:rsid w:val="00651B34"/>
    <w:rsid w:val="00651EDB"/>
    <w:rsid w:val="00652137"/>
    <w:rsid w:val="00652416"/>
    <w:rsid w:val="00652680"/>
    <w:rsid w:val="00652A09"/>
    <w:rsid w:val="00652F1B"/>
    <w:rsid w:val="006530A1"/>
    <w:rsid w:val="00653CDE"/>
    <w:rsid w:val="006540B4"/>
    <w:rsid w:val="00654496"/>
    <w:rsid w:val="00654A00"/>
    <w:rsid w:val="00655CA1"/>
    <w:rsid w:val="0065636A"/>
    <w:rsid w:val="0065691E"/>
    <w:rsid w:val="00656C3C"/>
    <w:rsid w:val="00657003"/>
    <w:rsid w:val="00657126"/>
    <w:rsid w:val="006572C1"/>
    <w:rsid w:val="00657930"/>
    <w:rsid w:val="00660122"/>
    <w:rsid w:val="00660238"/>
    <w:rsid w:val="006602EF"/>
    <w:rsid w:val="00660F41"/>
    <w:rsid w:val="00661277"/>
    <w:rsid w:val="006614A8"/>
    <w:rsid w:val="006616FE"/>
    <w:rsid w:val="006619D1"/>
    <w:rsid w:val="0066215C"/>
    <w:rsid w:val="00662DE6"/>
    <w:rsid w:val="0066323C"/>
    <w:rsid w:val="00663FEA"/>
    <w:rsid w:val="00664253"/>
    <w:rsid w:val="006647AE"/>
    <w:rsid w:val="00664803"/>
    <w:rsid w:val="006661A4"/>
    <w:rsid w:val="006670E0"/>
    <w:rsid w:val="00667532"/>
    <w:rsid w:val="006675BB"/>
    <w:rsid w:val="006678BD"/>
    <w:rsid w:val="00667FF3"/>
    <w:rsid w:val="006704FD"/>
    <w:rsid w:val="006722B7"/>
    <w:rsid w:val="0067294B"/>
    <w:rsid w:val="006736E9"/>
    <w:rsid w:val="0067389A"/>
    <w:rsid w:val="00673AA4"/>
    <w:rsid w:val="00674187"/>
    <w:rsid w:val="0067501F"/>
    <w:rsid w:val="0067508F"/>
    <w:rsid w:val="00675349"/>
    <w:rsid w:val="006754A3"/>
    <w:rsid w:val="00675E7E"/>
    <w:rsid w:val="00676841"/>
    <w:rsid w:val="00676BB4"/>
    <w:rsid w:val="0067789C"/>
    <w:rsid w:val="00680084"/>
    <w:rsid w:val="0068051E"/>
    <w:rsid w:val="006806F1"/>
    <w:rsid w:val="00680B9D"/>
    <w:rsid w:val="00680E44"/>
    <w:rsid w:val="00681DB8"/>
    <w:rsid w:val="00681F13"/>
    <w:rsid w:val="0068231C"/>
    <w:rsid w:val="00682344"/>
    <w:rsid w:val="00682F28"/>
    <w:rsid w:val="0068362F"/>
    <w:rsid w:val="00683ECC"/>
    <w:rsid w:val="00684324"/>
    <w:rsid w:val="006843A0"/>
    <w:rsid w:val="00684842"/>
    <w:rsid w:val="006856B9"/>
    <w:rsid w:val="00685BD6"/>
    <w:rsid w:val="0068625D"/>
    <w:rsid w:val="00686E77"/>
    <w:rsid w:val="006875A0"/>
    <w:rsid w:val="006878A6"/>
    <w:rsid w:val="00690437"/>
    <w:rsid w:val="006905C1"/>
    <w:rsid w:val="006908AB"/>
    <w:rsid w:val="00690E65"/>
    <w:rsid w:val="00691682"/>
    <w:rsid w:val="0069188E"/>
    <w:rsid w:val="00691974"/>
    <w:rsid w:val="00692CE6"/>
    <w:rsid w:val="00693B6C"/>
    <w:rsid w:val="00693CDB"/>
    <w:rsid w:val="00694202"/>
    <w:rsid w:val="006942AE"/>
    <w:rsid w:val="0069483C"/>
    <w:rsid w:val="006948E1"/>
    <w:rsid w:val="00694A37"/>
    <w:rsid w:val="006953BC"/>
    <w:rsid w:val="00695421"/>
    <w:rsid w:val="0069585C"/>
    <w:rsid w:val="00696D4B"/>
    <w:rsid w:val="00697BD3"/>
    <w:rsid w:val="00697DFA"/>
    <w:rsid w:val="006A0A78"/>
    <w:rsid w:val="006A0C53"/>
    <w:rsid w:val="006A10F3"/>
    <w:rsid w:val="006A16D5"/>
    <w:rsid w:val="006A1772"/>
    <w:rsid w:val="006A1780"/>
    <w:rsid w:val="006A1961"/>
    <w:rsid w:val="006A1D10"/>
    <w:rsid w:val="006A25A5"/>
    <w:rsid w:val="006A2790"/>
    <w:rsid w:val="006A2C6B"/>
    <w:rsid w:val="006A2D05"/>
    <w:rsid w:val="006A3CEC"/>
    <w:rsid w:val="006A3F75"/>
    <w:rsid w:val="006A46B4"/>
    <w:rsid w:val="006A4FB3"/>
    <w:rsid w:val="006A553C"/>
    <w:rsid w:val="006A5A3E"/>
    <w:rsid w:val="006A6CA7"/>
    <w:rsid w:val="006A703E"/>
    <w:rsid w:val="006A747B"/>
    <w:rsid w:val="006A7BE3"/>
    <w:rsid w:val="006B01D1"/>
    <w:rsid w:val="006B11D3"/>
    <w:rsid w:val="006B11D7"/>
    <w:rsid w:val="006B11DE"/>
    <w:rsid w:val="006B1434"/>
    <w:rsid w:val="006B16EA"/>
    <w:rsid w:val="006B1780"/>
    <w:rsid w:val="006B224E"/>
    <w:rsid w:val="006B25BA"/>
    <w:rsid w:val="006B278F"/>
    <w:rsid w:val="006B376E"/>
    <w:rsid w:val="006B422E"/>
    <w:rsid w:val="006B4589"/>
    <w:rsid w:val="006B5CD1"/>
    <w:rsid w:val="006B5D14"/>
    <w:rsid w:val="006B5D54"/>
    <w:rsid w:val="006B6805"/>
    <w:rsid w:val="006B6BBE"/>
    <w:rsid w:val="006B6DE0"/>
    <w:rsid w:val="006B78E8"/>
    <w:rsid w:val="006B7D5F"/>
    <w:rsid w:val="006B7FCA"/>
    <w:rsid w:val="006C01F1"/>
    <w:rsid w:val="006C0342"/>
    <w:rsid w:val="006C0A77"/>
    <w:rsid w:val="006C126C"/>
    <w:rsid w:val="006C1A12"/>
    <w:rsid w:val="006C32F4"/>
    <w:rsid w:val="006C3648"/>
    <w:rsid w:val="006C3AFB"/>
    <w:rsid w:val="006C3C54"/>
    <w:rsid w:val="006C40F4"/>
    <w:rsid w:val="006C427B"/>
    <w:rsid w:val="006C4697"/>
    <w:rsid w:val="006C4D5D"/>
    <w:rsid w:val="006C4E5A"/>
    <w:rsid w:val="006C4F9F"/>
    <w:rsid w:val="006C50A1"/>
    <w:rsid w:val="006C5AF9"/>
    <w:rsid w:val="006C5F91"/>
    <w:rsid w:val="006C61AB"/>
    <w:rsid w:val="006C650D"/>
    <w:rsid w:val="006C7086"/>
    <w:rsid w:val="006C748D"/>
    <w:rsid w:val="006C74A5"/>
    <w:rsid w:val="006C74E2"/>
    <w:rsid w:val="006C77D4"/>
    <w:rsid w:val="006D0867"/>
    <w:rsid w:val="006D0B7E"/>
    <w:rsid w:val="006D0C1D"/>
    <w:rsid w:val="006D0CE1"/>
    <w:rsid w:val="006D0F1F"/>
    <w:rsid w:val="006D2004"/>
    <w:rsid w:val="006D2A8C"/>
    <w:rsid w:val="006D2E21"/>
    <w:rsid w:val="006D2E9D"/>
    <w:rsid w:val="006D30A2"/>
    <w:rsid w:val="006D4486"/>
    <w:rsid w:val="006D4C1E"/>
    <w:rsid w:val="006D4C42"/>
    <w:rsid w:val="006D4CF0"/>
    <w:rsid w:val="006D4E7D"/>
    <w:rsid w:val="006D5809"/>
    <w:rsid w:val="006D630A"/>
    <w:rsid w:val="006D668D"/>
    <w:rsid w:val="006D698C"/>
    <w:rsid w:val="006D6B73"/>
    <w:rsid w:val="006D7363"/>
    <w:rsid w:val="006D74F2"/>
    <w:rsid w:val="006D7576"/>
    <w:rsid w:val="006E04C8"/>
    <w:rsid w:val="006E0712"/>
    <w:rsid w:val="006E0754"/>
    <w:rsid w:val="006E10C3"/>
    <w:rsid w:val="006E139E"/>
    <w:rsid w:val="006E2668"/>
    <w:rsid w:val="006E2D39"/>
    <w:rsid w:val="006E32B0"/>
    <w:rsid w:val="006E36A3"/>
    <w:rsid w:val="006E36D8"/>
    <w:rsid w:val="006E396A"/>
    <w:rsid w:val="006E3A73"/>
    <w:rsid w:val="006E3F89"/>
    <w:rsid w:val="006E3FDC"/>
    <w:rsid w:val="006E4042"/>
    <w:rsid w:val="006E5DD8"/>
    <w:rsid w:val="006E5EA1"/>
    <w:rsid w:val="006E7ABC"/>
    <w:rsid w:val="006E7F49"/>
    <w:rsid w:val="006E7FD5"/>
    <w:rsid w:val="006F013F"/>
    <w:rsid w:val="006F0760"/>
    <w:rsid w:val="006F07B3"/>
    <w:rsid w:val="006F0FF1"/>
    <w:rsid w:val="006F11E2"/>
    <w:rsid w:val="006F12F5"/>
    <w:rsid w:val="006F1327"/>
    <w:rsid w:val="006F13F4"/>
    <w:rsid w:val="006F1ADA"/>
    <w:rsid w:val="006F2574"/>
    <w:rsid w:val="006F3231"/>
    <w:rsid w:val="006F3DE3"/>
    <w:rsid w:val="006F45EB"/>
    <w:rsid w:val="006F461E"/>
    <w:rsid w:val="006F490B"/>
    <w:rsid w:val="006F4CAB"/>
    <w:rsid w:val="006F511F"/>
    <w:rsid w:val="006F54B3"/>
    <w:rsid w:val="006F59E8"/>
    <w:rsid w:val="006F5BEE"/>
    <w:rsid w:val="006F61D8"/>
    <w:rsid w:val="006F62B7"/>
    <w:rsid w:val="006F6D7B"/>
    <w:rsid w:val="006F70BC"/>
    <w:rsid w:val="006F713A"/>
    <w:rsid w:val="006F76BF"/>
    <w:rsid w:val="006F7F2E"/>
    <w:rsid w:val="00700077"/>
    <w:rsid w:val="00700384"/>
    <w:rsid w:val="007004F6"/>
    <w:rsid w:val="00702105"/>
    <w:rsid w:val="0070321D"/>
    <w:rsid w:val="00703567"/>
    <w:rsid w:val="00703D79"/>
    <w:rsid w:val="00703F9B"/>
    <w:rsid w:val="007041BF"/>
    <w:rsid w:val="0070542E"/>
    <w:rsid w:val="00705598"/>
    <w:rsid w:val="007066A4"/>
    <w:rsid w:val="00706F37"/>
    <w:rsid w:val="00707077"/>
    <w:rsid w:val="00707335"/>
    <w:rsid w:val="00707425"/>
    <w:rsid w:val="00707BC8"/>
    <w:rsid w:val="00707D09"/>
    <w:rsid w:val="00710323"/>
    <w:rsid w:val="007103B8"/>
    <w:rsid w:val="0071048A"/>
    <w:rsid w:val="00711208"/>
    <w:rsid w:val="00711273"/>
    <w:rsid w:val="0071209F"/>
    <w:rsid w:val="007125A2"/>
    <w:rsid w:val="00712DA3"/>
    <w:rsid w:val="00713F79"/>
    <w:rsid w:val="007148A8"/>
    <w:rsid w:val="00714AA4"/>
    <w:rsid w:val="00714B2D"/>
    <w:rsid w:val="007151CB"/>
    <w:rsid w:val="007170BD"/>
    <w:rsid w:val="007171E0"/>
    <w:rsid w:val="0072033C"/>
    <w:rsid w:val="00720557"/>
    <w:rsid w:val="00720B1B"/>
    <w:rsid w:val="00720EC1"/>
    <w:rsid w:val="00721062"/>
    <w:rsid w:val="00721E5D"/>
    <w:rsid w:val="007229D4"/>
    <w:rsid w:val="00722CD9"/>
    <w:rsid w:val="00722DC2"/>
    <w:rsid w:val="007230F8"/>
    <w:rsid w:val="00723368"/>
    <w:rsid w:val="007233C7"/>
    <w:rsid w:val="007233F4"/>
    <w:rsid w:val="0072363C"/>
    <w:rsid w:val="007237F2"/>
    <w:rsid w:val="00724044"/>
    <w:rsid w:val="007244E1"/>
    <w:rsid w:val="007248D3"/>
    <w:rsid w:val="00725137"/>
    <w:rsid w:val="00725AE1"/>
    <w:rsid w:val="00725E0F"/>
    <w:rsid w:val="007263ED"/>
    <w:rsid w:val="00726ACE"/>
    <w:rsid w:val="00727A43"/>
    <w:rsid w:val="00727B22"/>
    <w:rsid w:val="00727D3F"/>
    <w:rsid w:val="00727E49"/>
    <w:rsid w:val="00727FF2"/>
    <w:rsid w:val="00731204"/>
    <w:rsid w:val="007323E0"/>
    <w:rsid w:val="00732867"/>
    <w:rsid w:val="00733136"/>
    <w:rsid w:val="007333F6"/>
    <w:rsid w:val="00733791"/>
    <w:rsid w:val="0073391B"/>
    <w:rsid w:val="00733B85"/>
    <w:rsid w:val="00733DE2"/>
    <w:rsid w:val="00734449"/>
    <w:rsid w:val="007351BF"/>
    <w:rsid w:val="007352EA"/>
    <w:rsid w:val="00735D62"/>
    <w:rsid w:val="007361E8"/>
    <w:rsid w:val="007364E5"/>
    <w:rsid w:val="00736FBF"/>
    <w:rsid w:val="00737154"/>
    <w:rsid w:val="007373FC"/>
    <w:rsid w:val="0073792F"/>
    <w:rsid w:val="00737B87"/>
    <w:rsid w:val="00740DA6"/>
    <w:rsid w:val="007410F8"/>
    <w:rsid w:val="007411CB"/>
    <w:rsid w:val="00741A0E"/>
    <w:rsid w:val="00741B71"/>
    <w:rsid w:val="00741D1E"/>
    <w:rsid w:val="00741EE2"/>
    <w:rsid w:val="007422F8"/>
    <w:rsid w:val="00742367"/>
    <w:rsid w:val="0074238D"/>
    <w:rsid w:val="00742EAA"/>
    <w:rsid w:val="00743022"/>
    <w:rsid w:val="00743818"/>
    <w:rsid w:val="007439E2"/>
    <w:rsid w:val="00743D6F"/>
    <w:rsid w:val="00743DD8"/>
    <w:rsid w:val="007441FB"/>
    <w:rsid w:val="00744517"/>
    <w:rsid w:val="00744810"/>
    <w:rsid w:val="00745C21"/>
    <w:rsid w:val="00746D4D"/>
    <w:rsid w:val="00746E42"/>
    <w:rsid w:val="00747257"/>
    <w:rsid w:val="00747DE2"/>
    <w:rsid w:val="007504BF"/>
    <w:rsid w:val="0075056B"/>
    <w:rsid w:val="007506CD"/>
    <w:rsid w:val="007513AC"/>
    <w:rsid w:val="0075267F"/>
    <w:rsid w:val="007526EC"/>
    <w:rsid w:val="0075310C"/>
    <w:rsid w:val="007532E3"/>
    <w:rsid w:val="00753347"/>
    <w:rsid w:val="00753915"/>
    <w:rsid w:val="00753C48"/>
    <w:rsid w:val="0075484B"/>
    <w:rsid w:val="00754C97"/>
    <w:rsid w:val="00754FE4"/>
    <w:rsid w:val="00755538"/>
    <w:rsid w:val="007558BA"/>
    <w:rsid w:val="007558C0"/>
    <w:rsid w:val="00756236"/>
    <w:rsid w:val="00756271"/>
    <w:rsid w:val="00756521"/>
    <w:rsid w:val="00756AB7"/>
    <w:rsid w:val="00760477"/>
    <w:rsid w:val="00761A90"/>
    <w:rsid w:val="00761AF4"/>
    <w:rsid w:val="00762071"/>
    <w:rsid w:val="007623FB"/>
    <w:rsid w:val="00763055"/>
    <w:rsid w:val="0076376A"/>
    <w:rsid w:val="00763B4E"/>
    <w:rsid w:val="0076406B"/>
    <w:rsid w:val="00764F64"/>
    <w:rsid w:val="00765008"/>
    <w:rsid w:val="0076500F"/>
    <w:rsid w:val="0076504E"/>
    <w:rsid w:val="00765E6A"/>
    <w:rsid w:val="00766C00"/>
    <w:rsid w:val="00767EA0"/>
    <w:rsid w:val="007703C9"/>
    <w:rsid w:val="0077068F"/>
    <w:rsid w:val="00770B6A"/>
    <w:rsid w:val="00770CBA"/>
    <w:rsid w:val="00773891"/>
    <w:rsid w:val="0077408D"/>
    <w:rsid w:val="00774270"/>
    <w:rsid w:val="00774AA2"/>
    <w:rsid w:val="00775184"/>
    <w:rsid w:val="00775480"/>
    <w:rsid w:val="00775679"/>
    <w:rsid w:val="00775803"/>
    <w:rsid w:val="00775BA2"/>
    <w:rsid w:val="00776029"/>
    <w:rsid w:val="0077614C"/>
    <w:rsid w:val="00776D48"/>
    <w:rsid w:val="00777B32"/>
    <w:rsid w:val="00777CDB"/>
    <w:rsid w:val="00777ECB"/>
    <w:rsid w:val="0078051E"/>
    <w:rsid w:val="00780559"/>
    <w:rsid w:val="00780E79"/>
    <w:rsid w:val="007817F8"/>
    <w:rsid w:val="00781FDD"/>
    <w:rsid w:val="00782A9F"/>
    <w:rsid w:val="0078508A"/>
    <w:rsid w:val="007865F2"/>
    <w:rsid w:val="00786D5C"/>
    <w:rsid w:val="00786E96"/>
    <w:rsid w:val="007870C3"/>
    <w:rsid w:val="00787477"/>
    <w:rsid w:val="00787F93"/>
    <w:rsid w:val="007907CA"/>
    <w:rsid w:val="0079088D"/>
    <w:rsid w:val="007913A1"/>
    <w:rsid w:val="007915AE"/>
    <w:rsid w:val="00791CB4"/>
    <w:rsid w:val="00791E6D"/>
    <w:rsid w:val="007928DC"/>
    <w:rsid w:val="00792917"/>
    <w:rsid w:val="007939CC"/>
    <w:rsid w:val="00794AD7"/>
    <w:rsid w:val="00795454"/>
    <w:rsid w:val="0079579D"/>
    <w:rsid w:val="0079623F"/>
    <w:rsid w:val="00796976"/>
    <w:rsid w:val="00796FB8"/>
    <w:rsid w:val="007A0A5E"/>
    <w:rsid w:val="007A11C2"/>
    <w:rsid w:val="007A161F"/>
    <w:rsid w:val="007A229D"/>
    <w:rsid w:val="007A2367"/>
    <w:rsid w:val="007A353B"/>
    <w:rsid w:val="007A41BF"/>
    <w:rsid w:val="007A467F"/>
    <w:rsid w:val="007A46DF"/>
    <w:rsid w:val="007A490A"/>
    <w:rsid w:val="007A518D"/>
    <w:rsid w:val="007A5531"/>
    <w:rsid w:val="007A581D"/>
    <w:rsid w:val="007A5AC4"/>
    <w:rsid w:val="007A5CCE"/>
    <w:rsid w:val="007A6ED2"/>
    <w:rsid w:val="007A74AB"/>
    <w:rsid w:val="007A7B95"/>
    <w:rsid w:val="007B0297"/>
    <w:rsid w:val="007B0F53"/>
    <w:rsid w:val="007B1361"/>
    <w:rsid w:val="007B1DD8"/>
    <w:rsid w:val="007B21AE"/>
    <w:rsid w:val="007B2570"/>
    <w:rsid w:val="007B3113"/>
    <w:rsid w:val="007B3304"/>
    <w:rsid w:val="007B332B"/>
    <w:rsid w:val="007B334C"/>
    <w:rsid w:val="007B34D6"/>
    <w:rsid w:val="007B394D"/>
    <w:rsid w:val="007B4A79"/>
    <w:rsid w:val="007B585F"/>
    <w:rsid w:val="007B5C83"/>
    <w:rsid w:val="007B6B9A"/>
    <w:rsid w:val="007B6C1C"/>
    <w:rsid w:val="007B6E9B"/>
    <w:rsid w:val="007B7490"/>
    <w:rsid w:val="007B774A"/>
    <w:rsid w:val="007B7914"/>
    <w:rsid w:val="007C0306"/>
    <w:rsid w:val="007C0525"/>
    <w:rsid w:val="007C0B56"/>
    <w:rsid w:val="007C0C32"/>
    <w:rsid w:val="007C0F8F"/>
    <w:rsid w:val="007C13F7"/>
    <w:rsid w:val="007C1C08"/>
    <w:rsid w:val="007C218D"/>
    <w:rsid w:val="007C2D28"/>
    <w:rsid w:val="007C32AE"/>
    <w:rsid w:val="007C341B"/>
    <w:rsid w:val="007C3576"/>
    <w:rsid w:val="007C3A4C"/>
    <w:rsid w:val="007C3E22"/>
    <w:rsid w:val="007C5153"/>
    <w:rsid w:val="007C6227"/>
    <w:rsid w:val="007C62CE"/>
    <w:rsid w:val="007C67C6"/>
    <w:rsid w:val="007C6AD6"/>
    <w:rsid w:val="007C707A"/>
    <w:rsid w:val="007C7E59"/>
    <w:rsid w:val="007C7E8E"/>
    <w:rsid w:val="007D0B91"/>
    <w:rsid w:val="007D0F53"/>
    <w:rsid w:val="007D1452"/>
    <w:rsid w:val="007D1E29"/>
    <w:rsid w:val="007D4051"/>
    <w:rsid w:val="007D460C"/>
    <w:rsid w:val="007D4AD3"/>
    <w:rsid w:val="007D4C8D"/>
    <w:rsid w:val="007D4D2B"/>
    <w:rsid w:val="007D5478"/>
    <w:rsid w:val="007D5D19"/>
    <w:rsid w:val="007D5FDC"/>
    <w:rsid w:val="007D6232"/>
    <w:rsid w:val="007D6D68"/>
    <w:rsid w:val="007E01DA"/>
    <w:rsid w:val="007E0C73"/>
    <w:rsid w:val="007E1603"/>
    <w:rsid w:val="007E229E"/>
    <w:rsid w:val="007E289C"/>
    <w:rsid w:val="007E32DA"/>
    <w:rsid w:val="007E39AF"/>
    <w:rsid w:val="007E4998"/>
    <w:rsid w:val="007E4A9C"/>
    <w:rsid w:val="007E6914"/>
    <w:rsid w:val="007E7F78"/>
    <w:rsid w:val="007E7FF5"/>
    <w:rsid w:val="007F0C8B"/>
    <w:rsid w:val="007F1517"/>
    <w:rsid w:val="007F1D44"/>
    <w:rsid w:val="007F2C13"/>
    <w:rsid w:val="007F2CEC"/>
    <w:rsid w:val="007F4FF2"/>
    <w:rsid w:val="007F55DE"/>
    <w:rsid w:val="007F5605"/>
    <w:rsid w:val="007F5B7C"/>
    <w:rsid w:val="007F6147"/>
    <w:rsid w:val="007F6E90"/>
    <w:rsid w:val="007F6FCD"/>
    <w:rsid w:val="007F78FF"/>
    <w:rsid w:val="007F7AC4"/>
    <w:rsid w:val="00800CBB"/>
    <w:rsid w:val="00800F6C"/>
    <w:rsid w:val="008019F3"/>
    <w:rsid w:val="008025B6"/>
    <w:rsid w:val="008025BE"/>
    <w:rsid w:val="008025C7"/>
    <w:rsid w:val="008027C1"/>
    <w:rsid w:val="00803437"/>
    <w:rsid w:val="008040FC"/>
    <w:rsid w:val="0080499C"/>
    <w:rsid w:val="00804C86"/>
    <w:rsid w:val="008051FC"/>
    <w:rsid w:val="0080528C"/>
    <w:rsid w:val="008055A9"/>
    <w:rsid w:val="008061AC"/>
    <w:rsid w:val="008069B6"/>
    <w:rsid w:val="008070E2"/>
    <w:rsid w:val="008070EB"/>
    <w:rsid w:val="00807376"/>
    <w:rsid w:val="00807591"/>
    <w:rsid w:val="00810D5C"/>
    <w:rsid w:val="00810E8E"/>
    <w:rsid w:val="0081142D"/>
    <w:rsid w:val="00812462"/>
    <w:rsid w:val="008131C3"/>
    <w:rsid w:val="008140A5"/>
    <w:rsid w:val="0081433A"/>
    <w:rsid w:val="0081481D"/>
    <w:rsid w:val="00814BE8"/>
    <w:rsid w:val="00814D33"/>
    <w:rsid w:val="00814F2F"/>
    <w:rsid w:val="00814F6E"/>
    <w:rsid w:val="008154E3"/>
    <w:rsid w:val="00815B84"/>
    <w:rsid w:val="00815C23"/>
    <w:rsid w:val="00816607"/>
    <w:rsid w:val="008169E7"/>
    <w:rsid w:val="00817C6E"/>
    <w:rsid w:val="008209BD"/>
    <w:rsid w:val="008212D8"/>
    <w:rsid w:val="008219A7"/>
    <w:rsid w:val="00821A3D"/>
    <w:rsid w:val="00821AB1"/>
    <w:rsid w:val="00821B36"/>
    <w:rsid w:val="00821E9A"/>
    <w:rsid w:val="00822037"/>
    <w:rsid w:val="00822D18"/>
    <w:rsid w:val="008239A1"/>
    <w:rsid w:val="00823E0A"/>
    <w:rsid w:val="00823FC6"/>
    <w:rsid w:val="00823FFC"/>
    <w:rsid w:val="00824811"/>
    <w:rsid w:val="00824843"/>
    <w:rsid w:val="00825C74"/>
    <w:rsid w:val="0082607B"/>
    <w:rsid w:val="008262E4"/>
    <w:rsid w:val="00826733"/>
    <w:rsid w:val="00826AB9"/>
    <w:rsid w:val="00826D7E"/>
    <w:rsid w:val="00826E0E"/>
    <w:rsid w:val="0082731F"/>
    <w:rsid w:val="0082798E"/>
    <w:rsid w:val="00827D11"/>
    <w:rsid w:val="00827E0F"/>
    <w:rsid w:val="00827F6E"/>
    <w:rsid w:val="00830104"/>
    <w:rsid w:val="00830E50"/>
    <w:rsid w:val="0083127A"/>
    <w:rsid w:val="00831758"/>
    <w:rsid w:val="00831D38"/>
    <w:rsid w:val="0083279F"/>
    <w:rsid w:val="008332B6"/>
    <w:rsid w:val="00833B7F"/>
    <w:rsid w:val="00834405"/>
    <w:rsid w:val="00834906"/>
    <w:rsid w:val="00834A53"/>
    <w:rsid w:val="008351C8"/>
    <w:rsid w:val="00835A42"/>
    <w:rsid w:val="00835B31"/>
    <w:rsid w:val="00836075"/>
    <w:rsid w:val="0083620D"/>
    <w:rsid w:val="00836417"/>
    <w:rsid w:val="00840573"/>
    <w:rsid w:val="00840BCA"/>
    <w:rsid w:val="00840D76"/>
    <w:rsid w:val="008411F9"/>
    <w:rsid w:val="008413AB"/>
    <w:rsid w:val="00842D10"/>
    <w:rsid w:val="0084322B"/>
    <w:rsid w:val="00843B93"/>
    <w:rsid w:val="00843F81"/>
    <w:rsid w:val="00844087"/>
    <w:rsid w:val="00844D14"/>
    <w:rsid w:val="0084519E"/>
    <w:rsid w:val="008451DA"/>
    <w:rsid w:val="0084576E"/>
    <w:rsid w:val="00845FB6"/>
    <w:rsid w:val="00846370"/>
    <w:rsid w:val="00846BDB"/>
    <w:rsid w:val="00847586"/>
    <w:rsid w:val="00847C2B"/>
    <w:rsid w:val="00847FDB"/>
    <w:rsid w:val="00851CE9"/>
    <w:rsid w:val="0085270D"/>
    <w:rsid w:val="00852C5F"/>
    <w:rsid w:val="00852C7B"/>
    <w:rsid w:val="008532BF"/>
    <w:rsid w:val="0085335E"/>
    <w:rsid w:val="0085371C"/>
    <w:rsid w:val="00853BF4"/>
    <w:rsid w:val="00853CEF"/>
    <w:rsid w:val="00854294"/>
    <w:rsid w:val="00854911"/>
    <w:rsid w:val="00855739"/>
    <w:rsid w:val="0085595B"/>
    <w:rsid w:val="008559FC"/>
    <w:rsid w:val="00855BCD"/>
    <w:rsid w:val="00855F80"/>
    <w:rsid w:val="00856473"/>
    <w:rsid w:val="008566B8"/>
    <w:rsid w:val="00856AE3"/>
    <w:rsid w:val="0085788B"/>
    <w:rsid w:val="0085798C"/>
    <w:rsid w:val="00857A9E"/>
    <w:rsid w:val="00857DE2"/>
    <w:rsid w:val="0086041D"/>
    <w:rsid w:val="00862187"/>
    <w:rsid w:val="00862576"/>
    <w:rsid w:val="008631D6"/>
    <w:rsid w:val="0086353C"/>
    <w:rsid w:val="00863EB2"/>
    <w:rsid w:val="0086407F"/>
    <w:rsid w:val="008642B0"/>
    <w:rsid w:val="00864C97"/>
    <w:rsid w:val="00864E79"/>
    <w:rsid w:val="00866111"/>
    <w:rsid w:val="0086661F"/>
    <w:rsid w:val="0086671C"/>
    <w:rsid w:val="00866A0D"/>
    <w:rsid w:val="00866DB5"/>
    <w:rsid w:val="0086784E"/>
    <w:rsid w:val="00867AF1"/>
    <w:rsid w:val="0087027F"/>
    <w:rsid w:val="00870445"/>
    <w:rsid w:val="00870953"/>
    <w:rsid w:val="00871110"/>
    <w:rsid w:val="00871120"/>
    <w:rsid w:val="008711FD"/>
    <w:rsid w:val="00872118"/>
    <w:rsid w:val="008721F4"/>
    <w:rsid w:val="00872827"/>
    <w:rsid w:val="00872888"/>
    <w:rsid w:val="0087298B"/>
    <w:rsid w:val="00872A32"/>
    <w:rsid w:val="00872D92"/>
    <w:rsid w:val="00872E21"/>
    <w:rsid w:val="008732CB"/>
    <w:rsid w:val="0087439B"/>
    <w:rsid w:val="00874C5C"/>
    <w:rsid w:val="00874ECA"/>
    <w:rsid w:val="00875DA5"/>
    <w:rsid w:val="008764B0"/>
    <w:rsid w:val="00876BE5"/>
    <w:rsid w:val="00876EAE"/>
    <w:rsid w:val="00877194"/>
    <w:rsid w:val="00880951"/>
    <w:rsid w:val="00880A55"/>
    <w:rsid w:val="00880F95"/>
    <w:rsid w:val="00881118"/>
    <w:rsid w:val="008813A8"/>
    <w:rsid w:val="008814A1"/>
    <w:rsid w:val="008819C6"/>
    <w:rsid w:val="00881C15"/>
    <w:rsid w:val="00882B44"/>
    <w:rsid w:val="00882FE5"/>
    <w:rsid w:val="00884233"/>
    <w:rsid w:val="008845A4"/>
    <w:rsid w:val="00886138"/>
    <w:rsid w:val="00886E66"/>
    <w:rsid w:val="008871B0"/>
    <w:rsid w:val="00890DCF"/>
    <w:rsid w:val="008913B9"/>
    <w:rsid w:val="00891FFD"/>
    <w:rsid w:val="0089217C"/>
    <w:rsid w:val="008928A1"/>
    <w:rsid w:val="00893671"/>
    <w:rsid w:val="00893D0A"/>
    <w:rsid w:val="008949E8"/>
    <w:rsid w:val="00895838"/>
    <w:rsid w:val="00895908"/>
    <w:rsid w:val="00895A72"/>
    <w:rsid w:val="00895CDF"/>
    <w:rsid w:val="00895F8F"/>
    <w:rsid w:val="00896028"/>
    <w:rsid w:val="008968C7"/>
    <w:rsid w:val="00896EFA"/>
    <w:rsid w:val="00897582"/>
    <w:rsid w:val="00897A55"/>
    <w:rsid w:val="00897C9E"/>
    <w:rsid w:val="008A0FC9"/>
    <w:rsid w:val="008A1522"/>
    <w:rsid w:val="008A1956"/>
    <w:rsid w:val="008A2283"/>
    <w:rsid w:val="008A2B5F"/>
    <w:rsid w:val="008A355F"/>
    <w:rsid w:val="008A40D3"/>
    <w:rsid w:val="008A469C"/>
    <w:rsid w:val="008A484A"/>
    <w:rsid w:val="008A498F"/>
    <w:rsid w:val="008A4A64"/>
    <w:rsid w:val="008A5877"/>
    <w:rsid w:val="008A5D11"/>
    <w:rsid w:val="008A5DDC"/>
    <w:rsid w:val="008A613A"/>
    <w:rsid w:val="008A6539"/>
    <w:rsid w:val="008A6AF3"/>
    <w:rsid w:val="008A701C"/>
    <w:rsid w:val="008B05DD"/>
    <w:rsid w:val="008B0BF7"/>
    <w:rsid w:val="008B0FDA"/>
    <w:rsid w:val="008B17E8"/>
    <w:rsid w:val="008B1925"/>
    <w:rsid w:val="008B1EC5"/>
    <w:rsid w:val="008B1F5B"/>
    <w:rsid w:val="008B266C"/>
    <w:rsid w:val="008B2D03"/>
    <w:rsid w:val="008B2E7C"/>
    <w:rsid w:val="008B41A7"/>
    <w:rsid w:val="008B42EB"/>
    <w:rsid w:val="008B45A7"/>
    <w:rsid w:val="008B4A70"/>
    <w:rsid w:val="008B502F"/>
    <w:rsid w:val="008B5A88"/>
    <w:rsid w:val="008B6AFE"/>
    <w:rsid w:val="008B7034"/>
    <w:rsid w:val="008B7227"/>
    <w:rsid w:val="008B7D58"/>
    <w:rsid w:val="008C0043"/>
    <w:rsid w:val="008C0517"/>
    <w:rsid w:val="008C0A81"/>
    <w:rsid w:val="008C191C"/>
    <w:rsid w:val="008C1DA4"/>
    <w:rsid w:val="008C298C"/>
    <w:rsid w:val="008C2CD5"/>
    <w:rsid w:val="008C3618"/>
    <w:rsid w:val="008C37C2"/>
    <w:rsid w:val="008C3A3B"/>
    <w:rsid w:val="008C3F20"/>
    <w:rsid w:val="008C43AD"/>
    <w:rsid w:val="008C4A12"/>
    <w:rsid w:val="008C50FA"/>
    <w:rsid w:val="008C59FB"/>
    <w:rsid w:val="008C6687"/>
    <w:rsid w:val="008C68F0"/>
    <w:rsid w:val="008C6F17"/>
    <w:rsid w:val="008C6F92"/>
    <w:rsid w:val="008C731F"/>
    <w:rsid w:val="008C74D9"/>
    <w:rsid w:val="008C780E"/>
    <w:rsid w:val="008D01FF"/>
    <w:rsid w:val="008D0B2D"/>
    <w:rsid w:val="008D1052"/>
    <w:rsid w:val="008D124C"/>
    <w:rsid w:val="008D1ACE"/>
    <w:rsid w:val="008D1BB3"/>
    <w:rsid w:val="008D22AE"/>
    <w:rsid w:val="008D234A"/>
    <w:rsid w:val="008D2600"/>
    <w:rsid w:val="008D3721"/>
    <w:rsid w:val="008D566C"/>
    <w:rsid w:val="008D58D9"/>
    <w:rsid w:val="008D5AFB"/>
    <w:rsid w:val="008D5BCA"/>
    <w:rsid w:val="008D5FEF"/>
    <w:rsid w:val="008D6426"/>
    <w:rsid w:val="008D6443"/>
    <w:rsid w:val="008D66EA"/>
    <w:rsid w:val="008D6E59"/>
    <w:rsid w:val="008D7155"/>
    <w:rsid w:val="008D7DE4"/>
    <w:rsid w:val="008E09B3"/>
    <w:rsid w:val="008E0DBE"/>
    <w:rsid w:val="008E141A"/>
    <w:rsid w:val="008E180E"/>
    <w:rsid w:val="008E1A44"/>
    <w:rsid w:val="008E1ADF"/>
    <w:rsid w:val="008E28E6"/>
    <w:rsid w:val="008E2B60"/>
    <w:rsid w:val="008E3232"/>
    <w:rsid w:val="008E3674"/>
    <w:rsid w:val="008E3B6C"/>
    <w:rsid w:val="008E3D78"/>
    <w:rsid w:val="008E4AE5"/>
    <w:rsid w:val="008E4EB9"/>
    <w:rsid w:val="008E68BB"/>
    <w:rsid w:val="008E6C9B"/>
    <w:rsid w:val="008E6E2E"/>
    <w:rsid w:val="008E7199"/>
    <w:rsid w:val="008E77D4"/>
    <w:rsid w:val="008F0981"/>
    <w:rsid w:val="008F0AFD"/>
    <w:rsid w:val="008F17B2"/>
    <w:rsid w:val="008F1A98"/>
    <w:rsid w:val="008F1AD9"/>
    <w:rsid w:val="008F28EE"/>
    <w:rsid w:val="008F357B"/>
    <w:rsid w:val="008F41C9"/>
    <w:rsid w:val="008F44CA"/>
    <w:rsid w:val="008F49B9"/>
    <w:rsid w:val="008F49D3"/>
    <w:rsid w:val="008F511E"/>
    <w:rsid w:val="008F5B49"/>
    <w:rsid w:val="008F6313"/>
    <w:rsid w:val="008F6519"/>
    <w:rsid w:val="008F7012"/>
    <w:rsid w:val="008F7B17"/>
    <w:rsid w:val="00900042"/>
    <w:rsid w:val="0090034B"/>
    <w:rsid w:val="00900433"/>
    <w:rsid w:val="00902623"/>
    <w:rsid w:val="00902890"/>
    <w:rsid w:val="0090311E"/>
    <w:rsid w:val="00903A73"/>
    <w:rsid w:val="00904BE4"/>
    <w:rsid w:val="00904DDB"/>
    <w:rsid w:val="0090504A"/>
    <w:rsid w:val="00905D7E"/>
    <w:rsid w:val="0090619D"/>
    <w:rsid w:val="00906352"/>
    <w:rsid w:val="009063B7"/>
    <w:rsid w:val="00906B83"/>
    <w:rsid w:val="00906CD9"/>
    <w:rsid w:val="00907037"/>
    <w:rsid w:val="009072DA"/>
    <w:rsid w:val="00910D7E"/>
    <w:rsid w:val="0091114B"/>
    <w:rsid w:val="0091160A"/>
    <w:rsid w:val="00912084"/>
    <w:rsid w:val="00912CD3"/>
    <w:rsid w:val="00912F6D"/>
    <w:rsid w:val="00913258"/>
    <w:rsid w:val="00914D6B"/>
    <w:rsid w:val="0091564D"/>
    <w:rsid w:val="009156DA"/>
    <w:rsid w:val="00915BAB"/>
    <w:rsid w:val="009161CD"/>
    <w:rsid w:val="00916BC5"/>
    <w:rsid w:val="0091726A"/>
    <w:rsid w:val="00917FC6"/>
    <w:rsid w:val="00920184"/>
    <w:rsid w:val="00920A19"/>
    <w:rsid w:val="00920AEC"/>
    <w:rsid w:val="00920BD4"/>
    <w:rsid w:val="00920EA4"/>
    <w:rsid w:val="00920EC9"/>
    <w:rsid w:val="00921426"/>
    <w:rsid w:val="00921792"/>
    <w:rsid w:val="00921BEA"/>
    <w:rsid w:val="00922797"/>
    <w:rsid w:val="00922894"/>
    <w:rsid w:val="00922E01"/>
    <w:rsid w:val="009234E6"/>
    <w:rsid w:val="00923998"/>
    <w:rsid w:val="00923A22"/>
    <w:rsid w:val="00923B00"/>
    <w:rsid w:val="00923DB4"/>
    <w:rsid w:val="0092430E"/>
    <w:rsid w:val="009249A7"/>
    <w:rsid w:val="009249D7"/>
    <w:rsid w:val="0092569E"/>
    <w:rsid w:val="0092598B"/>
    <w:rsid w:val="0092625F"/>
    <w:rsid w:val="00926603"/>
    <w:rsid w:val="009268A9"/>
    <w:rsid w:val="00927245"/>
    <w:rsid w:val="00927B37"/>
    <w:rsid w:val="009301B2"/>
    <w:rsid w:val="0093130D"/>
    <w:rsid w:val="009313DD"/>
    <w:rsid w:val="00931BDE"/>
    <w:rsid w:val="009321B1"/>
    <w:rsid w:val="00932AA6"/>
    <w:rsid w:val="00932ED7"/>
    <w:rsid w:val="00932F5A"/>
    <w:rsid w:val="0093357E"/>
    <w:rsid w:val="0093422D"/>
    <w:rsid w:val="00934325"/>
    <w:rsid w:val="00934DD7"/>
    <w:rsid w:val="0093503B"/>
    <w:rsid w:val="00935861"/>
    <w:rsid w:val="009369A9"/>
    <w:rsid w:val="00936CF7"/>
    <w:rsid w:val="00937153"/>
    <w:rsid w:val="00937201"/>
    <w:rsid w:val="0093734A"/>
    <w:rsid w:val="009376A8"/>
    <w:rsid w:val="00937783"/>
    <w:rsid w:val="00940FE1"/>
    <w:rsid w:val="009414E8"/>
    <w:rsid w:val="00942306"/>
    <w:rsid w:val="009424B8"/>
    <w:rsid w:val="00942754"/>
    <w:rsid w:val="009433A4"/>
    <w:rsid w:val="0094357D"/>
    <w:rsid w:val="0094435B"/>
    <w:rsid w:val="00944668"/>
    <w:rsid w:val="009446C0"/>
    <w:rsid w:val="0094476F"/>
    <w:rsid w:val="00944DC6"/>
    <w:rsid w:val="0094515F"/>
    <w:rsid w:val="00945367"/>
    <w:rsid w:val="0094537D"/>
    <w:rsid w:val="0094573F"/>
    <w:rsid w:val="009458B0"/>
    <w:rsid w:val="00945B52"/>
    <w:rsid w:val="00945DC0"/>
    <w:rsid w:val="00945F05"/>
    <w:rsid w:val="00946001"/>
    <w:rsid w:val="00946348"/>
    <w:rsid w:val="009471AD"/>
    <w:rsid w:val="009478A2"/>
    <w:rsid w:val="00947D4F"/>
    <w:rsid w:val="00950404"/>
    <w:rsid w:val="00951A7C"/>
    <w:rsid w:val="00951C75"/>
    <w:rsid w:val="00951FB1"/>
    <w:rsid w:val="00952060"/>
    <w:rsid w:val="00953721"/>
    <w:rsid w:val="00954800"/>
    <w:rsid w:val="00954D5F"/>
    <w:rsid w:val="00955310"/>
    <w:rsid w:val="00955643"/>
    <w:rsid w:val="009556AB"/>
    <w:rsid w:val="00955D06"/>
    <w:rsid w:val="00955FBB"/>
    <w:rsid w:val="009562E7"/>
    <w:rsid w:val="0095694B"/>
    <w:rsid w:val="00956BD5"/>
    <w:rsid w:val="009572D3"/>
    <w:rsid w:val="009574BB"/>
    <w:rsid w:val="009577B5"/>
    <w:rsid w:val="00957BAF"/>
    <w:rsid w:val="009608E6"/>
    <w:rsid w:val="00960E85"/>
    <w:rsid w:val="00961779"/>
    <w:rsid w:val="0096289B"/>
    <w:rsid w:val="0096296D"/>
    <w:rsid w:val="00962EB1"/>
    <w:rsid w:val="009632A7"/>
    <w:rsid w:val="00963476"/>
    <w:rsid w:val="00963485"/>
    <w:rsid w:val="00964A16"/>
    <w:rsid w:val="00964A3C"/>
    <w:rsid w:val="00966335"/>
    <w:rsid w:val="00966522"/>
    <w:rsid w:val="00966844"/>
    <w:rsid w:val="009676E9"/>
    <w:rsid w:val="00967D3F"/>
    <w:rsid w:val="00967E78"/>
    <w:rsid w:val="00970420"/>
    <w:rsid w:val="00970D7E"/>
    <w:rsid w:val="00970F18"/>
    <w:rsid w:val="009717BF"/>
    <w:rsid w:val="00971CF1"/>
    <w:rsid w:val="009721E9"/>
    <w:rsid w:val="0097279F"/>
    <w:rsid w:val="00972A58"/>
    <w:rsid w:val="00973772"/>
    <w:rsid w:val="009738FC"/>
    <w:rsid w:val="00973CD5"/>
    <w:rsid w:val="00975D83"/>
    <w:rsid w:val="00975E1E"/>
    <w:rsid w:val="00975E70"/>
    <w:rsid w:val="009773F5"/>
    <w:rsid w:val="0097791B"/>
    <w:rsid w:val="00977CD6"/>
    <w:rsid w:val="00977E92"/>
    <w:rsid w:val="00980EE7"/>
    <w:rsid w:val="009814C4"/>
    <w:rsid w:val="00981D04"/>
    <w:rsid w:val="00982481"/>
    <w:rsid w:val="0098258F"/>
    <w:rsid w:val="00982D26"/>
    <w:rsid w:val="0098330E"/>
    <w:rsid w:val="009833DD"/>
    <w:rsid w:val="00983E7C"/>
    <w:rsid w:val="0098403A"/>
    <w:rsid w:val="009840AB"/>
    <w:rsid w:val="009849E9"/>
    <w:rsid w:val="00984B22"/>
    <w:rsid w:val="009856CF"/>
    <w:rsid w:val="00985A93"/>
    <w:rsid w:val="00985DAD"/>
    <w:rsid w:val="009866F3"/>
    <w:rsid w:val="00987812"/>
    <w:rsid w:val="00987DFA"/>
    <w:rsid w:val="00987FF0"/>
    <w:rsid w:val="00990225"/>
    <w:rsid w:val="00991465"/>
    <w:rsid w:val="009923FB"/>
    <w:rsid w:val="0099244B"/>
    <w:rsid w:val="009924AC"/>
    <w:rsid w:val="009926D5"/>
    <w:rsid w:val="00993186"/>
    <w:rsid w:val="009947B6"/>
    <w:rsid w:val="00994FCC"/>
    <w:rsid w:val="00995150"/>
    <w:rsid w:val="009957F3"/>
    <w:rsid w:val="00995870"/>
    <w:rsid w:val="009959B7"/>
    <w:rsid w:val="00995D67"/>
    <w:rsid w:val="00996E3F"/>
    <w:rsid w:val="009970BF"/>
    <w:rsid w:val="00997429"/>
    <w:rsid w:val="009A013B"/>
    <w:rsid w:val="009A02F4"/>
    <w:rsid w:val="009A0D1B"/>
    <w:rsid w:val="009A10CD"/>
    <w:rsid w:val="009A1844"/>
    <w:rsid w:val="009A1D4A"/>
    <w:rsid w:val="009A1F12"/>
    <w:rsid w:val="009A1FE5"/>
    <w:rsid w:val="009A1FFD"/>
    <w:rsid w:val="009A2494"/>
    <w:rsid w:val="009A26CA"/>
    <w:rsid w:val="009A2A24"/>
    <w:rsid w:val="009A2AC2"/>
    <w:rsid w:val="009A36F2"/>
    <w:rsid w:val="009A374A"/>
    <w:rsid w:val="009A4227"/>
    <w:rsid w:val="009A4689"/>
    <w:rsid w:val="009A4B12"/>
    <w:rsid w:val="009A4BE2"/>
    <w:rsid w:val="009A5749"/>
    <w:rsid w:val="009A57D0"/>
    <w:rsid w:val="009A6559"/>
    <w:rsid w:val="009A68FC"/>
    <w:rsid w:val="009A7514"/>
    <w:rsid w:val="009A7E7A"/>
    <w:rsid w:val="009B06C3"/>
    <w:rsid w:val="009B0734"/>
    <w:rsid w:val="009B1541"/>
    <w:rsid w:val="009B1584"/>
    <w:rsid w:val="009B1585"/>
    <w:rsid w:val="009B2469"/>
    <w:rsid w:val="009B2630"/>
    <w:rsid w:val="009B2748"/>
    <w:rsid w:val="009B288C"/>
    <w:rsid w:val="009B314F"/>
    <w:rsid w:val="009B316D"/>
    <w:rsid w:val="009B3A14"/>
    <w:rsid w:val="009B439C"/>
    <w:rsid w:val="009B4455"/>
    <w:rsid w:val="009B4A6C"/>
    <w:rsid w:val="009B5457"/>
    <w:rsid w:val="009B5777"/>
    <w:rsid w:val="009B5779"/>
    <w:rsid w:val="009B5C22"/>
    <w:rsid w:val="009B6753"/>
    <w:rsid w:val="009B6A26"/>
    <w:rsid w:val="009B6B9A"/>
    <w:rsid w:val="009C0163"/>
    <w:rsid w:val="009C0172"/>
    <w:rsid w:val="009C079D"/>
    <w:rsid w:val="009C0D70"/>
    <w:rsid w:val="009C13D1"/>
    <w:rsid w:val="009C2913"/>
    <w:rsid w:val="009C2DFF"/>
    <w:rsid w:val="009C3008"/>
    <w:rsid w:val="009C5AFE"/>
    <w:rsid w:val="009C6606"/>
    <w:rsid w:val="009C6CE5"/>
    <w:rsid w:val="009C6D50"/>
    <w:rsid w:val="009C7547"/>
    <w:rsid w:val="009D04CD"/>
    <w:rsid w:val="009D1678"/>
    <w:rsid w:val="009D1693"/>
    <w:rsid w:val="009D1729"/>
    <w:rsid w:val="009D1F16"/>
    <w:rsid w:val="009D2721"/>
    <w:rsid w:val="009D2D80"/>
    <w:rsid w:val="009D2F60"/>
    <w:rsid w:val="009D338C"/>
    <w:rsid w:val="009D37F7"/>
    <w:rsid w:val="009D3D0D"/>
    <w:rsid w:val="009D45E4"/>
    <w:rsid w:val="009D4E25"/>
    <w:rsid w:val="009D5BAC"/>
    <w:rsid w:val="009D64BD"/>
    <w:rsid w:val="009D67ED"/>
    <w:rsid w:val="009D74D2"/>
    <w:rsid w:val="009D7685"/>
    <w:rsid w:val="009E0AEC"/>
    <w:rsid w:val="009E0D0A"/>
    <w:rsid w:val="009E0D1A"/>
    <w:rsid w:val="009E153F"/>
    <w:rsid w:val="009E222A"/>
    <w:rsid w:val="009E2864"/>
    <w:rsid w:val="009E2D6C"/>
    <w:rsid w:val="009E388B"/>
    <w:rsid w:val="009E393E"/>
    <w:rsid w:val="009E3F71"/>
    <w:rsid w:val="009E3FED"/>
    <w:rsid w:val="009E444E"/>
    <w:rsid w:val="009E4968"/>
    <w:rsid w:val="009E52F4"/>
    <w:rsid w:val="009E5B61"/>
    <w:rsid w:val="009E663C"/>
    <w:rsid w:val="009E66AA"/>
    <w:rsid w:val="009E6BB1"/>
    <w:rsid w:val="009E6C32"/>
    <w:rsid w:val="009F0092"/>
    <w:rsid w:val="009F0660"/>
    <w:rsid w:val="009F0CD9"/>
    <w:rsid w:val="009F1618"/>
    <w:rsid w:val="009F1A79"/>
    <w:rsid w:val="009F1F57"/>
    <w:rsid w:val="009F2C35"/>
    <w:rsid w:val="009F2E26"/>
    <w:rsid w:val="009F3791"/>
    <w:rsid w:val="009F4FCF"/>
    <w:rsid w:val="009F5DE2"/>
    <w:rsid w:val="009F65F4"/>
    <w:rsid w:val="009F676B"/>
    <w:rsid w:val="009F6EA6"/>
    <w:rsid w:val="009F6FD2"/>
    <w:rsid w:val="009F741F"/>
    <w:rsid w:val="009F7715"/>
    <w:rsid w:val="00A004DF"/>
    <w:rsid w:val="00A00D29"/>
    <w:rsid w:val="00A00E9E"/>
    <w:rsid w:val="00A00EE4"/>
    <w:rsid w:val="00A00FD5"/>
    <w:rsid w:val="00A019A8"/>
    <w:rsid w:val="00A01B03"/>
    <w:rsid w:val="00A02C66"/>
    <w:rsid w:val="00A03861"/>
    <w:rsid w:val="00A03B22"/>
    <w:rsid w:val="00A03E7E"/>
    <w:rsid w:val="00A0464C"/>
    <w:rsid w:val="00A04D48"/>
    <w:rsid w:val="00A054C2"/>
    <w:rsid w:val="00A054E0"/>
    <w:rsid w:val="00A05ABE"/>
    <w:rsid w:val="00A05E70"/>
    <w:rsid w:val="00A06186"/>
    <w:rsid w:val="00A0663F"/>
    <w:rsid w:val="00A066CE"/>
    <w:rsid w:val="00A0740B"/>
    <w:rsid w:val="00A075A9"/>
    <w:rsid w:val="00A10B9A"/>
    <w:rsid w:val="00A11042"/>
    <w:rsid w:val="00A12392"/>
    <w:rsid w:val="00A130EF"/>
    <w:rsid w:val="00A133D8"/>
    <w:rsid w:val="00A14E97"/>
    <w:rsid w:val="00A15894"/>
    <w:rsid w:val="00A15D51"/>
    <w:rsid w:val="00A17861"/>
    <w:rsid w:val="00A20069"/>
    <w:rsid w:val="00A20280"/>
    <w:rsid w:val="00A21109"/>
    <w:rsid w:val="00A2244D"/>
    <w:rsid w:val="00A2253D"/>
    <w:rsid w:val="00A2259B"/>
    <w:rsid w:val="00A22AEC"/>
    <w:rsid w:val="00A22D4C"/>
    <w:rsid w:val="00A23383"/>
    <w:rsid w:val="00A2418A"/>
    <w:rsid w:val="00A247B8"/>
    <w:rsid w:val="00A24D39"/>
    <w:rsid w:val="00A24D8F"/>
    <w:rsid w:val="00A252D3"/>
    <w:rsid w:val="00A25891"/>
    <w:rsid w:val="00A25B8B"/>
    <w:rsid w:val="00A26130"/>
    <w:rsid w:val="00A26508"/>
    <w:rsid w:val="00A2673D"/>
    <w:rsid w:val="00A26901"/>
    <w:rsid w:val="00A269AF"/>
    <w:rsid w:val="00A269C3"/>
    <w:rsid w:val="00A26ECA"/>
    <w:rsid w:val="00A2741D"/>
    <w:rsid w:val="00A279D3"/>
    <w:rsid w:val="00A30E5D"/>
    <w:rsid w:val="00A3142C"/>
    <w:rsid w:val="00A324C1"/>
    <w:rsid w:val="00A32E2E"/>
    <w:rsid w:val="00A337DB"/>
    <w:rsid w:val="00A33824"/>
    <w:rsid w:val="00A3467F"/>
    <w:rsid w:val="00A34962"/>
    <w:rsid w:val="00A350D5"/>
    <w:rsid w:val="00A351A1"/>
    <w:rsid w:val="00A3551A"/>
    <w:rsid w:val="00A367C6"/>
    <w:rsid w:val="00A370CD"/>
    <w:rsid w:val="00A376E8"/>
    <w:rsid w:val="00A37E69"/>
    <w:rsid w:val="00A37EF3"/>
    <w:rsid w:val="00A37F8E"/>
    <w:rsid w:val="00A4100C"/>
    <w:rsid w:val="00A41192"/>
    <w:rsid w:val="00A41261"/>
    <w:rsid w:val="00A41737"/>
    <w:rsid w:val="00A4174E"/>
    <w:rsid w:val="00A41B8A"/>
    <w:rsid w:val="00A428F6"/>
    <w:rsid w:val="00A42A9A"/>
    <w:rsid w:val="00A42B8F"/>
    <w:rsid w:val="00A43254"/>
    <w:rsid w:val="00A432AA"/>
    <w:rsid w:val="00A43896"/>
    <w:rsid w:val="00A43A26"/>
    <w:rsid w:val="00A43B3A"/>
    <w:rsid w:val="00A43C5C"/>
    <w:rsid w:val="00A44025"/>
    <w:rsid w:val="00A447A0"/>
    <w:rsid w:val="00A4491D"/>
    <w:rsid w:val="00A44FC4"/>
    <w:rsid w:val="00A458C7"/>
    <w:rsid w:val="00A4598B"/>
    <w:rsid w:val="00A459F5"/>
    <w:rsid w:val="00A45FC0"/>
    <w:rsid w:val="00A46145"/>
    <w:rsid w:val="00A462F3"/>
    <w:rsid w:val="00A46932"/>
    <w:rsid w:val="00A46B32"/>
    <w:rsid w:val="00A46BCE"/>
    <w:rsid w:val="00A46FA0"/>
    <w:rsid w:val="00A47301"/>
    <w:rsid w:val="00A47448"/>
    <w:rsid w:val="00A47ECC"/>
    <w:rsid w:val="00A5008C"/>
    <w:rsid w:val="00A50171"/>
    <w:rsid w:val="00A5102E"/>
    <w:rsid w:val="00A51050"/>
    <w:rsid w:val="00A51083"/>
    <w:rsid w:val="00A5114A"/>
    <w:rsid w:val="00A5132E"/>
    <w:rsid w:val="00A5142F"/>
    <w:rsid w:val="00A51533"/>
    <w:rsid w:val="00A51547"/>
    <w:rsid w:val="00A51E68"/>
    <w:rsid w:val="00A5250C"/>
    <w:rsid w:val="00A52767"/>
    <w:rsid w:val="00A52E7B"/>
    <w:rsid w:val="00A52F3B"/>
    <w:rsid w:val="00A531D4"/>
    <w:rsid w:val="00A546B9"/>
    <w:rsid w:val="00A547DF"/>
    <w:rsid w:val="00A54E25"/>
    <w:rsid w:val="00A55ACD"/>
    <w:rsid w:val="00A55C68"/>
    <w:rsid w:val="00A55CFA"/>
    <w:rsid w:val="00A56528"/>
    <w:rsid w:val="00A575B8"/>
    <w:rsid w:val="00A57A4A"/>
    <w:rsid w:val="00A621DF"/>
    <w:rsid w:val="00A62AAD"/>
    <w:rsid w:val="00A6347C"/>
    <w:rsid w:val="00A63FFD"/>
    <w:rsid w:val="00A647B1"/>
    <w:rsid w:val="00A647B3"/>
    <w:rsid w:val="00A64DEF"/>
    <w:rsid w:val="00A65C94"/>
    <w:rsid w:val="00A65E4E"/>
    <w:rsid w:val="00A665DF"/>
    <w:rsid w:val="00A66D23"/>
    <w:rsid w:val="00A67F1B"/>
    <w:rsid w:val="00A67FCC"/>
    <w:rsid w:val="00A702EA"/>
    <w:rsid w:val="00A716DC"/>
    <w:rsid w:val="00A71760"/>
    <w:rsid w:val="00A71ABE"/>
    <w:rsid w:val="00A7217B"/>
    <w:rsid w:val="00A7293E"/>
    <w:rsid w:val="00A72EE4"/>
    <w:rsid w:val="00A73067"/>
    <w:rsid w:val="00A73073"/>
    <w:rsid w:val="00A737C4"/>
    <w:rsid w:val="00A738AE"/>
    <w:rsid w:val="00A739A6"/>
    <w:rsid w:val="00A73BB5"/>
    <w:rsid w:val="00A73C2F"/>
    <w:rsid w:val="00A74B70"/>
    <w:rsid w:val="00A754FA"/>
    <w:rsid w:val="00A75EF9"/>
    <w:rsid w:val="00A765FC"/>
    <w:rsid w:val="00A76BC9"/>
    <w:rsid w:val="00A76FD8"/>
    <w:rsid w:val="00A77566"/>
    <w:rsid w:val="00A80563"/>
    <w:rsid w:val="00A8205C"/>
    <w:rsid w:val="00A8232C"/>
    <w:rsid w:val="00A8233A"/>
    <w:rsid w:val="00A8311C"/>
    <w:rsid w:val="00A8350C"/>
    <w:rsid w:val="00A83BF5"/>
    <w:rsid w:val="00A8489B"/>
    <w:rsid w:val="00A84BC8"/>
    <w:rsid w:val="00A84C5F"/>
    <w:rsid w:val="00A84FA8"/>
    <w:rsid w:val="00A850BC"/>
    <w:rsid w:val="00A8644B"/>
    <w:rsid w:val="00A86973"/>
    <w:rsid w:val="00A86D54"/>
    <w:rsid w:val="00A87052"/>
    <w:rsid w:val="00A8721F"/>
    <w:rsid w:val="00A8740B"/>
    <w:rsid w:val="00A87519"/>
    <w:rsid w:val="00A9046B"/>
    <w:rsid w:val="00A90543"/>
    <w:rsid w:val="00A90DE4"/>
    <w:rsid w:val="00A91D3E"/>
    <w:rsid w:val="00A9246D"/>
    <w:rsid w:val="00A93175"/>
    <w:rsid w:val="00A93644"/>
    <w:rsid w:val="00A937D3"/>
    <w:rsid w:val="00A93BD0"/>
    <w:rsid w:val="00A951B3"/>
    <w:rsid w:val="00A95415"/>
    <w:rsid w:val="00A95D69"/>
    <w:rsid w:val="00A97467"/>
    <w:rsid w:val="00A975A4"/>
    <w:rsid w:val="00AA0E8F"/>
    <w:rsid w:val="00AA2001"/>
    <w:rsid w:val="00AA2A43"/>
    <w:rsid w:val="00AA2B5C"/>
    <w:rsid w:val="00AA4720"/>
    <w:rsid w:val="00AA4E59"/>
    <w:rsid w:val="00AA5328"/>
    <w:rsid w:val="00AA5393"/>
    <w:rsid w:val="00AA5771"/>
    <w:rsid w:val="00AA5FDE"/>
    <w:rsid w:val="00AA63D4"/>
    <w:rsid w:val="00AA6767"/>
    <w:rsid w:val="00AB03FD"/>
    <w:rsid w:val="00AB05A4"/>
    <w:rsid w:val="00AB0DA0"/>
    <w:rsid w:val="00AB1F41"/>
    <w:rsid w:val="00AB23FC"/>
    <w:rsid w:val="00AB2DF2"/>
    <w:rsid w:val="00AB2EC1"/>
    <w:rsid w:val="00AB38CB"/>
    <w:rsid w:val="00AB3AB5"/>
    <w:rsid w:val="00AB3BEC"/>
    <w:rsid w:val="00AB44E4"/>
    <w:rsid w:val="00AB483C"/>
    <w:rsid w:val="00AB4AEB"/>
    <w:rsid w:val="00AB5352"/>
    <w:rsid w:val="00AB56AE"/>
    <w:rsid w:val="00AB5944"/>
    <w:rsid w:val="00AB5E5B"/>
    <w:rsid w:val="00AB6181"/>
    <w:rsid w:val="00AB62D5"/>
    <w:rsid w:val="00AB65B5"/>
    <w:rsid w:val="00AB66D2"/>
    <w:rsid w:val="00AB6DCD"/>
    <w:rsid w:val="00AB6EE0"/>
    <w:rsid w:val="00AB7D91"/>
    <w:rsid w:val="00AC18BD"/>
    <w:rsid w:val="00AC23A9"/>
    <w:rsid w:val="00AC2868"/>
    <w:rsid w:val="00AC2DFD"/>
    <w:rsid w:val="00AC352D"/>
    <w:rsid w:val="00AC36E1"/>
    <w:rsid w:val="00AC39B7"/>
    <w:rsid w:val="00AC3AAD"/>
    <w:rsid w:val="00AC3F97"/>
    <w:rsid w:val="00AC3FCD"/>
    <w:rsid w:val="00AC40B7"/>
    <w:rsid w:val="00AC531F"/>
    <w:rsid w:val="00AC53FD"/>
    <w:rsid w:val="00AC5E50"/>
    <w:rsid w:val="00AC5F62"/>
    <w:rsid w:val="00AC6121"/>
    <w:rsid w:val="00AC626D"/>
    <w:rsid w:val="00AC6CB1"/>
    <w:rsid w:val="00AC781C"/>
    <w:rsid w:val="00AD0091"/>
    <w:rsid w:val="00AD0BBB"/>
    <w:rsid w:val="00AD175A"/>
    <w:rsid w:val="00AD1CD6"/>
    <w:rsid w:val="00AD23D8"/>
    <w:rsid w:val="00AD23EF"/>
    <w:rsid w:val="00AD2D68"/>
    <w:rsid w:val="00AD307B"/>
    <w:rsid w:val="00AD41B3"/>
    <w:rsid w:val="00AD48DF"/>
    <w:rsid w:val="00AD4C48"/>
    <w:rsid w:val="00AD4D9F"/>
    <w:rsid w:val="00AD57AF"/>
    <w:rsid w:val="00AD5B07"/>
    <w:rsid w:val="00AD5C1A"/>
    <w:rsid w:val="00AD5D9B"/>
    <w:rsid w:val="00AD5E10"/>
    <w:rsid w:val="00AD5E52"/>
    <w:rsid w:val="00AD6267"/>
    <w:rsid w:val="00AD62B1"/>
    <w:rsid w:val="00AD714A"/>
    <w:rsid w:val="00AD7317"/>
    <w:rsid w:val="00AD77D1"/>
    <w:rsid w:val="00AE0106"/>
    <w:rsid w:val="00AE01A8"/>
    <w:rsid w:val="00AE0CBD"/>
    <w:rsid w:val="00AE123A"/>
    <w:rsid w:val="00AE1FAD"/>
    <w:rsid w:val="00AE28A7"/>
    <w:rsid w:val="00AE33A6"/>
    <w:rsid w:val="00AE3446"/>
    <w:rsid w:val="00AE3715"/>
    <w:rsid w:val="00AE3729"/>
    <w:rsid w:val="00AE3A53"/>
    <w:rsid w:val="00AE52E3"/>
    <w:rsid w:val="00AE55B2"/>
    <w:rsid w:val="00AE5C6A"/>
    <w:rsid w:val="00AE65F7"/>
    <w:rsid w:val="00AE6CCB"/>
    <w:rsid w:val="00AE7280"/>
    <w:rsid w:val="00AE77A8"/>
    <w:rsid w:val="00AF00BB"/>
    <w:rsid w:val="00AF033A"/>
    <w:rsid w:val="00AF1699"/>
    <w:rsid w:val="00AF219E"/>
    <w:rsid w:val="00AF2BFB"/>
    <w:rsid w:val="00AF34F5"/>
    <w:rsid w:val="00AF3896"/>
    <w:rsid w:val="00AF3DCD"/>
    <w:rsid w:val="00AF3E0B"/>
    <w:rsid w:val="00AF6C33"/>
    <w:rsid w:val="00AF6F0B"/>
    <w:rsid w:val="00B0098A"/>
    <w:rsid w:val="00B00A5F"/>
    <w:rsid w:val="00B00B44"/>
    <w:rsid w:val="00B00DB5"/>
    <w:rsid w:val="00B014C6"/>
    <w:rsid w:val="00B0225F"/>
    <w:rsid w:val="00B029B8"/>
    <w:rsid w:val="00B02F60"/>
    <w:rsid w:val="00B0313F"/>
    <w:rsid w:val="00B032B8"/>
    <w:rsid w:val="00B03AA9"/>
    <w:rsid w:val="00B04B46"/>
    <w:rsid w:val="00B051FB"/>
    <w:rsid w:val="00B052A7"/>
    <w:rsid w:val="00B0534D"/>
    <w:rsid w:val="00B06368"/>
    <w:rsid w:val="00B06A96"/>
    <w:rsid w:val="00B06FC6"/>
    <w:rsid w:val="00B07163"/>
    <w:rsid w:val="00B07429"/>
    <w:rsid w:val="00B077D6"/>
    <w:rsid w:val="00B10156"/>
    <w:rsid w:val="00B10D53"/>
    <w:rsid w:val="00B12FE6"/>
    <w:rsid w:val="00B1303F"/>
    <w:rsid w:val="00B1364A"/>
    <w:rsid w:val="00B136D1"/>
    <w:rsid w:val="00B13D3C"/>
    <w:rsid w:val="00B13F23"/>
    <w:rsid w:val="00B145D6"/>
    <w:rsid w:val="00B14F20"/>
    <w:rsid w:val="00B1525C"/>
    <w:rsid w:val="00B16097"/>
    <w:rsid w:val="00B1609B"/>
    <w:rsid w:val="00B1628A"/>
    <w:rsid w:val="00B16715"/>
    <w:rsid w:val="00B171B4"/>
    <w:rsid w:val="00B174A8"/>
    <w:rsid w:val="00B17910"/>
    <w:rsid w:val="00B17972"/>
    <w:rsid w:val="00B20F18"/>
    <w:rsid w:val="00B212A3"/>
    <w:rsid w:val="00B21516"/>
    <w:rsid w:val="00B21903"/>
    <w:rsid w:val="00B22CE0"/>
    <w:rsid w:val="00B22F9E"/>
    <w:rsid w:val="00B234DC"/>
    <w:rsid w:val="00B23738"/>
    <w:rsid w:val="00B23B15"/>
    <w:rsid w:val="00B23BEF"/>
    <w:rsid w:val="00B23C90"/>
    <w:rsid w:val="00B24379"/>
    <w:rsid w:val="00B247BB"/>
    <w:rsid w:val="00B248C5"/>
    <w:rsid w:val="00B24A9E"/>
    <w:rsid w:val="00B24CFF"/>
    <w:rsid w:val="00B255D9"/>
    <w:rsid w:val="00B25806"/>
    <w:rsid w:val="00B25C11"/>
    <w:rsid w:val="00B25EDF"/>
    <w:rsid w:val="00B25EE6"/>
    <w:rsid w:val="00B26B53"/>
    <w:rsid w:val="00B26D17"/>
    <w:rsid w:val="00B27C21"/>
    <w:rsid w:val="00B303FD"/>
    <w:rsid w:val="00B3115A"/>
    <w:rsid w:val="00B312E5"/>
    <w:rsid w:val="00B315A4"/>
    <w:rsid w:val="00B31A5C"/>
    <w:rsid w:val="00B32F50"/>
    <w:rsid w:val="00B337A3"/>
    <w:rsid w:val="00B33C19"/>
    <w:rsid w:val="00B34861"/>
    <w:rsid w:val="00B34BBC"/>
    <w:rsid w:val="00B34CB7"/>
    <w:rsid w:val="00B352D7"/>
    <w:rsid w:val="00B35532"/>
    <w:rsid w:val="00B35F6E"/>
    <w:rsid w:val="00B363BD"/>
    <w:rsid w:val="00B369F7"/>
    <w:rsid w:val="00B36A99"/>
    <w:rsid w:val="00B36B46"/>
    <w:rsid w:val="00B36FC8"/>
    <w:rsid w:val="00B370E8"/>
    <w:rsid w:val="00B37537"/>
    <w:rsid w:val="00B40281"/>
    <w:rsid w:val="00B41B81"/>
    <w:rsid w:val="00B42980"/>
    <w:rsid w:val="00B434B2"/>
    <w:rsid w:val="00B434C7"/>
    <w:rsid w:val="00B43C2B"/>
    <w:rsid w:val="00B43D45"/>
    <w:rsid w:val="00B44449"/>
    <w:rsid w:val="00B44771"/>
    <w:rsid w:val="00B454F2"/>
    <w:rsid w:val="00B45E79"/>
    <w:rsid w:val="00B4650E"/>
    <w:rsid w:val="00B468F2"/>
    <w:rsid w:val="00B46B45"/>
    <w:rsid w:val="00B46C97"/>
    <w:rsid w:val="00B46F6B"/>
    <w:rsid w:val="00B4723F"/>
    <w:rsid w:val="00B47286"/>
    <w:rsid w:val="00B4785C"/>
    <w:rsid w:val="00B47894"/>
    <w:rsid w:val="00B50234"/>
    <w:rsid w:val="00B50CD2"/>
    <w:rsid w:val="00B51794"/>
    <w:rsid w:val="00B5186C"/>
    <w:rsid w:val="00B51BF4"/>
    <w:rsid w:val="00B51F39"/>
    <w:rsid w:val="00B52B9C"/>
    <w:rsid w:val="00B52C68"/>
    <w:rsid w:val="00B53659"/>
    <w:rsid w:val="00B542FE"/>
    <w:rsid w:val="00B54474"/>
    <w:rsid w:val="00B54B01"/>
    <w:rsid w:val="00B55A1B"/>
    <w:rsid w:val="00B561DB"/>
    <w:rsid w:val="00B57494"/>
    <w:rsid w:val="00B609F8"/>
    <w:rsid w:val="00B61DCE"/>
    <w:rsid w:val="00B61F0A"/>
    <w:rsid w:val="00B62188"/>
    <w:rsid w:val="00B62323"/>
    <w:rsid w:val="00B62467"/>
    <w:rsid w:val="00B62F79"/>
    <w:rsid w:val="00B62F82"/>
    <w:rsid w:val="00B6325B"/>
    <w:rsid w:val="00B646EB"/>
    <w:rsid w:val="00B648FA"/>
    <w:rsid w:val="00B662FF"/>
    <w:rsid w:val="00B66A09"/>
    <w:rsid w:val="00B67312"/>
    <w:rsid w:val="00B673F0"/>
    <w:rsid w:val="00B67AF9"/>
    <w:rsid w:val="00B71195"/>
    <w:rsid w:val="00B7298A"/>
    <w:rsid w:val="00B72C80"/>
    <w:rsid w:val="00B730B4"/>
    <w:rsid w:val="00B742A2"/>
    <w:rsid w:val="00B74340"/>
    <w:rsid w:val="00B743A5"/>
    <w:rsid w:val="00B744E0"/>
    <w:rsid w:val="00B7481A"/>
    <w:rsid w:val="00B74F2F"/>
    <w:rsid w:val="00B75111"/>
    <w:rsid w:val="00B75420"/>
    <w:rsid w:val="00B756FB"/>
    <w:rsid w:val="00B75FCE"/>
    <w:rsid w:val="00B75FF0"/>
    <w:rsid w:val="00B769BC"/>
    <w:rsid w:val="00B77349"/>
    <w:rsid w:val="00B7761E"/>
    <w:rsid w:val="00B77AE2"/>
    <w:rsid w:val="00B77D2D"/>
    <w:rsid w:val="00B77F7C"/>
    <w:rsid w:val="00B8051B"/>
    <w:rsid w:val="00B80A37"/>
    <w:rsid w:val="00B80A3D"/>
    <w:rsid w:val="00B81054"/>
    <w:rsid w:val="00B81FC5"/>
    <w:rsid w:val="00B823E0"/>
    <w:rsid w:val="00B828ED"/>
    <w:rsid w:val="00B82B78"/>
    <w:rsid w:val="00B83199"/>
    <w:rsid w:val="00B83507"/>
    <w:rsid w:val="00B83ABC"/>
    <w:rsid w:val="00B83E3C"/>
    <w:rsid w:val="00B843BA"/>
    <w:rsid w:val="00B84662"/>
    <w:rsid w:val="00B8517F"/>
    <w:rsid w:val="00B85402"/>
    <w:rsid w:val="00B85F51"/>
    <w:rsid w:val="00B864A3"/>
    <w:rsid w:val="00B86629"/>
    <w:rsid w:val="00B86A66"/>
    <w:rsid w:val="00B86C2A"/>
    <w:rsid w:val="00B87B06"/>
    <w:rsid w:val="00B87C57"/>
    <w:rsid w:val="00B902A5"/>
    <w:rsid w:val="00B90420"/>
    <w:rsid w:val="00B913E4"/>
    <w:rsid w:val="00B91AC0"/>
    <w:rsid w:val="00B91CB3"/>
    <w:rsid w:val="00B91DB9"/>
    <w:rsid w:val="00B93EFE"/>
    <w:rsid w:val="00B94956"/>
    <w:rsid w:val="00B94C7F"/>
    <w:rsid w:val="00B956B5"/>
    <w:rsid w:val="00B95904"/>
    <w:rsid w:val="00B95C3A"/>
    <w:rsid w:val="00B95F39"/>
    <w:rsid w:val="00B95FCE"/>
    <w:rsid w:val="00B9642F"/>
    <w:rsid w:val="00B96722"/>
    <w:rsid w:val="00B967A5"/>
    <w:rsid w:val="00B96A1A"/>
    <w:rsid w:val="00B97021"/>
    <w:rsid w:val="00B97EE4"/>
    <w:rsid w:val="00BA006D"/>
    <w:rsid w:val="00BA0D44"/>
    <w:rsid w:val="00BA0E26"/>
    <w:rsid w:val="00BA0F14"/>
    <w:rsid w:val="00BA20BF"/>
    <w:rsid w:val="00BA259A"/>
    <w:rsid w:val="00BA31BF"/>
    <w:rsid w:val="00BA43FC"/>
    <w:rsid w:val="00BA4464"/>
    <w:rsid w:val="00BA478B"/>
    <w:rsid w:val="00BA51D6"/>
    <w:rsid w:val="00BA5224"/>
    <w:rsid w:val="00BA6603"/>
    <w:rsid w:val="00BA6D13"/>
    <w:rsid w:val="00BA6EC1"/>
    <w:rsid w:val="00BA73B2"/>
    <w:rsid w:val="00BA7424"/>
    <w:rsid w:val="00BA7456"/>
    <w:rsid w:val="00BA7925"/>
    <w:rsid w:val="00BA7B27"/>
    <w:rsid w:val="00BA7E3B"/>
    <w:rsid w:val="00BB06E8"/>
    <w:rsid w:val="00BB079C"/>
    <w:rsid w:val="00BB10BE"/>
    <w:rsid w:val="00BB17E0"/>
    <w:rsid w:val="00BB1C4F"/>
    <w:rsid w:val="00BB32A1"/>
    <w:rsid w:val="00BB39C1"/>
    <w:rsid w:val="00BB4453"/>
    <w:rsid w:val="00BB4CBC"/>
    <w:rsid w:val="00BB5555"/>
    <w:rsid w:val="00BB5D16"/>
    <w:rsid w:val="00BB6180"/>
    <w:rsid w:val="00BB696E"/>
    <w:rsid w:val="00BB69E6"/>
    <w:rsid w:val="00BB6E7F"/>
    <w:rsid w:val="00BB7714"/>
    <w:rsid w:val="00BC007B"/>
    <w:rsid w:val="00BC00D4"/>
    <w:rsid w:val="00BC15D8"/>
    <w:rsid w:val="00BC1B7A"/>
    <w:rsid w:val="00BC2146"/>
    <w:rsid w:val="00BC2BC7"/>
    <w:rsid w:val="00BC2C17"/>
    <w:rsid w:val="00BC2D15"/>
    <w:rsid w:val="00BC2D98"/>
    <w:rsid w:val="00BC31CD"/>
    <w:rsid w:val="00BC355A"/>
    <w:rsid w:val="00BC3ACD"/>
    <w:rsid w:val="00BC5C09"/>
    <w:rsid w:val="00BC61A7"/>
    <w:rsid w:val="00BC6707"/>
    <w:rsid w:val="00BC6E73"/>
    <w:rsid w:val="00BC714A"/>
    <w:rsid w:val="00BC79D5"/>
    <w:rsid w:val="00BC7CBA"/>
    <w:rsid w:val="00BC7D21"/>
    <w:rsid w:val="00BD0014"/>
    <w:rsid w:val="00BD01D8"/>
    <w:rsid w:val="00BD02C0"/>
    <w:rsid w:val="00BD15A0"/>
    <w:rsid w:val="00BD1887"/>
    <w:rsid w:val="00BD1B17"/>
    <w:rsid w:val="00BD1C77"/>
    <w:rsid w:val="00BD238E"/>
    <w:rsid w:val="00BD2512"/>
    <w:rsid w:val="00BD255F"/>
    <w:rsid w:val="00BD302D"/>
    <w:rsid w:val="00BD383D"/>
    <w:rsid w:val="00BD3FE2"/>
    <w:rsid w:val="00BD4236"/>
    <w:rsid w:val="00BD58CC"/>
    <w:rsid w:val="00BD5BE5"/>
    <w:rsid w:val="00BD5C49"/>
    <w:rsid w:val="00BD5CCA"/>
    <w:rsid w:val="00BD5CD4"/>
    <w:rsid w:val="00BD6299"/>
    <w:rsid w:val="00BD67B3"/>
    <w:rsid w:val="00BD6EF9"/>
    <w:rsid w:val="00BD775D"/>
    <w:rsid w:val="00BD77DD"/>
    <w:rsid w:val="00BE0A3F"/>
    <w:rsid w:val="00BE0ACB"/>
    <w:rsid w:val="00BE0B97"/>
    <w:rsid w:val="00BE1A90"/>
    <w:rsid w:val="00BE1C2D"/>
    <w:rsid w:val="00BE1C68"/>
    <w:rsid w:val="00BE2C0A"/>
    <w:rsid w:val="00BE3537"/>
    <w:rsid w:val="00BE360F"/>
    <w:rsid w:val="00BE3EBB"/>
    <w:rsid w:val="00BE50FD"/>
    <w:rsid w:val="00BE51CA"/>
    <w:rsid w:val="00BE5487"/>
    <w:rsid w:val="00BE59CF"/>
    <w:rsid w:val="00BE5C64"/>
    <w:rsid w:val="00BE5E5A"/>
    <w:rsid w:val="00BE6D47"/>
    <w:rsid w:val="00BE6D5F"/>
    <w:rsid w:val="00BE6DE1"/>
    <w:rsid w:val="00BE7032"/>
    <w:rsid w:val="00BE7330"/>
    <w:rsid w:val="00BF01C5"/>
    <w:rsid w:val="00BF045B"/>
    <w:rsid w:val="00BF066A"/>
    <w:rsid w:val="00BF1480"/>
    <w:rsid w:val="00BF361C"/>
    <w:rsid w:val="00BF38A8"/>
    <w:rsid w:val="00BF425B"/>
    <w:rsid w:val="00BF4342"/>
    <w:rsid w:val="00BF5050"/>
    <w:rsid w:val="00BF50E9"/>
    <w:rsid w:val="00BF5420"/>
    <w:rsid w:val="00BF5422"/>
    <w:rsid w:val="00BF54CF"/>
    <w:rsid w:val="00BF5860"/>
    <w:rsid w:val="00BF59B1"/>
    <w:rsid w:val="00BF5BFB"/>
    <w:rsid w:val="00BF6850"/>
    <w:rsid w:val="00BF69ED"/>
    <w:rsid w:val="00BF6A78"/>
    <w:rsid w:val="00BF6E19"/>
    <w:rsid w:val="00BF7605"/>
    <w:rsid w:val="00BF7955"/>
    <w:rsid w:val="00BF79B4"/>
    <w:rsid w:val="00C00672"/>
    <w:rsid w:val="00C0099F"/>
    <w:rsid w:val="00C01427"/>
    <w:rsid w:val="00C016A1"/>
    <w:rsid w:val="00C01BC3"/>
    <w:rsid w:val="00C01CCF"/>
    <w:rsid w:val="00C01DED"/>
    <w:rsid w:val="00C028B0"/>
    <w:rsid w:val="00C049FC"/>
    <w:rsid w:val="00C04AAB"/>
    <w:rsid w:val="00C04FDE"/>
    <w:rsid w:val="00C052C5"/>
    <w:rsid w:val="00C05656"/>
    <w:rsid w:val="00C058AF"/>
    <w:rsid w:val="00C06DD8"/>
    <w:rsid w:val="00C110F5"/>
    <w:rsid w:val="00C121B9"/>
    <w:rsid w:val="00C124C1"/>
    <w:rsid w:val="00C128AE"/>
    <w:rsid w:val="00C12F58"/>
    <w:rsid w:val="00C136D6"/>
    <w:rsid w:val="00C13D4E"/>
    <w:rsid w:val="00C13D5B"/>
    <w:rsid w:val="00C13E58"/>
    <w:rsid w:val="00C143F1"/>
    <w:rsid w:val="00C14B94"/>
    <w:rsid w:val="00C17AE2"/>
    <w:rsid w:val="00C20E13"/>
    <w:rsid w:val="00C20F27"/>
    <w:rsid w:val="00C215CF"/>
    <w:rsid w:val="00C2244B"/>
    <w:rsid w:val="00C2263D"/>
    <w:rsid w:val="00C22B0D"/>
    <w:rsid w:val="00C22F55"/>
    <w:rsid w:val="00C2365B"/>
    <w:rsid w:val="00C23EC3"/>
    <w:rsid w:val="00C240C1"/>
    <w:rsid w:val="00C2475A"/>
    <w:rsid w:val="00C250D0"/>
    <w:rsid w:val="00C252AC"/>
    <w:rsid w:val="00C255AB"/>
    <w:rsid w:val="00C27214"/>
    <w:rsid w:val="00C27597"/>
    <w:rsid w:val="00C30382"/>
    <w:rsid w:val="00C30D6F"/>
    <w:rsid w:val="00C31063"/>
    <w:rsid w:val="00C31B7E"/>
    <w:rsid w:val="00C31D21"/>
    <w:rsid w:val="00C31E9F"/>
    <w:rsid w:val="00C322B0"/>
    <w:rsid w:val="00C3242A"/>
    <w:rsid w:val="00C329E5"/>
    <w:rsid w:val="00C32AE2"/>
    <w:rsid w:val="00C32F74"/>
    <w:rsid w:val="00C33201"/>
    <w:rsid w:val="00C332C4"/>
    <w:rsid w:val="00C334CE"/>
    <w:rsid w:val="00C33B8C"/>
    <w:rsid w:val="00C341FA"/>
    <w:rsid w:val="00C34F3D"/>
    <w:rsid w:val="00C3561D"/>
    <w:rsid w:val="00C35BF9"/>
    <w:rsid w:val="00C35DA4"/>
    <w:rsid w:val="00C360B3"/>
    <w:rsid w:val="00C36363"/>
    <w:rsid w:val="00C3679B"/>
    <w:rsid w:val="00C36BF1"/>
    <w:rsid w:val="00C37027"/>
    <w:rsid w:val="00C376DA"/>
    <w:rsid w:val="00C3778D"/>
    <w:rsid w:val="00C405A3"/>
    <w:rsid w:val="00C417B4"/>
    <w:rsid w:val="00C41D25"/>
    <w:rsid w:val="00C42752"/>
    <w:rsid w:val="00C42973"/>
    <w:rsid w:val="00C42A79"/>
    <w:rsid w:val="00C439B0"/>
    <w:rsid w:val="00C44EC5"/>
    <w:rsid w:val="00C44F9C"/>
    <w:rsid w:val="00C452AA"/>
    <w:rsid w:val="00C45CE8"/>
    <w:rsid w:val="00C46D58"/>
    <w:rsid w:val="00C4730E"/>
    <w:rsid w:val="00C47BB5"/>
    <w:rsid w:val="00C47EE9"/>
    <w:rsid w:val="00C5019C"/>
    <w:rsid w:val="00C502EA"/>
    <w:rsid w:val="00C5034F"/>
    <w:rsid w:val="00C50D44"/>
    <w:rsid w:val="00C514D3"/>
    <w:rsid w:val="00C51A00"/>
    <w:rsid w:val="00C52479"/>
    <w:rsid w:val="00C5291F"/>
    <w:rsid w:val="00C52B7C"/>
    <w:rsid w:val="00C52BC8"/>
    <w:rsid w:val="00C52C59"/>
    <w:rsid w:val="00C52E18"/>
    <w:rsid w:val="00C5349E"/>
    <w:rsid w:val="00C5354B"/>
    <w:rsid w:val="00C539D7"/>
    <w:rsid w:val="00C54066"/>
    <w:rsid w:val="00C541E4"/>
    <w:rsid w:val="00C54467"/>
    <w:rsid w:val="00C54A92"/>
    <w:rsid w:val="00C54D3D"/>
    <w:rsid w:val="00C55116"/>
    <w:rsid w:val="00C551FA"/>
    <w:rsid w:val="00C55A30"/>
    <w:rsid w:val="00C56E5E"/>
    <w:rsid w:val="00C57C58"/>
    <w:rsid w:val="00C6028F"/>
    <w:rsid w:val="00C6036D"/>
    <w:rsid w:val="00C608F1"/>
    <w:rsid w:val="00C60EE5"/>
    <w:rsid w:val="00C6115A"/>
    <w:rsid w:val="00C614BA"/>
    <w:rsid w:val="00C631E1"/>
    <w:rsid w:val="00C6337A"/>
    <w:rsid w:val="00C636EC"/>
    <w:rsid w:val="00C638D8"/>
    <w:rsid w:val="00C63C84"/>
    <w:rsid w:val="00C63D26"/>
    <w:rsid w:val="00C641EB"/>
    <w:rsid w:val="00C64331"/>
    <w:rsid w:val="00C65053"/>
    <w:rsid w:val="00C65BD9"/>
    <w:rsid w:val="00C66061"/>
    <w:rsid w:val="00C661D6"/>
    <w:rsid w:val="00C66F69"/>
    <w:rsid w:val="00C67223"/>
    <w:rsid w:val="00C67CB5"/>
    <w:rsid w:val="00C67CFF"/>
    <w:rsid w:val="00C701FD"/>
    <w:rsid w:val="00C707B8"/>
    <w:rsid w:val="00C7084B"/>
    <w:rsid w:val="00C717C0"/>
    <w:rsid w:val="00C71BDB"/>
    <w:rsid w:val="00C71C15"/>
    <w:rsid w:val="00C71F3D"/>
    <w:rsid w:val="00C722D0"/>
    <w:rsid w:val="00C72649"/>
    <w:rsid w:val="00C72F53"/>
    <w:rsid w:val="00C73123"/>
    <w:rsid w:val="00C74035"/>
    <w:rsid w:val="00C74C6F"/>
    <w:rsid w:val="00C76FF4"/>
    <w:rsid w:val="00C77818"/>
    <w:rsid w:val="00C77935"/>
    <w:rsid w:val="00C779C3"/>
    <w:rsid w:val="00C77AE3"/>
    <w:rsid w:val="00C77BF4"/>
    <w:rsid w:val="00C77FFC"/>
    <w:rsid w:val="00C80089"/>
    <w:rsid w:val="00C803B6"/>
    <w:rsid w:val="00C8063F"/>
    <w:rsid w:val="00C81549"/>
    <w:rsid w:val="00C81753"/>
    <w:rsid w:val="00C81E8C"/>
    <w:rsid w:val="00C82093"/>
    <w:rsid w:val="00C82606"/>
    <w:rsid w:val="00C829A1"/>
    <w:rsid w:val="00C83B36"/>
    <w:rsid w:val="00C84F8A"/>
    <w:rsid w:val="00C85209"/>
    <w:rsid w:val="00C85F90"/>
    <w:rsid w:val="00C8618F"/>
    <w:rsid w:val="00C867B1"/>
    <w:rsid w:val="00C86E9A"/>
    <w:rsid w:val="00C87036"/>
    <w:rsid w:val="00C90372"/>
    <w:rsid w:val="00C9041F"/>
    <w:rsid w:val="00C91A45"/>
    <w:rsid w:val="00C91AA1"/>
    <w:rsid w:val="00C91ED2"/>
    <w:rsid w:val="00C91FB4"/>
    <w:rsid w:val="00C9200C"/>
    <w:rsid w:val="00C92120"/>
    <w:rsid w:val="00C92AFA"/>
    <w:rsid w:val="00C9350B"/>
    <w:rsid w:val="00C937F4"/>
    <w:rsid w:val="00C93A88"/>
    <w:rsid w:val="00C94C85"/>
    <w:rsid w:val="00C94D41"/>
    <w:rsid w:val="00C95745"/>
    <w:rsid w:val="00C95B94"/>
    <w:rsid w:val="00C96035"/>
    <w:rsid w:val="00C962E3"/>
    <w:rsid w:val="00C965BD"/>
    <w:rsid w:val="00C96717"/>
    <w:rsid w:val="00C9695D"/>
    <w:rsid w:val="00C97997"/>
    <w:rsid w:val="00C97C6B"/>
    <w:rsid w:val="00CA08FE"/>
    <w:rsid w:val="00CA0AB2"/>
    <w:rsid w:val="00CA0CEB"/>
    <w:rsid w:val="00CA0FAC"/>
    <w:rsid w:val="00CA1F31"/>
    <w:rsid w:val="00CA2513"/>
    <w:rsid w:val="00CA25C0"/>
    <w:rsid w:val="00CA25C7"/>
    <w:rsid w:val="00CA2B84"/>
    <w:rsid w:val="00CA2CDE"/>
    <w:rsid w:val="00CA2D03"/>
    <w:rsid w:val="00CA3451"/>
    <w:rsid w:val="00CA385D"/>
    <w:rsid w:val="00CA45A7"/>
    <w:rsid w:val="00CA4948"/>
    <w:rsid w:val="00CA4C9D"/>
    <w:rsid w:val="00CA52F9"/>
    <w:rsid w:val="00CA568B"/>
    <w:rsid w:val="00CA5D16"/>
    <w:rsid w:val="00CA7500"/>
    <w:rsid w:val="00CB0696"/>
    <w:rsid w:val="00CB1239"/>
    <w:rsid w:val="00CB19FE"/>
    <w:rsid w:val="00CB2BA2"/>
    <w:rsid w:val="00CB304C"/>
    <w:rsid w:val="00CB3B95"/>
    <w:rsid w:val="00CB442E"/>
    <w:rsid w:val="00CB4C07"/>
    <w:rsid w:val="00CB53E8"/>
    <w:rsid w:val="00CB5511"/>
    <w:rsid w:val="00CB571C"/>
    <w:rsid w:val="00CB594A"/>
    <w:rsid w:val="00CB5CB2"/>
    <w:rsid w:val="00CB6979"/>
    <w:rsid w:val="00CC07C3"/>
    <w:rsid w:val="00CC0A3D"/>
    <w:rsid w:val="00CC105C"/>
    <w:rsid w:val="00CC18EB"/>
    <w:rsid w:val="00CC1E1B"/>
    <w:rsid w:val="00CC2373"/>
    <w:rsid w:val="00CC25EC"/>
    <w:rsid w:val="00CC282F"/>
    <w:rsid w:val="00CC3D24"/>
    <w:rsid w:val="00CC3F91"/>
    <w:rsid w:val="00CC40B6"/>
    <w:rsid w:val="00CC466A"/>
    <w:rsid w:val="00CC49FB"/>
    <w:rsid w:val="00CC4B0A"/>
    <w:rsid w:val="00CC4D11"/>
    <w:rsid w:val="00CC50D2"/>
    <w:rsid w:val="00CC5398"/>
    <w:rsid w:val="00CC53A6"/>
    <w:rsid w:val="00CC544A"/>
    <w:rsid w:val="00CC57EA"/>
    <w:rsid w:val="00CC5954"/>
    <w:rsid w:val="00CC5D95"/>
    <w:rsid w:val="00CC671E"/>
    <w:rsid w:val="00CC6C4E"/>
    <w:rsid w:val="00CC6DD8"/>
    <w:rsid w:val="00CC6E4E"/>
    <w:rsid w:val="00CC734B"/>
    <w:rsid w:val="00CD0000"/>
    <w:rsid w:val="00CD05A2"/>
    <w:rsid w:val="00CD16A5"/>
    <w:rsid w:val="00CD19DA"/>
    <w:rsid w:val="00CD1A03"/>
    <w:rsid w:val="00CD24DD"/>
    <w:rsid w:val="00CD29D4"/>
    <w:rsid w:val="00CD3178"/>
    <w:rsid w:val="00CD38F5"/>
    <w:rsid w:val="00CD418A"/>
    <w:rsid w:val="00CD437E"/>
    <w:rsid w:val="00CD43E3"/>
    <w:rsid w:val="00CD4430"/>
    <w:rsid w:val="00CD4AE5"/>
    <w:rsid w:val="00CD5833"/>
    <w:rsid w:val="00CD5A89"/>
    <w:rsid w:val="00CD5B86"/>
    <w:rsid w:val="00CD5DAD"/>
    <w:rsid w:val="00CD6280"/>
    <w:rsid w:val="00CD72C5"/>
    <w:rsid w:val="00CD7657"/>
    <w:rsid w:val="00CD79A7"/>
    <w:rsid w:val="00CD7E09"/>
    <w:rsid w:val="00CE0789"/>
    <w:rsid w:val="00CE1791"/>
    <w:rsid w:val="00CE1A03"/>
    <w:rsid w:val="00CE1BBB"/>
    <w:rsid w:val="00CE2346"/>
    <w:rsid w:val="00CE3529"/>
    <w:rsid w:val="00CE35C8"/>
    <w:rsid w:val="00CE3962"/>
    <w:rsid w:val="00CE3F7C"/>
    <w:rsid w:val="00CE4863"/>
    <w:rsid w:val="00CE5105"/>
    <w:rsid w:val="00CE56BD"/>
    <w:rsid w:val="00CE5706"/>
    <w:rsid w:val="00CE5DFD"/>
    <w:rsid w:val="00CE5E33"/>
    <w:rsid w:val="00CE5EC0"/>
    <w:rsid w:val="00CE69F2"/>
    <w:rsid w:val="00CE6F9F"/>
    <w:rsid w:val="00CE773B"/>
    <w:rsid w:val="00CE7796"/>
    <w:rsid w:val="00CE781A"/>
    <w:rsid w:val="00CE7B65"/>
    <w:rsid w:val="00CF0775"/>
    <w:rsid w:val="00CF109E"/>
    <w:rsid w:val="00CF10FC"/>
    <w:rsid w:val="00CF1142"/>
    <w:rsid w:val="00CF1727"/>
    <w:rsid w:val="00CF1C16"/>
    <w:rsid w:val="00CF1D74"/>
    <w:rsid w:val="00CF2BE2"/>
    <w:rsid w:val="00CF32AE"/>
    <w:rsid w:val="00CF4406"/>
    <w:rsid w:val="00CF4FA6"/>
    <w:rsid w:val="00CF5070"/>
    <w:rsid w:val="00CF55F9"/>
    <w:rsid w:val="00CF5B89"/>
    <w:rsid w:val="00CF5DB6"/>
    <w:rsid w:val="00CF661C"/>
    <w:rsid w:val="00CF71A6"/>
    <w:rsid w:val="00CF7495"/>
    <w:rsid w:val="00CF7604"/>
    <w:rsid w:val="00CF7671"/>
    <w:rsid w:val="00CF7C5B"/>
    <w:rsid w:val="00D01CA5"/>
    <w:rsid w:val="00D01CF9"/>
    <w:rsid w:val="00D02246"/>
    <w:rsid w:val="00D0291E"/>
    <w:rsid w:val="00D0334D"/>
    <w:rsid w:val="00D0374D"/>
    <w:rsid w:val="00D04BC1"/>
    <w:rsid w:val="00D05040"/>
    <w:rsid w:val="00D050CC"/>
    <w:rsid w:val="00D051BF"/>
    <w:rsid w:val="00D05311"/>
    <w:rsid w:val="00D05977"/>
    <w:rsid w:val="00D05A76"/>
    <w:rsid w:val="00D06300"/>
    <w:rsid w:val="00D06C88"/>
    <w:rsid w:val="00D07BEF"/>
    <w:rsid w:val="00D07F1D"/>
    <w:rsid w:val="00D07FF5"/>
    <w:rsid w:val="00D10558"/>
    <w:rsid w:val="00D10D05"/>
    <w:rsid w:val="00D10D68"/>
    <w:rsid w:val="00D1203E"/>
    <w:rsid w:val="00D127A9"/>
    <w:rsid w:val="00D12EA5"/>
    <w:rsid w:val="00D13E70"/>
    <w:rsid w:val="00D13FF2"/>
    <w:rsid w:val="00D14280"/>
    <w:rsid w:val="00D143B5"/>
    <w:rsid w:val="00D1533C"/>
    <w:rsid w:val="00D16C58"/>
    <w:rsid w:val="00D17019"/>
    <w:rsid w:val="00D170C1"/>
    <w:rsid w:val="00D178DE"/>
    <w:rsid w:val="00D17A72"/>
    <w:rsid w:val="00D17A78"/>
    <w:rsid w:val="00D17C6E"/>
    <w:rsid w:val="00D2112A"/>
    <w:rsid w:val="00D21168"/>
    <w:rsid w:val="00D21300"/>
    <w:rsid w:val="00D21534"/>
    <w:rsid w:val="00D2185A"/>
    <w:rsid w:val="00D22305"/>
    <w:rsid w:val="00D235C8"/>
    <w:rsid w:val="00D2384A"/>
    <w:rsid w:val="00D2438C"/>
    <w:rsid w:val="00D25EA6"/>
    <w:rsid w:val="00D26587"/>
    <w:rsid w:val="00D26C3F"/>
    <w:rsid w:val="00D27185"/>
    <w:rsid w:val="00D27E78"/>
    <w:rsid w:val="00D27EBA"/>
    <w:rsid w:val="00D308FF"/>
    <w:rsid w:val="00D314F7"/>
    <w:rsid w:val="00D31A57"/>
    <w:rsid w:val="00D31CA2"/>
    <w:rsid w:val="00D327C6"/>
    <w:rsid w:val="00D3283A"/>
    <w:rsid w:val="00D32B84"/>
    <w:rsid w:val="00D337AE"/>
    <w:rsid w:val="00D33AB3"/>
    <w:rsid w:val="00D33F24"/>
    <w:rsid w:val="00D34239"/>
    <w:rsid w:val="00D343A3"/>
    <w:rsid w:val="00D346B7"/>
    <w:rsid w:val="00D346B8"/>
    <w:rsid w:val="00D34710"/>
    <w:rsid w:val="00D34913"/>
    <w:rsid w:val="00D35578"/>
    <w:rsid w:val="00D35AC8"/>
    <w:rsid w:val="00D35D34"/>
    <w:rsid w:val="00D36F87"/>
    <w:rsid w:val="00D37653"/>
    <w:rsid w:val="00D379E1"/>
    <w:rsid w:val="00D37B59"/>
    <w:rsid w:val="00D37E4E"/>
    <w:rsid w:val="00D40DAF"/>
    <w:rsid w:val="00D41587"/>
    <w:rsid w:val="00D41DC1"/>
    <w:rsid w:val="00D421F5"/>
    <w:rsid w:val="00D42E6C"/>
    <w:rsid w:val="00D43218"/>
    <w:rsid w:val="00D43219"/>
    <w:rsid w:val="00D43A7F"/>
    <w:rsid w:val="00D43B80"/>
    <w:rsid w:val="00D44236"/>
    <w:rsid w:val="00D44AE2"/>
    <w:rsid w:val="00D45408"/>
    <w:rsid w:val="00D45B1E"/>
    <w:rsid w:val="00D45BA4"/>
    <w:rsid w:val="00D45D97"/>
    <w:rsid w:val="00D46069"/>
    <w:rsid w:val="00D46146"/>
    <w:rsid w:val="00D471AF"/>
    <w:rsid w:val="00D4724F"/>
    <w:rsid w:val="00D47836"/>
    <w:rsid w:val="00D50519"/>
    <w:rsid w:val="00D506BE"/>
    <w:rsid w:val="00D50978"/>
    <w:rsid w:val="00D51690"/>
    <w:rsid w:val="00D516A5"/>
    <w:rsid w:val="00D51949"/>
    <w:rsid w:val="00D5264C"/>
    <w:rsid w:val="00D5289A"/>
    <w:rsid w:val="00D52944"/>
    <w:rsid w:val="00D537FE"/>
    <w:rsid w:val="00D538F0"/>
    <w:rsid w:val="00D54A6A"/>
    <w:rsid w:val="00D54BF8"/>
    <w:rsid w:val="00D54D7C"/>
    <w:rsid w:val="00D54E0B"/>
    <w:rsid w:val="00D54E4F"/>
    <w:rsid w:val="00D555E2"/>
    <w:rsid w:val="00D55951"/>
    <w:rsid w:val="00D570F2"/>
    <w:rsid w:val="00D572BE"/>
    <w:rsid w:val="00D57EB6"/>
    <w:rsid w:val="00D60D2B"/>
    <w:rsid w:val="00D60ED7"/>
    <w:rsid w:val="00D610A8"/>
    <w:rsid w:val="00D61321"/>
    <w:rsid w:val="00D61508"/>
    <w:rsid w:val="00D61E6E"/>
    <w:rsid w:val="00D62F7E"/>
    <w:rsid w:val="00D63586"/>
    <w:rsid w:val="00D64571"/>
    <w:rsid w:val="00D64642"/>
    <w:rsid w:val="00D64701"/>
    <w:rsid w:val="00D65538"/>
    <w:rsid w:val="00D65FD3"/>
    <w:rsid w:val="00D664BF"/>
    <w:rsid w:val="00D66D8B"/>
    <w:rsid w:val="00D67E04"/>
    <w:rsid w:val="00D705C4"/>
    <w:rsid w:val="00D7223F"/>
    <w:rsid w:val="00D7244C"/>
    <w:rsid w:val="00D72A1C"/>
    <w:rsid w:val="00D731ED"/>
    <w:rsid w:val="00D73580"/>
    <w:rsid w:val="00D73802"/>
    <w:rsid w:val="00D73868"/>
    <w:rsid w:val="00D73C2C"/>
    <w:rsid w:val="00D73D52"/>
    <w:rsid w:val="00D73FE1"/>
    <w:rsid w:val="00D74042"/>
    <w:rsid w:val="00D7453F"/>
    <w:rsid w:val="00D745E7"/>
    <w:rsid w:val="00D766B2"/>
    <w:rsid w:val="00D77495"/>
    <w:rsid w:val="00D7749E"/>
    <w:rsid w:val="00D774ED"/>
    <w:rsid w:val="00D777F6"/>
    <w:rsid w:val="00D77993"/>
    <w:rsid w:val="00D77F88"/>
    <w:rsid w:val="00D8002D"/>
    <w:rsid w:val="00D80193"/>
    <w:rsid w:val="00D8047C"/>
    <w:rsid w:val="00D80DFF"/>
    <w:rsid w:val="00D81994"/>
    <w:rsid w:val="00D81EAA"/>
    <w:rsid w:val="00D8259F"/>
    <w:rsid w:val="00D825F2"/>
    <w:rsid w:val="00D82702"/>
    <w:rsid w:val="00D828B1"/>
    <w:rsid w:val="00D84F27"/>
    <w:rsid w:val="00D850D4"/>
    <w:rsid w:val="00D862D1"/>
    <w:rsid w:val="00D86724"/>
    <w:rsid w:val="00D86857"/>
    <w:rsid w:val="00D873C6"/>
    <w:rsid w:val="00D87E6E"/>
    <w:rsid w:val="00D91027"/>
    <w:rsid w:val="00D9137F"/>
    <w:rsid w:val="00D932A3"/>
    <w:rsid w:val="00D944FE"/>
    <w:rsid w:val="00D94C7D"/>
    <w:rsid w:val="00D94CA4"/>
    <w:rsid w:val="00D94D03"/>
    <w:rsid w:val="00D94FB4"/>
    <w:rsid w:val="00D95AF1"/>
    <w:rsid w:val="00D95E99"/>
    <w:rsid w:val="00D96916"/>
    <w:rsid w:val="00D9697B"/>
    <w:rsid w:val="00D97A3B"/>
    <w:rsid w:val="00D97B4E"/>
    <w:rsid w:val="00D97C46"/>
    <w:rsid w:val="00DA098C"/>
    <w:rsid w:val="00DA1867"/>
    <w:rsid w:val="00DA1A3A"/>
    <w:rsid w:val="00DA1D8A"/>
    <w:rsid w:val="00DA2424"/>
    <w:rsid w:val="00DA2712"/>
    <w:rsid w:val="00DA2C65"/>
    <w:rsid w:val="00DA395D"/>
    <w:rsid w:val="00DA3FFE"/>
    <w:rsid w:val="00DA4C88"/>
    <w:rsid w:val="00DA594E"/>
    <w:rsid w:val="00DA6085"/>
    <w:rsid w:val="00DA6D33"/>
    <w:rsid w:val="00DA6FA2"/>
    <w:rsid w:val="00DB03BF"/>
    <w:rsid w:val="00DB165C"/>
    <w:rsid w:val="00DB16B8"/>
    <w:rsid w:val="00DB1757"/>
    <w:rsid w:val="00DB1869"/>
    <w:rsid w:val="00DB1CB8"/>
    <w:rsid w:val="00DB1D52"/>
    <w:rsid w:val="00DB1F62"/>
    <w:rsid w:val="00DB2DED"/>
    <w:rsid w:val="00DB2E03"/>
    <w:rsid w:val="00DB3369"/>
    <w:rsid w:val="00DB3742"/>
    <w:rsid w:val="00DB3D2D"/>
    <w:rsid w:val="00DB3F4B"/>
    <w:rsid w:val="00DB58A9"/>
    <w:rsid w:val="00DB61A4"/>
    <w:rsid w:val="00DB67C1"/>
    <w:rsid w:val="00DB6B71"/>
    <w:rsid w:val="00DB6BBE"/>
    <w:rsid w:val="00DB6BFE"/>
    <w:rsid w:val="00DB6F26"/>
    <w:rsid w:val="00DB6F97"/>
    <w:rsid w:val="00DB70CD"/>
    <w:rsid w:val="00DB70F4"/>
    <w:rsid w:val="00DB7343"/>
    <w:rsid w:val="00DC0058"/>
    <w:rsid w:val="00DC05FE"/>
    <w:rsid w:val="00DC1056"/>
    <w:rsid w:val="00DC12C9"/>
    <w:rsid w:val="00DC211E"/>
    <w:rsid w:val="00DC21D8"/>
    <w:rsid w:val="00DC282A"/>
    <w:rsid w:val="00DC2910"/>
    <w:rsid w:val="00DC32D9"/>
    <w:rsid w:val="00DC34DC"/>
    <w:rsid w:val="00DC37F5"/>
    <w:rsid w:val="00DC3CC6"/>
    <w:rsid w:val="00DC48F0"/>
    <w:rsid w:val="00DC4E78"/>
    <w:rsid w:val="00DC514A"/>
    <w:rsid w:val="00DC64EC"/>
    <w:rsid w:val="00DC67B1"/>
    <w:rsid w:val="00DC6938"/>
    <w:rsid w:val="00DC7677"/>
    <w:rsid w:val="00DC772C"/>
    <w:rsid w:val="00DC7833"/>
    <w:rsid w:val="00DC7CE9"/>
    <w:rsid w:val="00DD034D"/>
    <w:rsid w:val="00DD1288"/>
    <w:rsid w:val="00DD132B"/>
    <w:rsid w:val="00DD1725"/>
    <w:rsid w:val="00DD1F48"/>
    <w:rsid w:val="00DD21E7"/>
    <w:rsid w:val="00DD2427"/>
    <w:rsid w:val="00DD2A18"/>
    <w:rsid w:val="00DD36DA"/>
    <w:rsid w:val="00DD4CAC"/>
    <w:rsid w:val="00DD56F1"/>
    <w:rsid w:val="00DD5B1A"/>
    <w:rsid w:val="00DD61E8"/>
    <w:rsid w:val="00DD62B1"/>
    <w:rsid w:val="00DD62C0"/>
    <w:rsid w:val="00DD7859"/>
    <w:rsid w:val="00DE021C"/>
    <w:rsid w:val="00DE03AC"/>
    <w:rsid w:val="00DE0A1D"/>
    <w:rsid w:val="00DE15B2"/>
    <w:rsid w:val="00DE1A9A"/>
    <w:rsid w:val="00DE20A4"/>
    <w:rsid w:val="00DE3D2C"/>
    <w:rsid w:val="00DE5641"/>
    <w:rsid w:val="00DE59F8"/>
    <w:rsid w:val="00DE5E82"/>
    <w:rsid w:val="00DE5FA6"/>
    <w:rsid w:val="00DE6494"/>
    <w:rsid w:val="00DE6AA1"/>
    <w:rsid w:val="00DE74D7"/>
    <w:rsid w:val="00DE7EF7"/>
    <w:rsid w:val="00DF106A"/>
    <w:rsid w:val="00DF1185"/>
    <w:rsid w:val="00DF118C"/>
    <w:rsid w:val="00DF1299"/>
    <w:rsid w:val="00DF19D1"/>
    <w:rsid w:val="00DF1A70"/>
    <w:rsid w:val="00DF23A8"/>
    <w:rsid w:val="00DF2F27"/>
    <w:rsid w:val="00DF34B4"/>
    <w:rsid w:val="00DF48DF"/>
    <w:rsid w:val="00DF4A44"/>
    <w:rsid w:val="00DF6CCC"/>
    <w:rsid w:val="00DF6D0C"/>
    <w:rsid w:val="00DF6DC2"/>
    <w:rsid w:val="00DF6F64"/>
    <w:rsid w:val="00DF721E"/>
    <w:rsid w:val="00DF7524"/>
    <w:rsid w:val="00DF7A9C"/>
    <w:rsid w:val="00DF7C87"/>
    <w:rsid w:val="00DF7CA8"/>
    <w:rsid w:val="00E009B0"/>
    <w:rsid w:val="00E00A6B"/>
    <w:rsid w:val="00E00F9E"/>
    <w:rsid w:val="00E01731"/>
    <w:rsid w:val="00E01B41"/>
    <w:rsid w:val="00E02540"/>
    <w:rsid w:val="00E02D80"/>
    <w:rsid w:val="00E031C0"/>
    <w:rsid w:val="00E03AFE"/>
    <w:rsid w:val="00E03D5C"/>
    <w:rsid w:val="00E04053"/>
    <w:rsid w:val="00E046A9"/>
    <w:rsid w:val="00E048A5"/>
    <w:rsid w:val="00E04C0F"/>
    <w:rsid w:val="00E050FA"/>
    <w:rsid w:val="00E05261"/>
    <w:rsid w:val="00E0570B"/>
    <w:rsid w:val="00E057B2"/>
    <w:rsid w:val="00E05996"/>
    <w:rsid w:val="00E05D2D"/>
    <w:rsid w:val="00E068D9"/>
    <w:rsid w:val="00E073B8"/>
    <w:rsid w:val="00E07445"/>
    <w:rsid w:val="00E10B87"/>
    <w:rsid w:val="00E12387"/>
    <w:rsid w:val="00E12A2C"/>
    <w:rsid w:val="00E12B1E"/>
    <w:rsid w:val="00E13ECC"/>
    <w:rsid w:val="00E1478B"/>
    <w:rsid w:val="00E14BC8"/>
    <w:rsid w:val="00E14FAC"/>
    <w:rsid w:val="00E15007"/>
    <w:rsid w:val="00E16A57"/>
    <w:rsid w:val="00E16D29"/>
    <w:rsid w:val="00E16EC7"/>
    <w:rsid w:val="00E1714F"/>
    <w:rsid w:val="00E17995"/>
    <w:rsid w:val="00E17E46"/>
    <w:rsid w:val="00E2051C"/>
    <w:rsid w:val="00E210BB"/>
    <w:rsid w:val="00E21576"/>
    <w:rsid w:val="00E21801"/>
    <w:rsid w:val="00E219CE"/>
    <w:rsid w:val="00E22168"/>
    <w:rsid w:val="00E229FD"/>
    <w:rsid w:val="00E232A9"/>
    <w:rsid w:val="00E23961"/>
    <w:rsid w:val="00E24071"/>
    <w:rsid w:val="00E24EBC"/>
    <w:rsid w:val="00E25086"/>
    <w:rsid w:val="00E2522C"/>
    <w:rsid w:val="00E2599B"/>
    <w:rsid w:val="00E25A5D"/>
    <w:rsid w:val="00E263EB"/>
    <w:rsid w:val="00E26720"/>
    <w:rsid w:val="00E27383"/>
    <w:rsid w:val="00E277C7"/>
    <w:rsid w:val="00E2793D"/>
    <w:rsid w:val="00E27AE5"/>
    <w:rsid w:val="00E27E6A"/>
    <w:rsid w:val="00E30799"/>
    <w:rsid w:val="00E30994"/>
    <w:rsid w:val="00E3109C"/>
    <w:rsid w:val="00E316DC"/>
    <w:rsid w:val="00E31AFA"/>
    <w:rsid w:val="00E32312"/>
    <w:rsid w:val="00E324EE"/>
    <w:rsid w:val="00E341FF"/>
    <w:rsid w:val="00E3476B"/>
    <w:rsid w:val="00E359FF"/>
    <w:rsid w:val="00E35C2C"/>
    <w:rsid w:val="00E35D5F"/>
    <w:rsid w:val="00E36083"/>
    <w:rsid w:val="00E36AA7"/>
    <w:rsid w:val="00E36E39"/>
    <w:rsid w:val="00E37464"/>
    <w:rsid w:val="00E405F1"/>
    <w:rsid w:val="00E41188"/>
    <w:rsid w:val="00E41EC8"/>
    <w:rsid w:val="00E43054"/>
    <w:rsid w:val="00E434C4"/>
    <w:rsid w:val="00E436AD"/>
    <w:rsid w:val="00E4484B"/>
    <w:rsid w:val="00E44F05"/>
    <w:rsid w:val="00E44FE4"/>
    <w:rsid w:val="00E456E2"/>
    <w:rsid w:val="00E456F6"/>
    <w:rsid w:val="00E458BB"/>
    <w:rsid w:val="00E45937"/>
    <w:rsid w:val="00E45F95"/>
    <w:rsid w:val="00E46013"/>
    <w:rsid w:val="00E4647F"/>
    <w:rsid w:val="00E468AE"/>
    <w:rsid w:val="00E47458"/>
    <w:rsid w:val="00E477C3"/>
    <w:rsid w:val="00E5048D"/>
    <w:rsid w:val="00E504B7"/>
    <w:rsid w:val="00E50AC4"/>
    <w:rsid w:val="00E50F9C"/>
    <w:rsid w:val="00E51077"/>
    <w:rsid w:val="00E5132D"/>
    <w:rsid w:val="00E51741"/>
    <w:rsid w:val="00E51C90"/>
    <w:rsid w:val="00E51E16"/>
    <w:rsid w:val="00E51F15"/>
    <w:rsid w:val="00E52151"/>
    <w:rsid w:val="00E52B60"/>
    <w:rsid w:val="00E52C08"/>
    <w:rsid w:val="00E5305B"/>
    <w:rsid w:val="00E535B8"/>
    <w:rsid w:val="00E53730"/>
    <w:rsid w:val="00E53C46"/>
    <w:rsid w:val="00E54511"/>
    <w:rsid w:val="00E548BE"/>
    <w:rsid w:val="00E54978"/>
    <w:rsid w:val="00E55DC3"/>
    <w:rsid w:val="00E55E6E"/>
    <w:rsid w:val="00E568DA"/>
    <w:rsid w:val="00E56B4F"/>
    <w:rsid w:val="00E57577"/>
    <w:rsid w:val="00E60BE9"/>
    <w:rsid w:val="00E60FA3"/>
    <w:rsid w:val="00E61188"/>
    <w:rsid w:val="00E62043"/>
    <w:rsid w:val="00E626B9"/>
    <w:rsid w:val="00E627C9"/>
    <w:rsid w:val="00E630F3"/>
    <w:rsid w:val="00E639F5"/>
    <w:rsid w:val="00E64C3C"/>
    <w:rsid w:val="00E65198"/>
    <w:rsid w:val="00E65364"/>
    <w:rsid w:val="00E6559C"/>
    <w:rsid w:val="00E664FB"/>
    <w:rsid w:val="00E66AB3"/>
    <w:rsid w:val="00E66F0D"/>
    <w:rsid w:val="00E70092"/>
    <w:rsid w:val="00E70615"/>
    <w:rsid w:val="00E71688"/>
    <w:rsid w:val="00E71A5E"/>
    <w:rsid w:val="00E7207B"/>
    <w:rsid w:val="00E7275E"/>
    <w:rsid w:val="00E7347A"/>
    <w:rsid w:val="00E746F4"/>
    <w:rsid w:val="00E74916"/>
    <w:rsid w:val="00E75325"/>
    <w:rsid w:val="00E755BC"/>
    <w:rsid w:val="00E75A47"/>
    <w:rsid w:val="00E75D8C"/>
    <w:rsid w:val="00E762B7"/>
    <w:rsid w:val="00E77771"/>
    <w:rsid w:val="00E777F2"/>
    <w:rsid w:val="00E779ED"/>
    <w:rsid w:val="00E802C9"/>
    <w:rsid w:val="00E80D17"/>
    <w:rsid w:val="00E80EDD"/>
    <w:rsid w:val="00E80F0A"/>
    <w:rsid w:val="00E815B7"/>
    <w:rsid w:val="00E81A6A"/>
    <w:rsid w:val="00E824F7"/>
    <w:rsid w:val="00E8291B"/>
    <w:rsid w:val="00E8395F"/>
    <w:rsid w:val="00E83BAE"/>
    <w:rsid w:val="00E84673"/>
    <w:rsid w:val="00E8473F"/>
    <w:rsid w:val="00E857D0"/>
    <w:rsid w:val="00E857EB"/>
    <w:rsid w:val="00E85E41"/>
    <w:rsid w:val="00E85EA1"/>
    <w:rsid w:val="00E8610B"/>
    <w:rsid w:val="00E86B11"/>
    <w:rsid w:val="00E86C86"/>
    <w:rsid w:val="00E870C9"/>
    <w:rsid w:val="00E91044"/>
    <w:rsid w:val="00E910D3"/>
    <w:rsid w:val="00E9214B"/>
    <w:rsid w:val="00E922A1"/>
    <w:rsid w:val="00E923CF"/>
    <w:rsid w:val="00E9335F"/>
    <w:rsid w:val="00E94158"/>
    <w:rsid w:val="00E95111"/>
    <w:rsid w:val="00E954A1"/>
    <w:rsid w:val="00E95540"/>
    <w:rsid w:val="00E9648B"/>
    <w:rsid w:val="00E9648D"/>
    <w:rsid w:val="00E9787F"/>
    <w:rsid w:val="00E97CD1"/>
    <w:rsid w:val="00EA061E"/>
    <w:rsid w:val="00EA14C8"/>
    <w:rsid w:val="00EA19D3"/>
    <w:rsid w:val="00EA214A"/>
    <w:rsid w:val="00EA22DC"/>
    <w:rsid w:val="00EA2358"/>
    <w:rsid w:val="00EA295F"/>
    <w:rsid w:val="00EA2BB4"/>
    <w:rsid w:val="00EA2C8B"/>
    <w:rsid w:val="00EA3315"/>
    <w:rsid w:val="00EA3582"/>
    <w:rsid w:val="00EA3C60"/>
    <w:rsid w:val="00EA3EAD"/>
    <w:rsid w:val="00EA4B75"/>
    <w:rsid w:val="00EA53F4"/>
    <w:rsid w:val="00EA59AC"/>
    <w:rsid w:val="00EA6542"/>
    <w:rsid w:val="00EA6649"/>
    <w:rsid w:val="00EA79B2"/>
    <w:rsid w:val="00EA7AEA"/>
    <w:rsid w:val="00EB0140"/>
    <w:rsid w:val="00EB05D0"/>
    <w:rsid w:val="00EB07C5"/>
    <w:rsid w:val="00EB0F07"/>
    <w:rsid w:val="00EB107E"/>
    <w:rsid w:val="00EB1725"/>
    <w:rsid w:val="00EB1C39"/>
    <w:rsid w:val="00EB1D49"/>
    <w:rsid w:val="00EB2E3F"/>
    <w:rsid w:val="00EB3439"/>
    <w:rsid w:val="00EB42DD"/>
    <w:rsid w:val="00EB559F"/>
    <w:rsid w:val="00EB5821"/>
    <w:rsid w:val="00EB5F3D"/>
    <w:rsid w:val="00EB627D"/>
    <w:rsid w:val="00EB6C3F"/>
    <w:rsid w:val="00EB6EC2"/>
    <w:rsid w:val="00EB7B2D"/>
    <w:rsid w:val="00EC00E6"/>
    <w:rsid w:val="00EC09B4"/>
    <w:rsid w:val="00EC1CEB"/>
    <w:rsid w:val="00EC268C"/>
    <w:rsid w:val="00EC3602"/>
    <w:rsid w:val="00EC3753"/>
    <w:rsid w:val="00EC3CB8"/>
    <w:rsid w:val="00EC3D46"/>
    <w:rsid w:val="00EC3F8D"/>
    <w:rsid w:val="00EC4E71"/>
    <w:rsid w:val="00EC569A"/>
    <w:rsid w:val="00EC5817"/>
    <w:rsid w:val="00EC5A0D"/>
    <w:rsid w:val="00EC5EFE"/>
    <w:rsid w:val="00EC6667"/>
    <w:rsid w:val="00EC706C"/>
    <w:rsid w:val="00EC716F"/>
    <w:rsid w:val="00EC7B62"/>
    <w:rsid w:val="00ED0365"/>
    <w:rsid w:val="00ED0865"/>
    <w:rsid w:val="00ED094F"/>
    <w:rsid w:val="00ED16B6"/>
    <w:rsid w:val="00ED1B88"/>
    <w:rsid w:val="00ED1C60"/>
    <w:rsid w:val="00ED20DE"/>
    <w:rsid w:val="00ED2EB9"/>
    <w:rsid w:val="00ED3673"/>
    <w:rsid w:val="00ED4014"/>
    <w:rsid w:val="00ED4469"/>
    <w:rsid w:val="00ED5E9A"/>
    <w:rsid w:val="00ED5F23"/>
    <w:rsid w:val="00ED6DC0"/>
    <w:rsid w:val="00ED79CE"/>
    <w:rsid w:val="00ED7A7A"/>
    <w:rsid w:val="00EE01B8"/>
    <w:rsid w:val="00EE038C"/>
    <w:rsid w:val="00EE040B"/>
    <w:rsid w:val="00EE1AF2"/>
    <w:rsid w:val="00EE285F"/>
    <w:rsid w:val="00EE43BD"/>
    <w:rsid w:val="00EE47C5"/>
    <w:rsid w:val="00EE490C"/>
    <w:rsid w:val="00EE4E02"/>
    <w:rsid w:val="00EE573F"/>
    <w:rsid w:val="00EE613B"/>
    <w:rsid w:val="00EE70C0"/>
    <w:rsid w:val="00EE7E17"/>
    <w:rsid w:val="00EF05DE"/>
    <w:rsid w:val="00EF08B9"/>
    <w:rsid w:val="00EF0AEC"/>
    <w:rsid w:val="00EF1B6E"/>
    <w:rsid w:val="00EF2C8E"/>
    <w:rsid w:val="00EF3A0D"/>
    <w:rsid w:val="00EF3CEB"/>
    <w:rsid w:val="00EF41A8"/>
    <w:rsid w:val="00EF44FB"/>
    <w:rsid w:val="00EF4D3C"/>
    <w:rsid w:val="00EF5554"/>
    <w:rsid w:val="00EF5AD8"/>
    <w:rsid w:val="00EF5D2F"/>
    <w:rsid w:val="00EF63F5"/>
    <w:rsid w:val="00EF6758"/>
    <w:rsid w:val="00EF6B90"/>
    <w:rsid w:val="00EF6D0B"/>
    <w:rsid w:val="00EF70AE"/>
    <w:rsid w:val="00EF79F7"/>
    <w:rsid w:val="00F00418"/>
    <w:rsid w:val="00F006C0"/>
    <w:rsid w:val="00F00B9D"/>
    <w:rsid w:val="00F019AA"/>
    <w:rsid w:val="00F0267E"/>
    <w:rsid w:val="00F02686"/>
    <w:rsid w:val="00F02DAD"/>
    <w:rsid w:val="00F036FB"/>
    <w:rsid w:val="00F03B4A"/>
    <w:rsid w:val="00F0459B"/>
    <w:rsid w:val="00F04E15"/>
    <w:rsid w:val="00F05DF3"/>
    <w:rsid w:val="00F05E9E"/>
    <w:rsid w:val="00F0641B"/>
    <w:rsid w:val="00F069EA"/>
    <w:rsid w:val="00F07B6E"/>
    <w:rsid w:val="00F07DF8"/>
    <w:rsid w:val="00F10A0B"/>
    <w:rsid w:val="00F11461"/>
    <w:rsid w:val="00F11675"/>
    <w:rsid w:val="00F1182D"/>
    <w:rsid w:val="00F11FD3"/>
    <w:rsid w:val="00F12557"/>
    <w:rsid w:val="00F13A8F"/>
    <w:rsid w:val="00F13C9E"/>
    <w:rsid w:val="00F144F8"/>
    <w:rsid w:val="00F14DF8"/>
    <w:rsid w:val="00F15962"/>
    <w:rsid w:val="00F164A3"/>
    <w:rsid w:val="00F17281"/>
    <w:rsid w:val="00F17AD9"/>
    <w:rsid w:val="00F17B0E"/>
    <w:rsid w:val="00F17F74"/>
    <w:rsid w:val="00F17F8A"/>
    <w:rsid w:val="00F202C2"/>
    <w:rsid w:val="00F21429"/>
    <w:rsid w:val="00F21554"/>
    <w:rsid w:val="00F22756"/>
    <w:rsid w:val="00F2343D"/>
    <w:rsid w:val="00F23890"/>
    <w:rsid w:val="00F24081"/>
    <w:rsid w:val="00F2447A"/>
    <w:rsid w:val="00F24638"/>
    <w:rsid w:val="00F249B8"/>
    <w:rsid w:val="00F2504D"/>
    <w:rsid w:val="00F2637F"/>
    <w:rsid w:val="00F263A8"/>
    <w:rsid w:val="00F268F7"/>
    <w:rsid w:val="00F26E5B"/>
    <w:rsid w:val="00F27280"/>
    <w:rsid w:val="00F2788B"/>
    <w:rsid w:val="00F27D52"/>
    <w:rsid w:val="00F27FF1"/>
    <w:rsid w:val="00F3053D"/>
    <w:rsid w:val="00F30BDB"/>
    <w:rsid w:val="00F30CF8"/>
    <w:rsid w:val="00F317E3"/>
    <w:rsid w:val="00F31EDF"/>
    <w:rsid w:val="00F31FCF"/>
    <w:rsid w:val="00F32138"/>
    <w:rsid w:val="00F32605"/>
    <w:rsid w:val="00F32CDE"/>
    <w:rsid w:val="00F32D4C"/>
    <w:rsid w:val="00F34811"/>
    <w:rsid w:val="00F34B14"/>
    <w:rsid w:val="00F34BFA"/>
    <w:rsid w:val="00F35379"/>
    <w:rsid w:val="00F3561D"/>
    <w:rsid w:val="00F35DC8"/>
    <w:rsid w:val="00F36A62"/>
    <w:rsid w:val="00F36A6A"/>
    <w:rsid w:val="00F376BA"/>
    <w:rsid w:val="00F377AE"/>
    <w:rsid w:val="00F37CF1"/>
    <w:rsid w:val="00F40101"/>
    <w:rsid w:val="00F404F7"/>
    <w:rsid w:val="00F40CCA"/>
    <w:rsid w:val="00F411C4"/>
    <w:rsid w:val="00F41521"/>
    <w:rsid w:val="00F41975"/>
    <w:rsid w:val="00F41C0E"/>
    <w:rsid w:val="00F424FB"/>
    <w:rsid w:val="00F42CE2"/>
    <w:rsid w:val="00F42D97"/>
    <w:rsid w:val="00F42F75"/>
    <w:rsid w:val="00F43C8D"/>
    <w:rsid w:val="00F43F09"/>
    <w:rsid w:val="00F450A5"/>
    <w:rsid w:val="00F45A72"/>
    <w:rsid w:val="00F46195"/>
    <w:rsid w:val="00F466C5"/>
    <w:rsid w:val="00F46723"/>
    <w:rsid w:val="00F50016"/>
    <w:rsid w:val="00F50647"/>
    <w:rsid w:val="00F5118A"/>
    <w:rsid w:val="00F51212"/>
    <w:rsid w:val="00F51900"/>
    <w:rsid w:val="00F51936"/>
    <w:rsid w:val="00F51A21"/>
    <w:rsid w:val="00F5276E"/>
    <w:rsid w:val="00F52936"/>
    <w:rsid w:val="00F529F1"/>
    <w:rsid w:val="00F529F9"/>
    <w:rsid w:val="00F52E9F"/>
    <w:rsid w:val="00F53304"/>
    <w:rsid w:val="00F53327"/>
    <w:rsid w:val="00F53D40"/>
    <w:rsid w:val="00F545ED"/>
    <w:rsid w:val="00F55DC4"/>
    <w:rsid w:val="00F5687F"/>
    <w:rsid w:val="00F5698C"/>
    <w:rsid w:val="00F575C7"/>
    <w:rsid w:val="00F60305"/>
    <w:rsid w:val="00F61087"/>
    <w:rsid w:val="00F61B12"/>
    <w:rsid w:val="00F61CC5"/>
    <w:rsid w:val="00F62091"/>
    <w:rsid w:val="00F62398"/>
    <w:rsid w:val="00F629EA"/>
    <w:rsid w:val="00F631E8"/>
    <w:rsid w:val="00F63223"/>
    <w:rsid w:val="00F63264"/>
    <w:rsid w:val="00F6379E"/>
    <w:rsid w:val="00F64142"/>
    <w:rsid w:val="00F64A32"/>
    <w:rsid w:val="00F64E2C"/>
    <w:rsid w:val="00F657E9"/>
    <w:rsid w:val="00F660D8"/>
    <w:rsid w:val="00F6617A"/>
    <w:rsid w:val="00F66671"/>
    <w:rsid w:val="00F66674"/>
    <w:rsid w:val="00F66914"/>
    <w:rsid w:val="00F67AEE"/>
    <w:rsid w:val="00F67D40"/>
    <w:rsid w:val="00F703B4"/>
    <w:rsid w:val="00F705A4"/>
    <w:rsid w:val="00F70799"/>
    <w:rsid w:val="00F70906"/>
    <w:rsid w:val="00F70A8B"/>
    <w:rsid w:val="00F71845"/>
    <w:rsid w:val="00F718DE"/>
    <w:rsid w:val="00F724FB"/>
    <w:rsid w:val="00F72578"/>
    <w:rsid w:val="00F72A26"/>
    <w:rsid w:val="00F733C3"/>
    <w:rsid w:val="00F7485C"/>
    <w:rsid w:val="00F756DD"/>
    <w:rsid w:val="00F75DB3"/>
    <w:rsid w:val="00F75EE4"/>
    <w:rsid w:val="00F76101"/>
    <w:rsid w:val="00F7637A"/>
    <w:rsid w:val="00F767B2"/>
    <w:rsid w:val="00F80047"/>
    <w:rsid w:val="00F8068E"/>
    <w:rsid w:val="00F8104D"/>
    <w:rsid w:val="00F81587"/>
    <w:rsid w:val="00F81C4D"/>
    <w:rsid w:val="00F82571"/>
    <w:rsid w:val="00F83633"/>
    <w:rsid w:val="00F8394B"/>
    <w:rsid w:val="00F83DF7"/>
    <w:rsid w:val="00F84105"/>
    <w:rsid w:val="00F858F8"/>
    <w:rsid w:val="00F85B72"/>
    <w:rsid w:val="00F85B85"/>
    <w:rsid w:val="00F86B62"/>
    <w:rsid w:val="00F86B68"/>
    <w:rsid w:val="00F86B6D"/>
    <w:rsid w:val="00F87176"/>
    <w:rsid w:val="00F8766F"/>
    <w:rsid w:val="00F877A9"/>
    <w:rsid w:val="00F87FF9"/>
    <w:rsid w:val="00F90391"/>
    <w:rsid w:val="00F9104C"/>
    <w:rsid w:val="00F91082"/>
    <w:rsid w:val="00F9126C"/>
    <w:rsid w:val="00F91A9A"/>
    <w:rsid w:val="00F92A59"/>
    <w:rsid w:val="00F930F1"/>
    <w:rsid w:val="00F93ABB"/>
    <w:rsid w:val="00F93EED"/>
    <w:rsid w:val="00F94A2E"/>
    <w:rsid w:val="00F94CD4"/>
    <w:rsid w:val="00F94D79"/>
    <w:rsid w:val="00F971B9"/>
    <w:rsid w:val="00F97E7E"/>
    <w:rsid w:val="00FA0BC6"/>
    <w:rsid w:val="00FA118A"/>
    <w:rsid w:val="00FA14FC"/>
    <w:rsid w:val="00FA1BE8"/>
    <w:rsid w:val="00FA2344"/>
    <w:rsid w:val="00FA31C7"/>
    <w:rsid w:val="00FA43EA"/>
    <w:rsid w:val="00FA46C5"/>
    <w:rsid w:val="00FA472D"/>
    <w:rsid w:val="00FA50FF"/>
    <w:rsid w:val="00FA53F9"/>
    <w:rsid w:val="00FA59CD"/>
    <w:rsid w:val="00FA7254"/>
    <w:rsid w:val="00FB0214"/>
    <w:rsid w:val="00FB0508"/>
    <w:rsid w:val="00FB080C"/>
    <w:rsid w:val="00FB0D46"/>
    <w:rsid w:val="00FB12BC"/>
    <w:rsid w:val="00FB18F6"/>
    <w:rsid w:val="00FB282A"/>
    <w:rsid w:val="00FB2A52"/>
    <w:rsid w:val="00FB2F13"/>
    <w:rsid w:val="00FB32F3"/>
    <w:rsid w:val="00FB3318"/>
    <w:rsid w:val="00FB430F"/>
    <w:rsid w:val="00FB4CBF"/>
    <w:rsid w:val="00FB6E19"/>
    <w:rsid w:val="00FB71F6"/>
    <w:rsid w:val="00FB73CD"/>
    <w:rsid w:val="00FB7719"/>
    <w:rsid w:val="00FC05EA"/>
    <w:rsid w:val="00FC085C"/>
    <w:rsid w:val="00FC1483"/>
    <w:rsid w:val="00FC1C47"/>
    <w:rsid w:val="00FC2B62"/>
    <w:rsid w:val="00FC39ED"/>
    <w:rsid w:val="00FC3A25"/>
    <w:rsid w:val="00FC4419"/>
    <w:rsid w:val="00FC4657"/>
    <w:rsid w:val="00FC47E2"/>
    <w:rsid w:val="00FC4AA5"/>
    <w:rsid w:val="00FC4B93"/>
    <w:rsid w:val="00FC5148"/>
    <w:rsid w:val="00FC5528"/>
    <w:rsid w:val="00FC6751"/>
    <w:rsid w:val="00FC75AC"/>
    <w:rsid w:val="00FC774A"/>
    <w:rsid w:val="00FD01BF"/>
    <w:rsid w:val="00FD0525"/>
    <w:rsid w:val="00FD0924"/>
    <w:rsid w:val="00FD0EEA"/>
    <w:rsid w:val="00FD1392"/>
    <w:rsid w:val="00FD1414"/>
    <w:rsid w:val="00FD1855"/>
    <w:rsid w:val="00FD2730"/>
    <w:rsid w:val="00FD297D"/>
    <w:rsid w:val="00FD298C"/>
    <w:rsid w:val="00FD2D07"/>
    <w:rsid w:val="00FD2D13"/>
    <w:rsid w:val="00FD3D26"/>
    <w:rsid w:val="00FD40CE"/>
    <w:rsid w:val="00FD4789"/>
    <w:rsid w:val="00FD489C"/>
    <w:rsid w:val="00FD578D"/>
    <w:rsid w:val="00FD59FE"/>
    <w:rsid w:val="00FD6071"/>
    <w:rsid w:val="00FD676C"/>
    <w:rsid w:val="00FD71E3"/>
    <w:rsid w:val="00FD74CB"/>
    <w:rsid w:val="00FD7904"/>
    <w:rsid w:val="00FD7CA8"/>
    <w:rsid w:val="00FD7DFA"/>
    <w:rsid w:val="00FE0794"/>
    <w:rsid w:val="00FE0E6E"/>
    <w:rsid w:val="00FE1041"/>
    <w:rsid w:val="00FE2214"/>
    <w:rsid w:val="00FE22C1"/>
    <w:rsid w:val="00FE24CB"/>
    <w:rsid w:val="00FE3166"/>
    <w:rsid w:val="00FE3320"/>
    <w:rsid w:val="00FE3473"/>
    <w:rsid w:val="00FE353B"/>
    <w:rsid w:val="00FE3635"/>
    <w:rsid w:val="00FE3D7C"/>
    <w:rsid w:val="00FE3E81"/>
    <w:rsid w:val="00FE4049"/>
    <w:rsid w:val="00FE4794"/>
    <w:rsid w:val="00FE5DF7"/>
    <w:rsid w:val="00FE5F72"/>
    <w:rsid w:val="00FE6527"/>
    <w:rsid w:val="00FE6D28"/>
    <w:rsid w:val="00FE7CA6"/>
    <w:rsid w:val="00FF0231"/>
    <w:rsid w:val="00FF111F"/>
    <w:rsid w:val="00FF1C9B"/>
    <w:rsid w:val="00FF1D49"/>
    <w:rsid w:val="00FF2562"/>
    <w:rsid w:val="00FF2CE1"/>
    <w:rsid w:val="00FF3145"/>
    <w:rsid w:val="00FF38CE"/>
    <w:rsid w:val="00FF3A41"/>
    <w:rsid w:val="00FF3E5B"/>
    <w:rsid w:val="00FF4C42"/>
    <w:rsid w:val="00FF5317"/>
    <w:rsid w:val="00FF544F"/>
    <w:rsid w:val="00FF57E4"/>
    <w:rsid w:val="00FF595B"/>
    <w:rsid w:val="00FF75D9"/>
    <w:rsid w:val="00FF78E5"/>
    <w:rsid w:val="014358B6"/>
    <w:rsid w:val="02511F9D"/>
    <w:rsid w:val="02AA0556"/>
    <w:rsid w:val="03056ED3"/>
    <w:rsid w:val="03A314B8"/>
    <w:rsid w:val="03D82B98"/>
    <w:rsid w:val="03F83E8B"/>
    <w:rsid w:val="06DF2215"/>
    <w:rsid w:val="07B72767"/>
    <w:rsid w:val="08077E72"/>
    <w:rsid w:val="09270E73"/>
    <w:rsid w:val="09617CC6"/>
    <w:rsid w:val="096A026D"/>
    <w:rsid w:val="09CC2AAC"/>
    <w:rsid w:val="09D820EE"/>
    <w:rsid w:val="0A652D3E"/>
    <w:rsid w:val="0A6D18E6"/>
    <w:rsid w:val="0B253A7F"/>
    <w:rsid w:val="0B29385D"/>
    <w:rsid w:val="0B3A48F0"/>
    <w:rsid w:val="0C252478"/>
    <w:rsid w:val="0C92213C"/>
    <w:rsid w:val="0D4F221D"/>
    <w:rsid w:val="0D84032B"/>
    <w:rsid w:val="0E161A7F"/>
    <w:rsid w:val="0ED317E0"/>
    <w:rsid w:val="0F0A0484"/>
    <w:rsid w:val="10A27F31"/>
    <w:rsid w:val="10CA487C"/>
    <w:rsid w:val="11927058"/>
    <w:rsid w:val="11BC17FD"/>
    <w:rsid w:val="126537F7"/>
    <w:rsid w:val="130C6B4F"/>
    <w:rsid w:val="13AF4F03"/>
    <w:rsid w:val="14736E66"/>
    <w:rsid w:val="149B6AC2"/>
    <w:rsid w:val="15293653"/>
    <w:rsid w:val="1534169A"/>
    <w:rsid w:val="15490F08"/>
    <w:rsid w:val="15C03E03"/>
    <w:rsid w:val="162A25EB"/>
    <w:rsid w:val="168E3D80"/>
    <w:rsid w:val="16FD2A55"/>
    <w:rsid w:val="17366761"/>
    <w:rsid w:val="177C01F0"/>
    <w:rsid w:val="178057B9"/>
    <w:rsid w:val="17CE6630"/>
    <w:rsid w:val="19820BA0"/>
    <w:rsid w:val="19DE5C02"/>
    <w:rsid w:val="1A5250BD"/>
    <w:rsid w:val="1AFA16D5"/>
    <w:rsid w:val="1B4F19F8"/>
    <w:rsid w:val="1BD92184"/>
    <w:rsid w:val="1C482ECD"/>
    <w:rsid w:val="1C5170A2"/>
    <w:rsid w:val="1D4061A8"/>
    <w:rsid w:val="1E707ECB"/>
    <w:rsid w:val="1E9B4F4B"/>
    <w:rsid w:val="1F063325"/>
    <w:rsid w:val="1FBC5DF5"/>
    <w:rsid w:val="1FC55574"/>
    <w:rsid w:val="20360ABA"/>
    <w:rsid w:val="20AC6A60"/>
    <w:rsid w:val="219A0DBB"/>
    <w:rsid w:val="21B83F86"/>
    <w:rsid w:val="21E55E66"/>
    <w:rsid w:val="221178A8"/>
    <w:rsid w:val="221213CF"/>
    <w:rsid w:val="22327A92"/>
    <w:rsid w:val="22965435"/>
    <w:rsid w:val="22BD6F35"/>
    <w:rsid w:val="231D53A2"/>
    <w:rsid w:val="23B7504C"/>
    <w:rsid w:val="24571307"/>
    <w:rsid w:val="24BA2984"/>
    <w:rsid w:val="25246333"/>
    <w:rsid w:val="253D41FB"/>
    <w:rsid w:val="25A26725"/>
    <w:rsid w:val="26446DE3"/>
    <w:rsid w:val="264D165B"/>
    <w:rsid w:val="265373A4"/>
    <w:rsid w:val="26D7699F"/>
    <w:rsid w:val="274A5E17"/>
    <w:rsid w:val="274E18E9"/>
    <w:rsid w:val="27790837"/>
    <w:rsid w:val="27F4175B"/>
    <w:rsid w:val="28924907"/>
    <w:rsid w:val="2895052E"/>
    <w:rsid w:val="2A2C62A3"/>
    <w:rsid w:val="2B09065E"/>
    <w:rsid w:val="2B774624"/>
    <w:rsid w:val="2BC068DD"/>
    <w:rsid w:val="2C4016CF"/>
    <w:rsid w:val="2C7A72BE"/>
    <w:rsid w:val="2CA77458"/>
    <w:rsid w:val="2CD10A17"/>
    <w:rsid w:val="2D0637A8"/>
    <w:rsid w:val="2D684463"/>
    <w:rsid w:val="2D926ED4"/>
    <w:rsid w:val="2EE84409"/>
    <w:rsid w:val="2F401D3C"/>
    <w:rsid w:val="2FA95C88"/>
    <w:rsid w:val="3041370F"/>
    <w:rsid w:val="30685F8F"/>
    <w:rsid w:val="30C402B5"/>
    <w:rsid w:val="30DE554A"/>
    <w:rsid w:val="31083A05"/>
    <w:rsid w:val="317C2296"/>
    <w:rsid w:val="32453A27"/>
    <w:rsid w:val="3263064A"/>
    <w:rsid w:val="328E6C72"/>
    <w:rsid w:val="32AA608B"/>
    <w:rsid w:val="32AC0C06"/>
    <w:rsid w:val="3537750C"/>
    <w:rsid w:val="3537798C"/>
    <w:rsid w:val="357F7ED5"/>
    <w:rsid w:val="35C13FC9"/>
    <w:rsid w:val="362E6D87"/>
    <w:rsid w:val="364257B6"/>
    <w:rsid w:val="36F834D1"/>
    <w:rsid w:val="374264D3"/>
    <w:rsid w:val="37DB7874"/>
    <w:rsid w:val="37EA5922"/>
    <w:rsid w:val="38276B93"/>
    <w:rsid w:val="38450F76"/>
    <w:rsid w:val="3A0B64A7"/>
    <w:rsid w:val="3A916DA7"/>
    <w:rsid w:val="3AF74C02"/>
    <w:rsid w:val="3B7D30B3"/>
    <w:rsid w:val="3C0059A5"/>
    <w:rsid w:val="3C134E78"/>
    <w:rsid w:val="3C1360D5"/>
    <w:rsid w:val="3DA72136"/>
    <w:rsid w:val="3DF6345D"/>
    <w:rsid w:val="3EC357A9"/>
    <w:rsid w:val="3EE13701"/>
    <w:rsid w:val="3F1A4BB3"/>
    <w:rsid w:val="40192BA6"/>
    <w:rsid w:val="42550A18"/>
    <w:rsid w:val="42F473A1"/>
    <w:rsid w:val="43195B8C"/>
    <w:rsid w:val="441E62C0"/>
    <w:rsid w:val="44274ACD"/>
    <w:rsid w:val="442B4BD8"/>
    <w:rsid w:val="44764804"/>
    <w:rsid w:val="45811C7C"/>
    <w:rsid w:val="45DD5ABA"/>
    <w:rsid w:val="46053138"/>
    <w:rsid w:val="463C626D"/>
    <w:rsid w:val="468719A4"/>
    <w:rsid w:val="468B3EFB"/>
    <w:rsid w:val="46F22A19"/>
    <w:rsid w:val="470A6193"/>
    <w:rsid w:val="476D294A"/>
    <w:rsid w:val="47D02797"/>
    <w:rsid w:val="47DC4F5C"/>
    <w:rsid w:val="48B40671"/>
    <w:rsid w:val="499B5738"/>
    <w:rsid w:val="499F244D"/>
    <w:rsid w:val="4A3021CC"/>
    <w:rsid w:val="4A8F58C2"/>
    <w:rsid w:val="4AF96BC7"/>
    <w:rsid w:val="4B29370C"/>
    <w:rsid w:val="4BDF1260"/>
    <w:rsid w:val="4BFB4050"/>
    <w:rsid w:val="4CEF36E2"/>
    <w:rsid w:val="4D3B1120"/>
    <w:rsid w:val="4D6977B9"/>
    <w:rsid w:val="4DBA1394"/>
    <w:rsid w:val="4EB8094F"/>
    <w:rsid w:val="4F372FFB"/>
    <w:rsid w:val="4FA76FA4"/>
    <w:rsid w:val="5002261F"/>
    <w:rsid w:val="50FF0D1F"/>
    <w:rsid w:val="513F391C"/>
    <w:rsid w:val="51564E44"/>
    <w:rsid w:val="51F36455"/>
    <w:rsid w:val="524F09ED"/>
    <w:rsid w:val="52C10D75"/>
    <w:rsid w:val="52C70555"/>
    <w:rsid w:val="52DE64A1"/>
    <w:rsid w:val="550C4BD7"/>
    <w:rsid w:val="55216824"/>
    <w:rsid w:val="55572986"/>
    <w:rsid w:val="55D975C2"/>
    <w:rsid w:val="55E71FE3"/>
    <w:rsid w:val="56537644"/>
    <w:rsid w:val="56D06A51"/>
    <w:rsid w:val="574550EB"/>
    <w:rsid w:val="57FA3BF0"/>
    <w:rsid w:val="5A957D93"/>
    <w:rsid w:val="5AA6773D"/>
    <w:rsid w:val="5ADD173D"/>
    <w:rsid w:val="5AF45426"/>
    <w:rsid w:val="5B3760D9"/>
    <w:rsid w:val="5B4A1185"/>
    <w:rsid w:val="5BEE1EDF"/>
    <w:rsid w:val="5D2317D1"/>
    <w:rsid w:val="5DB813CB"/>
    <w:rsid w:val="5DBA7DB3"/>
    <w:rsid w:val="5F1C6CD8"/>
    <w:rsid w:val="5F1F4179"/>
    <w:rsid w:val="5F80710D"/>
    <w:rsid w:val="606007BB"/>
    <w:rsid w:val="606A576F"/>
    <w:rsid w:val="60AC7F66"/>
    <w:rsid w:val="610F0176"/>
    <w:rsid w:val="618835DC"/>
    <w:rsid w:val="61BF10D9"/>
    <w:rsid w:val="624A09C7"/>
    <w:rsid w:val="629F7BDB"/>
    <w:rsid w:val="632C4144"/>
    <w:rsid w:val="640C7C21"/>
    <w:rsid w:val="6448264C"/>
    <w:rsid w:val="647E1DC2"/>
    <w:rsid w:val="64E45EF7"/>
    <w:rsid w:val="665723A3"/>
    <w:rsid w:val="66A57729"/>
    <w:rsid w:val="677435B2"/>
    <w:rsid w:val="67EF75F1"/>
    <w:rsid w:val="69124F16"/>
    <w:rsid w:val="69C64B0E"/>
    <w:rsid w:val="69CD5C14"/>
    <w:rsid w:val="69CF0D33"/>
    <w:rsid w:val="69D319B4"/>
    <w:rsid w:val="6AAF6265"/>
    <w:rsid w:val="6AB24495"/>
    <w:rsid w:val="6B9946B3"/>
    <w:rsid w:val="6B9B7B92"/>
    <w:rsid w:val="6C675804"/>
    <w:rsid w:val="6D1837C6"/>
    <w:rsid w:val="6DE76850"/>
    <w:rsid w:val="6E9A1018"/>
    <w:rsid w:val="6FB20BD4"/>
    <w:rsid w:val="6FBA59BE"/>
    <w:rsid w:val="70296B3E"/>
    <w:rsid w:val="70611204"/>
    <w:rsid w:val="70E433FE"/>
    <w:rsid w:val="714942CD"/>
    <w:rsid w:val="7234593E"/>
    <w:rsid w:val="72EF4CB6"/>
    <w:rsid w:val="74465859"/>
    <w:rsid w:val="74963357"/>
    <w:rsid w:val="74FA2C30"/>
    <w:rsid w:val="75A35605"/>
    <w:rsid w:val="767D7008"/>
    <w:rsid w:val="769068C7"/>
    <w:rsid w:val="76BC49EB"/>
    <w:rsid w:val="77000DA2"/>
    <w:rsid w:val="772245F6"/>
    <w:rsid w:val="775971D2"/>
    <w:rsid w:val="775C68A9"/>
    <w:rsid w:val="781B5927"/>
    <w:rsid w:val="781E69D1"/>
    <w:rsid w:val="78340059"/>
    <w:rsid w:val="7A344EB2"/>
    <w:rsid w:val="7A453981"/>
    <w:rsid w:val="7AA31C03"/>
    <w:rsid w:val="7ADD0453"/>
    <w:rsid w:val="7AF46346"/>
    <w:rsid w:val="7B0F5EBF"/>
    <w:rsid w:val="7B130FB9"/>
    <w:rsid w:val="7BDE0625"/>
    <w:rsid w:val="7BDE3B89"/>
    <w:rsid w:val="7BF64EDE"/>
    <w:rsid w:val="7C400C1E"/>
    <w:rsid w:val="7D7D1FF6"/>
    <w:rsid w:val="7DBA4E47"/>
    <w:rsid w:val="7DD11708"/>
    <w:rsid w:val="7E693364"/>
    <w:rsid w:val="7EBC46EA"/>
    <w:rsid w:val="7EC167BD"/>
    <w:rsid w:val="7FF82C26"/>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qFormat="1" w:unhideWhenUsed="0" w:uiPriority="0" w:semiHidden="0" w:name="List Number"/>
    <w:lsdException w:qFormat="1" w:uiPriority="99"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uiPriority="99" w:name="Body Text 2"/>
    <w:lsdException w:qFormat="1" w:uiPriority="99" w:semiHidden="0"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qFormat="1" w:uiPriority="99" w:semiHidden="0" w:name="HTML Sample"/>
    <w:lsdException w:uiPriority="99" w:name="HTML Typewriter"/>
    <w:lsdException w:uiPriority="99" w:name="HTML Variable"/>
    <w:lsdException w:qFormat="1" w:uiPriority="99" w:semiHidden="0" w:name="Normal Table"/>
    <w:lsdException w:qFormat="1"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31"/>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32"/>
    <w:qFormat/>
    <w:uiPriority w:val="9"/>
    <w:pPr>
      <w:keepNext/>
      <w:keepLines/>
      <w:spacing w:before="260" w:after="260" w:line="416" w:lineRule="auto"/>
      <w:outlineLvl w:val="1"/>
    </w:pPr>
    <w:rPr>
      <w:rFonts w:ascii="Cambria" w:hAnsi="Cambria"/>
      <w:b/>
      <w:bCs/>
      <w:sz w:val="32"/>
      <w:szCs w:val="32"/>
    </w:rPr>
  </w:style>
  <w:style w:type="paragraph" w:styleId="4">
    <w:name w:val="heading 3"/>
    <w:basedOn w:val="1"/>
    <w:next w:val="1"/>
    <w:link w:val="33"/>
    <w:qFormat/>
    <w:uiPriority w:val="9"/>
    <w:pPr>
      <w:keepNext/>
      <w:keepLines/>
      <w:spacing w:before="260" w:after="260" w:line="416" w:lineRule="auto"/>
      <w:outlineLvl w:val="2"/>
    </w:pPr>
    <w:rPr>
      <w:b/>
      <w:bCs/>
      <w:sz w:val="32"/>
      <w:szCs w:val="32"/>
    </w:rPr>
  </w:style>
  <w:style w:type="paragraph" w:styleId="5">
    <w:name w:val="heading 4"/>
    <w:basedOn w:val="1"/>
    <w:next w:val="1"/>
    <w:qFormat/>
    <w:uiPriority w:val="9"/>
    <w:pPr>
      <w:keepNext/>
      <w:keepLines/>
      <w:spacing w:before="280" w:after="290" w:line="376" w:lineRule="auto"/>
      <w:outlineLvl w:val="3"/>
    </w:pPr>
    <w:rPr>
      <w:rFonts w:ascii="Cambria" w:hAnsi="Cambria" w:eastAsia="宋体" w:cs="Times New Roman"/>
      <w:b/>
      <w:bCs/>
      <w:sz w:val="28"/>
      <w:szCs w:val="28"/>
    </w:rPr>
  </w:style>
  <w:style w:type="paragraph" w:styleId="6">
    <w:name w:val="heading 5"/>
    <w:basedOn w:val="1"/>
    <w:next w:val="7"/>
    <w:link w:val="34"/>
    <w:qFormat/>
    <w:uiPriority w:val="9"/>
    <w:pPr>
      <w:keepNext/>
      <w:keepLines/>
      <w:spacing w:before="280" w:after="290" w:line="376" w:lineRule="auto"/>
      <w:outlineLvl w:val="4"/>
    </w:pPr>
    <w:rPr>
      <w:b/>
      <w:bCs/>
      <w:sz w:val="28"/>
      <w:szCs w:val="28"/>
    </w:rPr>
  </w:style>
  <w:style w:type="paragraph" w:styleId="8">
    <w:name w:val="heading 6"/>
    <w:basedOn w:val="1"/>
    <w:next w:val="1"/>
    <w:qFormat/>
    <w:uiPriority w:val="9"/>
    <w:pPr>
      <w:keepNext/>
      <w:keepLines/>
      <w:spacing w:before="240" w:after="64" w:line="316" w:lineRule="auto"/>
      <w:ind w:left="1151"/>
      <w:outlineLvl w:val="5"/>
    </w:pPr>
    <w:rPr>
      <w:rFonts w:ascii="Arial" w:hAnsi="Arial" w:eastAsia="黑体" w:cs="Times New Roman"/>
      <w:b/>
      <w:sz w:val="24"/>
    </w:rPr>
  </w:style>
  <w:style w:type="character" w:default="1" w:styleId="26">
    <w:name w:val="Default Paragraph Font"/>
    <w:unhideWhenUsed/>
    <w:qFormat/>
    <w:uiPriority w:val="1"/>
  </w:style>
  <w:style w:type="table" w:default="1" w:styleId="24">
    <w:name w:val="Normal Table"/>
    <w:unhideWhenUsed/>
    <w:qFormat/>
    <w:uiPriority w:val="99"/>
    <w:tblPr>
      <w:tblCellMar>
        <w:top w:w="0" w:type="dxa"/>
        <w:left w:w="108" w:type="dxa"/>
        <w:bottom w:w="0" w:type="dxa"/>
        <w:right w:w="108" w:type="dxa"/>
      </w:tblCellMar>
    </w:tblPr>
  </w:style>
  <w:style w:type="paragraph" w:styleId="7">
    <w:name w:val="Normal Indent"/>
    <w:basedOn w:val="1"/>
    <w:qFormat/>
    <w:uiPriority w:val="0"/>
    <w:pPr>
      <w:ind w:firstLine="420"/>
    </w:pPr>
    <w:rPr>
      <w:szCs w:val="20"/>
    </w:rPr>
  </w:style>
  <w:style w:type="paragraph" w:styleId="9">
    <w:name w:val="List Number"/>
    <w:basedOn w:val="1"/>
    <w:qFormat/>
    <w:uiPriority w:val="0"/>
    <w:pPr>
      <w:widowControl/>
      <w:tabs>
        <w:tab w:val="left" w:pos="454"/>
        <w:tab w:val="left" w:pos="720"/>
        <w:tab w:val="left" w:pos="840"/>
      </w:tabs>
      <w:spacing w:after="50" w:afterLines="50"/>
      <w:ind w:left="454" w:hanging="284"/>
      <w:jc w:val="left"/>
    </w:pPr>
    <w:rPr>
      <w:kern w:val="0"/>
      <w:sz w:val="24"/>
      <w:szCs w:val="20"/>
    </w:rPr>
  </w:style>
  <w:style w:type="paragraph" w:styleId="10">
    <w:name w:val="annotation text"/>
    <w:basedOn w:val="1"/>
    <w:link w:val="35"/>
    <w:qFormat/>
    <w:uiPriority w:val="0"/>
    <w:pPr>
      <w:jc w:val="left"/>
    </w:pPr>
  </w:style>
  <w:style w:type="paragraph" w:styleId="11">
    <w:name w:val="Body Text 3"/>
    <w:basedOn w:val="1"/>
    <w:link w:val="36"/>
    <w:unhideWhenUsed/>
    <w:qFormat/>
    <w:uiPriority w:val="99"/>
    <w:pPr>
      <w:spacing w:after="120"/>
    </w:pPr>
    <w:rPr>
      <w:sz w:val="16"/>
      <w:szCs w:val="16"/>
    </w:rPr>
  </w:style>
  <w:style w:type="paragraph" w:styleId="12">
    <w:name w:val="Body Text"/>
    <w:basedOn w:val="1"/>
    <w:link w:val="37"/>
    <w:unhideWhenUsed/>
    <w:qFormat/>
    <w:uiPriority w:val="99"/>
    <w:pPr>
      <w:spacing w:after="120"/>
    </w:pPr>
  </w:style>
  <w:style w:type="paragraph" w:styleId="13">
    <w:name w:val="Body Text Indent"/>
    <w:basedOn w:val="1"/>
    <w:link w:val="38"/>
    <w:qFormat/>
    <w:uiPriority w:val="0"/>
    <w:pPr>
      <w:ind w:firstLine="830" w:firstLineChars="352"/>
    </w:pPr>
    <w:rPr>
      <w:rFonts w:ascii="仿宋_GB2312" w:eastAsia="仿宋_GB2312"/>
      <w:kern w:val="0"/>
      <w:sz w:val="32"/>
      <w:szCs w:val="20"/>
    </w:rPr>
  </w:style>
  <w:style w:type="paragraph" w:styleId="14">
    <w:name w:val="List 2"/>
    <w:basedOn w:val="1"/>
    <w:unhideWhenUsed/>
    <w:qFormat/>
    <w:uiPriority w:val="99"/>
    <w:pPr>
      <w:ind w:left="100" w:leftChars="200" w:hanging="200" w:hangingChars="200"/>
      <w:contextualSpacing/>
    </w:pPr>
  </w:style>
  <w:style w:type="paragraph" w:styleId="15">
    <w:name w:val="Plain Text"/>
    <w:basedOn w:val="1"/>
    <w:link w:val="39"/>
    <w:qFormat/>
    <w:uiPriority w:val="0"/>
    <w:rPr>
      <w:rFonts w:ascii="宋体" w:hAnsi="Courier New"/>
      <w:kern w:val="0"/>
      <w:sz w:val="20"/>
      <w:szCs w:val="21"/>
    </w:rPr>
  </w:style>
  <w:style w:type="paragraph" w:styleId="16">
    <w:name w:val="Date"/>
    <w:basedOn w:val="1"/>
    <w:next w:val="1"/>
    <w:link w:val="40"/>
    <w:unhideWhenUsed/>
    <w:qFormat/>
    <w:uiPriority w:val="99"/>
    <w:pPr>
      <w:ind w:left="100" w:leftChars="2500"/>
    </w:pPr>
  </w:style>
  <w:style w:type="paragraph" w:styleId="17">
    <w:name w:val="Balloon Text"/>
    <w:basedOn w:val="1"/>
    <w:link w:val="41"/>
    <w:semiHidden/>
    <w:qFormat/>
    <w:uiPriority w:val="99"/>
    <w:rPr>
      <w:sz w:val="18"/>
      <w:szCs w:val="18"/>
    </w:rPr>
  </w:style>
  <w:style w:type="paragraph" w:styleId="18">
    <w:name w:val="footer"/>
    <w:basedOn w:val="1"/>
    <w:link w:val="42"/>
    <w:unhideWhenUsed/>
    <w:qFormat/>
    <w:uiPriority w:val="99"/>
    <w:pPr>
      <w:tabs>
        <w:tab w:val="center" w:pos="4153"/>
        <w:tab w:val="right" w:pos="8306"/>
      </w:tabs>
      <w:snapToGrid w:val="0"/>
      <w:jc w:val="left"/>
    </w:pPr>
    <w:rPr>
      <w:kern w:val="0"/>
      <w:sz w:val="18"/>
      <w:szCs w:val="18"/>
    </w:rPr>
  </w:style>
  <w:style w:type="paragraph" w:styleId="19">
    <w:name w:val="header"/>
    <w:basedOn w:val="1"/>
    <w:link w:val="43"/>
    <w:unhideWhenUsed/>
    <w:qFormat/>
    <w:uiPriority w:val="99"/>
    <w:pPr>
      <w:pBdr>
        <w:bottom w:val="single" w:color="auto" w:sz="6" w:space="1"/>
      </w:pBdr>
      <w:tabs>
        <w:tab w:val="center" w:pos="4153"/>
        <w:tab w:val="right" w:pos="8306"/>
      </w:tabs>
      <w:snapToGrid w:val="0"/>
      <w:jc w:val="center"/>
    </w:pPr>
    <w:rPr>
      <w:kern w:val="0"/>
      <w:sz w:val="18"/>
      <w:szCs w:val="18"/>
    </w:rPr>
  </w:style>
  <w:style w:type="paragraph" w:styleId="20">
    <w:name w:val="toc 1"/>
    <w:basedOn w:val="1"/>
    <w:next w:val="1"/>
    <w:unhideWhenUsed/>
    <w:qFormat/>
    <w:uiPriority w:val="39"/>
  </w:style>
  <w:style w:type="paragraph" w:styleId="21">
    <w:name w:val="toc 2"/>
    <w:basedOn w:val="1"/>
    <w:next w:val="1"/>
    <w:unhideWhenUsed/>
    <w:qFormat/>
    <w:uiPriority w:val="39"/>
    <w:pPr>
      <w:tabs>
        <w:tab w:val="right" w:leader="dot" w:pos="8296"/>
      </w:tabs>
      <w:ind w:left="420" w:leftChars="200"/>
    </w:pPr>
  </w:style>
  <w:style w:type="paragraph" w:styleId="22">
    <w:name w:val="Normal (Web)"/>
    <w:basedOn w:val="1"/>
    <w:unhideWhenUsed/>
    <w:qFormat/>
    <w:uiPriority w:val="99"/>
    <w:pPr>
      <w:spacing w:before="0" w:beforeAutospacing="0" w:after="0" w:afterAutospacing="0"/>
      <w:ind w:left="0" w:right="0"/>
      <w:jc w:val="both"/>
    </w:pPr>
    <w:rPr>
      <w:rFonts w:hint="default" w:ascii="Calibri" w:hAnsi="Calibri" w:cs="Calibri"/>
      <w:kern w:val="0"/>
      <w:sz w:val="24"/>
      <w:szCs w:val="24"/>
      <w:lang w:val="en-US" w:eastAsia="zh-CN" w:bidi="ar"/>
    </w:rPr>
  </w:style>
  <w:style w:type="paragraph" w:styleId="23">
    <w:name w:val="annotation subject"/>
    <w:basedOn w:val="10"/>
    <w:next w:val="10"/>
    <w:link w:val="44"/>
    <w:qFormat/>
    <w:uiPriority w:val="99"/>
    <w:rPr>
      <w:b/>
      <w:bCs/>
    </w:rPr>
  </w:style>
  <w:style w:type="table" w:styleId="25">
    <w:name w:val="Table Grid"/>
    <w:basedOn w:val="24"/>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27">
    <w:name w:val="Emphasis"/>
    <w:qFormat/>
    <w:uiPriority w:val="20"/>
    <w:rPr>
      <w:i/>
      <w:iCs/>
    </w:rPr>
  </w:style>
  <w:style w:type="character" w:styleId="28">
    <w:name w:val="Hyperlink"/>
    <w:unhideWhenUsed/>
    <w:qFormat/>
    <w:uiPriority w:val="99"/>
    <w:rPr>
      <w:color w:val="0000FF"/>
      <w:u w:val="single"/>
    </w:rPr>
  </w:style>
  <w:style w:type="character" w:styleId="29">
    <w:name w:val="annotation reference"/>
    <w:qFormat/>
    <w:uiPriority w:val="99"/>
    <w:rPr>
      <w:sz w:val="21"/>
      <w:szCs w:val="21"/>
    </w:rPr>
  </w:style>
  <w:style w:type="character" w:styleId="30">
    <w:name w:val="HTML Sample"/>
    <w:unhideWhenUsed/>
    <w:qFormat/>
    <w:uiPriority w:val="99"/>
    <w:rPr>
      <w:rFonts w:ascii="Courier New" w:hAnsi="Courier New"/>
    </w:rPr>
  </w:style>
  <w:style w:type="character" w:customStyle="1" w:styleId="31">
    <w:name w:val="标题 1 Char"/>
    <w:link w:val="2"/>
    <w:qFormat/>
    <w:uiPriority w:val="0"/>
    <w:rPr>
      <w:b/>
      <w:bCs/>
      <w:kern w:val="44"/>
      <w:sz w:val="44"/>
      <w:szCs w:val="44"/>
    </w:rPr>
  </w:style>
  <w:style w:type="character" w:customStyle="1" w:styleId="32">
    <w:name w:val="标题 2 Char"/>
    <w:link w:val="3"/>
    <w:qFormat/>
    <w:uiPriority w:val="9"/>
    <w:rPr>
      <w:rFonts w:ascii="Cambria" w:hAnsi="Cambria" w:eastAsia="宋体" w:cs="Times New Roman"/>
      <w:b/>
      <w:bCs/>
      <w:kern w:val="2"/>
      <w:sz w:val="32"/>
      <w:szCs w:val="32"/>
    </w:rPr>
  </w:style>
  <w:style w:type="character" w:customStyle="1" w:styleId="33">
    <w:name w:val="标题 3 Char"/>
    <w:link w:val="4"/>
    <w:semiHidden/>
    <w:qFormat/>
    <w:uiPriority w:val="9"/>
    <w:rPr>
      <w:b/>
      <w:bCs/>
      <w:kern w:val="2"/>
      <w:sz w:val="32"/>
      <w:szCs w:val="32"/>
    </w:rPr>
  </w:style>
  <w:style w:type="character" w:customStyle="1" w:styleId="34">
    <w:name w:val="标题 5 Char"/>
    <w:link w:val="6"/>
    <w:semiHidden/>
    <w:qFormat/>
    <w:uiPriority w:val="9"/>
    <w:rPr>
      <w:rFonts w:ascii="Times New Roman" w:hAnsi="Times New Roman"/>
      <w:b/>
      <w:bCs/>
      <w:kern w:val="2"/>
      <w:sz w:val="28"/>
      <w:szCs w:val="28"/>
    </w:rPr>
  </w:style>
  <w:style w:type="character" w:customStyle="1" w:styleId="35">
    <w:name w:val="批注文字 Char"/>
    <w:link w:val="10"/>
    <w:qFormat/>
    <w:uiPriority w:val="0"/>
    <w:rPr>
      <w:rFonts w:ascii="Times New Roman" w:hAnsi="Times New Roman"/>
      <w:kern w:val="2"/>
      <w:sz w:val="21"/>
      <w:szCs w:val="24"/>
    </w:rPr>
  </w:style>
  <w:style w:type="character" w:customStyle="1" w:styleId="36">
    <w:name w:val="正文文本 3 Char"/>
    <w:link w:val="11"/>
    <w:semiHidden/>
    <w:qFormat/>
    <w:uiPriority w:val="99"/>
    <w:rPr>
      <w:rFonts w:ascii="Times New Roman" w:hAnsi="Times New Roman"/>
      <w:kern w:val="2"/>
      <w:sz w:val="16"/>
      <w:szCs w:val="16"/>
    </w:rPr>
  </w:style>
  <w:style w:type="character" w:customStyle="1" w:styleId="37">
    <w:name w:val="正文文本 Char"/>
    <w:link w:val="12"/>
    <w:qFormat/>
    <w:uiPriority w:val="99"/>
    <w:rPr>
      <w:rFonts w:ascii="Times New Roman" w:hAnsi="Times New Roman"/>
      <w:kern w:val="2"/>
      <w:sz w:val="21"/>
      <w:szCs w:val="24"/>
    </w:rPr>
  </w:style>
  <w:style w:type="character" w:customStyle="1" w:styleId="38">
    <w:name w:val="正文文本缩进 Char"/>
    <w:link w:val="13"/>
    <w:qFormat/>
    <w:uiPriority w:val="0"/>
    <w:rPr>
      <w:rFonts w:ascii="仿宋_GB2312" w:hAnsi="Times New Roman" w:eastAsia="仿宋_GB2312" w:cs="Times New Roman"/>
      <w:sz w:val="32"/>
      <w:szCs w:val="20"/>
    </w:rPr>
  </w:style>
  <w:style w:type="character" w:customStyle="1" w:styleId="39">
    <w:name w:val="纯文本 Char"/>
    <w:link w:val="15"/>
    <w:qFormat/>
    <w:uiPriority w:val="0"/>
    <w:rPr>
      <w:rFonts w:ascii="宋体" w:hAnsi="Courier New" w:eastAsia="宋体" w:cs="Courier New"/>
      <w:szCs w:val="21"/>
    </w:rPr>
  </w:style>
  <w:style w:type="character" w:customStyle="1" w:styleId="40">
    <w:name w:val="日期 Char"/>
    <w:link w:val="16"/>
    <w:semiHidden/>
    <w:qFormat/>
    <w:uiPriority w:val="99"/>
    <w:rPr>
      <w:rFonts w:ascii="Times New Roman" w:hAnsi="Times New Roman"/>
      <w:kern w:val="2"/>
      <w:sz w:val="21"/>
      <w:szCs w:val="24"/>
    </w:rPr>
  </w:style>
  <w:style w:type="character" w:customStyle="1" w:styleId="41">
    <w:name w:val="批注框文本 Char"/>
    <w:link w:val="17"/>
    <w:semiHidden/>
    <w:qFormat/>
    <w:uiPriority w:val="99"/>
    <w:rPr>
      <w:kern w:val="2"/>
      <w:sz w:val="18"/>
      <w:szCs w:val="18"/>
    </w:rPr>
  </w:style>
  <w:style w:type="character" w:customStyle="1" w:styleId="42">
    <w:name w:val="页脚 Char1"/>
    <w:link w:val="18"/>
    <w:qFormat/>
    <w:uiPriority w:val="99"/>
    <w:rPr>
      <w:sz w:val="18"/>
      <w:szCs w:val="18"/>
    </w:rPr>
  </w:style>
  <w:style w:type="character" w:customStyle="1" w:styleId="43">
    <w:name w:val="页眉 Char"/>
    <w:link w:val="19"/>
    <w:qFormat/>
    <w:uiPriority w:val="99"/>
    <w:rPr>
      <w:sz w:val="18"/>
      <w:szCs w:val="18"/>
    </w:rPr>
  </w:style>
  <w:style w:type="character" w:customStyle="1" w:styleId="44">
    <w:name w:val="批注主题 Char"/>
    <w:link w:val="23"/>
    <w:qFormat/>
    <w:uiPriority w:val="99"/>
    <w:rPr>
      <w:rFonts w:ascii="Times New Roman" w:hAnsi="Times New Roman"/>
      <w:b/>
      <w:bCs/>
      <w:kern w:val="2"/>
      <w:sz w:val="21"/>
      <w:szCs w:val="24"/>
    </w:rPr>
  </w:style>
  <w:style w:type="character" w:customStyle="1" w:styleId="45">
    <w:name w:val="正文文本缩进 字符1"/>
    <w:qFormat/>
    <w:uiPriority w:val="0"/>
    <w:rPr>
      <w:rFonts w:ascii="仿宋_GB2312" w:hAnsi="Times New Roman" w:eastAsia="仿宋_GB2312" w:cs="Times New Roman"/>
      <w:sz w:val="32"/>
      <w:szCs w:val="20"/>
    </w:rPr>
  </w:style>
  <w:style w:type="character" w:customStyle="1" w:styleId="46">
    <w:name w:val="apple-style-span"/>
    <w:qFormat/>
    <w:uiPriority w:val="0"/>
  </w:style>
  <w:style w:type="character" w:customStyle="1" w:styleId="47">
    <w:name w:val="标题 1 字符"/>
    <w:qFormat/>
    <w:uiPriority w:val="9"/>
    <w:rPr>
      <w:b/>
      <w:bCs/>
      <w:kern w:val="44"/>
      <w:sz w:val="44"/>
      <w:szCs w:val="44"/>
    </w:rPr>
  </w:style>
  <w:style w:type="character" w:customStyle="1" w:styleId="48">
    <w:name w:val="textcontents"/>
    <w:qFormat/>
    <w:uiPriority w:val="0"/>
  </w:style>
  <w:style w:type="character" w:customStyle="1" w:styleId="49">
    <w:name w:val="纯文本 字符1"/>
    <w:qFormat/>
    <w:uiPriority w:val="0"/>
    <w:rPr>
      <w:rFonts w:ascii="宋体" w:hAnsi="Courier New"/>
    </w:rPr>
  </w:style>
  <w:style w:type="character" w:customStyle="1" w:styleId="50">
    <w:name w:val="批注文字 字符1"/>
    <w:qFormat/>
    <w:uiPriority w:val="0"/>
    <w:rPr>
      <w:kern w:val="2"/>
      <w:sz w:val="21"/>
      <w:szCs w:val="24"/>
    </w:rPr>
  </w:style>
  <w:style w:type="character" w:customStyle="1" w:styleId="51">
    <w:name w:val="纯文本 字符2"/>
    <w:qFormat/>
    <w:uiPriority w:val="0"/>
    <w:rPr>
      <w:rFonts w:ascii="宋体" w:hAnsi="Courier New" w:eastAsia="宋体" w:cs="Courier New"/>
      <w:szCs w:val="21"/>
    </w:rPr>
  </w:style>
  <w:style w:type="character" w:customStyle="1" w:styleId="52">
    <w:name w:val="页脚 Char"/>
    <w:qFormat/>
    <w:uiPriority w:val="99"/>
    <w:rPr>
      <w:lang w:eastAsia="zh-CN"/>
    </w:rPr>
  </w:style>
  <w:style w:type="paragraph" w:customStyle="1" w:styleId="53">
    <w:name w:val="默认段落字体 Para Char Char Char Char Char Char Char Char Char1 Char Char Char Char"/>
    <w:basedOn w:val="1"/>
    <w:qFormat/>
    <w:uiPriority w:val="0"/>
    <w:rPr>
      <w:rFonts w:ascii="Tahoma" w:hAnsi="Tahoma"/>
      <w:sz w:val="24"/>
      <w:szCs w:val="20"/>
    </w:rPr>
  </w:style>
  <w:style w:type="paragraph" w:customStyle="1" w:styleId="54">
    <w:name w:val="表内文字"/>
    <w:basedOn w:val="1"/>
    <w:qFormat/>
    <w:uiPriority w:val="0"/>
    <w:pPr>
      <w:snapToGrid w:val="0"/>
      <w:spacing w:before="50" w:after="50"/>
      <w:jc w:val="center"/>
    </w:pPr>
    <w:rPr>
      <w:rFonts w:ascii="仿宋_GB2312" w:hAnsi="宋体" w:eastAsia="仿宋_GB2312"/>
      <w:b/>
      <w:color w:val="000000"/>
      <w:sz w:val="32"/>
      <w:szCs w:val="32"/>
    </w:rPr>
  </w:style>
  <w:style w:type="paragraph" w:styleId="55">
    <w:name w:val="List Paragraph"/>
    <w:basedOn w:val="1"/>
    <w:qFormat/>
    <w:uiPriority w:val="34"/>
    <w:pPr>
      <w:ind w:firstLine="420" w:firstLineChars="200"/>
    </w:pPr>
  </w:style>
  <w:style w:type="paragraph" w:customStyle="1" w:styleId="56">
    <w:name w:val="Table Paragraph"/>
    <w:basedOn w:val="1"/>
    <w:qFormat/>
    <w:uiPriority w:val="1"/>
    <w:pPr>
      <w:jc w:val="left"/>
    </w:pPr>
    <w:rPr>
      <w:rFonts w:ascii="Calibri" w:hAnsi="Calibri" w:eastAsia="宋体" w:cs="Times New Roman"/>
      <w:kern w:val="0"/>
      <w:sz w:val="22"/>
      <w:szCs w:val="22"/>
      <w:lang w:eastAsia="en-US"/>
    </w:rPr>
  </w:style>
  <w:style w:type="character" w:customStyle="1" w:styleId="57">
    <w:name w:val="批注文字 Char1"/>
    <w:qFormat/>
    <w:uiPriority w:val="0"/>
    <w:rPr>
      <w:rFonts w:ascii="Times New Roman" w:hAnsi="Times New Roman"/>
      <w:kern w:val="2"/>
      <w:sz w:val="21"/>
      <w:szCs w:val="24"/>
    </w:rPr>
  </w:style>
  <w:style w:type="character" w:customStyle="1" w:styleId="58">
    <w:name w:val="批注文字 字符2"/>
    <w:qFormat/>
    <w:uiPriority w:val="0"/>
    <w:rPr>
      <w:rFonts w:ascii="Times New Roman" w:hAnsi="Times New Roman"/>
      <w:kern w:val="2"/>
      <w:sz w:val="21"/>
      <w:szCs w:val="24"/>
    </w:rPr>
  </w:style>
  <w:style w:type="character" w:customStyle="1" w:styleId="59">
    <w:name w:val="正文文本 (26) + 间距 0 pt"/>
    <w:qFormat/>
    <w:uiPriority w:val="0"/>
    <w:rPr>
      <w:rFonts w:hint="eastAsia" w:ascii="宋体" w:hAnsi="宋体" w:eastAsia="宋体" w:cs="宋体"/>
      <w:color w:val="000000"/>
      <w:spacing w:val="0"/>
      <w:w w:val="100"/>
      <w:position w:val="0"/>
      <w:sz w:val="22"/>
      <w:szCs w:val="22"/>
      <w:u w:val="none"/>
      <w:lang w:val="zh-CN" w:eastAsia="zh-CN" w:bidi="zh-CN"/>
    </w:rPr>
  </w:style>
  <w:style w:type="character" w:customStyle="1" w:styleId="60">
    <w:name w:val="纯文本 Char1"/>
    <w:qFormat/>
    <w:uiPriority w:val="0"/>
    <w:rPr>
      <w:rFonts w:ascii="宋体" w:hAnsi="Courier New" w:eastAsia="宋体" w:cs="Courier New"/>
      <w:szCs w:val="21"/>
    </w:rPr>
  </w:style>
  <w:style w:type="character" w:customStyle="1" w:styleId="61">
    <w:name w:val="批注文字 Char2"/>
    <w:qFormat/>
    <w:uiPriority w:val="0"/>
    <w:rPr>
      <w:rFonts w:ascii="Times New Roman" w:hAnsi="Times New Roman"/>
      <w:kern w:val="2"/>
      <w:sz w:val="21"/>
      <w:szCs w:val="24"/>
    </w:rPr>
  </w:style>
  <w:style w:type="character" w:customStyle="1" w:styleId="62">
    <w:name w:val="正文2 Char Char"/>
    <w:link w:val="63"/>
    <w:qFormat/>
    <w:uiPriority w:val="0"/>
    <w:rPr>
      <w:kern w:val="2"/>
      <w:sz w:val="24"/>
    </w:rPr>
  </w:style>
  <w:style w:type="paragraph" w:customStyle="1" w:styleId="63">
    <w:name w:val="正文2"/>
    <w:basedOn w:val="1"/>
    <w:link w:val="62"/>
    <w:qFormat/>
    <w:uiPriority w:val="0"/>
    <w:pPr>
      <w:adjustRightInd w:val="0"/>
      <w:spacing w:before="156" w:line="360" w:lineRule="auto"/>
      <w:ind w:firstLine="510" w:firstLineChars="200"/>
    </w:pPr>
    <w:rPr>
      <w:sz w:val="24"/>
      <w:szCs w:val="20"/>
    </w:rPr>
  </w:style>
  <w:style w:type="character" w:customStyle="1" w:styleId="64">
    <w:name w:val="纯文本 字符4"/>
    <w:qFormat/>
    <w:uiPriority w:val="0"/>
    <w:rPr>
      <w:rFonts w:ascii="宋体" w:hAnsi="Courier New" w:eastAsia="宋体" w:cs="Courier New"/>
      <w:szCs w:val="21"/>
    </w:rPr>
  </w:style>
  <w:style w:type="character" w:customStyle="1" w:styleId="65">
    <w:name w:val="批注文字 字符3"/>
    <w:qFormat/>
    <w:uiPriority w:val="0"/>
    <w:rPr>
      <w:rFonts w:ascii="Times New Roman" w:hAnsi="Times New Roman"/>
      <w:kern w:val="2"/>
      <w:sz w:val="21"/>
      <w:szCs w:val="24"/>
    </w:rPr>
  </w:style>
  <w:style w:type="paragraph" w:customStyle="1" w:styleId="66">
    <w:name w:val="PlainText"/>
    <w:basedOn w:val="1"/>
    <w:qFormat/>
    <w:uiPriority w:val="0"/>
    <w:pPr>
      <w:textAlignment w:val="baseline"/>
    </w:pPr>
    <w:rPr>
      <w:rFonts w:ascii="宋体" w:hAnsi="Courier New"/>
      <w:szCs w:val="21"/>
    </w:rPr>
  </w:style>
  <w:style w:type="character" w:customStyle="1" w:styleId="67">
    <w:name w:val="标题 5 Char1"/>
    <w:qFormat/>
    <w:uiPriority w:val="0"/>
    <w:rPr>
      <w:b/>
      <w:kern w:val="2"/>
      <w:sz w:val="28"/>
      <w:szCs w:val="24"/>
    </w:rPr>
  </w:style>
  <w:style w:type="character" w:customStyle="1" w:styleId="68">
    <w:name w:val="标题 1 字符1"/>
    <w:qFormat/>
    <w:uiPriority w:val="0"/>
    <w:rPr>
      <w:b/>
      <w:bCs/>
      <w:kern w:val="44"/>
      <w:sz w:val="44"/>
      <w:szCs w:val="44"/>
    </w:rPr>
  </w:style>
  <w:style w:type="character" w:customStyle="1" w:styleId="69">
    <w:name w:val="批注文字 字符"/>
    <w:qFormat/>
    <w:uiPriority w:val="0"/>
    <w:rPr>
      <w:kern w:val="2"/>
      <w:sz w:val="21"/>
      <w:szCs w:val="24"/>
    </w:rPr>
  </w:style>
  <w:style w:type="paragraph" w:customStyle="1" w:styleId="70">
    <w:name w:val="产品介绍目录"/>
    <w:basedOn w:val="1"/>
    <w:qFormat/>
    <w:uiPriority w:val="0"/>
    <w:pPr>
      <w:spacing w:beforeLines="50" w:afterLines="50"/>
      <w:ind w:left="1697" w:hanging="420"/>
    </w:pPr>
    <w:rPr>
      <w:rFonts w:ascii="黑体" w:hAnsi="黑体" w:eastAsia="黑体"/>
      <w:sz w:val="24"/>
      <w:szCs w:val="24"/>
    </w:rPr>
  </w:style>
  <w:style w:type="paragraph" w:customStyle="1" w:styleId="71">
    <w:name w:val="小标题"/>
    <w:basedOn w:val="1"/>
    <w:qFormat/>
    <w:uiPriority w:val="0"/>
    <w:pPr>
      <w:tabs>
        <w:tab w:val="left" w:pos="900"/>
      </w:tabs>
      <w:spacing w:line="360" w:lineRule="auto"/>
      <w:ind w:left="900" w:hanging="720"/>
      <w:jc w:val="left"/>
    </w:pPr>
    <w:rPr>
      <w:rFonts w:ascii="宋体" w:hAnsi="宋体"/>
      <w:b/>
      <w:sz w:val="24"/>
      <w:szCs w:val="24"/>
    </w:rPr>
  </w:style>
  <w:style w:type="paragraph" w:customStyle="1" w:styleId="72">
    <w:name w:val="列出段落1"/>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1.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E:\&#24037;&#20316;&#25991;&#20214;\0all\&#24191;&#35199;&#22766;&#26063;&#33258;&#27835;&#21306;&#24037;&#19994;&#21644;&#20449;&#24687;&#21270;&#21381;\2026&#24180;&#39033;&#30446;\2026&#24180;&#24191;&#35199;&#26080;&#32447;&#30005;&#31649;&#29702;&#26426;&#21160;&#30417;&#27979;&#33021;&#21147;&#25552;&#21319;&#39033;&#30446;\&#65288;&#31532;&#19968;&#29256;&#65289;&#31454;&#20105;&#24615;&#35848;&#21028;&#25991;&#20214;-2026&#24180;&#24191;&#35199;&#26080;&#32447;&#30005;&#31649;&#29702;&#26426;&#21160;&#30417;&#27979;&#33021;&#21147;&#25552;&#21319;&#39033;&#30446;-&#20462;&#25913;.wp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游ゴシック Light"/>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（第一版）竞争性谈判文件-2026年广西无线电管理机动监测能力提升项目-修改.wpt</Template>
  <Pages>81</Pages>
  <Words>3513</Words>
  <Characters>4220</Characters>
  <Lines>541</Lines>
  <Paragraphs>152</Paragraphs>
  <TotalTime>21</TotalTime>
  <ScaleCrop>false</ScaleCrop>
  <LinksUpToDate>false</LinksUpToDate>
  <CharactersWithSpaces>4260</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2026-05-08T07:20:00Z</dcterms:created>
  <dc:creator>c</dc:creator>
  <cp:lastModifiedBy>C</cp:lastModifiedBy>
  <dcterms:modified xsi:type="dcterms:W3CDTF">2026-05-20T00:32:51Z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753B312E173D44178BEEA199412EE869_13</vt:lpwstr>
  </property>
  <property fmtid="{D5CDD505-2E9C-101B-9397-08002B2CF9AE}" pid="4" name="KSOTemplateDocerSaveRecord">
    <vt:lpwstr>eyJoZGlkIjoiMDY4MDVlYTNjYjkwZjVhZGZiNGM0MmE1ZWU4ZTg5OTAiLCJ1c2VySWQiOiI1MTA2MDEwNDcifQ==</vt:lpwstr>
  </property>
</Properties>
</file>