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6091A">
      <w:pPr>
        <w:pStyle w:val="43"/>
        <w:numPr>
          <w:ilvl w:val="0"/>
          <w:numId w:val="0"/>
        </w:numPr>
        <w:jc w:val="both"/>
        <w:outlineLvl w:val="9"/>
      </w:pPr>
    </w:p>
    <w:p w14:paraId="36EFF5CA">
      <w:pPr>
        <w:pStyle w:val="42"/>
        <w:ind w:firstLine="480"/>
      </w:pPr>
    </w:p>
    <w:p w14:paraId="656BE374">
      <w:pPr>
        <w:pStyle w:val="42"/>
        <w:ind w:firstLine="480"/>
      </w:pPr>
    </w:p>
    <w:p w14:paraId="60834D03">
      <w:pPr>
        <w:pStyle w:val="42"/>
        <w:ind w:firstLine="0" w:firstLineChars="0"/>
      </w:pPr>
    </w:p>
    <w:p w14:paraId="089C5464">
      <w:pPr>
        <w:pStyle w:val="42"/>
        <w:ind w:firstLine="0" w:firstLineChars="0"/>
        <w:jc w:val="center"/>
        <w:rPr>
          <w:color w:val="00B050"/>
          <w:sz w:val="52"/>
          <w:szCs w:val="52"/>
          <w:lang w:eastAsia="zh-CN"/>
        </w:rPr>
      </w:pPr>
      <w:r>
        <w:rPr>
          <w:rFonts w:hint="eastAsia"/>
          <w:color w:val="auto"/>
          <w:sz w:val="52"/>
          <w:szCs w:val="52"/>
          <w:lang w:eastAsia="zh-CN"/>
        </w:rPr>
        <w:t>浙江省测绘科学技术研究院</w:t>
      </w:r>
    </w:p>
    <w:p w14:paraId="5EB603AA">
      <w:pPr>
        <w:pStyle w:val="42"/>
        <w:ind w:firstLine="0" w:firstLineChars="0"/>
        <w:jc w:val="center"/>
        <w:rPr>
          <w:sz w:val="52"/>
          <w:szCs w:val="52"/>
          <w:lang w:eastAsia="zh-CN"/>
        </w:rPr>
      </w:pPr>
      <w:r>
        <w:rPr>
          <w:rFonts w:hint="eastAsia" w:cs="Arial"/>
          <w:color w:val="auto"/>
          <w:kern w:val="0"/>
          <w:sz w:val="52"/>
          <w:szCs w:val="52"/>
          <w:lang w:eastAsia="zh-CN"/>
        </w:rPr>
        <w:t>2026年跨省北斗定位漫游服务和北斗应用终端标准数据服务</w:t>
      </w:r>
      <w:r>
        <w:rPr>
          <w:rFonts w:hint="eastAsia" w:cs="Arial"/>
          <w:kern w:val="0"/>
          <w:sz w:val="52"/>
          <w:szCs w:val="52"/>
        </w:rPr>
        <w:t>项目</w:t>
      </w:r>
    </w:p>
    <w:p w14:paraId="6A45D355">
      <w:pPr>
        <w:pStyle w:val="42"/>
        <w:ind w:firstLine="0" w:firstLineChars="0"/>
        <w:jc w:val="center"/>
        <w:rPr>
          <w:rFonts w:hint="eastAsia"/>
          <w:sz w:val="84"/>
          <w:szCs w:val="84"/>
          <w:lang w:eastAsia="zh-CN"/>
        </w:rPr>
      </w:pPr>
    </w:p>
    <w:p w14:paraId="4BDA32A6">
      <w:pPr>
        <w:pStyle w:val="42"/>
        <w:ind w:firstLine="0" w:firstLineChars="0"/>
        <w:jc w:val="center"/>
        <w:rPr>
          <w:sz w:val="84"/>
          <w:szCs w:val="84"/>
        </w:rPr>
      </w:pPr>
      <w:r>
        <w:rPr>
          <w:rFonts w:hint="eastAsia"/>
          <w:sz w:val="84"/>
          <w:szCs w:val="84"/>
          <w:lang w:eastAsia="zh-CN"/>
        </w:rPr>
        <w:t>公开招标采购文件</w:t>
      </w:r>
    </w:p>
    <w:p w14:paraId="5A62EE3B">
      <w:pPr>
        <w:pStyle w:val="42"/>
        <w:ind w:firstLine="0" w:firstLineChars="0"/>
        <w:rPr>
          <w:lang w:eastAsia="zh-CN"/>
        </w:rPr>
      </w:pPr>
    </w:p>
    <w:p w14:paraId="0ED5B709">
      <w:pPr>
        <w:pStyle w:val="42"/>
        <w:ind w:firstLine="0" w:firstLineChars="0"/>
        <w:jc w:val="center"/>
        <w:rPr>
          <w:sz w:val="52"/>
          <w:szCs w:val="52"/>
          <w:lang w:eastAsia="zh-CN"/>
        </w:rPr>
      </w:pPr>
      <w:r>
        <w:rPr>
          <w:rFonts w:hint="eastAsia"/>
          <w:sz w:val="52"/>
          <w:szCs w:val="52"/>
          <w:lang w:eastAsia="zh-CN"/>
        </w:rPr>
        <w:t>【电子交易】</w:t>
      </w:r>
    </w:p>
    <w:p w14:paraId="1CEB0C8F">
      <w:pPr>
        <w:pStyle w:val="42"/>
        <w:ind w:firstLine="480"/>
      </w:pPr>
    </w:p>
    <w:p w14:paraId="359EE77A">
      <w:pPr>
        <w:pStyle w:val="42"/>
        <w:ind w:firstLine="0" w:firstLineChars="0"/>
        <w:rPr>
          <w:lang w:eastAsia="zh-CN"/>
        </w:rPr>
      </w:pPr>
    </w:p>
    <w:p w14:paraId="7D80555B">
      <w:pPr>
        <w:pStyle w:val="42"/>
        <w:ind w:firstLine="0" w:firstLineChars="0"/>
        <w:rPr>
          <w:lang w:eastAsia="zh-CN"/>
        </w:rPr>
      </w:pPr>
    </w:p>
    <w:tbl>
      <w:tblPr>
        <w:tblStyle w:val="27"/>
        <w:tblW w:w="8522" w:type="dxa"/>
        <w:jc w:val="center"/>
        <w:tblLayout w:type="fixed"/>
        <w:tblCellMar>
          <w:top w:w="0" w:type="dxa"/>
          <w:left w:w="108" w:type="dxa"/>
          <w:bottom w:w="0" w:type="dxa"/>
          <w:right w:w="108" w:type="dxa"/>
        </w:tblCellMar>
      </w:tblPr>
      <w:tblGrid>
        <w:gridCol w:w="1952"/>
        <w:gridCol w:w="6570"/>
      </w:tblGrid>
      <w:tr w14:paraId="0B58123A">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076F53E6">
            <w:pPr>
              <w:pStyle w:val="42"/>
              <w:ind w:firstLine="0" w:firstLineChars="0"/>
              <w:rPr>
                <w:sz w:val="32"/>
                <w:szCs w:val="32"/>
              </w:rPr>
            </w:pPr>
            <w:r>
              <w:rPr>
                <w:rFonts w:hint="eastAsia"/>
                <w:sz w:val="32"/>
                <w:szCs w:val="32"/>
              </w:rPr>
              <w:t>项目编号：</w:t>
            </w:r>
          </w:p>
        </w:tc>
        <w:tc>
          <w:tcPr>
            <w:tcW w:w="6570" w:type="dxa"/>
            <w:tcBorders>
              <w:top w:val="nil"/>
              <w:left w:val="nil"/>
              <w:bottom w:val="nil"/>
              <w:right w:val="nil"/>
            </w:tcBorders>
            <w:vAlign w:val="center"/>
          </w:tcPr>
          <w:p w14:paraId="4C083729">
            <w:pPr>
              <w:pStyle w:val="42"/>
              <w:ind w:firstLine="0" w:firstLineChars="0"/>
              <w:rPr>
                <w:rFonts w:cs="Arial"/>
                <w:color w:val="auto"/>
                <w:kern w:val="0"/>
                <w:sz w:val="32"/>
                <w:szCs w:val="32"/>
              </w:rPr>
            </w:pPr>
            <w:r>
              <w:rPr>
                <w:rFonts w:hint="eastAsia" w:cs="Arial"/>
                <w:color w:val="auto"/>
                <w:kern w:val="0"/>
                <w:sz w:val="32"/>
                <w:szCs w:val="32"/>
                <w:lang w:eastAsia="zh-CN"/>
              </w:rPr>
              <w:t>330000263130150000171-ZQ260319ZG</w:t>
            </w:r>
          </w:p>
        </w:tc>
      </w:tr>
      <w:tr w14:paraId="50E9D232">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7B0CB4CF">
            <w:pPr>
              <w:pStyle w:val="42"/>
              <w:ind w:firstLine="0" w:firstLineChars="0"/>
              <w:rPr>
                <w:sz w:val="32"/>
                <w:szCs w:val="32"/>
              </w:rPr>
            </w:pPr>
            <w:r>
              <w:rPr>
                <w:rFonts w:hint="eastAsia"/>
                <w:sz w:val="32"/>
                <w:szCs w:val="32"/>
              </w:rPr>
              <w:t>采 购 人：</w:t>
            </w:r>
          </w:p>
        </w:tc>
        <w:tc>
          <w:tcPr>
            <w:tcW w:w="6570" w:type="dxa"/>
            <w:tcBorders>
              <w:top w:val="nil"/>
              <w:left w:val="nil"/>
              <w:bottom w:val="nil"/>
              <w:right w:val="nil"/>
            </w:tcBorders>
            <w:vAlign w:val="center"/>
          </w:tcPr>
          <w:p w14:paraId="0AAC73C9">
            <w:pPr>
              <w:pStyle w:val="42"/>
              <w:ind w:firstLine="0" w:firstLineChars="0"/>
              <w:rPr>
                <w:rFonts w:cs="Arial"/>
                <w:color w:val="auto"/>
                <w:kern w:val="0"/>
                <w:sz w:val="32"/>
                <w:szCs w:val="32"/>
              </w:rPr>
            </w:pPr>
            <w:r>
              <w:rPr>
                <w:rFonts w:hint="eastAsia" w:cs="Arial"/>
                <w:color w:val="auto"/>
                <w:kern w:val="0"/>
                <w:sz w:val="32"/>
                <w:szCs w:val="32"/>
                <w:lang w:eastAsia="zh-CN"/>
              </w:rPr>
              <w:t>浙江省测绘科学技术研究院</w:t>
            </w:r>
          </w:p>
        </w:tc>
      </w:tr>
      <w:tr w14:paraId="2177F9D9">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191D96A3">
            <w:pPr>
              <w:pStyle w:val="42"/>
              <w:ind w:firstLine="0" w:firstLineChars="0"/>
              <w:rPr>
                <w:sz w:val="32"/>
                <w:szCs w:val="32"/>
              </w:rPr>
            </w:pPr>
            <w:r>
              <w:rPr>
                <w:rFonts w:hint="eastAsia"/>
                <w:sz w:val="32"/>
                <w:szCs w:val="32"/>
              </w:rPr>
              <w:t>代理机构：</w:t>
            </w:r>
          </w:p>
        </w:tc>
        <w:tc>
          <w:tcPr>
            <w:tcW w:w="6570" w:type="dxa"/>
            <w:tcBorders>
              <w:top w:val="nil"/>
              <w:left w:val="nil"/>
              <w:bottom w:val="nil"/>
              <w:right w:val="nil"/>
            </w:tcBorders>
            <w:vAlign w:val="center"/>
          </w:tcPr>
          <w:p w14:paraId="394D5AB3">
            <w:pPr>
              <w:pStyle w:val="42"/>
              <w:ind w:firstLine="0" w:firstLineChars="0"/>
              <w:rPr>
                <w:rFonts w:cs="Arial"/>
                <w:color w:val="auto"/>
                <w:kern w:val="0"/>
                <w:sz w:val="32"/>
                <w:szCs w:val="32"/>
              </w:rPr>
            </w:pPr>
            <w:r>
              <w:rPr>
                <w:rFonts w:hint="eastAsia" w:cs="Arial"/>
                <w:color w:val="auto"/>
                <w:kern w:val="0"/>
                <w:sz w:val="32"/>
                <w:szCs w:val="32"/>
              </w:rPr>
              <w:t>浙江</w:t>
            </w:r>
            <w:r>
              <w:rPr>
                <w:rFonts w:hint="eastAsia" w:cs="Arial"/>
                <w:color w:val="auto"/>
                <w:kern w:val="0"/>
                <w:sz w:val="32"/>
                <w:szCs w:val="32"/>
                <w:lang w:eastAsia="zh-CN"/>
              </w:rPr>
              <w:t>中勤招标代理有限公司</w:t>
            </w:r>
          </w:p>
        </w:tc>
      </w:tr>
      <w:tr w14:paraId="1D3EE8C9">
        <w:tblPrEx>
          <w:tblCellMar>
            <w:top w:w="0" w:type="dxa"/>
            <w:left w:w="108" w:type="dxa"/>
            <w:bottom w:w="0" w:type="dxa"/>
            <w:right w:w="108" w:type="dxa"/>
          </w:tblCellMar>
        </w:tblPrEx>
        <w:trPr>
          <w:trHeight w:val="680" w:hRule="atLeast"/>
          <w:jc w:val="center"/>
        </w:trPr>
        <w:tc>
          <w:tcPr>
            <w:tcW w:w="1952" w:type="dxa"/>
            <w:tcBorders>
              <w:top w:val="nil"/>
              <w:left w:val="nil"/>
              <w:bottom w:val="nil"/>
              <w:right w:val="nil"/>
            </w:tcBorders>
            <w:vAlign w:val="center"/>
          </w:tcPr>
          <w:p w14:paraId="7D528B2A">
            <w:pPr>
              <w:pStyle w:val="42"/>
              <w:ind w:firstLine="0" w:firstLineChars="0"/>
              <w:rPr>
                <w:sz w:val="32"/>
                <w:szCs w:val="32"/>
              </w:rPr>
            </w:pPr>
            <w:r>
              <w:rPr>
                <w:rFonts w:hint="eastAsia"/>
                <w:sz w:val="32"/>
                <w:szCs w:val="32"/>
              </w:rPr>
              <w:t>日    期：</w:t>
            </w:r>
          </w:p>
        </w:tc>
        <w:tc>
          <w:tcPr>
            <w:tcW w:w="6570" w:type="dxa"/>
            <w:tcBorders>
              <w:top w:val="nil"/>
              <w:left w:val="nil"/>
              <w:bottom w:val="nil"/>
              <w:right w:val="nil"/>
            </w:tcBorders>
            <w:vAlign w:val="center"/>
          </w:tcPr>
          <w:p w14:paraId="1C4830CE">
            <w:pPr>
              <w:pStyle w:val="42"/>
              <w:ind w:firstLine="0" w:firstLineChars="0"/>
              <w:rPr>
                <w:rFonts w:cs="Arial"/>
                <w:kern w:val="0"/>
                <w:sz w:val="32"/>
                <w:szCs w:val="32"/>
              </w:rPr>
            </w:pPr>
            <w:r>
              <w:rPr>
                <w:rFonts w:hint="eastAsia" w:cs="Arial"/>
                <w:kern w:val="0"/>
                <w:sz w:val="32"/>
                <w:szCs w:val="32"/>
              </w:rPr>
              <w:t>二○</w:t>
            </w:r>
            <w:r>
              <w:rPr>
                <w:rFonts w:hint="eastAsia" w:cs="Arial"/>
                <w:kern w:val="0"/>
                <w:sz w:val="32"/>
                <w:szCs w:val="32"/>
                <w:lang w:val="en-US" w:eastAsia="zh-CN"/>
              </w:rPr>
              <w:t>二六</w:t>
            </w:r>
            <w:r>
              <w:rPr>
                <w:rFonts w:hint="eastAsia" w:cs="Arial"/>
                <w:kern w:val="0"/>
                <w:sz w:val="32"/>
                <w:szCs w:val="32"/>
              </w:rPr>
              <w:t>年</w:t>
            </w:r>
            <w:r>
              <w:rPr>
                <w:rFonts w:hint="eastAsia" w:cs="Arial"/>
                <w:kern w:val="0"/>
                <w:sz w:val="32"/>
                <w:szCs w:val="32"/>
                <w:lang w:val="en-US" w:eastAsia="zh-CN"/>
              </w:rPr>
              <w:t>五</w:t>
            </w:r>
            <w:r>
              <w:rPr>
                <w:rFonts w:hint="eastAsia" w:cs="Arial"/>
                <w:kern w:val="0"/>
                <w:sz w:val="32"/>
                <w:szCs w:val="32"/>
              </w:rPr>
              <w:t>月</w:t>
            </w:r>
          </w:p>
        </w:tc>
      </w:tr>
    </w:tbl>
    <w:p w14:paraId="6CE7D3E4">
      <w:pPr>
        <w:pStyle w:val="42"/>
        <w:ind w:firstLine="0" w:firstLineChars="0"/>
      </w:pPr>
    </w:p>
    <w:p w14:paraId="7EC60589">
      <w:pPr>
        <w:pStyle w:val="42"/>
        <w:ind w:firstLine="480"/>
        <w:rPr>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14:paraId="0F0BB274">
      <w:pPr>
        <w:pStyle w:val="42"/>
        <w:ind w:firstLine="0" w:firstLineChars="0"/>
        <w:jc w:val="center"/>
        <w:rPr>
          <w:rFonts w:hint="eastAsia"/>
          <w:lang w:eastAsia="zh-CN"/>
        </w:rPr>
      </w:pPr>
      <w:r>
        <w:rPr>
          <w:rFonts w:hint="eastAsia" w:ascii="黑体" w:hAnsi="黑体" w:eastAsia="黑体"/>
          <w:sz w:val="36"/>
          <w:szCs w:val="36"/>
        </w:rPr>
        <w:t xml:space="preserve">目 </w:t>
      </w:r>
      <w:r>
        <w:rPr>
          <w:rFonts w:ascii="黑体" w:hAnsi="黑体" w:eastAsia="黑体"/>
          <w:sz w:val="36"/>
          <w:szCs w:val="36"/>
        </w:rPr>
        <w:t xml:space="preserve"> </w:t>
      </w:r>
      <w:r>
        <w:rPr>
          <w:rFonts w:hint="eastAsia" w:ascii="黑体" w:hAnsi="黑体" w:eastAsia="黑体"/>
          <w:sz w:val="36"/>
          <w:szCs w:val="36"/>
        </w:rPr>
        <w:t>录</w:t>
      </w:r>
    </w:p>
    <w:p w14:paraId="6C9CDBF6">
      <w:pPr>
        <w:pStyle w:val="22"/>
        <w:tabs>
          <w:tab w:val="right" w:leader="dot" w:pos="8306"/>
        </w:tabs>
        <w:spacing w:line="360" w:lineRule="auto"/>
        <w:rPr>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Fonts w:hint="eastAsia" w:ascii="宋体" w:hAnsi="宋体" w:cs="宋体"/>
          <w:sz w:val="24"/>
          <w:szCs w:val="24"/>
        </w:rPr>
        <w:instrText xml:space="preserve"> HYPERLINK \l _Toc23234 </w:instrText>
      </w:r>
      <w:r>
        <w:rPr>
          <w:rFonts w:hint="eastAsia" w:ascii="宋体" w:hAnsi="宋体" w:cs="宋体"/>
          <w:sz w:val="24"/>
          <w:szCs w:val="24"/>
        </w:rPr>
        <w:fldChar w:fldCharType="separate"/>
      </w:r>
      <w:r>
        <w:rPr>
          <w:rFonts w:hint="eastAsia" w:ascii="黑体" w:hAnsi="黑体" w:eastAsia="黑体" w:cs="宋体"/>
          <w:i w:val="0"/>
          <w:sz w:val="24"/>
          <w:szCs w:val="24"/>
        </w:rPr>
        <w:t xml:space="preserve">第一章 </w:t>
      </w:r>
      <w:r>
        <w:rPr>
          <w:rFonts w:hint="eastAsia"/>
          <w:sz w:val="24"/>
          <w:szCs w:val="24"/>
        </w:rPr>
        <w:t>招标公告</w:t>
      </w:r>
      <w:r>
        <w:rPr>
          <w:sz w:val="24"/>
          <w:szCs w:val="24"/>
        </w:rPr>
        <w:tab/>
      </w:r>
      <w:r>
        <w:rPr>
          <w:sz w:val="24"/>
          <w:szCs w:val="24"/>
        </w:rPr>
        <w:fldChar w:fldCharType="begin"/>
      </w:r>
      <w:r>
        <w:rPr>
          <w:sz w:val="24"/>
          <w:szCs w:val="24"/>
        </w:rPr>
        <w:instrText xml:space="preserve"> PAGEREF _Toc23234 \h </w:instrText>
      </w:r>
      <w:r>
        <w:rPr>
          <w:sz w:val="24"/>
          <w:szCs w:val="24"/>
        </w:rPr>
        <w:fldChar w:fldCharType="separate"/>
      </w:r>
      <w:r>
        <w:rPr>
          <w:sz w:val="24"/>
          <w:szCs w:val="24"/>
        </w:rPr>
        <w:t>- 1 -</w:t>
      </w:r>
      <w:r>
        <w:rPr>
          <w:sz w:val="24"/>
          <w:szCs w:val="24"/>
        </w:rPr>
        <w:fldChar w:fldCharType="end"/>
      </w:r>
      <w:r>
        <w:rPr>
          <w:rFonts w:hint="eastAsia" w:ascii="宋体" w:hAnsi="宋体" w:cs="宋体"/>
          <w:sz w:val="24"/>
          <w:szCs w:val="24"/>
        </w:rPr>
        <w:fldChar w:fldCharType="end"/>
      </w:r>
    </w:p>
    <w:p w14:paraId="14FE455B">
      <w:pPr>
        <w:pStyle w:val="22"/>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_Toc7443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第二章 </w:t>
      </w:r>
      <w:r>
        <w:rPr>
          <w:rFonts w:hint="eastAsia"/>
          <w:sz w:val="24"/>
          <w:szCs w:val="24"/>
          <w:lang w:eastAsia="zh-CN"/>
        </w:rPr>
        <w:t>投标人须知</w:t>
      </w:r>
      <w:r>
        <w:rPr>
          <w:sz w:val="24"/>
          <w:szCs w:val="24"/>
        </w:rPr>
        <w:tab/>
      </w:r>
      <w:r>
        <w:rPr>
          <w:sz w:val="24"/>
          <w:szCs w:val="24"/>
        </w:rPr>
        <w:fldChar w:fldCharType="begin"/>
      </w:r>
      <w:r>
        <w:rPr>
          <w:sz w:val="24"/>
          <w:szCs w:val="24"/>
        </w:rPr>
        <w:instrText xml:space="preserve"> PAGEREF _Toc7443 \h </w:instrText>
      </w:r>
      <w:r>
        <w:rPr>
          <w:sz w:val="24"/>
          <w:szCs w:val="24"/>
        </w:rPr>
        <w:fldChar w:fldCharType="separate"/>
      </w:r>
      <w:r>
        <w:rPr>
          <w:sz w:val="24"/>
          <w:szCs w:val="24"/>
        </w:rPr>
        <w:t>- 6 -</w:t>
      </w:r>
      <w:r>
        <w:rPr>
          <w:sz w:val="24"/>
          <w:szCs w:val="24"/>
        </w:rPr>
        <w:fldChar w:fldCharType="end"/>
      </w:r>
      <w:r>
        <w:rPr>
          <w:rFonts w:hint="eastAsia" w:cs="宋体"/>
          <w:sz w:val="24"/>
          <w:szCs w:val="24"/>
          <w:lang w:eastAsia="zh-CN"/>
        </w:rPr>
        <w:fldChar w:fldCharType="end"/>
      </w:r>
    </w:p>
    <w:p w14:paraId="137F7D8C">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_Toc30143 </w:instrText>
      </w:r>
      <w:r>
        <w:rPr>
          <w:rFonts w:hint="eastAsia" w:cs="宋体"/>
          <w:sz w:val="24"/>
          <w:szCs w:val="24"/>
          <w:lang w:eastAsia="zh-CN"/>
        </w:rPr>
        <w:fldChar w:fldCharType="separate"/>
      </w:r>
      <w:r>
        <w:rPr>
          <w:rFonts w:hint="eastAsia"/>
          <w:sz w:val="24"/>
          <w:szCs w:val="24"/>
          <w:lang w:eastAsia="zh-CN"/>
        </w:rPr>
        <w:t>前附表</w:t>
      </w:r>
      <w:r>
        <w:rPr>
          <w:sz w:val="24"/>
          <w:szCs w:val="24"/>
        </w:rPr>
        <w:tab/>
      </w:r>
      <w:r>
        <w:rPr>
          <w:sz w:val="24"/>
          <w:szCs w:val="24"/>
        </w:rPr>
        <w:fldChar w:fldCharType="begin"/>
      </w:r>
      <w:r>
        <w:rPr>
          <w:sz w:val="24"/>
          <w:szCs w:val="24"/>
        </w:rPr>
        <w:instrText xml:space="preserve"> PAGEREF _Toc30143 \h </w:instrText>
      </w:r>
      <w:r>
        <w:rPr>
          <w:sz w:val="24"/>
          <w:szCs w:val="24"/>
        </w:rPr>
        <w:fldChar w:fldCharType="separate"/>
      </w:r>
      <w:r>
        <w:rPr>
          <w:sz w:val="24"/>
          <w:szCs w:val="24"/>
        </w:rPr>
        <w:t>- 6 -</w:t>
      </w:r>
      <w:r>
        <w:rPr>
          <w:sz w:val="24"/>
          <w:szCs w:val="24"/>
        </w:rPr>
        <w:fldChar w:fldCharType="end"/>
      </w:r>
      <w:r>
        <w:rPr>
          <w:rFonts w:hint="eastAsia" w:cs="宋体"/>
          <w:sz w:val="24"/>
          <w:szCs w:val="24"/>
          <w:lang w:eastAsia="zh-CN"/>
        </w:rPr>
        <w:fldChar w:fldCharType="end"/>
      </w:r>
    </w:p>
    <w:p w14:paraId="45DA6282">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_Toc7950 </w:instrText>
      </w:r>
      <w:r>
        <w:rPr>
          <w:rFonts w:hint="eastAsia" w:cs="宋体"/>
          <w:sz w:val="24"/>
          <w:szCs w:val="24"/>
          <w:lang w:eastAsia="zh-CN"/>
        </w:rPr>
        <w:fldChar w:fldCharType="separate"/>
      </w:r>
      <w:r>
        <w:rPr>
          <w:rFonts w:hint="eastAsia" w:ascii="黑体" w:hAnsi="黑体" w:eastAsia="黑体" w:cs="宋体"/>
          <w:i w:val="0"/>
          <w:sz w:val="24"/>
          <w:szCs w:val="24"/>
          <w:lang w:eastAsia="zh-CN"/>
        </w:rPr>
        <w:t xml:space="preserve">一、 </w:t>
      </w:r>
      <w:r>
        <w:rPr>
          <w:rFonts w:hint="eastAsia"/>
          <w:sz w:val="24"/>
          <w:szCs w:val="24"/>
        </w:rPr>
        <w:t>总 则</w:t>
      </w:r>
      <w:r>
        <w:rPr>
          <w:sz w:val="24"/>
          <w:szCs w:val="24"/>
        </w:rPr>
        <w:tab/>
      </w:r>
      <w:r>
        <w:rPr>
          <w:sz w:val="24"/>
          <w:szCs w:val="24"/>
        </w:rPr>
        <w:fldChar w:fldCharType="begin"/>
      </w:r>
      <w:r>
        <w:rPr>
          <w:sz w:val="24"/>
          <w:szCs w:val="24"/>
        </w:rPr>
        <w:instrText xml:space="preserve"> PAGEREF _Toc7950 \h </w:instrText>
      </w:r>
      <w:r>
        <w:rPr>
          <w:sz w:val="24"/>
          <w:szCs w:val="24"/>
        </w:rPr>
        <w:fldChar w:fldCharType="separate"/>
      </w:r>
      <w:r>
        <w:rPr>
          <w:sz w:val="24"/>
          <w:szCs w:val="24"/>
        </w:rPr>
        <w:t>- 10 -</w:t>
      </w:r>
      <w:r>
        <w:rPr>
          <w:sz w:val="24"/>
          <w:szCs w:val="24"/>
        </w:rPr>
        <w:fldChar w:fldCharType="end"/>
      </w:r>
      <w:r>
        <w:rPr>
          <w:rFonts w:hint="eastAsia" w:cs="宋体"/>
          <w:sz w:val="24"/>
          <w:szCs w:val="24"/>
          <w:lang w:eastAsia="zh-CN"/>
        </w:rPr>
        <w:fldChar w:fldCharType="end"/>
      </w:r>
    </w:p>
    <w:p w14:paraId="7013122F">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_Toc4758 </w:instrText>
      </w:r>
      <w:r>
        <w:rPr>
          <w:rFonts w:hint="eastAsia" w:cs="宋体"/>
          <w:sz w:val="24"/>
          <w:szCs w:val="24"/>
          <w:lang w:eastAsia="zh-CN"/>
        </w:rPr>
        <w:fldChar w:fldCharType="separate"/>
      </w:r>
      <w:r>
        <w:rPr>
          <w:rFonts w:hint="eastAsia" w:ascii="黑体" w:hAnsi="黑体" w:eastAsia="黑体" w:cs="宋体"/>
          <w:i w:val="0"/>
          <w:sz w:val="24"/>
          <w:szCs w:val="24"/>
        </w:rPr>
        <w:t xml:space="preserve">二、 </w:t>
      </w:r>
      <w:r>
        <w:rPr>
          <w:rFonts w:hint="eastAsia"/>
          <w:sz w:val="24"/>
          <w:szCs w:val="24"/>
        </w:rPr>
        <w:t>招标文件</w:t>
      </w:r>
      <w:r>
        <w:rPr>
          <w:sz w:val="24"/>
          <w:szCs w:val="24"/>
        </w:rPr>
        <w:tab/>
      </w:r>
      <w:r>
        <w:rPr>
          <w:sz w:val="24"/>
          <w:szCs w:val="24"/>
        </w:rPr>
        <w:fldChar w:fldCharType="begin"/>
      </w:r>
      <w:r>
        <w:rPr>
          <w:sz w:val="24"/>
          <w:szCs w:val="24"/>
        </w:rPr>
        <w:instrText xml:space="preserve"> PAGEREF _Toc4758 \h </w:instrText>
      </w:r>
      <w:r>
        <w:rPr>
          <w:sz w:val="24"/>
          <w:szCs w:val="24"/>
        </w:rPr>
        <w:fldChar w:fldCharType="separate"/>
      </w:r>
      <w:r>
        <w:rPr>
          <w:sz w:val="24"/>
          <w:szCs w:val="24"/>
        </w:rPr>
        <w:t>- 19 -</w:t>
      </w:r>
      <w:r>
        <w:rPr>
          <w:sz w:val="24"/>
          <w:szCs w:val="24"/>
        </w:rPr>
        <w:fldChar w:fldCharType="end"/>
      </w:r>
      <w:r>
        <w:rPr>
          <w:rFonts w:hint="eastAsia" w:cs="宋体"/>
          <w:sz w:val="24"/>
          <w:szCs w:val="24"/>
          <w:lang w:eastAsia="zh-CN"/>
        </w:rPr>
        <w:fldChar w:fldCharType="end"/>
      </w:r>
    </w:p>
    <w:p w14:paraId="42E9D998">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_Toc3407 </w:instrText>
      </w:r>
      <w:r>
        <w:rPr>
          <w:rFonts w:hint="eastAsia" w:cs="宋体"/>
          <w:sz w:val="24"/>
          <w:szCs w:val="24"/>
          <w:lang w:eastAsia="zh-CN"/>
        </w:rPr>
        <w:fldChar w:fldCharType="separate"/>
      </w:r>
      <w:r>
        <w:rPr>
          <w:rFonts w:hint="eastAsia" w:ascii="黑体" w:hAnsi="黑体" w:eastAsia="黑体" w:cs="宋体"/>
          <w:i w:val="0"/>
          <w:sz w:val="24"/>
          <w:szCs w:val="24"/>
        </w:rPr>
        <w:t xml:space="preserve">三、 </w:t>
      </w:r>
      <w:r>
        <w:rPr>
          <w:rFonts w:hint="eastAsia"/>
          <w:sz w:val="24"/>
          <w:szCs w:val="24"/>
        </w:rPr>
        <w:t>投标文件</w:t>
      </w:r>
      <w:r>
        <w:rPr>
          <w:sz w:val="24"/>
          <w:szCs w:val="24"/>
        </w:rPr>
        <w:tab/>
      </w:r>
      <w:r>
        <w:rPr>
          <w:sz w:val="24"/>
          <w:szCs w:val="24"/>
        </w:rPr>
        <w:fldChar w:fldCharType="begin"/>
      </w:r>
      <w:r>
        <w:rPr>
          <w:sz w:val="24"/>
          <w:szCs w:val="24"/>
        </w:rPr>
        <w:instrText xml:space="preserve"> PAGEREF _Toc3407 \h </w:instrText>
      </w:r>
      <w:r>
        <w:rPr>
          <w:sz w:val="24"/>
          <w:szCs w:val="24"/>
        </w:rPr>
        <w:fldChar w:fldCharType="separate"/>
      </w:r>
      <w:r>
        <w:rPr>
          <w:sz w:val="24"/>
          <w:szCs w:val="24"/>
        </w:rPr>
        <w:t>- 20 -</w:t>
      </w:r>
      <w:r>
        <w:rPr>
          <w:sz w:val="24"/>
          <w:szCs w:val="24"/>
        </w:rPr>
        <w:fldChar w:fldCharType="end"/>
      </w:r>
      <w:r>
        <w:rPr>
          <w:rFonts w:hint="eastAsia" w:cs="宋体"/>
          <w:sz w:val="24"/>
          <w:szCs w:val="24"/>
          <w:lang w:eastAsia="zh-CN"/>
        </w:rPr>
        <w:fldChar w:fldCharType="end"/>
      </w:r>
    </w:p>
    <w:p w14:paraId="129C5869">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_Toc29218 </w:instrText>
      </w:r>
      <w:r>
        <w:rPr>
          <w:rFonts w:hint="eastAsia" w:cs="宋体"/>
          <w:sz w:val="24"/>
          <w:szCs w:val="24"/>
          <w:lang w:eastAsia="zh-CN"/>
        </w:rPr>
        <w:fldChar w:fldCharType="separate"/>
      </w:r>
      <w:r>
        <w:rPr>
          <w:rFonts w:hint="eastAsia" w:ascii="黑体" w:hAnsi="黑体" w:eastAsia="黑体" w:cs="宋体"/>
          <w:i w:val="0"/>
          <w:sz w:val="24"/>
          <w:szCs w:val="24"/>
        </w:rPr>
        <w:t xml:space="preserve">四、 </w:t>
      </w:r>
      <w:r>
        <w:rPr>
          <w:rFonts w:hint="eastAsia"/>
          <w:sz w:val="24"/>
          <w:szCs w:val="24"/>
        </w:rPr>
        <w:t>投 标</w:t>
      </w:r>
      <w:r>
        <w:rPr>
          <w:sz w:val="24"/>
          <w:szCs w:val="24"/>
        </w:rPr>
        <w:tab/>
      </w:r>
      <w:r>
        <w:rPr>
          <w:sz w:val="24"/>
          <w:szCs w:val="24"/>
        </w:rPr>
        <w:fldChar w:fldCharType="begin"/>
      </w:r>
      <w:r>
        <w:rPr>
          <w:sz w:val="24"/>
          <w:szCs w:val="24"/>
        </w:rPr>
        <w:instrText xml:space="preserve"> PAGEREF _Toc29218 \h </w:instrText>
      </w:r>
      <w:r>
        <w:rPr>
          <w:sz w:val="24"/>
          <w:szCs w:val="24"/>
        </w:rPr>
        <w:fldChar w:fldCharType="separate"/>
      </w:r>
      <w:r>
        <w:rPr>
          <w:sz w:val="24"/>
          <w:szCs w:val="24"/>
        </w:rPr>
        <w:t>- 26 -</w:t>
      </w:r>
      <w:r>
        <w:rPr>
          <w:sz w:val="24"/>
          <w:szCs w:val="24"/>
        </w:rPr>
        <w:fldChar w:fldCharType="end"/>
      </w:r>
      <w:r>
        <w:rPr>
          <w:rFonts w:hint="eastAsia" w:cs="宋体"/>
          <w:sz w:val="24"/>
          <w:szCs w:val="24"/>
          <w:lang w:eastAsia="zh-CN"/>
        </w:rPr>
        <w:fldChar w:fldCharType="end"/>
      </w:r>
    </w:p>
    <w:p w14:paraId="55C59FB7">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_Toc1502 </w:instrText>
      </w:r>
      <w:r>
        <w:rPr>
          <w:rFonts w:hint="eastAsia" w:cs="宋体"/>
          <w:sz w:val="24"/>
          <w:szCs w:val="24"/>
          <w:lang w:eastAsia="zh-CN"/>
        </w:rPr>
        <w:fldChar w:fldCharType="separate"/>
      </w:r>
      <w:r>
        <w:rPr>
          <w:rFonts w:hint="eastAsia" w:ascii="黑体" w:hAnsi="黑体" w:eastAsia="黑体" w:cs="宋体"/>
          <w:i w:val="0"/>
          <w:sz w:val="24"/>
          <w:szCs w:val="24"/>
        </w:rPr>
        <w:t xml:space="preserve">五、 </w:t>
      </w:r>
      <w:r>
        <w:rPr>
          <w:rFonts w:hint="eastAsia"/>
          <w:sz w:val="24"/>
          <w:szCs w:val="24"/>
        </w:rPr>
        <w:t>开 标</w:t>
      </w:r>
      <w:r>
        <w:rPr>
          <w:sz w:val="24"/>
          <w:szCs w:val="24"/>
        </w:rPr>
        <w:tab/>
      </w:r>
      <w:r>
        <w:rPr>
          <w:sz w:val="24"/>
          <w:szCs w:val="24"/>
        </w:rPr>
        <w:fldChar w:fldCharType="begin"/>
      </w:r>
      <w:r>
        <w:rPr>
          <w:sz w:val="24"/>
          <w:szCs w:val="24"/>
        </w:rPr>
        <w:instrText xml:space="preserve"> PAGEREF _Toc1502 \h </w:instrText>
      </w:r>
      <w:r>
        <w:rPr>
          <w:sz w:val="24"/>
          <w:szCs w:val="24"/>
        </w:rPr>
        <w:fldChar w:fldCharType="separate"/>
      </w:r>
      <w:r>
        <w:rPr>
          <w:sz w:val="24"/>
          <w:szCs w:val="24"/>
        </w:rPr>
        <w:t>- 28 -</w:t>
      </w:r>
      <w:r>
        <w:rPr>
          <w:sz w:val="24"/>
          <w:szCs w:val="24"/>
        </w:rPr>
        <w:fldChar w:fldCharType="end"/>
      </w:r>
      <w:r>
        <w:rPr>
          <w:rFonts w:hint="eastAsia" w:cs="宋体"/>
          <w:sz w:val="24"/>
          <w:szCs w:val="24"/>
          <w:lang w:eastAsia="zh-CN"/>
        </w:rPr>
        <w:fldChar w:fldCharType="end"/>
      </w:r>
    </w:p>
    <w:p w14:paraId="0EEDA654">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_Toc126 </w:instrText>
      </w:r>
      <w:r>
        <w:rPr>
          <w:rFonts w:hint="eastAsia" w:cs="宋体"/>
          <w:sz w:val="24"/>
          <w:szCs w:val="24"/>
          <w:lang w:eastAsia="zh-CN"/>
        </w:rPr>
        <w:fldChar w:fldCharType="separate"/>
      </w:r>
      <w:r>
        <w:rPr>
          <w:rFonts w:hint="eastAsia" w:ascii="黑体" w:hAnsi="黑体" w:eastAsia="黑体" w:cs="宋体"/>
          <w:i w:val="0"/>
          <w:sz w:val="24"/>
          <w:szCs w:val="24"/>
        </w:rPr>
        <w:t xml:space="preserve">六、 </w:t>
      </w:r>
      <w:r>
        <w:rPr>
          <w:sz w:val="24"/>
          <w:szCs w:val="24"/>
        </w:rPr>
        <w:t>资格审查</w:t>
      </w:r>
      <w:r>
        <w:rPr>
          <w:sz w:val="24"/>
          <w:szCs w:val="24"/>
        </w:rPr>
        <w:tab/>
      </w:r>
      <w:r>
        <w:rPr>
          <w:sz w:val="24"/>
          <w:szCs w:val="24"/>
        </w:rPr>
        <w:fldChar w:fldCharType="begin"/>
      </w:r>
      <w:r>
        <w:rPr>
          <w:sz w:val="24"/>
          <w:szCs w:val="24"/>
        </w:rPr>
        <w:instrText xml:space="preserve"> PAGEREF _Toc126 \h </w:instrText>
      </w:r>
      <w:r>
        <w:rPr>
          <w:sz w:val="24"/>
          <w:szCs w:val="24"/>
        </w:rPr>
        <w:fldChar w:fldCharType="separate"/>
      </w:r>
      <w:r>
        <w:rPr>
          <w:sz w:val="24"/>
          <w:szCs w:val="24"/>
        </w:rPr>
        <w:t>- 30 -</w:t>
      </w:r>
      <w:r>
        <w:rPr>
          <w:sz w:val="24"/>
          <w:szCs w:val="24"/>
        </w:rPr>
        <w:fldChar w:fldCharType="end"/>
      </w:r>
      <w:r>
        <w:rPr>
          <w:rFonts w:hint="eastAsia" w:cs="宋体"/>
          <w:sz w:val="24"/>
          <w:szCs w:val="24"/>
          <w:lang w:eastAsia="zh-CN"/>
        </w:rPr>
        <w:fldChar w:fldCharType="end"/>
      </w:r>
    </w:p>
    <w:p w14:paraId="3903FF04">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_Toc14805 </w:instrText>
      </w:r>
      <w:r>
        <w:rPr>
          <w:rFonts w:hint="eastAsia" w:cs="宋体"/>
          <w:sz w:val="24"/>
          <w:szCs w:val="24"/>
          <w:lang w:eastAsia="zh-CN"/>
        </w:rPr>
        <w:fldChar w:fldCharType="separate"/>
      </w:r>
      <w:r>
        <w:rPr>
          <w:rFonts w:hint="eastAsia" w:ascii="黑体" w:hAnsi="黑体" w:eastAsia="黑体" w:cs="宋体"/>
          <w:i w:val="0"/>
          <w:sz w:val="24"/>
          <w:szCs w:val="24"/>
        </w:rPr>
        <w:t xml:space="preserve">七、 </w:t>
      </w:r>
      <w:r>
        <w:rPr>
          <w:rFonts w:hint="eastAsia"/>
          <w:sz w:val="24"/>
          <w:szCs w:val="24"/>
        </w:rPr>
        <w:t>评 审</w:t>
      </w:r>
      <w:r>
        <w:rPr>
          <w:sz w:val="24"/>
          <w:szCs w:val="24"/>
        </w:rPr>
        <w:tab/>
      </w:r>
      <w:r>
        <w:rPr>
          <w:sz w:val="24"/>
          <w:szCs w:val="24"/>
        </w:rPr>
        <w:fldChar w:fldCharType="begin"/>
      </w:r>
      <w:r>
        <w:rPr>
          <w:sz w:val="24"/>
          <w:szCs w:val="24"/>
        </w:rPr>
        <w:instrText xml:space="preserve"> PAGEREF _Toc14805 \h </w:instrText>
      </w:r>
      <w:r>
        <w:rPr>
          <w:sz w:val="24"/>
          <w:szCs w:val="24"/>
        </w:rPr>
        <w:fldChar w:fldCharType="separate"/>
      </w:r>
      <w:r>
        <w:rPr>
          <w:sz w:val="24"/>
          <w:szCs w:val="24"/>
        </w:rPr>
        <w:t>- 30 -</w:t>
      </w:r>
      <w:r>
        <w:rPr>
          <w:sz w:val="24"/>
          <w:szCs w:val="24"/>
        </w:rPr>
        <w:fldChar w:fldCharType="end"/>
      </w:r>
      <w:r>
        <w:rPr>
          <w:rFonts w:hint="eastAsia" w:cs="宋体"/>
          <w:sz w:val="24"/>
          <w:szCs w:val="24"/>
          <w:lang w:eastAsia="zh-CN"/>
        </w:rPr>
        <w:fldChar w:fldCharType="end"/>
      </w:r>
    </w:p>
    <w:p w14:paraId="28BF71BD">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_Toc29210 </w:instrText>
      </w:r>
      <w:r>
        <w:rPr>
          <w:rFonts w:hint="eastAsia" w:cs="宋体"/>
          <w:sz w:val="24"/>
          <w:szCs w:val="24"/>
          <w:lang w:eastAsia="zh-CN"/>
        </w:rPr>
        <w:fldChar w:fldCharType="separate"/>
      </w:r>
      <w:r>
        <w:rPr>
          <w:rFonts w:hint="eastAsia" w:ascii="黑体" w:hAnsi="黑体" w:eastAsia="黑体" w:cs="宋体"/>
          <w:i w:val="0"/>
          <w:sz w:val="24"/>
          <w:szCs w:val="24"/>
        </w:rPr>
        <w:t xml:space="preserve">八、 </w:t>
      </w:r>
      <w:r>
        <w:rPr>
          <w:rFonts w:hint="eastAsia"/>
          <w:sz w:val="24"/>
          <w:szCs w:val="24"/>
        </w:rPr>
        <w:t>定 标</w:t>
      </w:r>
      <w:r>
        <w:rPr>
          <w:sz w:val="24"/>
          <w:szCs w:val="24"/>
        </w:rPr>
        <w:tab/>
      </w:r>
      <w:r>
        <w:rPr>
          <w:sz w:val="24"/>
          <w:szCs w:val="24"/>
        </w:rPr>
        <w:fldChar w:fldCharType="begin"/>
      </w:r>
      <w:r>
        <w:rPr>
          <w:sz w:val="24"/>
          <w:szCs w:val="24"/>
        </w:rPr>
        <w:instrText xml:space="preserve"> PAGEREF _Toc29210 \h </w:instrText>
      </w:r>
      <w:r>
        <w:rPr>
          <w:sz w:val="24"/>
          <w:szCs w:val="24"/>
        </w:rPr>
        <w:fldChar w:fldCharType="separate"/>
      </w:r>
      <w:r>
        <w:rPr>
          <w:sz w:val="24"/>
          <w:szCs w:val="24"/>
        </w:rPr>
        <w:t>- 32 -</w:t>
      </w:r>
      <w:r>
        <w:rPr>
          <w:sz w:val="24"/>
          <w:szCs w:val="24"/>
        </w:rPr>
        <w:fldChar w:fldCharType="end"/>
      </w:r>
      <w:r>
        <w:rPr>
          <w:rFonts w:hint="eastAsia" w:cs="宋体"/>
          <w:sz w:val="24"/>
          <w:szCs w:val="24"/>
          <w:lang w:eastAsia="zh-CN"/>
        </w:rPr>
        <w:fldChar w:fldCharType="end"/>
      </w:r>
    </w:p>
    <w:p w14:paraId="05F43FDC">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_Toc15516 </w:instrText>
      </w:r>
      <w:r>
        <w:rPr>
          <w:rFonts w:hint="eastAsia" w:cs="宋体"/>
          <w:sz w:val="24"/>
          <w:szCs w:val="24"/>
          <w:lang w:eastAsia="zh-CN"/>
        </w:rPr>
        <w:fldChar w:fldCharType="separate"/>
      </w:r>
      <w:r>
        <w:rPr>
          <w:rFonts w:hint="eastAsia" w:ascii="黑体" w:hAnsi="黑体" w:eastAsia="黑体" w:cs="宋体"/>
          <w:i w:val="0"/>
          <w:sz w:val="24"/>
          <w:szCs w:val="24"/>
        </w:rPr>
        <w:t xml:space="preserve">九、 </w:t>
      </w:r>
      <w:r>
        <w:rPr>
          <w:sz w:val="24"/>
          <w:szCs w:val="24"/>
        </w:rPr>
        <w:t>合同签订和履约担保</w:t>
      </w:r>
      <w:r>
        <w:rPr>
          <w:sz w:val="24"/>
          <w:szCs w:val="24"/>
        </w:rPr>
        <w:tab/>
      </w:r>
      <w:r>
        <w:rPr>
          <w:sz w:val="24"/>
          <w:szCs w:val="24"/>
        </w:rPr>
        <w:fldChar w:fldCharType="begin"/>
      </w:r>
      <w:r>
        <w:rPr>
          <w:sz w:val="24"/>
          <w:szCs w:val="24"/>
        </w:rPr>
        <w:instrText xml:space="preserve"> PAGEREF _Toc15516 \h </w:instrText>
      </w:r>
      <w:r>
        <w:rPr>
          <w:sz w:val="24"/>
          <w:szCs w:val="24"/>
        </w:rPr>
        <w:fldChar w:fldCharType="separate"/>
      </w:r>
      <w:r>
        <w:rPr>
          <w:sz w:val="24"/>
          <w:szCs w:val="24"/>
        </w:rPr>
        <w:t>- 33 -</w:t>
      </w:r>
      <w:r>
        <w:rPr>
          <w:sz w:val="24"/>
          <w:szCs w:val="24"/>
        </w:rPr>
        <w:fldChar w:fldCharType="end"/>
      </w:r>
      <w:r>
        <w:rPr>
          <w:rFonts w:hint="eastAsia" w:cs="宋体"/>
          <w:sz w:val="24"/>
          <w:szCs w:val="24"/>
          <w:lang w:eastAsia="zh-CN"/>
        </w:rPr>
        <w:fldChar w:fldCharType="end"/>
      </w:r>
    </w:p>
    <w:p w14:paraId="5676AD17">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_Toc25235 </w:instrText>
      </w:r>
      <w:r>
        <w:rPr>
          <w:rFonts w:hint="eastAsia" w:cs="宋体"/>
          <w:sz w:val="24"/>
          <w:szCs w:val="24"/>
          <w:lang w:eastAsia="zh-CN"/>
        </w:rPr>
        <w:fldChar w:fldCharType="separate"/>
      </w:r>
      <w:r>
        <w:rPr>
          <w:rFonts w:hint="eastAsia" w:ascii="黑体" w:hAnsi="黑体" w:eastAsia="黑体" w:cs="宋体"/>
          <w:i w:val="0"/>
          <w:sz w:val="24"/>
          <w:szCs w:val="24"/>
        </w:rPr>
        <w:t xml:space="preserve">十、 </w:t>
      </w:r>
      <w:r>
        <w:rPr>
          <w:rFonts w:hint="eastAsia"/>
          <w:sz w:val="24"/>
          <w:szCs w:val="24"/>
          <w:lang w:eastAsia="zh-CN"/>
        </w:rPr>
        <w:t>招标</w:t>
      </w:r>
      <w:r>
        <w:rPr>
          <w:sz w:val="24"/>
          <w:szCs w:val="24"/>
        </w:rPr>
        <w:t>代理服务费</w:t>
      </w:r>
      <w:r>
        <w:rPr>
          <w:sz w:val="24"/>
          <w:szCs w:val="24"/>
        </w:rPr>
        <w:tab/>
      </w:r>
      <w:r>
        <w:rPr>
          <w:sz w:val="24"/>
          <w:szCs w:val="24"/>
        </w:rPr>
        <w:fldChar w:fldCharType="begin"/>
      </w:r>
      <w:r>
        <w:rPr>
          <w:sz w:val="24"/>
          <w:szCs w:val="24"/>
        </w:rPr>
        <w:instrText xml:space="preserve"> PAGEREF _Toc25235 \h </w:instrText>
      </w:r>
      <w:r>
        <w:rPr>
          <w:sz w:val="24"/>
          <w:szCs w:val="24"/>
        </w:rPr>
        <w:fldChar w:fldCharType="separate"/>
      </w:r>
      <w:r>
        <w:rPr>
          <w:sz w:val="24"/>
          <w:szCs w:val="24"/>
        </w:rPr>
        <w:t>- 34 -</w:t>
      </w:r>
      <w:r>
        <w:rPr>
          <w:sz w:val="24"/>
          <w:szCs w:val="24"/>
        </w:rPr>
        <w:fldChar w:fldCharType="end"/>
      </w:r>
      <w:r>
        <w:rPr>
          <w:rFonts w:hint="eastAsia" w:cs="宋体"/>
          <w:sz w:val="24"/>
          <w:szCs w:val="24"/>
          <w:lang w:eastAsia="zh-CN"/>
        </w:rPr>
        <w:fldChar w:fldCharType="end"/>
      </w:r>
    </w:p>
    <w:p w14:paraId="20141830">
      <w:pPr>
        <w:pStyle w:val="22"/>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_Toc489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第三章 </w:t>
      </w:r>
      <w:r>
        <w:rPr>
          <w:rFonts w:hint="eastAsia"/>
          <w:sz w:val="24"/>
          <w:szCs w:val="24"/>
          <w:highlight w:val="none"/>
          <w:lang w:eastAsia="zh-CN"/>
        </w:rPr>
        <w:t>项目技术及服务要求</w:t>
      </w:r>
      <w:r>
        <w:rPr>
          <w:sz w:val="24"/>
          <w:szCs w:val="24"/>
        </w:rPr>
        <w:tab/>
      </w:r>
      <w:r>
        <w:rPr>
          <w:sz w:val="24"/>
          <w:szCs w:val="24"/>
        </w:rPr>
        <w:fldChar w:fldCharType="begin"/>
      </w:r>
      <w:r>
        <w:rPr>
          <w:sz w:val="24"/>
          <w:szCs w:val="24"/>
        </w:rPr>
        <w:instrText xml:space="preserve"> PAGEREF _Toc489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2C197D83">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_Toc19241 </w:instrText>
      </w:r>
      <w:r>
        <w:rPr>
          <w:rFonts w:hint="eastAsia" w:cs="宋体"/>
          <w:sz w:val="24"/>
          <w:szCs w:val="24"/>
          <w:lang w:eastAsia="zh-CN"/>
        </w:rPr>
        <w:fldChar w:fldCharType="separate"/>
      </w:r>
      <w:r>
        <w:rPr>
          <w:rFonts w:hint="eastAsia" w:ascii="黑体" w:hAnsi="黑体" w:eastAsia="黑体" w:cs="宋体"/>
          <w:i w:val="0"/>
          <w:sz w:val="24"/>
          <w:szCs w:val="24"/>
          <w:lang w:val="en-US" w:eastAsia="zh-CN"/>
        </w:rPr>
        <w:t xml:space="preserve">一、 </w:t>
      </w:r>
      <w:r>
        <w:rPr>
          <w:rFonts w:hint="eastAsia"/>
          <w:sz w:val="24"/>
          <w:szCs w:val="24"/>
          <w:highlight w:val="none"/>
          <w:lang w:val="en-US" w:eastAsia="zh-CN"/>
        </w:rPr>
        <w:t>采购内容</w:t>
      </w:r>
      <w:r>
        <w:rPr>
          <w:sz w:val="24"/>
          <w:szCs w:val="24"/>
        </w:rPr>
        <w:tab/>
      </w:r>
      <w:r>
        <w:rPr>
          <w:sz w:val="24"/>
          <w:szCs w:val="24"/>
        </w:rPr>
        <w:fldChar w:fldCharType="begin"/>
      </w:r>
      <w:r>
        <w:rPr>
          <w:sz w:val="24"/>
          <w:szCs w:val="24"/>
        </w:rPr>
        <w:instrText xml:space="preserve"> PAGEREF _Toc19241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106B9A62">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_Toc10450 </w:instrText>
      </w:r>
      <w:r>
        <w:rPr>
          <w:rFonts w:hint="eastAsia" w:cs="宋体"/>
          <w:sz w:val="24"/>
          <w:szCs w:val="24"/>
          <w:lang w:eastAsia="zh-CN"/>
        </w:rPr>
        <w:fldChar w:fldCharType="separate"/>
      </w:r>
      <w:r>
        <w:rPr>
          <w:rFonts w:hint="eastAsia" w:ascii="黑体" w:hAnsi="黑体" w:eastAsia="黑体" w:cs="宋体"/>
          <w:i w:val="0"/>
          <w:sz w:val="24"/>
          <w:szCs w:val="24"/>
          <w:lang w:val="en-US" w:eastAsia="zh-CN"/>
        </w:rPr>
        <w:t xml:space="preserve">二、 </w:t>
      </w:r>
      <w:r>
        <w:rPr>
          <w:rFonts w:hint="eastAsia"/>
          <w:sz w:val="24"/>
          <w:szCs w:val="24"/>
          <w:highlight w:val="none"/>
          <w:lang w:val="en-US" w:eastAsia="zh-CN"/>
        </w:rPr>
        <w:t>技术要求</w:t>
      </w:r>
      <w:r>
        <w:rPr>
          <w:sz w:val="24"/>
          <w:szCs w:val="24"/>
        </w:rPr>
        <w:tab/>
      </w:r>
      <w:r>
        <w:rPr>
          <w:sz w:val="24"/>
          <w:szCs w:val="24"/>
        </w:rPr>
        <w:fldChar w:fldCharType="begin"/>
      </w:r>
      <w:r>
        <w:rPr>
          <w:sz w:val="24"/>
          <w:szCs w:val="24"/>
        </w:rPr>
        <w:instrText xml:space="preserve"> PAGEREF _Toc10450 \h </w:instrText>
      </w:r>
      <w:r>
        <w:rPr>
          <w:sz w:val="24"/>
          <w:szCs w:val="24"/>
        </w:rPr>
        <w:fldChar w:fldCharType="separate"/>
      </w:r>
      <w:r>
        <w:rPr>
          <w:sz w:val="24"/>
          <w:szCs w:val="24"/>
        </w:rPr>
        <w:t>- 36 -</w:t>
      </w:r>
      <w:r>
        <w:rPr>
          <w:sz w:val="24"/>
          <w:szCs w:val="24"/>
        </w:rPr>
        <w:fldChar w:fldCharType="end"/>
      </w:r>
      <w:r>
        <w:rPr>
          <w:rFonts w:hint="eastAsia" w:cs="宋体"/>
          <w:sz w:val="24"/>
          <w:szCs w:val="24"/>
          <w:lang w:eastAsia="zh-CN"/>
        </w:rPr>
        <w:fldChar w:fldCharType="end"/>
      </w:r>
    </w:p>
    <w:p w14:paraId="56EF9DCF">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_Toc5641 </w:instrText>
      </w:r>
      <w:r>
        <w:rPr>
          <w:rFonts w:hint="eastAsia" w:cs="宋体"/>
          <w:sz w:val="24"/>
          <w:szCs w:val="24"/>
          <w:lang w:eastAsia="zh-CN"/>
        </w:rPr>
        <w:fldChar w:fldCharType="separate"/>
      </w:r>
      <w:r>
        <w:rPr>
          <w:rFonts w:hint="eastAsia" w:ascii="黑体" w:hAnsi="黑体" w:eastAsia="黑体" w:cs="宋体"/>
          <w:i w:val="0"/>
          <w:sz w:val="24"/>
          <w:szCs w:val="24"/>
          <w:lang w:val="en-US" w:eastAsia="zh-CN"/>
        </w:rPr>
        <w:t xml:space="preserve">三、 </w:t>
      </w:r>
      <w:r>
        <w:rPr>
          <w:rFonts w:hint="eastAsia"/>
          <w:sz w:val="24"/>
          <w:szCs w:val="24"/>
          <w:highlight w:val="none"/>
          <w:lang w:val="en-US" w:eastAsia="zh-CN"/>
        </w:rPr>
        <w:t>服务要求</w:t>
      </w:r>
      <w:r>
        <w:rPr>
          <w:sz w:val="24"/>
          <w:szCs w:val="24"/>
        </w:rPr>
        <w:tab/>
      </w:r>
      <w:r>
        <w:rPr>
          <w:sz w:val="24"/>
          <w:szCs w:val="24"/>
        </w:rPr>
        <w:fldChar w:fldCharType="begin"/>
      </w:r>
      <w:r>
        <w:rPr>
          <w:sz w:val="24"/>
          <w:szCs w:val="24"/>
        </w:rPr>
        <w:instrText xml:space="preserve"> PAGEREF _Toc5641 \h </w:instrText>
      </w:r>
      <w:r>
        <w:rPr>
          <w:sz w:val="24"/>
          <w:szCs w:val="24"/>
        </w:rPr>
        <w:fldChar w:fldCharType="separate"/>
      </w:r>
      <w:r>
        <w:rPr>
          <w:sz w:val="24"/>
          <w:szCs w:val="24"/>
        </w:rPr>
        <w:t>- 37 -</w:t>
      </w:r>
      <w:r>
        <w:rPr>
          <w:sz w:val="24"/>
          <w:szCs w:val="24"/>
        </w:rPr>
        <w:fldChar w:fldCharType="end"/>
      </w:r>
      <w:r>
        <w:rPr>
          <w:rFonts w:hint="eastAsia" w:cs="宋体"/>
          <w:sz w:val="24"/>
          <w:szCs w:val="24"/>
          <w:lang w:eastAsia="zh-CN"/>
        </w:rPr>
        <w:fldChar w:fldCharType="end"/>
      </w:r>
    </w:p>
    <w:p w14:paraId="1CDE33E6">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_Toc25725 </w:instrText>
      </w:r>
      <w:r>
        <w:rPr>
          <w:rFonts w:hint="eastAsia" w:cs="宋体"/>
          <w:sz w:val="24"/>
          <w:szCs w:val="24"/>
          <w:lang w:eastAsia="zh-CN"/>
        </w:rPr>
        <w:fldChar w:fldCharType="separate"/>
      </w:r>
      <w:r>
        <w:rPr>
          <w:rFonts w:hint="eastAsia" w:ascii="黑体" w:hAnsi="黑体" w:eastAsia="黑体" w:cs="宋体"/>
          <w:i w:val="0"/>
          <w:sz w:val="24"/>
          <w:szCs w:val="24"/>
          <w:lang w:val="en-US" w:eastAsia="zh-CN"/>
        </w:rPr>
        <w:t xml:space="preserve">四、 </w:t>
      </w:r>
      <w:r>
        <w:rPr>
          <w:rFonts w:hint="eastAsia"/>
          <w:sz w:val="24"/>
          <w:szCs w:val="24"/>
          <w:lang w:val="en-US" w:eastAsia="zh-CN"/>
        </w:rPr>
        <w:t>报价要求及结算方式</w:t>
      </w:r>
      <w:r>
        <w:rPr>
          <w:sz w:val="24"/>
          <w:szCs w:val="24"/>
        </w:rPr>
        <w:tab/>
      </w:r>
      <w:r>
        <w:rPr>
          <w:sz w:val="24"/>
          <w:szCs w:val="24"/>
        </w:rPr>
        <w:fldChar w:fldCharType="begin"/>
      </w:r>
      <w:r>
        <w:rPr>
          <w:sz w:val="24"/>
          <w:szCs w:val="24"/>
        </w:rPr>
        <w:instrText xml:space="preserve"> PAGEREF _Toc25725 \h </w:instrText>
      </w:r>
      <w:r>
        <w:rPr>
          <w:sz w:val="24"/>
          <w:szCs w:val="24"/>
        </w:rPr>
        <w:fldChar w:fldCharType="separate"/>
      </w:r>
      <w:r>
        <w:rPr>
          <w:sz w:val="24"/>
          <w:szCs w:val="24"/>
        </w:rPr>
        <w:t>- 37 -</w:t>
      </w:r>
      <w:r>
        <w:rPr>
          <w:sz w:val="24"/>
          <w:szCs w:val="24"/>
        </w:rPr>
        <w:fldChar w:fldCharType="end"/>
      </w:r>
      <w:r>
        <w:rPr>
          <w:rFonts w:hint="eastAsia" w:cs="宋体"/>
          <w:sz w:val="24"/>
          <w:szCs w:val="24"/>
          <w:lang w:eastAsia="zh-CN"/>
        </w:rPr>
        <w:fldChar w:fldCharType="end"/>
      </w:r>
    </w:p>
    <w:p w14:paraId="0D20C002">
      <w:pPr>
        <w:pStyle w:val="22"/>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_Toc31942 </w:instrText>
      </w:r>
      <w:r>
        <w:rPr>
          <w:rFonts w:hint="eastAsia" w:cs="宋体"/>
          <w:sz w:val="24"/>
          <w:szCs w:val="24"/>
          <w:lang w:eastAsia="zh-CN"/>
        </w:rPr>
        <w:fldChar w:fldCharType="separate"/>
      </w:r>
      <w:r>
        <w:rPr>
          <w:rFonts w:hint="eastAsia" w:ascii="黑体" w:hAnsi="黑体" w:eastAsia="黑体" w:cs="宋体"/>
          <w:i w:val="0"/>
          <w:sz w:val="24"/>
          <w:szCs w:val="24"/>
        </w:rPr>
        <w:t xml:space="preserve">第四章 </w:t>
      </w:r>
      <w:r>
        <w:rPr>
          <w:rFonts w:hint="eastAsia"/>
          <w:sz w:val="24"/>
          <w:szCs w:val="24"/>
          <w:highlight w:val="none"/>
          <w:lang w:eastAsia="zh-CN"/>
        </w:rPr>
        <w:t>合同文本</w:t>
      </w:r>
      <w:r>
        <w:rPr>
          <w:sz w:val="24"/>
          <w:szCs w:val="24"/>
        </w:rPr>
        <w:tab/>
      </w:r>
      <w:r>
        <w:rPr>
          <w:sz w:val="24"/>
          <w:szCs w:val="24"/>
        </w:rPr>
        <w:fldChar w:fldCharType="begin"/>
      </w:r>
      <w:r>
        <w:rPr>
          <w:sz w:val="24"/>
          <w:szCs w:val="24"/>
        </w:rPr>
        <w:instrText xml:space="preserve"> PAGEREF _Toc31942 \h </w:instrText>
      </w:r>
      <w:r>
        <w:rPr>
          <w:sz w:val="24"/>
          <w:szCs w:val="24"/>
        </w:rPr>
        <w:fldChar w:fldCharType="separate"/>
      </w:r>
      <w:r>
        <w:rPr>
          <w:sz w:val="24"/>
          <w:szCs w:val="24"/>
        </w:rPr>
        <w:t>- 40 -</w:t>
      </w:r>
      <w:r>
        <w:rPr>
          <w:sz w:val="24"/>
          <w:szCs w:val="24"/>
        </w:rPr>
        <w:fldChar w:fldCharType="end"/>
      </w:r>
      <w:r>
        <w:rPr>
          <w:rFonts w:hint="eastAsia" w:cs="宋体"/>
          <w:sz w:val="24"/>
          <w:szCs w:val="24"/>
          <w:lang w:eastAsia="zh-CN"/>
        </w:rPr>
        <w:fldChar w:fldCharType="end"/>
      </w:r>
    </w:p>
    <w:p w14:paraId="486C07D7">
      <w:pPr>
        <w:pStyle w:val="22"/>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_Toc5930 </w:instrText>
      </w:r>
      <w:r>
        <w:rPr>
          <w:rFonts w:hint="eastAsia" w:cs="宋体"/>
          <w:sz w:val="24"/>
          <w:szCs w:val="24"/>
          <w:lang w:eastAsia="zh-CN"/>
        </w:rPr>
        <w:fldChar w:fldCharType="separate"/>
      </w:r>
      <w:r>
        <w:rPr>
          <w:rFonts w:hint="eastAsia" w:ascii="黑体" w:hAnsi="黑体" w:eastAsia="黑体" w:cs="宋体"/>
          <w:i w:val="0"/>
          <w:sz w:val="24"/>
          <w:szCs w:val="24"/>
        </w:rPr>
        <w:t xml:space="preserve">第五章 </w:t>
      </w:r>
      <w:r>
        <w:rPr>
          <w:rFonts w:hint="eastAsia"/>
          <w:sz w:val="24"/>
          <w:szCs w:val="24"/>
        </w:rPr>
        <w:t>评审方法和标准</w:t>
      </w:r>
      <w:r>
        <w:rPr>
          <w:sz w:val="24"/>
          <w:szCs w:val="24"/>
        </w:rPr>
        <w:tab/>
      </w:r>
      <w:r>
        <w:rPr>
          <w:sz w:val="24"/>
          <w:szCs w:val="24"/>
        </w:rPr>
        <w:fldChar w:fldCharType="begin"/>
      </w:r>
      <w:r>
        <w:rPr>
          <w:sz w:val="24"/>
          <w:szCs w:val="24"/>
        </w:rPr>
        <w:instrText xml:space="preserve"> PAGEREF _Toc5930 \h </w:instrText>
      </w:r>
      <w:r>
        <w:rPr>
          <w:sz w:val="24"/>
          <w:szCs w:val="24"/>
        </w:rPr>
        <w:fldChar w:fldCharType="separate"/>
      </w:r>
      <w:r>
        <w:rPr>
          <w:sz w:val="24"/>
          <w:szCs w:val="24"/>
        </w:rPr>
        <w:t>- 47 -</w:t>
      </w:r>
      <w:r>
        <w:rPr>
          <w:sz w:val="24"/>
          <w:szCs w:val="24"/>
        </w:rPr>
        <w:fldChar w:fldCharType="end"/>
      </w:r>
      <w:r>
        <w:rPr>
          <w:rFonts w:hint="eastAsia" w:cs="宋体"/>
          <w:sz w:val="24"/>
          <w:szCs w:val="24"/>
          <w:lang w:eastAsia="zh-CN"/>
        </w:rPr>
        <w:fldChar w:fldCharType="end"/>
      </w:r>
    </w:p>
    <w:p w14:paraId="2BD24472">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_Toc5044 </w:instrText>
      </w:r>
      <w:r>
        <w:rPr>
          <w:rFonts w:hint="eastAsia" w:cs="宋体"/>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评审方法</w:t>
      </w:r>
      <w:r>
        <w:rPr>
          <w:sz w:val="24"/>
          <w:szCs w:val="24"/>
        </w:rPr>
        <w:tab/>
      </w:r>
      <w:r>
        <w:rPr>
          <w:sz w:val="24"/>
          <w:szCs w:val="24"/>
        </w:rPr>
        <w:fldChar w:fldCharType="begin"/>
      </w:r>
      <w:r>
        <w:rPr>
          <w:sz w:val="24"/>
          <w:szCs w:val="24"/>
        </w:rPr>
        <w:instrText xml:space="preserve"> PAGEREF _Toc5044 \h </w:instrText>
      </w:r>
      <w:r>
        <w:rPr>
          <w:sz w:val="24"/>
          <w:szCs w:val="24"/>
        </w:rPr>
        <w:fldChar w:fldCharType="separate"/>
      </w:r>
      <w:r>
        <w:rPr>
          <w:sz w:val="24"/>
          <w:szCs w:val="24"/>
        </w:rPr>
        <w:t>- 47 -</w:t>
      </w:r>
      <w:r>
        <w:rPr>
          <w:sz w:val="24"/>
          <w:szCs w:val="24"/>
        </w:rPr>
        <w:fldChar w:fldCharType="end"/>
      </w:r>
      <w:r>
        <w:rPr>
          <w:rFonts w:hint="eastAsia" w:cs="宋体"/>
          <w:sz w:val="24"/>
          <w:szCs w:val="24"/>
          <w:lang w:eastAsia="zh-CN"/>
        </w:rPr>
        <w:fldChar w:fldCharType="end"/>
      </w:r>
    </w:p>
    <w:p w14:paraId="2757EA94">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_Toc6824 </w:instrText>
      </w:r>
      <w:r>
        <w:rPr>
          <w:rFonts w:hint="eastAsia" w:cs="宋体"/>
          <w:sz w:val="24"/>
          <w:szCs w:val="24"/>
          <w:lang w:eastAsia="zh-CN"/>
        </w:rPr>
        <w:fldChar w:fldCharType="separate"/>
      </w:r>
      <w:r>
        <w:rPr>
          <w:rFonts w:hint="eastAsia" w:ascii="黑体" w:hAnsi="黑体" w:eastAsia="黑体"/>
          <w:i w:val="0"/>
          <w:sz w:val="24"/>
          <w:szCs w:val="24"/>
        </w:rPr>
        <w:t xml:space="preserve">二、 </w:t>
      </w:r>
      <w:r>
        <w:rPr>
          <w:rFonts w:hint="eastAsia"/>
          <w:sz w:val="24"/>
          <w:szCs w:val="24"/>
        </w:rPr>
        <w:t>评审流程及内容</w:t>
      </w:r>
      <w:r>
        <w:rPr>
          <w:sz w:val="24"/>
          <w:szCs w:val="24"/>
        </w:rPr>
        <w:tab/>
      </w:r>
      <w:r>
        <w:rPr>
          <w:sz w:val="24"/>
          <w:szCs w:val="24"/>
        </w:rPr>
        <w:fldChar w:fldCharType="begin"/>
      </w:r>
      <w:r>
        <w:rPr>
          <w:sz w:val="24"/>
          <w:szCs w:val="24"/>
        </w:rPr>
        <w:instrText xml:space="preserve"> PAGEREF _Toc6824 \h </w:instrText>
      </w:r>
      <w:r>
        <w:rPr>
          <w:sz w:val="24"/>
          <w:szCs w:val="24"/>
        </w:rPr>
        <w:fldChar w:fldCharType="separate"/>
      </w:r>
      <w:r>
        <w:rPr>
          <w:sz w:val="24"/>
          <w:szCs w:val="24"/>
        </w:rPr>
        <w:t>- 47 -</w:t>
      </w:r>
      <w:r>
        <w:rPr>
          <w:sz w:val="24"/>
          <w:szCs w:val="24"/>
        </w:rPr>
        <w:fldChar w:fldCharType="end"/>
      </w:r>
      <w:r>
        <w:rPr>
          <w:rFonts w:hint="eastAsia" w:cs="宋体"/>
          <w:sz w:val="24"/>
          <w:szCs w:val="24"/>
          <w:lang w:eastAsia="zh-CN"/>
        </w:rPr>
        <w:fldChar w:fldCharType="end"/>
      </w:r>
    </w:p>
    <w:p w14:paraId="0C839CCB">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_Toc12547 </w:instrText>
      </w:r>
      <w:r>
        <w:rPr>
          <w:rFonts w:hint="eastAsia" w:cs="宋体"/>
          <w:sz w:val="24"/>
          <w:szCs w:val="24"/>
          <w:lang w:eastAsia="zh-CN"/>
        </w:rPr>
        <w:fldChar w:fldCharType="separate"/>
      </w:r>
      <w:r>
        <w:rPr>
          <w:rFonts w:hint="eastAsia" w:ascii="黑体" w:hAnsi="黑体" w:eastAsia="黑体"/>
          <w:i w:val="0"/>
          <w:sz w:val="24"/>
          <w:szCs w:val="24"/>
        </w:rPr>
        <w:t xml:space="preserve">三、 </w:t>
      </w:r>
      <w:r>
        <w:rPr>
          <w:rFonts w:hint="eastAsia"/>
          <w:sz w:val="24"/>
          <w:szCs w:val="24"/>
          <w:lang w:val="en-US" w:eastAsia="zh-CN"/>
        </w:rPr>
        <w:t>评分标准</w:t>
      </w:r>
      <w:r>
        <w:rPr>
          <w:sz w:val="24"/>
          <w:szCs w:val="24"/>
        </w:rPr>
        <w:tab/>
      </w:r>
      <w:r>
        <w:rPr>
          <w:sz w:val="24"/>
          <w:szCs w:val="24"/>
        </w:rPr>
        <w:fldChar w:fldCharType="begin"/>
      </w:r>
      <w:r>
        <w:rPr>
          <w:sz w:val="24"/>
          <w:szCs w:val="24"/>
        </w:rPr>
        <w:instrText xml:space="preserve"> PAGEREF _Toc12547 \h </w:instrText>
      </w:r>
      <w:r>
        <w:rPr>
          <w:sz w:val="24"/>
          <w:szCs w:val="24"/>
        </w:rPr>
        <w:fldChar w:fldCharType="separate"/>
      </w:r>
      <w:r>
        <w:rPr>
          <w:sz w:val="24"/>
          <w:szCs w:val="24"/>
        </w:rPr>
        <w:t>- 47 -</w:t>
      </w:r>
      <w:r>
        <w:rPr>
          <w:sz w:val="24"/>
          <w:szCs w:val="24"/>
        </w:rPr>
        <w:fldChar w:fldCharType="end"/>
      </w:r>
      <w:r>
        <w:rPr>
          <w:rFonts w:hint="eastAsia" w:cs="宋体"/>
          <w:sz w:val="24"/>
          <w:szCs w:val="24"/>
          <w:lang w:eastAsia="zh-CN"/>
        </w:rPr>
        <w:fldChar w:fldCharType="end"/>
      </w:r>
    </w:p>
    <w:p w14:paraId="5E7F3794">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_Toc18816 </w:instrText>
      </w:r>
      <w:r>
        <w:rPr>
          <w:rFonts w:hint="eastAsia" w:cs="宋体"/>
          <w:sz w:val="24"/>
          <w:szCs w:val="24"/>
          <w:lang w:eastAsia="zh-CN"/>
        </w:rPr>
        <w:fldChar w:fldCharType="separate"/>
      </w:r>
      <w:r>
        <w:rPr>
          <w:rFonts w:hint="eastAsia" w:ascii="黑体" w:hAnsi="黑体" w:eastAsia="黑体"/>
          <w:i w:val="0"/>
          <w:kern w:val="0"/>
          <w:sz w:val="24"/>
          <w:szCs w:val="24"/>
        </w:rPr>
        <w:t xml:space="preserve">四、 </w:t>
      </w:r>
      <w:r>
        <w:rPr>
          <w:rFonts w:hint="eastAsia"/>
          <w:sz w:val="24"/>
          <w:szCs w:val="24"/>
        </w:rPr>
        <w:t>投标文件的澄清、说明</w:t>
      </w:r>
      <w:r>
        <w:rPr>
          <w:sz w:val="24"/>
          <w:szCs w:val="24"/>
        </w:rPr>
        <w:tab/>
      </w:r>
      <w:r>
        <w:rPr>
          <w:sz w:val="24"/>
          <w:szCs w:val="24"/>
        </w:rPr>
        <w:fldChar w:fldCharType="begin"/>
      </w:r>
      <w:r>
        <w:rPr>
          <w:sz w:val="24"/>
          <w:szCs w:val="24"/>
        </w:rPr>
        <w:instrText xml:space="preserve"> PAGEREF _Toc18816 \h </w:instrText>
      </w:r>
      <w:r>
        <w:rPr>
          <w:sz w:val="24"/>
          <w:szCs w:val="24"/>
        </w:rPr>
        <w:fldChar w:fldCharType="separate"/>
      </w:r>
      <w:r>
        <w:rPr>
          <w:sz w:val="24"/>
          <w:szCs w:val="24"/>
        </w:rPr>
        <w:t>- 56 -</w:t>
      </w:r>
      <w:r>
        <w:rPr>
          <w:sz w:val="24"/>
          <w:szCs w:val="24"/>
        </w:rPr>
        <w:fldChar w:fldCharType="end"/>
      </w:r>
      <w:r>
        <w:rPr>
          <w:rFonts w:hint="eastAsia" w:cs="宋体"/>
          <w:sz w:val="24"/>
          <w:szCs w:val="24"/>
          <w:lang w:eastAsia="zh-CN"/>
        </w:rPr>
        <w:fldChar w:fldCharType="end"/>
      </w:r>
    </w:p>
    <w:p w14:paraId="61773728">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_Toc5579 </w:instrText>
      </w:r>
      <w:r>
        <w:rPr>
          <w:rFonts w:hint="eastAsia" w:cs="宋体"/>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重新评审</w:t>
      </w:r>
      <w:r>
        <w:rPr>
          <w:sz w:val="24"/>
          <w:szCs w:val="24"/>
        </w:rPr>
        <w:tab/>
      </w:r>
      <w:r>
        <w:rPr>
          <w:sz w:val="24"/>
          <w:szCs w:val="24"/>
        </w:rPr>
        <w:fldChar w:fldCharType="begin"/>
      </w:r>
      <w:r>
        <w:rPr>
          <w:sz w:val="24"/>
          <w:szCs w:val="24"/>
        </w:rPr>
        <w:instrText xml:space="preserve"> PAGEREF _Toc5579 \h </w:instrText>
      </w:r>
      <w:r>
        <w:rPr>
          <w:sz w:val="24"/>
          <w:szCs w:val="24"/>
        </w:rPr>
        <w:fldChar w:fldCharType="separate"/>
      </w:r>
      <w:r>
        <w:rPr>
          <w:sz w:val="24"/>
          <w:szCs w:val="24"/>
        </w:rPr>
        <w:t>- 56 -</w:t>
      </w:r>
      <w:r>
        <w:rPr>
          <w:sz w:val="24"/>
          <w:szCs w:val="24"/>
        </w:rPr>
        <w:fldChar w:fldCharType="end"/>
      </w:r>
      <w:r>
        <w:rPr>
          <w:rFonts w:hint="eastAsia" w:cs="宋体"/>
          <w:sz w:val="24"/>
          <w:szCs w:val="24"/>
          <w:lang w:eastAsia="zh-CN"/>
        </w:rPr>
        <w:fldChar w:fldCharType="end"/>
      </w:r>
    </w:p>
    <w:p w14:paraId="0652CF70">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_Toc13907 </w:instrText>
      </w:r>
      <w:r>
        <w:rPr>
          <w:rFonts w:hint="eastAsia" w:cs="宋体"/>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评审</w:t>
      </w:r>
      <w:r>
        <w:rPr>
          <w:rFonts w:hint="eastAsia"/>
          <w:sz w:val="24"/>
          <w:szCs w:val="24"/>
          <w:lang w:val="en-US" w:eastAsia="zh-Hans"/>
        </w:rPr>
        <w:t>过程中的特别</w:t>
      </w:r>
      <w:r>
        <w:rPr>
          <w:rFonts w:hint="eastAsia"/>
          <w:sz w:val="24"/>
          <w:szCs w:val="24"/>
        </w:rPr>
        <w:t>规定</w:t>
      </w:r>
      <w:r>
        <w:rPr>
          <w:sz w:val="24"/>
          <w:szCs w:val="24"/>
        </w:rPr>
        <w:tab/>
      </w:r>
      <w:r>
        <w:rPr>
          <w:sz w:val="24"/>
          <w:szCs w:val="24"/>
        </w:rPr>
        <w:fldChar w:fldCharType="begin"/>
      </w:r>
      <w:r>
        <w:rPr>
          <w:sz w:val="24"/>
          <w:szCs w:val="24"/>
        </w:rPr>
        <w:instrText xml:space="preserve"> PAGEREF _Toc13907 \h </w:instrText>
      </w:r>
      <w:r>
        <w:rPr>
          <w:sz w:val="24"/>
          <w:szCs w:val="24"/>
        </w:rPr>
        <w:fldChar w:fldCharType="separate"/>
      </w:r>
      <w:r>
        <w:rPr>
          <w:sz w:val="24"/>
          <w:szCs w:val="24"/>
        </w:rPr>
        <w:t>- 57 -</w:t>
      </w:r>
      <w:r>
        <w:rPr>
          <w:sz w:val="24"/>
          <w:szCs w:val="24"/>
        </w:rPr>
        <w:fldChar w:fldCharType="end"/>
      </w:r>
      <w:r>
        <w:rPr>
          <w:rFonts w:hint="eastAsia" w:cs="宋体"/>
          <w:sz w:val="24"/>
          <w:szCs w:val="24"/>
          <w:lang w:eastAsia="zh-CN"/>
        </w:rPr>
        <w:fldChar w:fldCharType="end"/>
      </w:r>
    </w:p>
    <w:p w14:paraId="3CB11D8C">
      <w:pPr>
        <w:pStyle w:val="22"/>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_Toc12397 </w:instrText>
      </w:r>
      <w:r>
        <w:rPr>
          <w:rFonts w:hint="eastAsia" w:cs="宋体"/>
          <w:sz w:val="24"/>
          <w:szCs w:val="24"/>
          <w:lang w:eastAsia="zh-CN"/>
        </w:rPr>
        <w:fldChar w:fldCharType="separate"/>
      </w:r>
      <w:r>
        <w:rPr>
          <w:rFonts w:hint="eastAsia" w:ascii="黑体" w:hAnsi="黑体" w:eastAsia="黑体" w:cs="宋体"/>
          <w:i w:val="0"/>
          <w:sz w:val="24"/>
          <w:szCs w:val="24"/>
        </w:rPr>
        <w:t xml:space="preserve">第六章 </w:t>
      </w:r>
      <w:r>
        <w:rPr>
          <w:rFonts w:hint="eastAsia"/>
          <w:sz w:val="24"/>
          <w:szCs w:val="24"/>
          <w:lang w:eastAsia="zh-CN"/>
        </w:rPr>
        <w:t>投标文件部分格式文本</w:t>
      </w:r>
      <w:r>
        <w:rPr>
          <w:sz w:val="24"/>
          <w:szCs w:val="24"/>
        </w:rPr>
        <w:tab/>
      </w:r>
      <w:r>
        <w:rPr>
          <w:sz w:val="24"/>
          <w:szCs w:val="24"/>
        </w:rPr>
        <w:fldChar w:fldCharType="begin"/>
      </w:r>
      <w:r>
        <w:rPr>
          <w:sz w:val="24"/>
          <w:szCs w:val="24"/>
        </w:rPr>
        <w:instrText xml:space="preserve"> PAGEREF _Toc12397 \h </w:instrText>
      </w:r>
      <w:r>
        <w:rPr>
          <w:sz w:val="24"/>
          <w:szCs w:val="24"/>
        </w:rPr>
        <w:fldChar w:fldCharType="separate"/>
      </w:r>
      <w:r>
        <w:rPr>
          <w:sz w:val="24"/>
          <w:szCs w:val="24"/>
        </w:rPr>
        <w:t>- 59 -</w:t>
      </w:r>
      <w:r>
        <w:rPr>
          <w:sz w:val="24"/>
          <w:szCs w:val="24"/>
        </w:rPr>
        <w:fldChar w:fldCharType="end"/>
      </w:r>
      <w:r>
        <w:rPr>
          <w:rFonts w:hint="eastAsia" w:cs="宋体"/>
          <w:sz w:val="24"/>
          <w:szCs w:val="24"/>
          <w:lang w:eastAsia="zh-CN"/>
        </w:rPr>
        <w:fldChar w:fldCharType="end"/>
      </w:r>
    </w:p>
    <w:p w14:paraId="33487C4D">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_Toc11067 </w:instrText>
      </w:r>
      <w:r>
        <w:rPr>
          <w:rFonts w:hint="eastAsia" w:cs="宋体"/>
          <w:sz w:val="24"/>
          <w:szCs w:val="24"/>
          <w:lang w:eastAsia="zh-CN"/>
        </w:rPr>
        <w:fldChar w:fldCharType="separate"/>
      </w:r>
      <w:r>
        <w:rPr>
          <w:rFonts w:hint="eastAsia" w:ascii="黑体" w:hAnsi="黑体" w:eastAsia="黑体"/>
          <w:i w:val="0"/>
          <w:sz w:val="24"/>
          <w:szCs w:val="24"/>
        </w:rPr>
        <w:t xml:space="preserve">一、 </w:t>
      </w:r>
      <w:r>
        <w:rPr>
          <w:rFonts w:hint="eastAsia"/>
          <w:sz w:val="24"/>
          <w:szCs w:val="24"/>
        </w:rPr>
        <w:t>格式文本使用说明</w:t>
      </w:r>
      <w:r>
        <w:rPr>
          <w:sz w:val="24"/>
          <w:szCs w:val="24"/>
        </w:rPr>
        <w:tab/>
      </w:r>
      <w:r>
        <w:rPr>
          <w:sz w:val="24"/>
          <w:szCs w:val="24"/>
        </w:rPr>
        <w:fldChar w:fldCharType="begin"/>
      </w:r>
      <w:r>
        <w:rPr>
          <w:sz w:val="24"/>
          <w:szCs w:val="24"/>
        </w:rPr>
        <w:instrText xml:space="preserve"> PAGEREF _Toc11067 \h </w:instrText>
      </w:r>
      <w:r>
        <w:rPr>
          <w:sz w:val="24"/>
          <w:szCs w:val="24"/>
        </w:rPr>
        <w:fldChar w:fldCharType="separate"/>
      </w:r>
      <w:r>
        <w:rPr>
          <w:sz w:val="24"/>
          <w:szCs w:val="24"/>
        </w:rPr>
        <w:t>- 59 -</w:t>
      </w:r>
      <w:r>
        <w:rPr>
          <w:sz w:val="24"/>
          <w:szCs w:val="24"/>
        </w:rPr>
        <w:fldChar w:fldCharType="end"/>
      </w:r>
      <w:r>
        <w:rPr>
          <w:rFonts w:hint="eastAsia" w:cs="宋体"/>
          <w:sz w:val="24"/>
          <w:szCs w:val="24"/>
          <w:lang w:eastAsia="zh-CN"/>
        </w:rPr>
        <w:fldChar w:fldCharType="end"/>
      </w:r>
    </w:p>
    <w:p w14:paraId="0E7DBD79">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_Toc19181 </w:instrText>
      </w:r>
      <w:r>
        <w:rPr>
          <w:rFonts w:hint="eastAsia" w:cs="宋体"/>
          <w:sz w:val="24"/>
          <w:szCs w:val="24"/>
          <w:lang w:eastAsia="zh-CN"/>
        </w:rPr>
        <w:fldChar w:fldCharType="separate"/>
      </w:r>
      <w:r>
        <w:rPr>
          <w:rFonts w:hint="eastAsia" w:ascii="黑体" w:hAnsi="黑体" w:eastAsia="黑体"/>
          <w:i w:val="0"/>
          <w:sz w:val="24"/>
          <w:szCs w:val="24"/>
        </w:rPr>
        <w:t xml:space="preserve">二、 </w:t>
      </w:r>
      <w:r>
        <w:rPr>
          <w:rFonts w:hint="eastAsia"/>
          <w:sz w:val="24"/>
          <w:szCs w:val="24"/>
        </w:rPr>
        <w:t>符合参加政府采购活动应当具备的一般条件的承诺函</w:t>
      </w:r>
      <w:r>
        <w:rPr>
          <w:sz w:val="24"/>
          <w:szCs w:val="24"/>
        </w:rPr>
        <w:tab/>
      </w:r>
      <w:r>
        <w:rPr>
          <w:sz w:val="24"/>
          <w:szCs w:val="24"/>
        </w:rPr>
        <w:fldChar w:fldCharType="begin"/>
      </w:r>
      <w:r>
        <w:rPr>
          <w:sz w:val="24"/>
          <w:szCs w:val="24"/>
        </w:rPr>
        <w:instrText xml:space="preserve"> PAGEREF _Toc19181 \h </w:instrText>
      </w:r>
      <w:r>
        <w:rPr>
          <w:sz w:val="24"/>
          <w:szCs w:val="24"/>
        </w:rPr>
        <w:fldChar w:fldCharType="separate"/>
      </w:r>
      <w:r>
        <w:rPr>
          <w:sz w:val="24"/>
          <w:szCs w:val="24"/>
        </w:rPr>
        <w:t>- 60 -</w:t>
      </w:r>
      <w:r>
        <w:rPr>
          <w:sz w:val="24"/>
          <w:szCs w:val="24"/>
        </w:rPr>
        <w:fldChar w:fldCharType="end"/>
      </w:r>
      <w:r>
        <w:rPr>
          <w:rFonts w:hint="eastAsia" w:cs="宋体"/>
          <w:sz w:val="24"/>
          <w:szCs w:val="24"/>
          <w:lang w:eastAsia="zh-CN"/>
        </w:rPr>
        <w:fldChar w:fldCharType="end"/>
      </w:r>
    </w:p>
    <w:p w14:paraId="45EE55F3">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_Toc6454 </w:instrText>
      </w:r>
      <w:r>
        <w:rPr>
          <w:rFonts w:hint="eastAsia" w:cs="宋体"/>
          <w:sz w:val="24"/>
          <w:szCs w:val="24"/>
          <w:lang w:eastAsia="zh-CN"/>
        </w:rPr>
        <w:fldChar w:fldCharType="separate"/>
      </w:r>
      <w:r>
        <w:rPr>
          <w:rFonts w:hint="eastAsia" w:ascii="黑体" w:hAnsi="黑体" w:eastAsia="黑体"/>
          <w:i w:val="0"/>
          <w:sz w:val="24"/>
          <w:szCs w:val="24"/>
        </w:rPr>
        <w:t xml:space="preserve">三、 </w:t>
      </w:r>
      <w:r>
        <w:rPr>
          <w:rFonts w:hint="eastAsia"/>
          <w:sz w:val="24"/>
          <w:szCs w:val="24"/>
        </w:rPr>
        <w:t>投标函</w:t>
      </w:r>
      <w:r>
        <w:rPr>
          <w:sz w:val="24"/>
          <w:szCs w:val="24"/>
        </w:rPr>
        <w:tab/>
      </w:r>
      <w:r>
        <w:rPr>
          <w:sz w:val="24"/>
          <w:szCs w:val="24"/>
        </w:rPr>
        <w:fldChar w:fldCharType="begin"/>
      </w:r>
      <w:r>
        <w:rPr>
          <w:sz w:val="24"/>
          <w:szCs w:val="24"/>
        </w:rPr>
        <w:instrText xml:space="preserve"> PAGEREF _Toc6454 \h </w:instrText>
      </w:r>
      <w:r>
        <w:rPr>
          <w:sz w:val="24"/>
          <w:szCs w:val="24"/>
        </w:rPr>
        <w:fldChar w:fldCharType="separate"/>
      </w:r>
      <w:r>
        <w:rPr>
          <w:sz w:val="24"/>
          <w:szCs w:val="24"/>
        </w:rPr>
        <w:t>- 61 -</w:t>
      </w:r>
      <w:r>
        <w:rPr>
          <w:sz w:val="24"/>
          <w:szCs w:val="24"/>
        </w:rPr>
        <w:fldChar w:fldCharType="end"/>
      </w:r>
      <w:r>
        <w:rPr>
          <w:rFonts w:hint="eastAsia" w:cs="宋体"/>
          <w:sz w:val="24"/>
          <w:szCs w:val="24"/>
          <w:lang w:eastAsia="zh-CN"/>
        </w:rPr>
        <w:fldChar w:fldCharType="end"/>
      </w:r>
    </w:p>
    <w:p w14:paraId="1DE6F67D">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_Toc19764 </w:instrText>
      </w:r>
      <w:r>
        <w:rPr>
          <w:rFonts w:hint="eastAsia" w:cs="宋体"/>
          <w:sz w:val="24"/>
          <w:szCs w:val="24"/>
          <w:lang w:eastAsia="zh-CN"/>
        </w:rPr>
        <w:fldChar w:fldCharType="separate"/>
      </w:r>
      <w:r>
        <w:rPr>
          <w:rFonts w:hint="eastAsia" w:ascii="黑体" w:hAnsi="黑体" w:eastAsia="黑体"/>
          <w:i w:val="0"/>
          <w:sz w:val="24"/>
          <w:szCs w:val="24"/>
        </w:rPr>
        <w:t xml:space="preserve">四、 </w:t>
      </w:r>
      <w:r>
        <w:rPr>
          <w:rFonts w:hint="eastAsia"/>
          <w:sz w:val="24"/>
          <w:szCs w:val="24"/>
        </w:rPr>
        <w:t>政府采购供应商廉洁自律承诺书</w:t>
      </w:r>
      <w:r>
        <w:rPr>
          <w:sz w:val="24"/>
          <w:szCs w:val="24"/>
        </w:rPr>
        <w:tab/>
      </w:r>
      <w:r>
        <w:rPr>
          <w:sz w:val="24"/>
          <w:szCs w:val="24"/>
        </w:rPr>
        <w:fldChar w:fldCharType="begin"/>
      </w:r>
      <w:r>
        <w:rPr>
          <w:sz w:val="24"/>
          <w:szCs w:val="24"/>
        </w:rPr>
        <w:instrText xml:space="preserve"> PAGEREF _Toc19764 \h </w:instrText>
      </w:r>
      <w:r>
        <w:rPr>
          <w:sz w:val="24"/>
          <w:szCs w:val="24"/>
        </w:rPr>
        <w:fldChar w:fldCharType="separate"/>
      </w:r>
      <w:r>
        <w:rPr>
          <w:sz w:val="24"/>
          <w:szCs w:val="24"/>
        </w:rPr>
        <w:t>- 63 -</w:t>
      </w:r>
      <w:r>
        <w:rPr>
          <w:sz w:val="24"/>
          <w:szCs w:val="24"/>
        </w:rPr>
        <w:fldChar w:fldCharType="end"/>
      </w:r>
      <w:r>
        <w:rPr>
          <w:rFonts w:hint="eastAsia" w:cs="宋体"/>
          <w:sz w:val="24"/>
          <w:szCs w:val="24"/>
          <w:lang w:eastAsia="zh-CN"/>
        </w:rPr>
        <w:fldChar w:fldCharType="end"/>
      </w:r>
    </w:p>
    <w:p w14:paraId="0E02C837">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_Toc8158 </w:instrText>
      </w:r>
      <w:r>
        <w:rPr>
          <w:rFonts w:hint="eastAsia" w:cs="宋体"/>
          <w:sz w:val="24"/>
          <w:szCs w:val="24"/>
          <w:lang w:eastAsia="zh-CN"/>
        </w:rPr>
        <w:fldChar w:fldCharType="separate"/>
      </w:r>
      <w:r>
        <w:rPr>
          <w:rFonts w:hint="eastAsia" w:ascii="黑体" w:hAnsi="黑体" w:eastAsia="黑体"/>
          <w:i w:val="0"/>
          <w:sz w:val="24"/>
          <w:szCs w:val="24"/>
        </w:rPr>
        <w:t xml:space="preserve">五、 </w:t>
      </w:r>
      <w:r>
        <w:rPr>
          <w:rFonts w:hint="eastAsia"/>
          <w:sz w:val="24"/>
          <w:szCs w:val="24"/>
        </w:rPr>
        <w:t>法定代表人身份证明</w:t>
      </w:r>
      <w:r>
        <w:rPr>
          <w:sz w:val="24"/>
          <w:szCs w:val="24"/>
        </w:rPr>
        <w:tab/>
      </w:r>
      <w:r>
        <w:rPr>
          <w:sz w:val="24"/>
          <w:szCs w:val="24"/>
        </w:rPr>
        <w:fldChar w:fldCharType="begin"/>
      </w:r>
      <w:r>
        <w:rPr>
          <w:sz w:val="24"/>
          <w:szCs w:val="24"/>
        </w:rPr>
        <w:instrText xml:space="preserve"> PAGEREF _Toc8158 \h </w:instrText>
      </w:r>
      <w:r>
        <w:rPr>
          <w:sz w:val="24"/>
          <w:szCs w:val="24"/>
        </w:rPr>
        <w:fldChar w:fldCharType="separate"/>
      </w:r>
      <w:r>
        <w:rPr>
          <w:sz w:val="24"/>
          <w:szCs w:val="24"/>
        </w:rPr>
        <w:t>- 64 -</w:t>
      </w:r>
      <w:r>
        <w:rPr>
          <w:sz w:val="24"/>
          <w:szCs w:val="24"/>
        </w:rPr>
        <w:fldChar w:fldCharType="end"/>
      </w:r>
      <w:r>
        <w:rPr>
          <w:rFonts w:hint="eastAsia" w:cs="宋体"/>
          <w:sz w:val="24"/>
          <w:szCs w:val="24"/>
          <w:lang w:eastAsia="zh-CN"/>
        </w:rPr>
        <w:fldChar w:fldCharType="end"/>
      </w:r>
    </w:p>
    <w:p w14:paraId="4713CC88">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_Toc14945 </w:instrText>
      </w:r>
      <w:r>
        <w:rPr>
          <w:rFonts w:hint="eastAsia" w:cs="宋体"/>
          <w:sz w:val="24"/>
          <w:szCs w:val="24"/>
          <w:lang w:eastAsia="zh-CN"/>
        </w:rPr>
        <w:fldChar w:fldCharType="separate"/>
      </w:r>
      <w:r>
        <w:rPr>
          <w:rFonts w:hint="eastAsia" w:ascii="黑体" w:hAnsi="黑体" w:eastAsia="黑体"/>
          <w:i w:val="0"/>
          <w:sz w:val="24"/>
          <w:szCs w:val="24"/>
        </w:rPr>
        <w:t xml:space="preserve">六、 </w:t>
      </w:r>
      <w:r>
        <w:rPr>
          <w:rFonts w:hint="eastAsia"/>
          <w:sz w:val="24"/>
          <w:szCs w:val="24"/>
        </w:rPr>
        <w:t>授权委托书</w:t>
      </w:r>
      <w:r>
        <w:rPr>
          <w:sz w:val="24"/>
          <w:szCs w:val="24"/>
        </w:rPr>
        <w:tab/>
      </w:r>
      <w:r>
        <w:rPr>
          <w:sz w:val="24"/>
          <w:szCs w:val="24"/>
        </w:rPr>
        <w:fldChar w:fldCharType="begin"/>
      </w:r>
      <w:r>
        <w:rPr>
          <w:sz w:val="24"/>
          <w:szCs w:val="24"/>
        </w:rPr>
        <w:instrText xml:space="preserve"> PAGEREF _Toc14945 \h </w:instrText>
      </w:r>
      <w:r>
        <w:rPr>
          <w:sz w:val="24"/>
          <w:szCs w:val="24"/>
        </w:rPr>
        <w:fldChar w:fldCharType="separate"/>
      </w:r>
      <w:r>
        <w:rPr>
          <w:sz w:val="24"/>
          <w:szCs w:val="24"/>
        </w:rPr>
        <w:t>- 65 -</w:t>
      </w:r>
      <w:r>
        <w:rPr>
          <w:sz w:val="24"/>
          <w:szCs w:val="24"/>
        </w:rPr>
        <w:fldChar w:fldCharType="end"/>
      </w:r>
      <w:r>
        <w:rPr>
          <w:rFonts w:hint="eastAsia" w:cs="宋体"/>
          <w:sz w:val="24"/>
          <w:szCs w:val="24"/>
          <w:lang w:eastAsia="zh-CN"/>
        </w:rPr>
        <w:fldChar w:fldCharType="end"/>
      </w:r>
    </w:p>
    <w:p w14:paraId="109A7BE3">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_Toc22531 </w:instrText>
      </w:r>
      <w:r>
        <w:rPr>
          <w:rFonts w:hint="eastAsia" w:cs="宋体"/>
          <w:sz w:val="24"/>
          <w:szCs w:val="24"/>
          <w:lang w:eastAsia="zh-CN"/>
        </w:rPr>
        <w:fldChar w:fldCharType="separate"/>
      </w:r>
      <w:r>
        <w:rPr>
          <w:rFonts w:hint="eastAsia" w:ascii="黑体" w:hAnsi="黑体" w:eastAsia="黑体"/>
          <w:i w:val="0"/>
          <w:sz w:val="24"/>
          <w:szCs w:val="24"/>
        </w:rPr>
        <w:t xml:space="preserve">七、 </w:t>
      </w:r>
      <w:r>
        <w:rPr>
          <w:rFonts w:hint="eastAsia"/>
          <w:sz w:val="24"/>
          <w:szCs w:val="24"/>
        </w:rPr>
        <w:t>联合协议</w:t>
      </w:r>
      <w:r>
        <w:rPr>
          <w:sz w:val="24"/>
          <w:szCs w:val="24"/>
        </w:rPr>
        <w:tab/>
      </w:r>
      <w:r>
        <w:rPr>
          <w:sz w:val="24"/>
          <w:szCs w:val="24"/>
        </w:rPr>
        <w:fldChar w:fldCharType="begin"/>
      </w:r>
      <w:r>
        <w:rPr>
          <w:sz w:val="24"/>
          <w:szCs w:val="24"/>
        </w:rPr>
        <w:instrText xml:space="preserve"> PAGEREF _Toc22531 \h </w:instrText>
      </w:r>
      <w:r>
        <w:rPr>
          <w:sz w:val="24"/>
          <w:szCs w:val="24"/>
        </w:rPr>
        <w:fldChar w:fldCharType="separate"/>
      </w:r>
      <w:r>
        <w:rPr>
          <w:sz w:val="24"/>
          <w:szCs w:val="24"/>
        </w:rPr>
        <w:t>- 66 -</w:t>
      </w:r>
      <w:r>
        <w:rPr>
          <w:sz w:val="24"/>
          <w:szCs w:val="24"/>
        </w:rPr>
        <w:fldChar w:fldCharType="end"/>
      </w:r>
      <w:r>
        <w:rPr>
          <w:rFonts w:hint="eastAsia" w:cs="宋体"/>
          <w:sz w:val="24"/>
          <w:szCs w:val="24"/>
          <w:lang w:eastAsia="zh-CN"/>
        </w:rPr>
        <w:fldChar w:fldCharType="end"/>
      </w:r>
    </w:p>
    <w:p w14:paraId="7C93D06B">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_Toc2444 </w:instrText>
      </w:r>
      <w:r>
        <w:rPr>
          <w:rFonts w:hint="eastAsia" w:cs="宋体"/>
          <w:sz w:val="24"/>
          <w:szCs w:val="24"/>
          <w:lang w:eastAsia="zh-CN"/>
        </w:rPr>
        <w:fldChar w:fldCharType="separate"/>
      </w:r>
      <w:r>
        <w:rPr>
          <w:rFonts w:hint="eastAsia" w:ascii="黑体" w:hAnsi="黑体" w:eastAsia="黑体"/>
          <w:i w:val="0"/>
          <w:kern w:val="0"/>
          <w:sz w:val="24"/>
          <w:szCs w:val="24"/>
        </w:rPr>
        <w:t xml:space="preserve">八、 </w:t>
      </w:r>
      <w:r>
        <w:rPr>
          <w:rFonts w:hint="eastAsia"/>
          <w:kern w:val="0"/>
          <w:sz w:val="24"/>
          <w:szCs w:val="24"/>
        </w:rPr>
        <w:t>分包意向协议</w:t>
      </w:r>
      <w:r>
        <w:rPr>
          <w:sz w:val="24"/>
          <w:szCs w:val="24"/>
        </w:rPr>
        <w:tab/>
      </w:r>
      <w:r>
        <w:rPr>
          <w:sz w:val="24"/>
          <w:szCs w:val="24"/>
        </w:rPr>
        <w:fldChar w:fldCharType="begin"/>
      </w:r>
      <w:r>
        <w:rPr>
          <w:sz w:val="24"/>
          <w:szCs w:val="24"/>
        </w:rPr>
        <w:instrText xml:space="preserve"> PAGEREF _Toc2444 \h </w:instrText>
      </w:r>
      <w:r>
        <w:rPr>
          <w:sz w:val="24"/>
          <w:szCs w:val="24"/>
        </w:rPr>
        <w:fldChar w:fldCharType="separate"/>
      </w:r>
      <w:r>
        <w:rPr>
          <w:sz w:val="24"/>
          <w:szCs w:val="24"/>
        </w:rPr>
        <w:t>- 68 -</w:t>
      </w:r>
      <w:r>
        <w:rPr>
          <w:sz w:val="24"/>
          <w:szCs w:val="24"/>
        </w:rPr>
        <w:fldChar w:fldCharType="end"/>
      </w:r>
      <w:r>
        <w:rPr>
          <w:rFonts w:hint="eastAsia" w:cs="宋体"/>
          <w:sz w:val="24"/>
          <w:szCs w:val="24"/>
          <w:lang w:eastAsia="zh-CN"/>
        </w:rPr>
        <w:fldChar w:fldCharType="end"/>
      </w:r>
    </w:p>
    <w:p w14:paraId="25A3F3D4">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_Toc8154 </w:instrText>
      </w:r>
      <w:r>
        <w:rPr>
          <w:rFonts w:hint="eastAsia" w:cs="宋体"/>
          <w:sz w:val="24"/>
          <w:szCs w:val="24"/>
          <w:lang w:eastAsia="zh-CN"/>
        </w:rPr>
        <w:fldChar w:fldCharType="separate"/>
      </w:r>
      <w:r>
        <w:rPr>
          <w:rFonts w:hint="eastAsia" w:ascii="黑体" w:hAnsi="黑体" w:eastAsia="黑体"/>
          <w:i w:val="0"/>
          <w:sz w:val="24"/>
          <w:szCs w:val="24"/>
        </w:rPr>
        <w:t xml:space="preserve">九、 </w:t>
      </w:r>
      <w:r>
        <w:rPr>
          <w:rFonts w:hint="eastAsia"/>
          <w:sz w:val="24"/>
          <w:szCs w:val="24"/>
        </w:rPr>
        <w:t>开标一览表（报价表）</w:t>
      </w:r>
      <w:r>
        <w:rPr>
          <w:sz w:val="24"/>
          <w:szCs w:val="24"/>
        </w:rPr>
        <w:tab/>
      </w:r>
      <w:r>
        <w:rPr>
          <w:sz w:val="24"/>
          <w:szCs w:val="24"/>
        </w:rPr>
        <w:fldChar w:fldCharType="begin"/>
      </w:r>
      <w:r>
        <w:rPr>
          <w:sz w:val="24"/>
          <w:szCs w:val="24"/>
        </w:rPr>
        <w:instrText xml:space="preserve"> PAGEREF _Toc8154 \h </w:instrText>
      </w:r>
      <w:r>
        <w:rPr>
          <w:sz w:val="24"/>
          <w:szCs w:val="24"/>
        </w:rPr>
        <w:fldChar w:fldCharType="separate"/>
      </w:r>
      <w:r>
        <w:rPr>
          <w:sz w:val="24"/>
          <w:szCs w:val="24"/>
        </w:rPr>
        <w:t>- 70 -</w:t>
      </w:r>
      <w:r>
        <w:rPr>
          <w:sz w:val="24"/>
          <w:szCs w:val="24"/>
        </w:rPr>
        <w:fldChar w:fldCharType="end"/>
      </w:r>
      <w:r>
        <w:rPr>
          <w:rFonts w:hint="eastAsia" w:cs="宋体"/>
          <w:sz w:val="24"/>
          <w:szCs w:val="24"/>
          <w:lang w:eastAsia="zh-CN"/>
        </w:rPr>
        <w:fldChar w:fldCharType="end"/>
      </w:r>
    </w:p>
    <w:p w14:paraId="5933C4F9">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_Toc15778 </w:instrText>
      </w:r>
      <w:r>
        <w:rPr>
          <w:rFonts w:hint="eastAsia" w:cs="宋体"/>
          <w:sz w:val="24"/>
          <w:szCs w:val="24"/>
          <w:lang w:eastAsia="zh-CN"/>
        </w:rPr>
        <w:fldChar w:fldCharType="separate"/>
      </w:r>
      <w:r>
        <w:rPr>
          <w:rFonts w:hint="eastAsia" w:ascii="黑体" w:hAnsi="黑体" w:eastAsia="黑体"/>
          <w:i w:val="0"/>
          <w:sz w:val="24"/>
          <w:szCs w:val="24"/>
        </w:rPr>
        <w:t xml:space="preserve">十、 </w:t>
      </w:r>
      <w:r>
        <w:rPr>
          <w:rFonts w:hint="eastAsia"/>
          <w:sz w:val="24"/>
          <w:szCs w:val="24"/>
        </w:rPr>
        <w:t>中小企业声明函（</w:t>
      </w:r>
      <w:r>
        <w:rPr>
          <w:rFonts w:hint="eastAsia"/>
          <w:sz w:val="24"/>
          <w:szCs w:val="24"/>
          <w:lang w:val="en-US" w:eastAsia="zh-Hans"/>
        </w:rPr>
        <w:t>服务</w:t>
      </w:r>
      <w:r>
        <w:rPr>
          <w:rFonts w:hint="eastAsia"/>
          <w:sz w:val="24"/>
          <w:szCs w:val="24"/>
        </w:rPr>
        <w:t>）</w:t>
      </w:r>
      <w:r>
        <w:rPr>
          <w:sz w:val="24"/>
          <w:szCs w:val="24"/>
        </w:rPr>
        <w:tab/>
      </w:r>
      <w:r>
        <w:rPr>
          <w:sz w:val="24"/>
          <w:szCs w:val="24"/>
        </w:rPr>
        <w:fldChar w:fldCharType="begin"/>
      </w:r>
      <w:r>
        <w:rPr>
          <w:sz w:val="24"/>
          <w:szCs w:val="24"/>
        </w:rPr>
        <w:instrText xml:space="preserve"> PAGEREF _Toc15778 \h </w:instrText>
      </w:r>
      <w:r>
        <w:rPr>
          <w:sz w:val="24"/>
          <w:szCs w:val="24"/>
        </w:rPr>
        <w:fldChar w:fldCharType="separate"/>
      </w:r>
      <w:r>
        <w:rPr>
          <w:sz w:val="24"/>
          <w:szCs w:val="24"/>
        </w:rPr>
        <w:t>- 72 -</w:t>
      </w:r>
      <w:r>
        <w:rPr>
          <w:sz w:val="24"/>
          <w:szCs w:val="24"/>
        </w:rPr>
        <w:fldChar w:fldCharType="end"/>
      </w:r>
      <w:r>
        <w:rPr>
          <w:rFonts w:hint="eastAsia" w:cs="宋体"/>
          <w:sz w:val="24"/>
          <w:szCs w:val="24"/>
          <w:lang w:eastAsia="zh-CN"/>
        </w:rPr>
        <w:fldChar w:fldCharType="end"/>
      </w:r>
    </w:p>
    <w:p w14:paraId="60A25F95">
      <w:pPr>
        <w:pStyle w:val="24"/>
        <w:tabs>
          <w:tab w:val="right" w:leader="dot" w:pos="8306"/>
        </w:tabs>
        <w:spacing w:line="360" w:lineRule="auto"/>
        <w:rPr>
          <w:sz w:val="24"/>
          <w:szCs w:val="24"/>
        </w:rPr>
      </w:pPr>
      <w:r>
        <w:rPr>
          <w:rFonts w:hint="eastAsia" w:cs="宋体"/>
          <w:sz w:val="24"/>
          <w:szCs w:val="24"/>
          <w:lang w:eastAsia="zh-CN"/>
        </w:rPr>
        <w:fldChar w:fldCharType="begin"/>
      </w:r>
      <w:r>
        <w:rPr>
          <w:rFonts w:hint="eastAsia" w:cs="宋体"/>
          <w:sz w:val="24"/>
          <w:szCs w:val="24"/>
          <w:lang w:eastAsia="zh-CN"/>
        </w:rPr>
        <w:instrText xml:space="preserve"> HYPERLINK \l _Toc24032 </w:instrText>
      </w:r>
      <w:r>
        <w:rPr>
          <w:rFonts w:hint="eastAsia" w:cs="宋体"/>
          <w:sz w:val="24"/>
          <w:szCs w:val="24"/>
          <w:lang w:eastAsia="zh-CN"/>
        </w:rPr>
        <w:fldChar w:fldCharType="separate"/>
      </w:r>
      <w:r>
        <w:rPr>
          <w:rFonts w:hint="eastAsia" w:ascii="黑体" w:hAnsi="黑体" w:eastAsia="黑体"/>
          <w:i w:val="0"/>
          <w:sz w:val="24"/>
          <w:szCs w:val="24"/>
        </w:rPr>
        <w:t xml:space="preserve">十一、 </w:t>
      </w:r>
      <w:r>
        <w:rPr>
          <w:rFonts w:hint="eastAsia"/>
          <w:sz w:val="24"/>
          <w:szCs w:val="24"/>
        </w:rPr>
        <w:t>残疾人福利性单位声明函</w:t>
      </w:r>
      <w:r>
        <w:rPr>
          <w:sz w:val="24"/>
          <w:szCs w:val="24"/>
        </w:rPr>
        <w:tab/>
      </w:r>
      <w:r>
        <w:rPr>
          <w:sz w:val="24"/>
          <w:szCs w:val="24"/>
        </w:rPr>
        <w:fldChar w:fldCharType="begin"/>
      </w:r>
      <w:r>
        <w:rPr>
          <w:sz w:val="24"/>
          <w:szCs w:val="24"/>
        </w:rPr>
        <w:instrText xml:space="preserve"> PAGEREF _Toc24032 \h </w:instrText>
      </w:r>
      <w:r>
        <w:rPr>
          <w:sz w:val="24"/>
          <w:szCs w:val="24"/>
        </w:rPr>
        <w:fldChar w:fldCharType="separate"/>
      </w:r>
      <w:r>
        <w:rPr>
          <w:sz w:val="24"/>
          <w:szCs w:val="24"/>
        </w:rPr>
        <w:t>- 73 -</w:t>
      </w:r>
      <w:r>
        <w:rPr>
          <w:sz w:val="24"/>
          <w:szCs w:val="24"/>
        </w:rPr>
        <w:fldChar w:fldCharType="end"/>
      </w:r>
      <w:r>
        <w:rPr>
          <w:rFonts w:hint="eastAsia" w:cs="宋体"/>
          <w:sz w:val="24"/>
          <w:szCs w:val="24"/>
          <w:lang w:eastAsia="zh-CN"/>
        </w:rPr>
        <w:fldChar w:fldCharType="end"/>
      </w:r>
    </w:p>
    <w:p w14:paraId="18D9584C">
      <w:pPr>
        <w:pStyle w:val="24"/>
        <w:tabs>
          <w:tab w:val="right" w:leader="dot" w:pos="8306"/>
        </w:tabs>
        <w:spacing w:line="360" w:lineRule="auto"/>
      </w:pPr>
      <w:r>
        <w:rPr>
          <w:rFonts w:hint="eastAsia" w:cs="宋体"/>
          <w:sz w:val="24"/>
          <w:szCs w:val="24"/>
          <w:lang w:eastAsia="zh-CN"/>
        </w:rPr>
        <w:fldChar w:fldCharType="begin"/>
      </w:r>
      <w:r>
        <w:rPr>
          <w:rFonts w:hint="eastAsia" w:cs="宋体"/>
          <w:sz w:val="24"/>
          <w:szCs w:val="24"/>
          <w:lang w:eastAsia="zh-CN"/>
        </w:rPr>
        <w:instrText xml:space="preserve"> HYPERLINK \l _Toc32082 </w:instrText>
      </w:r>
      <w:r>
        <w:rPr>
          <w:rFonts w:hint="eastAsia" w:cs="宋体"/>
          <w:sz w:val="24"/>
          <w:szCs w:val="24"/>
          <w:lang w:eastAsia="zh-CN"/>
        </w:rPr>
        <w:fldChar w:fldCharType="separate"/>
      </w:r>
      <w:r>
        <w:rPr>
          <w:rFonts w:hint="eastAsia" w:ascii="黑体" w:hAnsi="黑体" w:eastAsia="黑体"/>
          <w:i w:val="0"/>
          <w:sz w:val="24"/>
          <w:szCs w:val="24"/>
        </w:rPr>
        <w:t xml:space="preserve">十二、 </w:t>
      </w:r>
      <w:r>
        <w:rPr>
          <w:sz w:val="24"/>
          <w:szCs w:val="24"/>
        </w:rPr>
        <w:t>商务</w:t>
      </w:r>
      <w:r>
        <w:rPr>
          <w:rFonts w:hint="eastAsia"/>
          <w:sz w:val="24"/>
          <w:szCs w:val="24"/>
        </w:rPr>
        <w:t>及</w:t>
      </w:r>
      <w:r>
        <w:rPr>
          <w:sz w:val="24"/>
          <w:szCs w:val="24"/>
        </w:rPr>
        <w:t>技术偏离表</w:t>
      </w:r>
      <w:r>
        <w:rPr>
          <w:sz w:val="24"/>
          <w:szCs w:val="24"/>
        </w:rPr>
        <w:tab/>
      </w:r>
      <w:r>
        <w:rPr>
          <w:sz w:val="24"/>
          <w:szCs w:val="24"/>
        </w:rPr>
        <w:fldChar w:fldCharType="begin"/>
      </w:r>
      <w:r>
        <w:rPr>
          <w:sz w:val="24"/>
          <w:szCs w:val="24"/>
        </w:rPr>
        <w:instrText xml:space="preserve"> PAGEREF _Toc32082 \h </w:instrText>
      </w:r>
      <w:r>
        <w:rPr>
          <w:sz w:val="24"/>
          <w:szCs w:val="24"/>
        </w:rPr>
        <w:fldChar w:fldCharType="separate"/>
      </w:r>
      <w:r>
        <w:rPr>
          <w:sz w:val="24"/>
          <w:szCs w:val="24"/>
        </w:rPr>
        <w:t>- 74 -</w:t>
      </w:r>
      <w:r>
        <w:rPr>
          <w:sz w:val="24"/>
          <w:szCs w:val="24"/>
        </w:rPr>
        <w:fldChar w:fldCharType="end"/>
      </w:r>
      <w:r>
        <w:rPr>
          <w:rFonts w:hint="eastAsia" w:cs="宋体"/>
          <w:sz w:val="24"/>
          <w:szCs w:val="24"/>
          <w:lang w:eastAsia="zh-CN"/>
        </w:rPr>
        <w:fldChar w:fldCharType="end"/>
      </w:r>
    </w:p>
    <w:p w14:paraId="3E879351">
      <w:pPr>
        <w:pStyle w:val="42"/>
        <w:ind w:firstLine="0" w:firstLineChars="0"/>
        <w:rPr>
          <w:lang w:eastAsia="zh-CN"/>
        </w:rPr>
      </w:pPr>
      <w:r>
        <w:rPr>
          <w:rFonts w:hint="eastAsia" w:cs="宋体"/>
          <w:szCs w:val="24"/>
          <w:lang w:eastAsia="zh-CN"/>
        </w:rPr>
        <w:fldChar w:fldCharType="end"/>
      </w:r>
    </w:p>
    <w:p w14:paraId="0277B4DC">
      <w:pPr>
        <w:pStyle w:val="42"/>
        <w:ind w:firstLine="199" w:firstLineChars="83"/>
        <w:rPr>
          <w:lang w:eastAsia="zh-CN"/>
        </w:rPr>
        <w:sectPr>
          <w:headerReference r:id="rId9" w:type="default"/>
          <w:footerReference r:id="rId10" w:type="default"/>
          <w:pgSz w:w="11906" w:h="16838"/>
          <w:pgMar w:top="1440" w:right="1800" w:bottom="1440" w:left="1800" w:header="851" w:footer="992" w:gutter="0"/>
          <w:pgNumType w:fmt="lowerRoman" w:start="1"/>
          <w:cols w:space="425" w:num="1"/>
          <w:docGrid w:type="lines" w:linePitch="312" w:charSpace="0"/>
        </w:sectPr>
      </w:pPr>
    </w:p>
    <w:p w14:paraId="69647777">
      <w:pPr>
        <w:pStyle w:val="43"/>
      </w:pPr>
      <w:bookmarkStart w:id="0" w:name="_Toc23234"/>
      <w:r>
        <w:rPr>
          <w:rFonts w:hint="eastAsia"/>
        </w:rPr>
        <w:t>招标公告</w:t>
      </w:r>
      <w:bookmarkEnd w:id="0"/>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D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blHeader/>
          <w:jc w:val="center"/>
        </w:trPr>
        <w:tc>
          <w:tcPr>
            <w:tcW w:w="8522" w:type="dxa"/>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267BA393">
            <w:pPr>
              <w:pStyle w:val="42"/>
              <w:ind w:firstLine="480"/>
              <w:rPr>
                <w:b w:val="0"/>
                <w:bCs/>
                <w:i w:val="0"/>
              </w:rPr>
            </w:pPr>
            <w:r>
              <w:rPr>
                <w:rFonts w:hint="eastAsia"/>
                <w:b w:val="0"/>
                <w:bCs/>
                <w:i w:val="0"/>
              </w:rPr>
              <w:t>项目概况</w:t>
            </w:r>
          </w:p>
          <w:p w14:paraId="1DB45FAB">
            <w:pPr>
              <w:pStyle w:val="42"/>
              <w:ind w:firstLine="480"/>
              <w:jc w:val="left"/>
              <w:rPr>
                <w:b/>
                <w:i w:val="0"/>
              </w:rPr>
            </w:pPr>
            <w:r>
              <w:rPr>
                <w:rFonts w:hint="eastAsia"/>
                <w:b w:val="0"/>
                <w:bCs/>
                <w:i w:val="0"/>
                <w:color w:val="auto"/>
                <w:u w:val="single"/>
                <w:lang w:val="en-US" w:eastAsia="zh-CN"/>
              </w:rPr>
              <w:t>浙江省测绘科学技术研究院</w:t>
            </w:r>
            <w:r>
              <w:rPr>
                <w:rFonts w:hint="eastAsia"/>
                <w:b w:val="0"/>
                <w:bCs/>
                <w:i w:val="0"/>
                <w:color w:val="auto"/>
                <w:u w:val="single"/>
                <w:lang w:eastAsia="zh-CN"/>
              </w:rPr>
              <w:t>2026年跨省北斗定位漫游服务和北斗应用终端标准数据服务</w:t>
            </w:r>
            <w:r>
              <w:rPr>
                <w:rFonts w:hint="eastAsia"/>
                <w:b w:val="0"/>
                <w:bCs/>
                <w:i w:val="0"/>
              </w:rPr>
              <w:t>招标项</w:t>
            </w:r>
            <w:r>
              <w:rPr>
                <w:rFonts w:hint="eastAsia"/>
                <w:b w:val="0"/>
                <w:bCs/>
                <w:i w:val="0"/>
                <w:color w:val="auto"/>
              </w:rPr>
              <w:t>目的潜在投标人应在http://zfcg.czt.zj.gov.cn获取（下载）招标文件，并于</w:t>
            </w:r>
            <w:r>
              <w:rPr>
                <w:rFonts w:hint="eastAsia"/>
                <w:b w:val="0"/>
                <w:bCs/>
                <w:i w:val="0"/>
                <w:color w:val="auto"/>
                <w:u w:val="single"/>
                <w:lang w:eastAsia="zh-CN"/>
              </w:rPr>
              <w:t>2026年05月29日09时00分</w:t>
            </w:r>
            <w:r>
              <w:rPr>
                <w:rFonts w:hint="eastAsia"/>
                <w:b w:val="0"/>
                <w:bCs/>
                <w:i w:val="0"/>
                <w:color w:val="auto"/>
              </w:rPr>
              <w:t>（</w:t>
            </w:r>
            <w:r>
              <w:rPr>
                <w:rFonts w:hint="eastAsia"/>
                <w:b w:val="0"/>
                <w:bCs/>
                <w:i w:val="0"/>
              </w:rPr>
              <w:t>北京时间）前递交（上传）投标</w:t>
            </w:r>
            <w:r>
              <w:rPr>
                <w:b w:val="0"/>
                <w:bCs/>
                <w:i w:val="0"/>
              </w:rPr>
              <w:t>文件</w:t>
            </w:r>
            <w:r>
              <w:rPr>
                <w:rFonts w:hint="eastAsia"/>
                <w:b w:val="0"/>
                <w:bCs/>
                <w:i w:val="0"/>
              </w:rPr>
              <w:t>。</w:t>
            </w:r>
          </w:p>
        </w:tc>
      </w:tr>
    </w:tbl>
    <w:p w14:paraId="1A1EE538">
      <w:pPr>
        <w:pStyle w:val="44"/>
        <w:numPr>
          <w:ilvl w:val="0"/>
          <w:numId w:val="0"/>
        </w:numPr>
        <w:jc w:val="both"/>
        <w:outlineLvl w:val="9"/>
        <w:rPr>
          <w:b/>
          <w:bCs w:val="0"/>
          <w:sz w:val="24"/>
          <w:szCs w:val="24"/>
        </w:rPr>
      </w:pPr>
      <w:r>
        <w:rPr>
          <w:rFonts w:hint="eastAsia"/>
          <w:b/>
          <w:bCs w:val="0"/>
          <w:sz w:val="24"/>
          <w:szCs w:val="24"/>
          <w:lang w:eastAsia="zh-CN"/>
        </w:rPr>
        <w:t>一、</w:t>
      </w:r>
      <w:r>
        <w:rPr>
          <w:rFonts w:hint="eastAsia"/>
          <w:b/>
          <w:bCs w:val="0"/>
          <w:sz w:val="24"/>
          <w:szCs w:val="24"/>
        </w:rPr>
        <w:t>项目基本情况</w:t>
      </w:r>
    </w:p>
    <w:p w14:paraId="5184A810">
      <w:pPr>
        <w:pStyle w:val="42"/>
        <w:ind w:firstLine="482"/>
        <w:rPr>
          <w:color w:val="auto"/>
        </w:rPr>
      </w:pPr>
      <w:r>
        <w:rPr>
          <w:rFonts w:hint="eastAsia"/>
          <w:b/>
          <w:bCs/>
        </w:rPr>
        <w:t>项目编号：</w:t>
      </w:r>
      <w:r>
        <w:rPr>
          <w:rFonts w:hint="eastAsia"/>
          <w:color w:val="auto"/>
          <w:lang w:eastAsia="zh-CN"/>
        </w:rPr>
        <w:t>330000263130150000171-ZQ260319ZG</w:t>
      </w:r>
    </w:p>
    <w:p w14:paraId="5FC46B87">
      <w:pPr>
        <w:pStyle w:val="42"/>
        <w:ind w:firstLine="482"/>
      </w:pPr>
      <w:r>
        <w:rPr>
          <w:rFonts w:hint="eastAsia"/>
          <w:b/>
          <w:bCs/>
        </w:rPr>
        <w:t>项目名称：</w:t>
      </w:r>
      <w:r>
        <w:rPr>
          <w:rFonts w:hint="eastAsia"/>
          <w:b w:val="0"/>
          <w:bCs/>
          <w:i w:val="0"/>
          <w:color w:val="auto"/>
          <w:u w:val="none"/>
          <w:lang w:val="en-US" w:eastAsia="zh-CN"/>
        </w:rPr>
        <w:t>2026年跨省北斗定位漫游服务和北斗应用终端标准数据服务项目</w:t>
      </w:r>
    </w:p>
    <w:p w14:paraId="694F94A0">
      <w:pPr>
        <w:pStyle w:val="42"/>
        <w:ind w:firstLine="482"/>
        <w:rPr>
          <w:color w:val="auto"/>
        </w:rPr>
      </w:pPr>
      <w:r>
        <w:rPr>
          <w:rFonts w:hint="eastAsia"/>
          <w:b/>
          <w:bCs/>
        </w:rPr>
        <w:t>预算金额（元）</w:t>
      </w:r>
      <w:r>
        <w:rPr>
          <w:rFonts w:hint="eastAsia"/>
          <w:b/>
          <w:bCs/>
          <w:color w:val="auto"/>
        </w:rPr>
        <w:t>：</w:t>
      </w:r>
      <w:r>
        <w:rPr>
          <w:rFonts w:hint="eastAsia"/>
          <w:color w:val="auto"/>
          <w:lang w:val="en-US" w:eastAsia="zh-CN"/>
        </w:rPr>
        <w:t>20</w:t>
      </w:r>
      <w:r>
        <w:rPr>
          <w:rFonts w:hint="eastAsia"/>
          <w:color w:val="auto"/>
          <w:lang w:eastAsia="zh-CN"/>
        </w:rPr>
        <w:t>0000.00</w:t>
      </w:r>
    </w:p>
    <w:p w14:paraId="60EB9885">
      <w:pPr>
        <w:pStyle w:val="42"/>
        <w:ind w:firstLine="482"/>
        <w:rPr>
          <w:color w:val="auto"/>
        </w:rPr>
      </w:pPr>
      <w:r>
        <w:rPr>
          <w:rFonts w:hint="eastAsia"/>
          <w:b/>
          <w:bCs/>
          <w:color w:val="auto"/>
        </w:rPr>
        <w:t>最高限价（元）：</w:t>
      </w:r>
      <w:r>
        <w:rPr>
          <w:rFonts w:hint="eastAsia"/>
          <w:color w:val="auto"/>
          <w:lang w:val="en-US" w:eastAsia="zh-CN"/>
        </w:rPr>
        <w:t>20</w:t>
      </w:r>
      <w:r>
        <w:rPr>
          <w:rFonts w:hint="eastAsia"/>
          <w:color w:val="auto"/>
          <w:lang w:eastAsia="zh-CN"/>
        </w:rPr>
        <w:t>0000.00</w:t>
      </w:r>
    </w:p>
    <w:p w14:paraId="57B5A60F">
      <w:pPr>
        <w:pStyle w:val="42"/>
        <w:ind w:firstLine="482"/>
        <w:rPr>
          <w:b/>
          <w:bCs/>
        </w:rPr>
      </w:pPr>
      <w:r>
        <w:rPr>
          <w:rFonts w:hint="eastAsia"/>
          <w:b/>
          <w:bCs/>
        </w:rPr>
        <w:t>采购需求：</w:t>
      </w:r>
    </w:p>
    <w:p w14:paraId="665809D8">
      <w:pPr>
        <w:pStyle w:val="42"/>
        <w:ind w:firstLine="482"/>
        <w:rPr>
          <w:color w:val="auto"/>
          <w:lang w:eastAsia="zh-CN"/>
        </w:rPr>
      </w:pPr>
      <w:r>
        <w:rPr>
          <w:rFonts w:hint="eastAsia"/>
          <w:b/>
          <w:bCs/>
          <w:color w:val="auto"/>
        </w:rPr>
        <w:t>标项序号</w:t>
      </w:r>
      <w:r>
        <w:rPr>
          <w:rFonts w:hint="eastAsia"/>
          <w:b/>
          <w:bCs/>
          <w:color w:val="auto"/>
          <w:lang w:eastAsia="zh-CN"/>
        </w:rPr>
        <w:t>：</w:t>
      </w:r>
      <w:r>
        <w:rPr>
          <w:rFonts w:hint="eastAsia"/>
          <w:color w:val="auto"/>
          <w:lang w:eastAsia="zh-CN"/>
        </w:rPr>
        <w:t>一</w:t>
      </w:r>
    </w:p>
    <w:p w14:paraId="61DA08F0">
      <w:pPr>
        <w:pStyle w:val="42"/>
        <w:ind w:firstLine="480"/>
        <w:rPr>
          <w:color w:val="auto"/>
          <w:lang w:eastAsia="zh-CN"/>
        </w:rPr>
      </w:pPr>
      <w:r>
        <w:rPr>
          <w:rFonts w:hint="eastAsia"/>
          <w:color w:val="auto"/>
        </w:rPr>
        <w:t>标项名称</w:t>
      </w:r>
      <w:r>
        <w:rPr>
          <w:rFonts w:hint="eastAsia"/>
          <w:color w:val="auto"/>
          <w:lang w:eastAsia="zh-CN"/>
        </w:rPr>
        <w:t>：2026年跨省北斗定位漫游服务和北斗应用终端标准数据服务项目</w:t>
      </w:r>
    </w:p>
    <w:p w14:paraId="065F4071">
      <w:pPr>
        <w:pStyle w:val="42"/>
        <w:ind w:firstLine="480"/>
        <w:rPr>
          <w:rFonts w:hint="eastAsia"/>
          <w:color w:val="auto"/>
          <w:lang w:eastAsia="zh-CN"/>
        </w:rPr>
      </w:pPr>
      <w:r>
        <w:rPr>
          <w:rFonts w:hint="eastAsia"/>
          <w:color w:val="auto"/>
        </w:rPr>
        <w:t>数量</w:t>
      </w:r>
      <w:r>
        <w:rPr>
          <w:rFonts w:hint="eastAsia"/>
          <w:color w:val="auto"/>
          <w:lang w:eastAsia="zh-CN"/>
        </w:rPr>
        <w:t>：1</w:t>
      </w:r>
    </w:p>
    <w:p w14:paraId="7C591D1C">
      <w:pPr>
        <w:pStyle w:val="42"/>
        <w:ind w:firstLine="480"/>
        <w:rPr>
          <w:rFonts w:hint="eastAsia"/>
          <w:color w:val="auto"/>
          <w:lang w:eastAsia="zh-CN"/>
        </w:rPr>
      </w:pPr>
      <w:r>
        <w:rPr>
          <w:rFonts w:hint="eastAsia"/>
          <w:color w:val="auto"/>
          <w:lang w:eastAsia="zh-CN"/>
        </w:rPr>
        <w:t>预算金额（元）：</w:t>
      </w:r>
      <w:r>
        <w:rPr>
          <w:rFonts w:hint="eastAsia"/>
          <w:color w:val="auto"/>
          <w:lang w:val="en-US" w:eastAsia="zh-CN"/>
        </w:rPr>
        <w:t>20</w:t>
      </w:r>
      <w:r>
        <w:rPr>
          <w:rFonts w:hint="eastAsia"/>
          <w:color w:val="auto"/>
          <w:lang w:eastAsia="zh-CN"/>
        </w:rPr>
        <w:t>0000.00</w:t>
      </w:r>
    </w:p>
    <w:p w14:paraId="24A14E62">
      <w:pPr>
        <w:pStyle w:val="42"/>
        <w:ind w:firstLine="480"/>
        <w:rPr>
          <w:color w:val="auto"/>
          <w:lang w:eastAsia="zh-CN"/>
        </w:rPr>
      </w:pPr>
      <w:r>
        <w:rPr>
          <w:rFonts w:hint="eastAsia"/>
          <w:color w:val="auto"/>
        </w:rPr>
        <w:t>单位</w:t>
      </w:r>
      <w:r>
        <w:rPr>
          <w:rFonts w:hint="eastAsia"/>
          <w:color w:val="auto"/>
          <w:lang w:eastAsia="zh-CN"/>
        </w:rPr>
        <w:t>：项</w:t>
      </w:r>
    </w:p>
    <w:p w14:paraId="1B029276">
      <w:pPr>
        <w:pStyle w:val="42"/>
        <w:ind w:firstLine="480"/>
        <w:rPr>
          <w:color w:val="auto"/>
          <w:lang w:eastAsia="zh-CN"/>
        </w:rPr>
      </w:pPr>
      <w:r>
        <w:rPr>
          <w:rFonts w:hint="eastAsia"/>
        </w:rPr>
        <w:t>简要规格描述或项目基本概况介绍、用途</w:t>
      </w:r>
      <w:r>
        <w:rPr>
          <w:rFonts w:hint="eastAsia"/>
          <w:lang w:eastAsia="zh-CN"/>
        </w:rPr>
        <w:t>：</w:t>
      </w:r>
      <w:r>
        <w:rPr>
          <w:rFonts w:hint="eastAsia"/>
          <w:color w:val="auto"/>
          <w:lang w:eastAsia="zh-CN"/>
        </w:rPr>
        <w:t>完成跨省北斗定位漫游服务功能升级优化，在不改变现有的计算播发服务系统基础上，用户跨省无缝漫游定位精度与现有省级CORS服务相当，将漫游服务扩展至福建、江西周边省份；开展北斗应用终端标准数据服务，规范终端接入协议、数据格式与服务接口，高效支撑国土调查终端、无人机管理平台“一机一码”等服务</w:t>
      </w:r>
      <w:r>
        <w:rPr>
          <w:rFonts w:hint="eastAsia"/>
          <w:lang w:eastAsia="zh-CN"/>
        </w:rPr>
        <w:t>。详见招标文件“</w:t>
      </w:r>
      <w:r>
        <w:rPr>
          <w:rFonts w:hint="eastAsia"/>
        </w:rPr>
        <w:t>第</w:t>
      </w:r>
      <w:r>
        <w:rPr>
          <w:rFonts w:hint="eastAsia"/>
          <w:lang w:eastAsia="zh-CN"/>
        </w:rPr>
        <w:t xml:space="preserve">三章 </w:t>
      </w:r>
      <w:r>
        <w:rPr>
          <w:rFonts w:hint="eastAsia"/>
        </w:rPr>
        <w:t>项目</w:t>
      </w:r>
      <w:r>
        <w:rPr>
          <w:rFonts w:hint="eastAsia"/>
          <w:color w:val="auto"/>
        </w:rPr>
        <w:t>技术及服务要求</w:t>
      </w:r>
      <w:r>
        <w:rPr>
          <w:rFonts w:hint="eastAsia"/>
          <w:color w:val="auto"/>
          <w:lang w:eastAsia="zh-CN"/>
        </w:rPr>
        <w:t>”</w:t>
      </w:r>
    </w:p>
    <w:p w14:paraId="1D4E6218">
      <w:pPr>
        <w:pStyle w:val="42"/>
        <w:ind w:firstLine="480"/>
        <w:rPr>
          <w:bCs/>
          <w:color w:val="auto"/>
        </w:rPr>
      </w:pPr>
      <w:r>
        <w:rPr>
          <w:rFonts w:hint="eastAsia"/>
          <w:bCs/>
          <w:color w:val="auto"/>
        </w:rPr>
        <w:t>备注</w:t>
      </w:r>
      <w:r>
        <w:rPr>
          <w:rFonts w:hint="eastAsia"/>
          <w:bCs/>
          <w:color w:val="auto"/>
          <w:lang w:eastAsia="zh-CN"/>
        </w:rPr>
        <w:t>：</w:t>
      </w:r>
      <w:r>
        <w:rPr>
          <w:rFonts w:hint="eastAsia"/>
          <w:bCs/>
          <w:color w:val="auto"/>
        </w:rPr>
        <w:t>采购计划文号</w:t>
      </w:r>
      <w:r>
        <w:rPr>
          <w:rFonts w:hint="eastAsia" w:eastAsia="微软雅黑"/>
          <w:bCs/>
          <w:color w:val="auto"/>
        </w:rPr>
        <w:t xml:space="preserve"> [2026]16493号</w:t>
      </w:r>
    </w:p>
    <w:p w14:paraId="53E2A15F">
      <w:pPr>
        <w:pStyle w:val="42"/>
        <w:ind w:firstLine="482"/>
        <w:rPr>
          <w:color w:val="auto"/>
          <w:lang w:eastAsia="zh-CN"/>
        </w:rPr>
      </w:pPr>
      <w:r>
        <w:rPr>
          <w:rFonts w:hint="eastAsia"/>
          <w:b/>
          <w:bCs/>
          <w:color w:val="auto"/>
        </w:rPr>
        <w:t>合同履行期限：</w:t>
      </w:r>
      <w:r>
        <w:rPr>
          <w:rFonts w:hint="eastAsia"/>
          <w:color w:val="auto"/>
        </w:rPr>
        <w:t>自合同签订</w:t>
      </w:r>
      <w:r>
        <w:rPr>
          <w:rFonts w:hint="eastAsia"/>
          <w:color w:val="auto"/>
          <w:lang w:eastAsia="zh-CN"/>
        </w:rPr>
        <w:t>并生效</w:t>
      </w:r>
      <w:r>
        <w:rPr>
          <w:rFonts w:hint="eastAsia"/>
          <w:color w:val="auto"/>
        </w:rPr>
        <w:t>之日起</w:t>
      </w:r>
      <w:r>
        <w:rPr>
          <w:rFonts w:hint="eastAsia"/>
          <w:color w:val="auto"/>
          <w:lang w:val="en-US" w:eastAsia="zh-CN"/>
        </w:rPr>
        <w:t>至</w:t>
      </w:r>
      <w:r>
        <w:rPr>
          <w:rFonts w:hint="eastAsia"/>
          <w:color w:val="auto"/>
        </w:rPr>
        <w:t>2026年10月底前</w:t>
      </w:r>
      <w:r>
        <w:rPr>
          <w:rFonts w:hint="eastAsia"/>
          <w:color w:val="auto"/>
          <w:lang w:val="en-US" w:eastAsia="zh-CN"/>
        </w:rPr>
        <w:t>完成</w:t>
      </w:r>
      <w:r>
        <w:rPr>
          <w:rFonts w:hint="eastAsia"/>
          <w:color w:val="auto"/>
          <w:lang w:eastAsia="zh-CN"/>
        </w:rPr>
        <w:t>。</w:t>
      </w:r>
    </w:p>
    <w:p w14:paraId="5EFD5693">
      <w:pPr>
        <w:pStyle w:val="42"/>
        <w:ind w:firstLine="482"/>
        <w:rPr>
          <w:rFonts w:ascii="仿宋_GB2312" w:hAnsi="仿宋"/>
          <w:color w:val="auto"/>
          <w:kern w:val="28"/>
          <w:highlight w:val="none"/>
          <w:lang w:eastAsia="zh-CN"/>
        </w:rPr>
      </w:pPr>
      <w:r>
        <w:rPr>
          <w:rFonts w:ascii="仿宋_GB2312" w:hAnsi="仿宋_GB2312"/>
          <w:b/>
          <w:color w:val="auto"/>
          <w:highlight w:val="none"/>
        </w:rPr>
        <w:t>本项目</w:t>
      </w:r>
      <w:r>
        <w:rPr>
          <w:rFonts w:hint="eastAsia" w:ascii="仿宋_GB2312" w:hAnsi="仿宋_GB2312"/>
          <w:b/>
          <w:color w:val="auto"/>
          <w:highlight w:val="none"/>
          <w:lang w:eastAsia="zh-CN"/>
        </w:rPr>
        <w:t>（</w:t>
      </w:r>
      <w:r>
        <w:rPr>
          <w:rFonts w:hint="eastAsia" w:ascii="仿宋_GB2312" w:hAnsi="仿宋_GB2312"/>
          <w:b/>
          <w:color w:val="auto"/>
          <w:highlight w:val="none"/>
          <w:lang w:val="en-US" w:eastAsia="zh-CN"/>
        </w:rPr>
        <w:t>是</w:t>
      </w:r>
      <w:r>
        <w:rPr>
          <w:rFonts w:hint="eastAsia" w:ascii="仿宋_GB2312" w:hAnsi="仿宋_GB2312"/>
          <w:b/>
          <w:color w:val="auto"/>
          <w:highlight w:val="none"/>
          <w:lang w:eastAsia="zh-CN"/>
        </w:rPr>
        <w:t>）</w:t>
      </w:r>
      <w:r>
        <w:rPr>
          <w:rFonts w:ascii="仿宋_GB2312" w:hAnsi="仿宋_GB2312"/>
          <w:b/>
          <w:color w:val="auto"/>
          <w:highlight w:val="none"/>
        </w:rPr>
        <w:t>接受联合体投标</w:t>
      </w:r>
      <w:r>
        <w:rPr>
          <w:rFonts w:hint="eastAsia" w:ascii="仿宋_GB2312" w:hAnsi="仿宋_GB2312"/>
          <w:b/>
          <w:color w:val="auto"/>
          <w:highlight w:val="none"/>
          <w:lang w:eastAsia="zh-CN"/>
        </w:rPr>
        <w:t>。</w:t>
      </w:r>
    </w:p>
    <w:p w14:paraId="4B8D889D">
      <w:pPr>
        <w:pStyle w:val="44"/>
        <w:numPr>
          <w:ilvl w:val="0"/>
          <w:numId w:val="0"/>
        </w:numPr>
        <w:jc w:val="both"/>
        <w:outlineLvl w:val="9"/>
        <w:rPr>
          <w:b/>
          <w:bCs w:val="0"/>
          <w:color w:val="auto"/>
          <w:sz w:val="24"/>
          <w:szCs w:val="24"/>
          <w:highlight w:val="none"/>
          <w:lang w:eastAsia="zh-CN"/>
        </w:rPr>
      </w:pPr>
      <w:r>
        <w:rPr>
          <w:rFonts w:hint="eastAsia"/>
          <w:b/>
          <w:bCs w:val="0"/>
          <w:color w:val="auto"/>
          <w:sz w:val="24"/>
          <w:szCs w:val="24"/>
          <w:highlight w:val="none"/>
        </w:rPr>
        <w:t>二、申请人的资格要求</w:t>
      </w:r>
    </w:p>
    <w:p w14:paraId="13BDBE71">
      <w:pPr>
        <w:pStyle w:val="42"/>
        <w:ind w:firstLine="482"/>
      </w:pPr>
      <w:r>
        <w:rPr>
          <w:rFonts w:hint="eastAsia"/>
          <w:b/>
          <w:bCs/>
        </w:rPr>
        <w:t>1</w:t>
      </w:r>
      <w:r>
        <w:rPr>
          <w:rFonts w:hint="eastAsia"/>
          <w:b/>
          <w:bCs/>
          <w:lang w:eastAsia="zh-CN"/>
        </w:rPr>
        <w:t>.本项目的基本资格要求：</w:t>
      </w:r>
      <w:r>
        <w:rPr>
          <w:rFonts w:hint="eastAsia"/>
        </w:rPr>
        <w:t>满足《中华人民共和国政府采购法》第二十二条的规定；</w:t>
      </w:r>
      <w:r>
        <w:rPr>
          <w:rFonts w:hint="eastAsia"/>
          <w:color w:val="auto"/>
        </w:rPr>
        <w:t>未被“信用中国”（www.creditchina.gov.cn）、中国政府采购网（www.ccgp.gov.cn）列入失信被执行人、</w:t>
      </w:r>
      <w:r>
        <w:rPr>
          <w:rFonts w:hint="eastAsia"/>
          <w:color w:val="auto"/>
          <w:lang w:eastAsia="zh-CN"/>
        </w:rPr>
        <w:t>重大税收违法失信主体</w:t>
      </w:r>
      <w:r>
        <w:rPr>
          <w:rFonts w:hint="eastAsia"/>
          <w:color w:val="auto"/>
          <w:lang w:val="en-US" w:eastAsia="zh-CN"/>
        </w:rPr>
        <w:t>名单</w:t>
      </w:r>
      <w:r>
        <w:rPr>
          <w:rFonts w:hint="eastAsia"/>
          <w:color w:val="auto"/>
        </w:rPr>
        <w:t>、政府采购严重违法失信行为记录名单。</w:t>
      </w:r>
    </w:p>
    <w:p w14:paraId="2914A564">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b/>
          <w:bCs/>
          <w:color w:val="auto"/>
          <w:lang w:eastAsia="zh-CN"/>
        </w:rPr>
      </w:pPr>
      <w:r>
        <w:rPr>
          <w:b/>
          <w:bCs/>
          <w:color w:val="auto"/>
        </w:rPr>
        <w:t>2</w:t>
      </w:r>
      <w:r>
        <w:rPr>
          <w:rFonts w:hint="eastAsia"/>
          <w:b/>
          <w:bCs/>
          <w:color w:val="auto"/>
          <w:lang w:eastAsia="zh-CN"/>
        </w:rPr>
        <w:t>.</w:t>
      </w:r>
      <w:r>
        <w:rPr>
          <w:rFonts w:hint="eastAsia"/>
          <w:b/>
          <w:bCs/>
          <w:color w:val="auto"/>
        </w:rPr>
        <w:t>落实政府采购政策需满足的资格要求</w:t>
      </w:r>
      <w:r>
        <w:rPr>
          <w:rFonts w:hint="eastAsia"/>
          <w:b/>
          <w:bCs/>
          <w:color w:val="auto"/>
          <w:lang w:eastAsia="zh-CN"/>
        </w:rPr>
        <w:t>：</w:t>
      </w:r>
    </w:p>
    <w:p w14:paraId="2E417F4B">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color w:val="auto"/>
          <w:lang w:eastAsia="zh-CN"/>
        </w:rPr>
      </w:pPr>
      <w:sdt>
        <w:sdtPr>
          <w:rPr>
            <w:color w:val="auto"/>
          </w:rPr>
          <w:id w:val="307024086"/>
          <w14:checkbox>
            <w14:checked w14:val="1"/>
            <w14:checkedState w14:val="00FE" w14:font="Wingdings"/>
            <w14:uncheckedState w14:val="2610" w14:font="MS Gothic"/>
          </w14:checkbox>
        </w:sdtPr>
        <w:sdtEndPr>
          <w:rPr>
            <w:color w:val="auto"/>
          </w:rPr>
        </w:sdtEndPr>
        <w:sdtContent>
          <w:r>
            <w:rPr>
              <w:rFonts w:hint="eastAsia" w:ascii="Wingdings" w:hAnsi="Wingdings" w:eastAsia="MS Gothic" w:cs="Times New Roman"/>
              <w:color w:val="auto"/>
              <w:kern w:val="2"/>
              <w:sz w:val="24"/>
              <w:szCs w:val="21"/>
              <w:lang w:val="en-US" w:eastAsia="zh-Hans" w:bidi="ar-SA"/>
            </w:rPr>
            <w:t>þ</w:t>
          </w:r>
        </w:sdtContent>
      </w:sdt>
      <w:r>
        <w:rPr>
          <w:rFonts w:hint="eastAsia"/>
          <w:color w:val="auto"/>
          <w:lang w:eastAsia="zh-CN"/>
        </w:rPr>
        <w:t>无；</w:t>
      </w:r>
    </w:p>
    <w:p w14:paraId="71FA5A2B">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color w:val="auto"/>
          <w:lang w:eastAsia="zh-CN"/>
        </w:rPr>
      </w:pPr>
      <w:sdt>
        <w:sdtPr>
          <w:rPr>
            <w:color w:val="auto"/>
          </w:rPr>
          <w:id w:val="69209853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color w:val="auto"/>
        </w:rPr>
        <w:t>专门面向中小企业</w:t>
      </w:r>
      <w:r>
        <w:rPr>
          <w:rFonts w:hint="eastAsia"/>
          <w:color w:val="auto"/>
          <w:lang w:eastAsia="zh-CN"/>
        </w:rPr>
        <w:t>。</w:t>
      </w:r>
      <w:r>
        <w:rPr>
          <w:rFonts w:hint="eastAsia"/>
          <w:color w:val="auto"/>
          <w:lang w:val="en-US" w:eastAsia="zh-CN"/>
        </w:rPr>
        <w:t>要求采购标的全部由符合政策要求的</w:t>
      </w:r>
      <w:r>
        <w:rPr>
          <w:color w:val="auto"/>
        </w:rPr>
        <w:t>中小</w:t>
      </w:r>
      <w:r>
        <w:rPr>
          <w:rFonts w:hint="eastAsia"/>
          <w:color w:val="auto"/>
          <w:lang w:val="en-US" w:eastAsia="zh-CN"/>
        </w:rPr>
        <w:t>企业</w:t>
      </w:r>
      <w:r>
        <w:rPr>
          <w:rFonts w:hint="eastAsia"/>
          <w:color w:val="auto"/>
        </w:rPr>
        <w:t>制造</w:t>
      </w:r>
      <w:r>
        <w:rPr>
          <w:rFonts w:hint="eastAsia"/>
          <w:color w:val="auto"/>
          <w:lang w:val="en-US" w:eastAsia="zh-CN"/>
        </w:rPr>
        <w:t>/</w:t>
      </w:r>
      <w:r>
        <w:rPr>
          <w:rFonts w:hint="eastAsia"/>
          <w:color w:val="auto"/>
        </w:rPr>
        <w:t>承建</w:t>
      </w:r>
      <w:r>
        <w:rPr>
          <w:rFonts w:hint="eastAsia"/>
          <w:color w:val="auto"/>
          <w:lang w:val="en-US" w:eastAsia="zh-CN"/>
        </w:rPr>
        <w:t>/</w:t>
      </w:r>
      <w:r>
        <w:rPr>
          <w:rFonts w:hint="eastAsia"/>
          <w:color w:val="auto"/>
        </w:rPr>
        <w:t>承接</w:t>
      </w:r>
      <w:r>
        <w:rPr>
          <w:rFonts w:hint="eastAsia"/>
          <w:color w:val="auto"/>
          <w:lang w:eastAsia="zh-CN"/>
        </w:rPr>
        <w:t>，提供中小企业声明函。</w:t>
      </w:r>
      <w:r>
        <w:rPr>
          <w:rFonts w:hint="eastAsia"/>
          <w:color w:val="auto"/>
          <w:lang w:val="en-US" w:eastAsia="zh-CN"/>
        </w:rPr>
        <w:t>如本项目接受供应商</w:t>
      </w:r>
      <w:r>
        <w:rPr>
          <w:rFonts w:hint="eastAsia"/>
          <w:color w:val="auto"/>
          <w:lang w:eastAsia="zh-CN"/>
        </w:rPr>
        <w:t>以联合体形式参加政府采购活动</w:t>
      </w:r>
      <w:r>
        <w:rPr>
          <w:rFonts w:hint="eastAsia"/>
          <w:color w:val="auto"/>
          <w:lang w:val="en-US" w:eastAsia="zh-CN"/>
        </w:rPr>
        <w:t>的</w:t>
      </w:r>
      <w:r>
        <w:rPr>
          <w:rFonts w:hint="eastAsia"/>
          <w:color w:val="auto"/>
          <w:lang w:eastAsia="zh-CN"/>
        </w:rPr>
        <w:t>，联合体各方均为中小企业的，联合体视同中小企业，其中，联合体各方均为小微企业的，联合体视同小微企业，组成联合体</w:t>
      </w:r>
      <w:r>
        <w:rPr>
          <w:rFonts w:hint="eastAsia"/>
          <w:color w:val="auto"/>
          <w:lang w:val="en-US" w:eastAsia="zh-CN"/>
        </w:rPr>
        <w:t>的</w:t>
      </w:r>
      <w:r>
        <w:rPr>
          <w:rFonts w:hint="eastAsia"/>
          <w:color w:val="auto"/>
          <w:lang w:eastAsia="zh-CN"/>
        </w:rPr>
        <w:t>中小企业与联合体内其他企业不得存在直接控股、管理关系；</w:t>
      </w:r>
    </w:p>
    <w:p w14:paraId="442EAA68">
      <w:pPr>
        <w:pStyle w:val="42"/>
        <w:keepNext w:val="0"/>
        <w:keepLines w:val="0"/>
        <w:pageBreakBefore w:val="0"/>
        <w:widowControl w:val="0"/>
        <w:kinsoku/>
        <w:wordWrap/>
        <w:overflowPunct/>
        <w:topLinePunct w:val="0"/>
        <w:autoSpaceDE/>
        <w:autoSpaceDN/>
        <w:bidi w:val="0"/>
        <w:adjustRightInd w:val="0"/>
        <w:snapToGrid w:val="0"/>
        <w:ind w:firstLine="482"/>
        <w:textAlignment w:val="auto"/>
        <w:rPr>
          <w:rFonts w:hint="eastAsia" w:eastAsia="宋体"/>
          <w:color w:val="auto"/>
          <w:lang w:eastAsia="zh-CN"/>
        </w:rPr>
      </w:pPr>
      <w:sdt>
        <w:sdtPr>
          <w:rPr>
            <w:color w:val="auto"/>
          </w:rPr>
          <w:id w:val="1152004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color w:val="auto"/>
        </w:rPr>
        <w:t>要求以联合体形式参加</w:t>
      </w:r>
      <w:r>
        <w:rPr>
          <w:rFonts w:hint="eastAsia"/>
          <w:color w:val="auto"/>
          <w:lang w:eastAsia="zh-CN"/>
        </w:rPr>
        <w:t>。</w:t>
      </w:r>
      <w:r>
        <w:rPr>
          <w:color w:val="auto"/>
        </w:rPr>
        <w:t>提供联合协议和中小企业声明函，联合协议中中小企业合同金额应当达到  %，小微企业合同金额应当达到 %;</w:t>
      </w:r>
      <w:r>
        <w:rPr>
          <w:rFonts w:hint="eastAsia"/>
          <w:color w:val="auto"/>
        </w:rPr>
        <w:t>如果供应商本身提供所有标的均由中小企业制造、承建或承接，视同符合了资格条件，无需再与其他中小企业组成联合体参加政府采购活动，无需提供联合协议</w:t>
      </w:r>
      <w:r>
        <w:rPr>
          <w:rFonts w:hint="eastAsia"/>
          <w:color w:val="auto"/>
          <w:lang w:eastAsia="zh-CN"/>
        </w:rPr>
        <w:t>；组成联合体的中小企业与联合体内其他企业之间不得存在直接控股、管理关系；</w:t>
      </w:r>
    </w:p>
    <w:p w14:paraId="54318E56">
      <w:pPr>
        <w:pStyle w:val="42"/>
        <w:keepNext w:val="0"/>
        <w:keepLines w:val="0"/>
        <w:pageBreakBefore w:val="0"/>
        <w:widowControl w:val="0"/>
        <w:kinsoku/>
        <w:wordWrap/>
        <w:overflowPunct/>
        <w:topLinePunct w:val="0"/>
        <w:autoSpaceDE/>
        <w:autoSpaceDN/>
        <w:bidi w:val="0"/>
        <w:adjustRightInd w:val="0"/>
        <w:snapToGrid w:val="0"/>
        <w:ind w:firstLine="482"/>
        <w:textAlignment w:val="auto"/>
        <w:rPr>
          <w:color w:val="00B050"/>
          <w:lang w:eastAsia="zh-CN"/>
        </w:rPr>
      </w:pPr>
      <w:sdt>
        <w:sdtPr>
          <w:rPr>
            <w:color w:val="auto"/>
          </w:rPr>
          <w:id w:val="81985768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要求合同分包</w:t>
      </w:r>
      <w:r>
        <w:rPr>
          <w:rFonts w:hint="eastAsia"/>
          <w:color w:val="auto"/>
          <w:lang w:eastAsia="zh-CN"/>
        </w:rPr>
        <w:t>。</w:t>
      </w:r>
      <w:r>
        <w:rPr>
          <w:rFonts w:hint="eastAsia"/>
          <w:color w:val="auto"/>
        </w:rPr>
        <w:t>提供分包意向协议和中小企业声明函，分包意向协议中中小企业合同金额应当达到</w:t>
      </w:r>
      <w:r>
        <w:rPr>
          <w:color w:val="auto"/>
        </w:rPr>
        <w:t>达到  % ，小微企业合同金额应当达到 % ;</w:t>
      </w:r>
      <w:r>
        <w:rPr>
          <w:rFonts w:hint="eastAsia"/>
          <w:color w:val="auto"/>
        </w:rPr>
        <w:t>如果供应商本身提供所有标的均由中小企业制造、承建或承接，视同符合了资格条件，无需再向中小企业分包，无需提供分包意向协议</w:t>
      </w:r>
      <w:r>
        <w:rPr>
          <w:rFonts w:hint="eastAsia"/>
          <w:color w:val="auto"/>
          <w:lang w:eastAsia="zh-CN"/>
        </w:rPr>
        <w:t>；</w:t>
      </w:r>
      <w:r>
        <w:rPr>
          <w:rFonts w:hint="eastAsia"/>
          <w:color w:val="auto"/>
        </w:rPr>
        <w:t>组成联合体或者接受分包合同的中小企业与联合体内其他企业、分包企业之间不得存在直接控股、管理关系。</w:t>
      </w:r>
    </w:p>
    <w:p w14:paraId="547C2744">
      <w:pPr>
        <w:pStyle w:val="42"/>
        <w:keepNext w:val="0"/>
        <w:keepLines w:val="0"/>
        <w:pageBreakBefore w:val="0"/>
        <w:widowControl w:val="0"/>
        <w:kinsoku/>
        <w:wordWrap/>
        <w:overflowPunct/>
        <w:topLinePunct w:val="0"/>
        <w:autoSpaceDE/>
        <w:autoSpaceDN/>
        <w:bidi w:val="0"/>
        <w:adjustRightInd w:val="0"/>
        <w:snapToGrid w:val="0"/>
        <w:ind w:firstLine="482"/>
        <w:textAlignment w:val="auto"/>
        <w:rPr>
          <w:bCs/>
        </w:rPr>
      </w:pPr>
      <w:r>
        <w:rPr>
          <w:b/>
          <w:bCs/>
        </w:rPr>
        <w:t>3.</w:t>
      </w:r>
      <w:r>
        <w:rPr>
          <w:rFonts w:hint="eastAsia"/>
          <w:b/>
          <w:bCs/>
        </w:rPr>
        <w:t>本项目的特定资格</w:t>
      </w:r>
      <w:r>
        <w:rPr>
          <w:rFonts w:hint="eastAsia"/>
          <w:b/>
          <w:bCs/>
          <w:color w:val="auto"/>
        </w:rPr>
        <w:t>要求：</w:t>
      </w:r>
      <w:r>
        <w:rPr>
          <w:rFonts w:hint="eastAsia"/>
          <w:color w:val="auto"/>
          <w:lang w:eastAsia="zh-CN"/>
        </w:rPr>
        <w:t>无</w:t>
      </w:r>
    </w:p>
    <w:p w14:paraId="4BCF6F41">
      <w:pPr>
        <w:pStyle w:val="44"/>
        <w:numPr>
          <w:ilvl w:val="0"/>
          <w:numId w:val="0"/>
        </w:numPr>
        <w:jc w:val="both"/>
        <w:outlineLvl w:val="9"/>
        <w:rPr>
          <w:b/>
          <w:bCs w:val="0"/>
          <w:sz w:val="24"/>
          <w:szCs w:val="24"/>
        </w:rPr>
      </w:pPr>
      <w:r>
        <w:rPr>
          <w:rFonts w:hint="eastAsia"/>
          <w:b/>
          <w:bCs w:val="0"/>
          <w:sz w:val="24"/>
          <w:szCs w:val="24"/>
        </w:rPr>
        <w:t>三、获取招标文件</w:t>
      </w:r>
    </w:p>
    <w:p w14:paraId="041587B1">
      <w:pPr>
        <w:pStyle w:val="42"/>
        <w:ind w:firstLine="482"/>
        <w:rPr>
          <w:lang w:eastAsia="zh-CN"/>
        </w:rPr>
      </w:pPr>
      <w:r>
        <w:rPr>
          <w:rFonts w:hint="eastAsia"/>
          <w:b/>
          <w:bCs/>
          <w:lang w:eastAsia="zh-CN"/>
        </w:rPr>
        <w:t>获取</w:t>
      </w:r>
      <w:r>
        <w:rPr>
          <w:rFonts w:hint="eastAsia"/>
          <w:b/>
          <w:bCs/>
        </w:rPr>
        <w:t>时间：</w:t>
      </w:r>
      <w:r>
        <w:rPr>
          <w:rFonts w:hint="eastAsia"/>
          <w:lang w:eastAsia="zh-CN"/>
        </w:rPr>
        <w:t>自本公告发布起</w:t>
      </w:r>
      <w:r>
        <w:rPr>
          <w:rFonts w:hint="eastAsia"/>
        </w:rPr>
        <w:t>至</w:t>
      </w:r>
      <w:r>
        <w:rPr>
          <w:rFonts w:hint="eastAsia"/>
          <w:lang w:eastAsia="zh-CN"/>
        </w:rPr>
        <w:t>投标截止时间止。</w:t>
      </w:r>
    </w:p>
    <w:p w14:paraId="681B438A">
      <w:pPr>
        <w:pStyle w:val="42"/>
        <w:ind w:firstLine="482"/>
      </w:pPr>
      <w:r>
        <w:rPr>
          <w:rFonts w:hint="eastAsia"/>
          <w:b/>
          <w:bCs/>
          <w:lang w:eastAsia="zh-CN"/>
        </w:rPr>
        <w:t>获取网址</w:t>
      </w:r>
      <w:r>
        <w:rPr>
          <w:rFonts w:hint="eastAsia"/>
          <w:b/>
          <w:bCs/>
        </w:rPr>
        <w:t>：</w:t>
      </w:r>
      <w:r>
        <w:rPr>
          <w:rFonts w:hint="eastAsia"/>
        </w:rPr>
        <w:t>浙江政府采购网（http://zfcg.czt.zj.gov.cn）</w:t>
      </w:r>
    </w:p>
    <w:p w14:paraId="643F1D08">
      <w:pPr>
        <w:pStyle w:val="42"/>
        <w:ind w:firstLine="482"/>
      </w:pPr>
      <w:r>
        <w:rPr>
          <w:rFonts w:hint="eastAsia"/>
          <w:b/>
          <w:bCs/>
        </w:rPr>
        <w:t>获取方式：</w:t>
      </w:r>
      <w:r>
        <w:rPr>
          <w:rFonts w:hint="eastAsia"/>
        </w:rPr>
        <w:t>本项目不提供纸制版</w:t>
      </w:r>
      <w:r>
        <w:rPr>
          <w:rFonts w:hint="eastAsia"/>
          <w:lang w:eastAsia="zh-CN"/>
        </w:rPr>
        <w:t>招标</w:t>
      </w:r>
      <w:r>
        <w:rPr>
          <w:rFonts w:hint="eastAsia"/>
        </w:rPr>
        <w:t>文件，供应商</w:t>
      </w:r>
      <w:r>
        <w:rPr>
          <w:rFonts w:hint="eastAsia"/>
          <w:lang w:eastAsia="zh-CN"/>
        </w:rPr>
        <w:t>通过本公告下方“潜在供应商”链接或者</w:t>
      </w:r>
      <w:r>
        <w:rPr>
          <w:rFonts w:hint="eastAsia"/>
        </w:rPr>
        <w:t>登录政采云平台</w:t>
      </w:r>
      <w:r>
        <w:rPr>
          <w:rFonts w:hint="eastAsia"/>
          <w:lang w:eastAsia="zh-CN"/>
        </w:rPr>
        <w:t>（</w:t>
      </w:r>
      <w:r>
        <w:rPr>
          <w:rFonts w:hint="default"/>
          <w:lang w:val="en-US"/>
        </w:rPr>
        <w:t>https://middle.zcygov.cn/</w:t>
      </w:r>
      <w:r>
        <w:rPr>
          <w:rFonts w:hint="eastAsia"/>
          <w:lang w:eastAsia="zh-CN"/>
        </w:rPr>
        <w:t>）</w:t>
      </w:r>
      <w:r>
        <w:rPr>
          <w:rFonts w:hint="eastAsia"/>
        </w:rPr>
        <w:t>在线申请获取</w:t>
      </w:r>
      <w:r>
        <w:rPr>
          <w:rFonts w:hint="eastAsia"/>
          <w:lang w:eastAsia="zh-CN"/>
        </w:rPr>
        <w:t>招标</w:t>
      </w:r>
      <w:r>
        <w:rPr>
          <w:rFonts w:hint="eastAsia"/>
        </w:rPr>
        <w:t>文件（进入“项目采购”应用，在获取招标文件菜单中选择项目，申请获取招标文件）。</w:t>
      </w:r>
    </w:p>
    <w:p w14:paraId="3319E658">
      <w:pPr>
        <w:pStyle w:val="42"/>
        <w:ind w:firstLine="482"/>
      </w:pPr>
      <w:r>
        <w:rPr>
          <w:rFonts w:hint="eastAsia"/>
          <w:b/>
          <w:bCs/>
        </w:rPr>
        <w:t>售价（元）：</w:t>
      </w:r>
      <w:r>
        <w:rPr>
          <w:rFonts w:hint="eastAsia"/>
        </w:rPr>
        <w:t>0</w:t>
      </w:r>
    </w:p>
    <w:p w14:paraId="7CCFD2F8">
      <w:pPr>
        <w:pStyle w:val="44"/>
        <w:numPr>
          <w:ilvl w:val="0"/>
          <w:numId w:val="0"/>
        </w:numPr>
        <w:jc w:val="both"/>
        <w:outlineLvl w:val="9"/>
        <w:rPr>
          <w:color w:val="auto"/>
          <w:sz w:val="24"/>
          <w:szCs w:val="24"/>
        </w:rPr>
      </w:pPr>
      <w:r>
        <w:rPr>
          <w:rFonts w:hint="eastAsia"/>
          <w:sz w:val="24"/>
          <w:szCs w:val="24"/>
        </w:rPr>
        <w:t>四、提交投标文件截</w:t>
      </w:r>
      <w:r>
        <w:rPr>
          <w:rFonts w:hint="eastAsia"/>
          <w:color w:val="auto"/>
          <w:sz w:val="24"/>
          <w:szCs w:val="24"/>
        </w:rPr>
        <w:t>止时间、开标时间和地点</w:t>
      </w:r>
    </w:p>
    <w:p w14:paraId="32D4D956">
      <w:pPr>
        <w:pStyle w:val="42"/>
        <w:ind w:firstLine="482"/>
        <w:rPr>
          <w:color w:val="auto"/>
        </w:rPr>
      </w:pPr>
      <w:r>
        <w:rPr>
          <w:rFonts w:hint="eastAsia"/>
          <w:b/>
          <w:bCs/>
          <w:color w:val="auto"/>
        </w:rPr>
        <w:t>提交投标文件截止时间：</w:t>
      </w:r>
      <w:r>
        <w:rPr>
          <w:rFonts w:hint="eastAsia"/>
          <w:color w:val="auto"/>
          <w:lang w:eastAsia="zh-CN"/>
        </w:rPr>
        <w:t>2026年05月29日09时00分</w:t>
      </w:r>
      <w:r>
        <w:rPr>
          <w:rFonts w:hint="eastAsia"/>
          <w:color w:val="auto"/>
        </w:rPr>
        <w:t>（北京时间）</w:t>
      </w:r>
    </w:p>
    <w:p w14:paraId="0C91BC40">
      <w:pPr>
        <w:pStyle w:val="42"/>
        <w:ind w:firstLine="482"/>
        <w:rPr>
          <w:color w:val="auto"/>
        </w:rPr>
      </w:pPr>
      <w:r>
        <w:rPr>
          <w:rFonts w:hint="eastAsia"/>
          <w:b/>
          <w:bCs/>
          <w:color w:val="auto"/>
        </w:rPr>
        <w:t>投标地点（网址）：</w:t>
      </w:r>
      <w:r>
        <w:rPr>
          <w:rFonts w:hint="eastAsia"/>
          <w:color w:val="auto"/>
        </w:rPr>
        <w:t>政府采购云平台（</w:t>
      </w:r>
      <w:r>
        <w:rPr>
          <w:rFonts w:hint="default"/>
          <w:color w:val="auto"/>
          <w:lang w:val="en-US"/>
        </w:rPr>
        <w:t>https://middle.zcygov.cn/</w:t>
      </w:r>
      <w:r>
        <w:rPr>
          <w:rFonts w:hint="eastAsia"/>
          <w:color w:val="auto"/>
        </w:rPr>
        <w:t>）</w:t>
      </w:r>
    </w:p>
    <w:p w14:paraId="75DC1E90">
      <w:pPr>
        <w:pStyle w:val="42"/>
        <w:ind w:firstLine="480"/>
        <w:rPr>
          <w:color w:val="auto"/>
        </w:rPr>
      </w:pPr>
      <w:r>
        <w:rPr>
          <w:rFonts w:hint="eastAsia"/>
          <w:b/>
          <w:bCs/>
          <w:color w:val="auto"/>
        </w:rPr>
        <w:t>开标时间：</w:t>
      </w:r>
      <w:r>
        <w:rPr>
          <w:rFonts w:hint="eastAsia"/>
          <w:color w:val="auto"/>
          <w:lang w:eastAsia="zh-CN"/>
        </w:rPr>
        <w:t>2026年05月29日09时00分</w:t>
      </w:r>
      <w:r>
        <w:rPr>
          <w:rFonts w:hint="eastAsia"/>
          <w:color w:val="auto"/>
        </w:rPr>
        <w:t>（北京时间）</w:t>
      </w:r>
    </w:p>
    <w:p w14:paraId="1436D7E3">
      <w:pPr>
        <w:pStyle w:val="42"/>
        <w:ind w:firstLine="482"/>
        <w:rPr>
          <w:color w:val="auto"/>
        </w:rPr>
      </w:pPr>
      <w:r>
        <w:rPr>
          <w:rFonts w:hint="eastAsia"/>
          <w:b/>
          <w:bCs/>
          <w:color w:val="auto"/>
        </w:rPr>
        <w:t>开标地点（网址）：</w:t>
      </w:r>
      <w:r>
        <w:rPr>
          <w:rFonts w:hint="eastAsia"/>
          <w:color w:val="auto"/>
        </w:rPr>
        <w:t>政府采购云平台（</w:t>
      </w:r>
      <w:r>
        <w:rPr>
          <w:color w:val="auto"/>
          <w:lang w:val="en-US"/>
        </w:rPr>
        <w:t>https://middle.zcygov.cn/</w:t>
      </w:r>
      <w:r>
        <w:rPr>
          <w:rFonts w:hint="eastAsia"/>
          <w:color w:val="auto"/>
        </w:rPr>
        <w:t>）</w:t>
      </w:r>
    </w:p>
    <w:p w14:paraId="07E03055">
      <w:pPr>
        <w:pStyle w:val="44"/>
        <w:numPr>
          <w:ilvl w:val="0"/>
          <w:numId w:val="0"/>
        </w:numPr>
        <w:jc w:val="both"/>
        <w:outlineLvl w:val="9"/>
        <w:rPr>
          <w:color w:val="auto"/>
          <w:sz w:val="24"/>
          <w:szCs w:val="24"/>
        </w:rPr>
      </w:pPr>
      <w:r>
        <w:rPr>
          <w:rFonts w:hint="eastAsia"/>
          <w:color w:val="auto"/>
          <w:sz w:val="24"/>
          <w:szCs w:val="24"/>
        </w:rPr>
        <w:t>五、公告期限</w:t>
      </w:r>
    </w:p>
    <w:p w14:paraId="4C31D169">
      <w:pPr>
        <w:pStyle w:val="42"/>
        <w:ind w:firstLine="480"/>
      </w:pPr>
      <w:r>
        <w:rPr>
          <w:rFonts w:hint="eastAsia"/>
        </w:rPr>
        <w:t>自本公告发布之日起5个工作日。</w:t>
      </w:r>
    </w:p>
    <w:p w14:paraId="4FD73684">
      <w:pPr>
        <w:pStyle w:val="44"/>
        <w:numPr>
          <w:ilvl w:val="0"/>
          <w:numId w:val="0"/>
        </w:numPr>
        <w:jc w:val="both"/>
        <w:outlineLvl w:val="9"/>
        <w:rPr>
          <w:sz w:val="24"/>
          <w:szCs w:val="24"/>
        </w:rPr>
      </w:pPr>
      <w:r>
        <w:rPr>
          <w:rFonts w:hint="eastAsia"/>
          <w:sz w:val="24"/>
          <w:szCs w:val="24"/>
        </w:rPr>
        <w:t>六、其他补充事宜</w:t>
      </w:r>
    </w:p>
    <w:p w14:paraId="74154AAE">
      <w:pPr>
        <w:pStyle w:val="42"/>
        <w:ind w:firstLine="480"/>
        <w:rPr>
          <w:rFonts w:hint="eastAsia"/>
          <w:lang w:val="en-US" w:eastAsia="zh-CN"/>
        </w:rPr>
      </w:pPr>
      <w:r>
        <w:rPr>
          <w:rFonts w:hint="eastAsia"/>
        </w:rPr>
        <w:t>1</w:t>
      </w:r>
      <w:r>
        <w:rPr>
          <w:rFonts w:hint="eastAsia"/>
          <w:lang w:eastAsia="zh-CN"/>
        </w:rPr>
        <w:t>．</w:t>
      </w:r>
      <w:r>
        <w:rPr>
          <w:rFonts w:hint="eastAsia"/>
          <w:lang w:val="en-US" w:eastAsia="zh-CN"/>
        </w:rPr>
        <w:t>本项目采购意向公开链接为：</w:t>
      </w:r>
    </w:p>
    <w:p w14:paraId="332DF627">
      <w:pPr>
        <w:pStyle w:val="42"/>
        <w:ind w:firstLine="480"/>
        <w:rPr>
          <w:rFonts w:hint="eastAsia"/>
          <w:lang w:val="en-US" w:eastAsia="zh-CN"/>
        </w:rPr>
      </w:pPr>
      <w:r>
        <w:rPr>
          <w:rFonts w:hint="eastAsia"/>
          <w:lang w:val="en-US" w:eastAsia="zh-CN"/>
        </w:rPr>
        <w:t>https://zfcg.czt.zj.gov.cn/luban/detail?parentId=600007&amp;articleId=yNWqhahJe0f4bAZzYO0dbQ==&amp;utm=web-micro-app-back-front.5a5e1d3e.0.0.c3728cb04ae011f18c6e7dd8574bfcd1</w:t>
      </w:r>
    </w:p>
    <w:p w14:paraId="65FF37AA">
      <w:pPr>
        <w:pStyle w:val="42"/>
        <w:ind w:firstLine="480"/>
      </w:pPr>
      <w:r>
        <w:rPr>
          <w:rFonts w:hint="eastAsia"/>
          <w:lang w:val="en-US" w:eastAsia="zh-CN"/>
        </w:rPr>
        <w:t>2.</w:t>
      </w:r>
      <w:r>
        <w:rPr>
          <w:rFonts w:hint="eastAsia"/>
        </w:rPr>
        <w:t>《浙江省财政厅关于进一步发挥政府采购政策功能全力推动经济稳进提质的通知》（浙财采监〔2022〕3号）、《浙江省</w:t>
      </w:r>
      <w:bookmarkStart w:id="85" w:name="_GoBack"/>
      <w:bookmarkEnd w:id="85"/>
      <w:r>
        <w:rPr>
          <w:rFonts w:hint="eastAsia"/>
        </w:rPr>
        <w:t>财政厅关于进一步促进政府采购公平竞争打造最优营商环境的通知》（浙财采监〔202</w:t>
      </w:r>
      <w:r>
        <w:rPr>
          <w:rFonts w:hint="eastAsia"/>
          <w:lang w:val="en-US" w:eastAsia="zh-CN"/>
        </w:rPr>
        <w:t>1</w:t>
      </w:r>
      <w:r>
        <w:rPr>
          <w:rFonts w:hint="eastAsia"/>
        </w:rPr>
        <w:t>〕22号）</w:t>
      </w:r>
      <w:r>
        <w:rPr>
          <w:rFonts w:hint="eastAsia"/>
          <w:lang w:eastAsia="zh-CN"/>
        </w:rPr>
        <w:t>、《浙江省财政厅关于进一步加大政府采购支持中小企业力度助力扎实稳住经济的通知》（浙财采监〔2022〕8号）</w:t>
      </w:r>
      <w:r>
        <w:rPr>
          <w:rFonts w:hint="eastAsia"/>
        </w:rPr>
        <w:t>已分别于2022年1月29日</w:t>
      </w:r>
      <w:r>
        <w:rPr>
          <w:rFonts w:hint="eastAsia"/>
          <w:lang w:eastAsia="zh-CN"/>
        </w:rPr>
        <w:t>、</w:t>
      </w:r>
      <w:r>
        <w:rPr>
          <w:rFonts w:hint="eastAsia"/>
        </w:rPr>
        <w:t>2022年2月1日和2022年7月1日开始实施，此前有关规定与上述文件内容不一致的，按上述文件要求执行。</w:t>
      </w:r>
    </w:p>
    <w:p w14:paraId="273B8C16">
      <w:pPr>
        <w:pStyle w:val="42"/>
        <w:ind w:firstLine="480"/>
      </w:pPr>
      <w:r>
        <w:rPr>
          <w:rFonts w:hint="eastAsia"/>
          <w:lang w:val="en-US" w:eastAsia="zh-CN"/>
        </w:rPr>
        <w:t>3</w:t>
      </w:r>
      <w:r>
        <w:rPr>
          <w:rFonts w:hint="eastAsia"/>
          <w:lang w:eastAsia="zh-CN"/>
        </w:rPr>
        <w:t>.</w:t>
      </w:r>
      <w:r>
        <w:rPr>
          <w:rFonts w:hint="eastAsia"/>
        </w:rPr>
        <w:t>根据《浙江省财政厅关于进一步促进政府采购公平竞争打造最优营商环境的通知》（浙财采监〔2022〕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735BBE28">
      <w:pPr>
        <w:pStyle w:val="42"/>
        <w:ind w:firstLine="480"/>
      </w:pPr>
      <w:r>
        <w:rPr>
          <w:rFonts w:hint="eastAsia"/>
          <w:lang w:val="en-US" w:eastAsia="zh-CN"/>
        </w:rPr>
        <w:t>4</w:t>
      </w:r>
      <w:r>
        <w:rPr>
          <w:rFonts w:hint="eastAsia"/>
          <w:lang w:eastAsia="zh-CN"/>
        </w:rPr>
        <w:t>.</w:t>
      </w:r>
      <w:r>
        <w:rPr>
          <w:rFonts w:hint="eastAsia"/>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14:paraId="52519503">
      <w:pPr>
        <w:pStyle w:val="42"/>
        <w:ind w:firstLine="480"/>
      </w:pPr>
      <w:r>
        <w:rPr>
          <w:rFonts w:hint="eastAsia"/>
          <w:lang w:val="en-US" w:eastAsia="zh-CN"/>
        </w:rPr>
        <w:t>5</w:t>
      </w:r>
      <w:r>
        <w:rPr>
          <w:rFonts w:hint="eastAsia"/>
          <w:lang w:eastAsia="zh-CN"/>
        </w:rPr>
        <w:t>.</w:t>
      </w:r>
      <w:r>
        <w:rPr>
          <w:rFonts w:hint="eastAsia"/>
        </w:rPr>
        <w:t>其他事项：</w:t>
      </w:r>
    </w:p>
    <w:p w14:paraId="0985721C">
      <w:pPr>
        <w:pStyle w:val="42"/>
        <w:ind w:firstLine="480"/>
        <w:rPr>
          <w:lang w:eastAsia="zh-CN"/>
        </w:rPr>
      </w:pPr>
      <w:r>
        <w:rPr>
          <w:rFonts w:hint="eastAsia"/>
        </w:rPr>
        <w:t>（1）</w:t>
      </w:r>
      <w:r>
        <w:rPr>
          <w:rFonts w:hint="eastAsia"/>
          <w:lang w:eastAsia="zh-CN"/>
        </w:rPr>
        <w:t>本</w:t>
      </w:r>
      <w:r>
        <w:rPr>
          <w:rFonts w:hint="eastAsia"/>
        </w:rPr>
        <w:t>项目需要落实的政府采购政策：包括</w:t>
      </w:r>
      <w:r>
        <w:rPr>
          <w:rFonts w:hint="eastAsia"/>
          <w:lang w:eastAsia="zh-CN"/>
        </w:rPr>
        <w:t>支持绿色发展</w:t>
      </w:r>
      <w:r>
        <w:rPr>
          <w:rFonts w:hint="eastAsia"/>
        </w:rPr>
        <w:t>、支持创新、</w:t>
      </w:r>
      <w:r>
        <w:rPr>
          <w:rFonts w:hint="eastAsia"/>
          <w:lang w:eastAsia="zh-CN"/>
        </w:rPr>
        <w:t>支持</w:t>
      </w:r>
      <w:r>
        <w:rPr>
          <w:rFonts w:hint="eastAsia"/>
        </w:rPr>
        <w:t>中小企业发展</w:t>
      </w:r>
      <w:r>
        <w:rPr>
          <w:rFonts w:hint="eastAsia"/>
          <w:lang w:eastAsia="zh-CN"/>
        </w:rPr>
        <w:t>，支持国货</w:t>
      </w:r>
      <w:r>
        <w:rPr>
          <w:rFonts w:hint="eastAsia"/>
        </w:rPr>
        <w:t>等。具体详见招标文件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24B5F24D">
      <w:pPr>
        <w:pStyle w:val="42"/>
        <w:ind w:firstLine="480"/>
      </w:pPr>
      <w:r>
        <w:rPr>
          <w:rFonts w:hint="eastAsia"/>
        </w:rPr>
        <w:t>（2）</w:t>
      </w:r>
      <w:r>
        <w:rPr>
          <w:rFonts w:hint="eastAsia"/>
          <w:lang w:eastAsia="zh-CN"/>
        </w:rPr>
        <w:t>依法限制参加本项目政府采购活动的供应商：单位负责人为同一人或者存在直接控股、管理关系的不同投标人</w:t>
      </w:r>
      <w:r>
        <w:rPr>
          <w:rFonts w:hint="eastAsia"/>
          <w:lang w:val="en-US" w:eastAsia="zh-CN"/>
        </w:rPr>
        <w:t>。</w:t>
      </w:r>
      <w:r>
        <w:rPr>
          <w:rFonts w:hint="eastAsia"/>
          <w:lang w:eastAsia="zh-CN"/>
        </w:rPr>
        <w:t>其他</w:t>
      </w:r>
      <w:r>
        <w:rPr>
          <w:rFonts w:hint="eastAsia"/>
          <w:lang w:val="en-US" w:eastAsia="zh-CN"/>
        </w:rPr>
        <w:t>限制参加的</w:t>
      </w:r>
      <w:r>
        <w:rPr>
          <w:rFonts w:hint="eastAsia"/>
          <w:lang w:eastAsia="zh-CN"/>
        </w:rPr>
        <w:t>情形</w:t>
      </w:r>
      <w:r>
        <w:rPr>
          <w:rFonts w:hint="eastAsia"/>
          <w:lang w:val="en-US" w:eastAsia="zh-CN"/>
        </w:rPr>
        <w:t>详</w:t>
      </w:r>
      <w:r>
        <w:rPr>
          <w:rFonts w:hint="eastAsia"/>
        </w:rPr>
        <w:t>见招标文件</w:t>
      </w:r>
      <w:r>
        <w:rPr>
          <w:rFonts w:hint="eastAsia"/>
          <w:lang w:eastAsia="zh-CN"/>
        </w:rPr>
        <w:t>“</w:t>
      </w:r>
      <w:r>
        <w:rPr>
          <w:rFonts w:hint="eastAsia"/>
        </w:rPr>
        <w:t>第</w:t>
      </w:r>
      <w:r>
        <w:rPr>
          <w:rFonts w:hint="eastAsia"/>
          <w:lang w:eastAsia="zh-CN"/>
        </w:rPr>
        <w:t>二</w:t>
      </w:r>
      <w:r>
        <w:rPr>
          <w:rFonts w:hint="eastAsia"/>
        </w:rPr>
        <w:t>章</w:t>
      </w:r>
      <w:r>
        <w:rPr>
          <w:rFonts w:hint="eastAsia"/>
          <w:lang w:eastAsia="zh-CN"/>
        </w:rPr>
        <w:t xml:space="preserve"> </w:t>
      </w:r>
      <w:r>
        <w:rPr>
          <w:rFonts w:hint="eastAsia"/>
        </w:rPr>
        <w:t>投标</w:t>
      </w:r>
      <w:r>
        <w:rPr>
          <w:rFonts w:hint="eastAsia"/>
          <w:lang w:eastAsia="zh-CN"/>
        </w:rPr>
        <w:t>人</w:t>
      </w:r>
      <w:r>
        <w:rPr>
          <w:rFonts w:hint="eastAsia"/>
        </w:rPr>
        <w:t>须知</w:t>
      </w:r>
      <w:r>
        <w:rPr>
          <w:rFonts w:hint="eastAsia"/>
          <w:lang w:eastAsia="zh-CN"/>
        </w:rPr>
        <w:t>”。</w:t>
      </w:r>
    </w:p>
    <w:p w14:paraId="32DCFD41">
      <w:pPr>
        <w:pStyle w:val="42"/>
        <w:ind w:firstLine="480"/>
        <w:jc w:val="left"/>
        <w:rPr>
          <w:lang w:eastAsia="zh-CN"/>
        </w:rPr>
      </w:pPr>
      <w:r>
        <w:rPr>
          <w:rFonts w:hint="eastAsia"/>
          <w:lang w:eastAsia="zh-CN"/>
        </w:rPr>
        <w:t>（3）本项目采用政府采购电子化交易，投标人应在投标前完成供应商注册（详见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用户入驻与登录-用户注册-供应商登记”）并完成CA数字证书办理（详见</w:t>
      </w:r>
      <w:r>
        <w:rPr>
          <w:lang w:eastAsia="zh-CN"/>
        </w:rPr>
        <w:t>https://edu.zcygov.cn/luban/ca</w:t>
      </w:r>
      <w:r>
        <w:rPr>
          <w:rFonts w:hint="eastAsia"/>
          <w:lang w:eastAsia="zh-CN"/>
        </w:rPr>
        <w:t>），如有疑问，可致电政府采购云平台技术支持热线咨询，联系方式：</w:t>
      </w:r>
      <w:r>
        <w:rPr>
          <w:rFonts w:hint="eastAsia"/>
          <w:lang w:val="en-US" w:eastAsia="zh-CN"/>
        </w:rPr>
        <w:t>95763</w:t>
      </w:r>
      <w:r>
        <w:rPr>
          <w:rFonts w:hint="eastAsia"/>
          <w:lang w:eastAsia="zh-CN"/>
        </w:rPr>
        <w:t>；</w:t>
      </w:r>
      <w:r>
        <w:rPr>
          <w:rFonts w:hint="eastAsia"/>
        </w:rPr>
        <w:t>CA问题联系电话（人工）：汇信CA 400-888-4636；天谷CA 400-087-8198</w:t>
      </w:r>
      <w:r>
        <w:rPr>
          <w:rFonts w:hint="eastAsia"/>
          <w:lang w:eastAsia="zh-CN"/>
        </w:rPr>
        <w:t>。</w:t>
      </w:r>
    </w:p>
    <w:p w14:paraId="4CB0721E">
      <w:pPr>
        <w:pStyle w:val="42"/>
        <w:ind w:firstLine="480"/>
        <w:jc w:val="left"/>
        <w:rPr>
          <w:lang w:eastAsia="zh-CN"/>
        </w:rPr>
      </w:pPr>
      <w:r>
        <w:rPr>
          <w:rFonts w:hint="eastAsia"/>
          <w:lang w:eastAsia="zh-CN"/>
        </w:rPr>
        <w:t>（4）</w:t>
      </w:r>
      <w:r>
        <w:rPr>
          <w:rFonts w:hint="eastAsia"/>
          <w:lang w:val="en-US" w:eastAsia="zh-Hans"/>
        </w:rPr>
        <w:t>招标</w:t>
      </w:r>
      <w:r>
        <w:rPr>
          <w:rFonts w:hint="eastAsia"/>
          <w:lang w:eastAsia="zh-CN"/>
        </w:rPr>
        <w:t>文件公告期限同采购公告期限。</w:t>
      </w:r>
    </w:p>
    <w:p w14:paraId="229AA962">
      <w:pPr>
        <w:pStyle w:val="44"/>
        <w:numPr>
          <w:ilvl w:val="0"/>
          <w:numId w:val="0"/>
        </w:numPr>
        <w:jc w:val="both"/>
        <w:outlineLvl w:val="9"/>
        <w:rPr>
          <w:sz w:val="24"/>
          <w:szCs w:val="24"/>
        </w:rPr>
      </w:pPr>
      <w:r>
        <w:rPr>
          <w:rFonts w:hint="eastAsia"/>
          <w:sz w:val="24"/>
          <w:szCs w:val="24"/>
        </w:rPr>
        <w:t>七、对本次采购提出询问、质疑、投诉，请按以下方式联系</w:t>
      </w:r>
    </w:p>
    <w:p w14:paraId="2DA5E080">
      <w:pPr>
        <w:pStyle w:val="42"/>
        <w:ind w:firstLine="480"/>
        <w:rPr>
          <w:color w:val="auto"/>
        </w:rPr>
      </w:pPr>
      <w:r>
        <w:rPr>
          <w:rFonts w:hint="eastAsia"/>
          <w:color w:val="auto"/>
        </w:rPr>
        <w:t>1</w:t>
      </w:r>
      <w:r>
        <w:rPr>
          <w:rFonts w:hint="eastAsia"/>
          <w:color w:val="auto"/>
          <w:lang w:eastAsia="zh-CN"/>
        </w:rPr>
        <w:t>.</w:t>
      </w:r>
      <w:r>
        <w:rPr>
          <w:rFonts w:hint="eastAsia"/>
          <w:color w:val="auto"/>
        </w:rPr>
        <w:t>采购人信息</w:t>
      </w:r>
    </w:p>
    <w:p w14:paraId="37CE4B83">
      <w:pPr>
        <w:pStyle w:val="42"/>
        <w:ind w:firstLine="480"/>
        <w:rPr>
          <w:color w:val="auto"/>
        </w:rPr>
      </w:pPr>
      <w:r>
        <w:rPr>
          <w:rFonts w:hint="eastAsia"/>
          <w:color w:val="auto"/>
        </w:rPr>
        <w:t>名称：</w:t>
      </w:r>
      <w:r>
        <w:rPr>
          <w:rFonts w:hint="eastAsia"/>
          <w:color w:val="auto"/>
          <w:lang w:eastAsia="zh-CN"/>
        </w:rPr>
        <w:t>浙江省测绘科学技术研究院</w:t>
      </w:r>
    </w:p>
    <w:p w14:paraId="59A9858E">
      <w:pPr>
        <w:pStyle w:val="42"/>
        <w:ind w:firstLine="480"/>
        <w:rPr>
          <w:color w:val="auto"/>
        </w:rPr>
      </w:pPr>
      <w:r>
        <w:rPr>
          <w:rFonts w:hint="eastAsia"/>
          <w:color w:val="auto"/>
        </w:rPr>
        <w:t>地址：</w:t>
      </w:r>
      <w:r>
        <w:rPr>
          <w:rFonts w:hint="eastAsia"/>
          <w:color w:val="auto"/>
          <w:lang w:eastAsia="zh-CN"/>
        </w:rPr>
        <w:t>浙江省杭州市余杭区地信路2号</w:t>
      </w:r>
    </w:p>
    <w:p w14:paraId="258C3CC8">
      <w:pPr>
        <w:pStyle w:val="42"/>
        <w:bidi w:val="0"/>
        <w:rPr>
          <w:rFonts w:hint="default"/>
          <w:lang w:val="en-US" w:eastAsia="zh-CN"/>
        </w:rPr>
      </w:pPr>
      <w:r>
        <w:rPr>
          <w:rFonts w:hint="eastAsia"/>
        </w:rPr>
        <w:t>项目联系人（询问）：</w:t>
      </w:r>
      <w:r>
        <w:rPr>
          <w:rFonts w:hint="eastAsia"/>
          <w:lang w:val="en-US" w:eastAsia="zh-CN"/>
        </w:rPr>
        <w:t>王老师</w:t>
      </w:r>
    </w:p>
    <w:p w14:paraId="4DDB40BD">
      <w:pPr>
        <w:pStyle w:val="42"/>
        <w:bidi w:val="0"/>
        <w:rPr>
          <w:rFonts w:hint="eastAsia"/>
        </w:rPr>
      </w:pPr>
      <w:r>
        <w:rPr>
          <w:rFonts w:hint="eastAsia"/>
        </w:rPr>
        <w:t>项目联系方式（询问）：13757191377</w:t>
      </w:r>
    </w:p>
    <w:p w14:paraId="759FCCFE">
      <w:pPr>
        <w:pStyle w:val="42"/>
        <w:bidi w:val="0"/>
        <w:rPr>
          <w:rFonts w:hint="default"/>
          <w:lang w:val="en-US" w:eastAsia="zh-CN"/>
        </w:rPr>
      </w:pPr>
      <w:r>
        <w:rPr>
          <w:rFonts w:hint="eastAsia"/>
        </w:rPr>
        <w:t>质疑联系人：</w:t>
      </w:r>
      <w:r>
        <w:rPr>
          <w:rFonts w:hint="eastAsia"/>
          <w:lang w:val="en-US" w:eastAsia="zh-CN"/>
        </w:rPr>
        <w:t>许老师</w:t>
      </w:r>
    </w:p>
    <w:p w14:paraId="3E77D423">
      <w:pPr>
        <w:pStyle w:val="42"/>
        <w:ind w:firstLine="480"/>
        <w:rPr>
          <w:rFonts w:hint="eastAsia"/>
          <w:lang w:val="en-US" w:eastAsia="zh-CN"/>
        </w:rPr>
      </w:pPr>
      <w:r>
        <w:rPr>
          <w:rFonts w:hint="eastAsia"/>
        </w:rPr>
        <w:t>质疑联系方式：0571-</w:t>
      </w:r>
      <w:r>
        <w:rPr>
          <w:rFonts w:hint="eastAsia"/>
          <w:lang w:val="en-US" w:eastAsia="zh-CN"/>
        </w:rPr>
        <w:t>88268540</w:t>
      </w:r>
    </w:p>
    <w:p w14:paraId="15F41574">
      <w:pPr>
        <w:pStyle w:val="42"/>
        <w:ind w:firstLine="480"/>
      </w:pPr>
      <w:r>
        <w:rPr>
          <w:rFonts w:hint="eastAsia"/>
        </w:rPr>
        <w:t>2</w:t>
      </w:r>
      <w:r>
        <w:rPr>
          <w:rFonts w:hint="eastAsia"/>
          <w:lang w:eastAsia="zh-CN"/>
        </w:rPr>
        <w:t>.</w:t>
      </w:r>
      <w:r>
        <w:rPr>
          <w:rFonts w:hint="eastAsia"/>
        </w:rPr>
        <w:t>采购代理机构信息</w:t>
      </w:r>
    </w:p>
    <w:p w14:paraId="633C8C74">
      <w:pPr>
        <w:pStyle w:val="42"/>
        <w:ind w:firstLine="480"/>
      </w:pPr>
      <w:r>
        <w:rPr>
          <w:rFonts w:hint="eastAsia"/>
        </w:rPr>
        <w:t>名称：</w:t>
      </w:r>
      <w:r>
        <w:rPr>
          <w:rFonts w:hint="eastAsia"/>
          <w:lang w:eastAsia="zh-CN"/>
        </w:rPr>
        <w:t>浙江中勤招标代理有限公司</w:t>
      </w:r>
    </w:p>
    <w:p w14:paraId="253CC269">
      <w:pPr>
        <w:pStyle w:val="42"/>
        <w:ind w:firstLine="480"/>
      </w:pPr>
      <w:r>
        <w:rPr>
          <w:rFonts w:hint="eastAsia"/>
        </w:rPr>
        <w:t>地址：杭州市</w:t>
      </w:r>
      <w:r>
        <w:rPr>
          <w:rFonts w:hint="eastAsia"/>
          <w:lang w:eastAsia="zh-CN"/>
        </w:rPr>
        <w:t>东新路2</w:t>
      </w:r>
      <w:r>
        <w:rPr>
          <w:lang w:eastAsia="zh-CN"/>
        </w:rPr>
        <w:t>40</w:t>
      </w:r>
      <w:r>
        <w:rPr>
          <w:rFonts w:hint="eastAsia"/>
        </w:rPr>
        <w:t>号</w:t>
      </w:r>
      <w:r>
        <w:rPr>
          <w:rFonts w:hint="eastAsia"/>
          <w:lang w:eastAsia="zh-CN"/>
        </w:rPr>
        <w:t>兔狗创新</w:t>
      </w:r>
      <w:r>
        <w:rPr>
          <w:rFonts w:hint="eastAsia"/>
        </w:rPr>
        <w:t>大厦西楼</w:t>
      </w:r>
      <w:r>
        <w:t>1502</w:t>
      </w:r>
      <w:r>
        <w:rPr>
          <w:rFonts w:hint="eastAsia"/>
          <w:lang w:eastAsia="zh-CN"/>
        </w:rPr>
        <w:t>室</w:t>
      </w:r>
    </w:p>
    <w:p w14:paraId="57C7408F">
      <w:pPr>
        <w:pStyle w:val="42"/>
        <w:ind w:firstLine="480"/>
        <w:rPr>
          <w:rFonts w:hint="default"/>
          <w:color w:val="auto"/>
          <w:lang w:val="en-US"/>
        </w:rPr>
      </w:pPr>
      <w:r>
        <w:rPr>
          <w:rFonts w:hint="eastAsia"/>
        </w:rPr>
        <w:t>项目联系人（询</w:t>
      </w:r>
      <w:r>
        <w:rPr>
          <w:rFonts w:hint="eastAsia"/>
          <w:color w:val="auto"/>
        </w:rPr>
        <w:t>问）：</w:t>
      </w:r>
      <w:r>
        <w:rPr>
          <w:rFonts w:hint="eastAsia"/>
          <w:color w:val="auto"/>
          <w:lang w:val="en-US" w:eastAsia="zh-CN"/>
        </w:rPr>
        <w:t>张工、林工、江工</w:t>
      </w:r>
    </w:p>
    <w:p w14:paraId="17B3F01E">
      <w:pPr>
        <w:pStyle w:val="42"/>
        <w:ind w:firstLine="480"/>
        <w:rPr>
          <w:color w:val="auto"/>
        </w:rPr>
      </w:pPr>
      <w:r>
        <w:rPr>
          <w:rFonts w:hint="eastAsia"/>
          <w:color w:val="auto"/>
        </w:rPr>
        <w:t>项目联系方式（询问）：0571-</w:t>
      </w:r>
      <w:r>
        <w:rPr>
          <w:color w:val="auto"/>
        </w:rPr>
        <w:t>86808575</w:t>
      </w:r>
    </w:p>
    <w:p w14:paraId="201AE290">
      <w:pPr>
        <w:pStyle w:val="42"/>
        <w:ind w:firstLine="480"/>
        <w:rPr>
          <w:color w:val="auto"/>
        </w:rPr>
      </w:pPr>
      <w:r>
        <w:rPr>
          <w:rFonts w:hint="eastAsia"/>
          <w:color w:val="auto"/>
        </w:rPr>
        <w:t>质疑联系人：</w:t>
      </w:r>
      <w:r>
        <w:rPr>
          <w:rFonts w:hint="eastAsia"/>
          <w:color w:val="auto"/>
          <w:lang w:val="en-US" w:eastAsia="zh-CN"/>
        </w:rPr>
        <w:t>李工</w:t>
      </w:r>
    </w:p>
    <w:p w14:paraId="2125031E">
      <w:pPr>
        <w:pStyle w:val="42"/>
        <w:ind w:firstLine="480"/>
        <w:rPr>
          <w:color w:val="auto"/>
        </w:rPr>
      </w:pPr>
      <w:r>
        <w:rPr>
          <w:rFonts w:hint="eastAsia"/>
          <w:color w:val="auto"/>
        </w:rPr>
        <w:t>质疑联系方式：0571-</w:t>
      </w:r>
      <w:r>
        <w:rPr>
          <w:color w:val="auto"/>
        </w:rPr>
        <w:t>86803309</w:t>
      </w:r>
    </w:p>
    <w:p w14:paraId="51395092">
      <w:pPr>
        <w:pStyle w:val="42"/>
        <w:ind w:firstLine="480"/>
      </w:pPr>
      <w:r>
        <w:rPr>
          <w:rFonts w:hint="eastAsia"/>
        </w:rPr>
        <w:t>3</w:t>
      </w:r>
      <w:r>
        <w:rPr>
          <w:rFonts w:hint="eastAsia"/>
          <w:lang w:eastAsia="zh-CN"/>
        </w:rPr>
        <w:t>.</w:t>
      </w:r>
      <w:r>
        <w:rPr>
          <w:rFonts w:hint="eastAsia"/>
        </w:rPr>
        <w:t>同级政府采购监督管理部门</w:t>
      </w:r>
    </w:p>
    <w:p w14:paraId="06484EE9">
      <w:pPr>
        <w:pStyle w:val="42"/>
        <w:ind w:firstLine="480"/>
      </w:pPr>
      <w:r>
        <w:rPr>
          <w:rFonts w:hint="eastAsia"/>
        </w:rPr>
        <w:t>名称：浙江省财政厅政府采购监管处、浙江省政府采购行政裁决服务中心（杭州）</w:t>
      </w:r>
    </w:p>
    <w:p w14:paraId="4A1FCDD0">
      <w:pPr>
        <w:pStyle w:val="42"/>
        <w:ind w:firstLine="480"/>
        <w:rPr>
          <w:rFonts w:hint="eastAsia"/>
        </w:rPr>
      </w:pPr>
      <w:r>
        <w:rPr>
          <w:rFonts w:hint="eastAsia"/>
        </w:rPr>
        <w:t>地址：杭州市上城区清泰街549号城建综合大楼11楼（快递仅限ems或顺丰）</w:t>
      </w:r>
    </w:p>
    <w:p w14:paraId="3AD91C9A">
      <w:pPr>
        <w:pStyle w:val="42"/>
        <w:ind w:firstLine="480"/>
        <w:rPr>
          <w:rFonts w:hint="eastAsia"/>
        </w:rPr>
      </w:pPr>
      <w:r>
        <w:rPr>
          <w:rFonts w:hint="eastAsia"/>
        </w:rPr>
        <w:t>联系人：匡老师</w:t>
      </w:r>
    </w:p>
    <w:p w14:paraId="16BE9F94">
      <w:pPr>
        <w:pStyle w:val="42"/>
        <w:ind w:firstLine="480"/>
        <w:rPr>
          <w:rFonts w:hint="eastAsia"/>
        </w:rPr>
      </w:pPr>
      <w:r>
        <w:rPr>
          <w:rFonts w:hint="eastAsia"/>
        </w:rPr>
        <w:t xml:space="preserve">监督投诉电话：0571-87807798  </w:t>
      </w:r>
    </w:p>
    <w:p w14:paraId="0573A4F2">
      <w:pPr>
        <w:pStyle w:val="42"/>
        <w:ind w:firstLine="480"/>
        <w:rPr>
          <w:rFonts w:hint="eastAsia"/>
        </w:rPr>
      </w:pPr>
      <w:r>
        <w:rPr>
          <w:rFonts w:hint="eastAsia"/>
        </w:rPr>
        <w:t>政策咨询：何一平、冯华，0571-87058424、87055741</w:t>
      </w:r>
    </w:p>
    <w:p w14:paraId="5CECE0C0">
      <w:pPr>
        <w:pStyle w:val="42"/>
        <w:ind w:firstLine="480"/>
        <w:rPr>
          <w:rFonts w:hint="eastAsia"/>
        </w:rPr>
      </w:pPr>
      <w:r>
        <w:rPr>
          <w:rFonts w:hint="eastAsia"/>
        </w:rPr>
        <w:t>预算金额未达100万元的采购项目，由采购人处理采购争议。</w:t>
      </w:r>
    </w:p>
    <w:p w14:paraId="3837FBFF">
      <w:pPr>
        <w:widowControl/>
        <w:jc w:val="left"/>
        <w:rPr>
          <w:rFonts w:ascii="宋体" w:hAnsi="宋体"/>
          <w:lang w:eastAsia="zh-Hans"/>
        </w:rPr>
      </w:pPr>
      <w:r>
        <w:br w:type="page"/>
      </w:r>
    </w:p>
    <w:p w14:paraId="1C8F9EE0">
      <w:pPr>
        <w:pStyle w:val="43"/>
      </w:pPr>
      <w:bookmarkStart w:id="1" w:name="_Toc7443"/>
      <w:r>
        <w:rPr>
          <w:rFonts w:hint="eastAsia"/>
          <w:lang w:eastAsia="zh-CN"/>
        </w:rPr>
        <w:t>投标人须知</w:t>
      </w:r>
      <w:bookmarkEnd w:id="1"/>
    </w:p>
    <w:p w14:paraId="747C6105">
      <w:pPr>
        <w:pStyle w:val="44"/>
        <w:numPr>
          <w:ilvl w:val="0"/>
          <w:numId w:val="0"/>
        </w:numPr>
        <w:rPr>
          <w:lang w:eastAsia="zh-CN"/>
        </w:rPr>
      </w:pPr>
      <w:bookmarkStart w:id="2" w:name="_Toc30143"/>
      <w:r>
        <w:rPr>
          <w:rFonts w:hint="eastAsia"/>
          <w:lang w:eastAsia="zh-CN"/>
        </w:rPr>
        <w:t>前附表</w:t>
      </w:r>
      <w:bookmarkEnd w:id="2"/>
      <w:bookmarkStart w:id="3" w:name="_Toc233618971"/>
      <w:bookmarkEnd w:id="3"/>
    </w:p>
    <w:p w14:paraId="4BD94506">
      <w:pPr>
        <w:pStyle w:val="42"/>
        <w:ind w:firstLine="0" w:firstLineChars="0"/>
        <w:jc w:val="center"/>
        <w:rPr>
          <w:sz w:val="21"/>
          <w:lang w:eastAsia="zh-CN"/>
        </w:rPr>
      </w:pPr>
      <w:r>
        <w:rPr>
          <w:rFonts w:hint="eastAsia"/>
          <w:sz w:val="21"/>
        </w:rPr>
        <w:t>（本表是对本次采购活动有关内容的强调，如与</w:t>
      </w:r>
      <w:r>
        <w:rPr>
          <w:rFonts w:hint="eastAsia"/>
          <w:sz w:val="21"/>
          <w:lang w:eastAsia="zh-CN"/>
        </w:rPr>
        <w:t>招标公告有矛盾以招标公告为准，如与</w:t>
      </w:r>
      <w:r>
        <w:rPr>
          <w:rFonts w:hint="eastAsia"/>
          <w:sz w:val="21"/>
        </w:rPr>
        <w:t>采购文件其他条款有矛盾以本表为准）</w:t>
      </w:r>
    </w:p>
    <w:tbl>
      <w:tblPr>
        <w:tblStyle w:val="27"/>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3"/>
        <w:gridCol w:w="1427"/>
        <w:gridCol w:w="6045"/>
      </w:tblGrid>
      <w:tr w14:paraId="63AA892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47" w:type="dxa"/>
            <w:shd w:val="clear" w:color="auto" w:fill="D8D8D8" w:themeFill="background1" w:themeFillShade="D9"/>
            <w:vAlign w:val="center"/>
          </w:tcPr>
          <w:p w14:paraId="722F000E">
            <w:pPr>
              <w:pStyle w:val="42"/>
              <w:spacing w:line="240" w:lineRule="auto"/>
              <w:ind w:firstLine="0" w:firstLineChars="0"/>
              <w:jc w:val="center"/>
              <w:rPr>
                <w:rFonts w:ascii="黑体" w:hAnsi="黑体" w:eastAsia="黑体"/>
              </w:rPr>
            </w:pPr>
            <w:r>
              <w:rPr>
                <w:rFonts w:hint="eastAsia" w:ascii="黑体" w:hAnsi="黑体" w:eastAsia="黑体"/>
              </w:rPr>
              <w:t>对应</w:t>
            </w:r>
          </w:p>
          <w:p w14:paraId="14786021">
            <w:pPr>
              <w:pStyle w:val="42"/>
              <w:spacing w:line="240" w:lineRule="auto"/>
              <w:ind w:firstLine="0" w:firstLineChars="0"/>
              <w:jc w:val="center"/>
              <w:rPr>
                <w:rFonts w:ascii="黑体" w:hAnsi="黑体" w:eastAsia="黑体"/>
              </w:rPr>
            </w:pPr>
            <w:r>
              <w:rPr>
                <w:rFonts w:hint="eastAsia" w:ascii="黑体" w:hAnsi="黑体" w:eastAsia="黑体"/>
              </w:rPr>
              <w:t>条款</w:t>
            </w:r>
          </w:p>
        </w:tc>
        <w:tc>
          <w:tcPr>
            <w:tcW w:w="1430" w:type="dxa"/>
            <w:gridSpan w:val="2"/>
            <w:shd w:val="clear" w:color="auto" w:fill="D8D8D8" w:themeFill="background1" w:themeFillShade="D9"/>
            <w:vAlign w:val="center"/>
          </w:tcPr>
          <w:p w14:paraId="7E3D21C1">
            <w:pPr>
              <w:pStyle w:val="42"/>
              <w:spacing w:line="240" w:lineRule="auto"/>
              <w:ind w:firstLine="0" w:firstLineChars="0"/>
              <w:jc w:val="center"/>
              <w:rPr>
                <w:rFonts w:ascii="黑体" w:hAnsi="黑体" w:eastAsia="黑体"/>
              </w:rPr>
            </w:pPr>
            <w:r>
              <w:rPr>
                <w:rFonts w:hint="eastAsia" w:ascii="黑体" w:hAnsi="黑体" w:eastAsia="黑体"/>
              </w:rPr>
              <w:t>名称</w:t>
            </w:r>
          </w:p>
        </w:tc>
        <w:tc>
          <w:tcPr>
            <w:tcW w:w="6045" w:type="dxa"/>
            <w:shd w:val="clear" w:color="auto" w:fill="D8D8D8" w:themeFill="background1" w:themeFillShade="D9"/>
            <w:vAlign w:val="center"/>
          </w:tcPr>
          <w:p w14:paraId="1D25B535">
            <w:pPr>
              <w:pStyle w:val="42"/>
              <w:spacing w:line="240" w:lineRule="auto"/>
              <w:ind w:firstLine="0" w:firstLineChars="0"/>
              <w:jc w:val="center"/>
              <w:rPr>
                <w:rFonts w:ascii="黑体" w:hAnsi="黑体" w:eastAsia="黑体"/>
              </w:rPr>
            </w:pPr>
            <w:r>
              <w:rPr>
                <w:rFonts w:hint="eastAsia" w:ascii="黑体" w:hAnsi="黑体" w:eastAsia="黑体"/>
              </w:rPr>
              <w:t>内容</w:t>
            </w:r>
          </w:p>
        </w:tc>
      </w:tr>
      <w:tr w14:paraId="22BEDA51">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F80F7F0">
            <w:pPr>
              <w:pStyle w:val="42"/>
              <w:ind w:firstLine="0" w:firstLineChars="0"/>
            </w:pPr>
            <w:r>
              <w:rPr>
                <w:rFonts w:hint="eastAsia"/>
              </w:rPr>
              <w:t>一、</w:t>
            </w:r>
            <w:r>
              <w:rPr>
                <w:rFonts w:hint="eastAsia"/>
                <w:lang w:val="en-US" w:eastAsia="zh-CN"/>
              </w:rPr>
              <w:t>8</w:t>
            </w:r>
            <w:r>
              <w:t>.</w:t>
            </w:r>
          </w:p>
        </w:tc>
        <w:tc>
          <w:tcPr>
            <w:tcW w:w="1430" w:type="dxa"/>
            <w:gridSpan w:val="2"/>
            <w:vAlign w:val="center"/>
          </w:tcPr>
          <w:p w14:paraId="5B62E139">
            <w:pPr>
              <w:pStyle w:val="42"/>
              <w:ind w:firstLine="0" w:firstLineChars="0"/>
              <w:rPr>
                <w:rFonts w:cs="AdobeFangsongStd-Regular"/>
                <w:spacing w:val="-2"/>
                <w:kern w:val="0"/>
                <w:position w:val="-3"/>
              </w:rPr>
            </w:pPr>
            <w:r>
              <w:rPr>
                <w:rFonts w:hint="eastAsia"/>
              </w:rPr>
              <w:t>转包与分包</w:t>
            </w:r>
          </w:p>
        </w:tc>
        <w:tc>
          <w:tcPr>
            <w:tcW w:w="6045" w:type="dxa"/>
            <w:vAlign w:val="center"/>
          </w:tcPr>
          <w:p w14:paraId="173F0270">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b/>
                <w:bCs/>
                <w:lang w:val="en-US" w:eastAsia="zh-CN"/>
              </w:rPr>
            </w:pPr>
            <w:r>
              <w:rPr>
                <w:rFonts w:hint="eastAsia"/>
                <w:b/>
                <w:bCs/>
                <w:lang w:val="en-US" w:eastAsia="zh-CN"/>
              </w:rPr>
              <w:t>1.转包:</w:t>
            </w:r>
          </w:p>
          <w:p w14:paraId="695D3BE2">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lang w:val="en-US" w:eastAsia="zh-CN"/>
              </w:rPr>
            </w:pPr>
            <w:sdt>
              <w:sdtPr>
                <w:id w:val="599015012"/>
                <w14:checkbox>
                  <w14:checked w14:val="1"/>
                  <w14:checkedState w14:val="00FE" w14:font="Wingdings"/>
                  <w14:uncheckedState w14:val="2610" w14:font="MS Gothic"/>
                </w14:checkbox>
              </w:sdtPr>
              <w:sdtContent>
                <w:r>
                  <w:rPr>
                    <w:rFonts w:ascii="Wingdings" w:hAnsi="Wingdings" w:eastAsia="宋体" w:cs="Times New Roman"/>
                    <w:kern w:val="2"/>
                    <w:sz w:val="24"/>
                    <w:szCs w:val="21"/>
                    <w:lang w:val="en-US" w:eastAsia="zh-Hans" w:bidi="ar-SA"/>
                  </w:rPr>
                  <w:t>þ</w:t>
                </w:r>
              </w:sdtContent>
            </w:sdt>
            <w:r>
              <w:rPr>
                <w:rFonts w:hint="eastAsia" w:cs="AdobeFangsongStd-Regular"/>
                <w:spacing w:val="-2"/>
                <w:kern w:val="0"/>
                <w:position w:val="-3"/>
              </w:rPr>
              <w:t>不</w:t>
            </w:r>
            <w:r>
              <w:rPr>
                <w:rFonts w:hint="eastAsia" w:cs="AdobeFangsongStd-Regular"/>
                <w:spacing w:val="-2"/>
                <w:kern w:val="0"/>
                <w:position w:val="-3"/>
                <w:lang w:val="en-US" w:eastAsia="zh-CN"/>
              </w:rPr>
              <w:t>允许</w:t>
            </w:r>
          </w:p>
          <w:p w14:paraId="56163F9B">
            <w:pPr>
              <w:pStyle w:val="42"/>
              <w:ind w:firstLine="0" w:firstLineChars="0"/>
              <w:rPr>
                <w:rFonts w:hint="default"/>
                <w:b/>
                <w:bCs/>
                <w:color w:val="auto"/>
                <w:lang w:val="en-US" w:eastAsia="zh-CN"/>
              </w:rPr>
            </w:pPr>
            <w:r>
              <w:rPr>
                <w:rFonts w:hint="eastAsia"/>
                <w:b/>
                <w:bCs/>
                <w:lang w:val="en-US" w:eastAsia="zh-CN"/>
              </w:rPr>
              <w:t>2.分包:</w:t>
            </w:r>
          </w:p>
          <w:p w14:paraId="7912DD18">
            <w:pPr>
              <w:pStyle w:val="42"/>
              <w:ind w:firstLine="0" w:firstLineChars="0"/>
              <w:rPr>
                <w:rFonts w:hint="default"/>
                <w:lang w:val="en-US" w:eastAsia="zh-CN"/>
              </w:rPr>
            </w:pPr>
            <w:sdt>
              <w:sdtPr>
                <w:rPr>
                  <w:color w:val="auto"/>
                </w:rPr>
                <w:id w:val="630187934"/>
                <w14:checkbox>
                  <w14:checked w14:val="1"/>
                  <w14:checkedState w14:val="00FE" w14:font="Wingdings"/>
                  <w14:uncheckedState w14:val="2610" w14:font="MS Gothic"/>
                </w14:checkbox>
              </w:sdtPr>
              <w:sdtEndPr>
                <w:rPr>
                  <w:color w:val="auto"/>
                </w:rPr>
              </w:sdtEndPr>
              <w:sdtContent>
                <w:r>
                  <w:rPr>
                    <w:rFonts w:ascii="Wingdings" w:hAnsi="Wingdings" w:eastAsia="宋体" w:cs="Times New Roman"/>
                    <w:color w:val="auto"/>
                    <w:kern w:val="2"/>
                    <w:sz w:val="24"/>
                    <w:szCs w:val="21"/>
                    <w:lang w:val="en-US" w:eastAsia="zh-Hans" w:bidi="ar-SA"/>
                  </w:rPr>
                  <w:t>þ</w:t>
                </w:r>
              </w:sdtContent>
            </w:sdt>
            <w:r>
              <w:rPr>
                <w:rFonts w:hint="eastAsia" w:cs="AdobeFangsongStd-Regular"/>
                <w:color w:val="auto"/>
                <w:spacing w:val="-2"/>
                <w:kern w:val="0"/>
                <w:position w:val="-3"/>
              </w:rPr>
              <w:t>不</w:t>
            </w:r>
            <w:r>
              <w:rPr>
                <w:rFonts w:hint="eastAsia" w:cs="AdobeFangsongStd-Regular"/>
                <w:color w:val="auto"/>
                <w:spacing w:val="-2"/>
                <w:kern w:val="0"/>
                <w:position w:val="-3"/>
                <w:lang w:val="en-US" w:eastAsia="zh-CN"/>
              </w:rPr>
              <w:t>允许</w:t>
            </w:r>
            <w:r>
              <w:rPr>
                <w:rFonts w:hint="eastAsia" w:cs="AdobeFangsongStd-Regular"/>
                <w:color w:val="auto"/>
                <w:spacing w:val="-2"/>
                <w:kern w:val="0"/>
                <w:position w:val="-3"/>
                <w:lang w:eastAsia="zh-CN"/>
              </w:rPr>
              <w:t>；</w:t>
            </w:r>
            <w:sdt>
              <w:sdtPr>
                <w:rPr>
                  <w:color w:val="auto"/>
                </w:rPr>
                <w:id w:val="972238312"/>
                <w14:checkbox>
                  <w14:checked w14:val="0"/>
                  <w14:checkedState w14:val="00FE" w14:font="Wingdings"/>
                  <w14:uncheckedState w14:val="2610" w14:font="MS Gothic"/>
                </w14:checkbox>
              </w:sdtPr>
              <w:sdtEndPr>
                <w:rPr>
                  <w:color w:val="auto"/>
                </w:rPr>
              </w:sdtEndPr>
              <w:sdtContent>
                <w:r>
                  <w:rPr>
                    <w:rFonts w:ascii="MS Gothic" w:hAnsi="MS Gothic" w:eastAsia="宋体" w:cs="Times New Roman"/>
                    <w:color w:val="auto"/>
                    <w:kern w:val="2"/>
                    <w:sz w:val="24"/>
                    <w:szCs w:val="21"/>
                    <w:lang w:val="en-US" w:eastAsia="zh-Hans" w:bidi="ar-SA"/>
                  </w:rPr>
                  <w:t>☐</w:t>
                </w:r>
              </w:sdtContent>
            </w:sdt>
            <w:r>
              <w:rPr>
                <w:rFonts w:hint="eastAsia"/>
                <w:color w:val="auto"/>
                <w:lang w:val="en-US" w:eastAsia="zh-CN"/>
              </w:rPr>
              <w:t>允许分包，允许中标人在中标后将非主体、非关键性的</w:t>
            </w:r>
            <w:r>
              <w:rPr>
                <w:rFonts w:hint="eastAsia"/>
                <w:color w:val="auto"/>
                <w:u w:val="single"/>
                <w:lang w:val="en-US" w:eastAsia="zh-CN"/>
              </w:rPr>
              <w:t xml:space="preserve">    </w:t>
            </w:r>
            <w:r>
              <w:rPr>
                <w:rFonts w:hint="eastAsia"/>
                <w:color w:val="auto"/>
                <w:lang w:val="en-US" w:eastAsia="zh-CN"/>
              </w:rPr>
              <w:t>工作分包。</w:t>
            </w:r>
          </w:p>
        </w:tc>
      </w:tr>
      <w:tr w14:paraId="01D5D4A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shd w:val="clear" w:color="auto" w:fill="auto"/>
            <w:vAlign w:val="center"/>
          </w:tcPr>
          <w:p w14:paraId="337B2887">
            <w:pPr>
              <w:pStyle w:val="42"/>
              <w:ind w:firstLine="0" w:firstLineChars="0"/>
              <w:rPr>
                <w:rFonts w:hint="eastAsia" w:ascii="宋体" w:hAnsi="宋体" w:eastAsia="宋体" w:cs="Times New Roman"/>
                <w:kern w:val="2"/>
                <w:sz w:val="24"/>
                <w:szCs w:val="21"/>
                <w:lang w:val="en-US" w:eastAsia="zh-Hans" w:bidi="ar-SA"/>
              </w:rPr>
            </w:pPr>
            <w:r>
              <w:rPr>
                <w:rFonts w:hint="eastAsia"/>
              </w:rPr>
              <w:t>一、</w:t>
            </w:r>
            <w:r>
              <w:t>9.</w:t>
            </w:r>
          </w:p>
        </w:tc>
        <w:tc>
          <w:tcPr>
            <w:tcW w:w="1430" w:type="dxa"/>
            <w:gridSpan w:val="2"/>
            <w:shd w:val="clear" w:color="auto" w:fill="auto"/>
            <w:vAlign w:val="center"/>
          </w:tcPr>
          <w:p w14:paraId="3252DB62">
            <w:pPr>
              <w:pStyle w:val="42"/>
              <w:ind w:firstLine="0" w:firstLineChars="0"/>
              <w:rPr>
                <w:rFonts w:hint="eastAsia" w:ascii="宋体" w:hAnsi="宋体" w:eastAsia="宋体" w:cs="AdobeFangsongStd-Regular"/>
                <w:spacing w:val="-2"/>
                <w:kern w:val="0"/>
                <w:position w:val="-3"/>
                <w:sz w:val="24"/>
                <w:szCs w:val="21"/>
                <w:lang w:val="en-US" w:eastAsia="zh-Hans" w:bidi="ar-SA"/>
              </w:rPr>
            </w:pPr>
            <w:r>
              <w:rPr>
                <w:rFonts w:hint="eastAsia" w:cs="AdobeFangsongStd-Regular"/>
                <w:spacing w:val="-2"/>
                <w:kern w:val="0"/>
                <w:position w:val="-3"/>
              </w:rPr>
              <w:t>踏勘现场</w:t>
            </w:r>
          </w:p>
        </w:tc>
        <w:tc>
          <w:tcPr>
            <w:tcW w:w="6045" w:type="dxa"/>
            <w:shd w:val="clear" w:color="auto" w:fill="auto"/>
            <w:vAlign w:val="center"/>
          </w:tcPr>
          <w:p w14:paraId="6E01873D">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sdt>
              <w:sdtPr>
                <w:id w:val="624569083"/>
                <w14:checkbox>
                  <w14:checked w14:val="1"/>
                  <w14:checkedState w14:val="00FE" w14:font="Wingdings"/>
                  <w14:uncheckedState w14:val="2610" w14:font="MS Gothic"/>
                </w14:checkbox>
              </w:sdtPr>
              <w:sdtContent>
                <w:r>
                  <w:rPr>
                    <w:rFonts w:ascii="Wingdings" w:hAnsi="Wingdings" w:eastAsia="宋体" w:cs="Times New Roman"/>
                    <w:kern w:val="2"/>
                    <w:sz w:val="24"/>
                    <w:szCs w:val="21"/>
                    <w:lang w:val="en-US" w:eastAsia="zh-Hans" w:bidi="ar-SA"/>
                  </w:rPr>
                  <w:t>þ</w:t>
                </w:r>
              </w:sdtContent>
            </w:sdt>
            <w:r>
              <w:rPr>
                <w:rFonts w:hint="eastAsia" w:cs="AdobeFangsongStd-Regular"/>
                <w:spacing w:val="-2"/>
                <w:kern w:val="0"/>
                <w:position w:val="-3"/>
              </w:rPr>
              <w:t>不组织</w:t>
            </w:r>
            <w:r>
              <w:rPr>
                <w:rFonts w:hint="eastAsia" w:cs="AdobeFangsongStd-Regular"/>
                <w:spacing w:val="-2"/>
                <w:kern w:val="0"/>
                <w:position w:val="-3"/>
                <w:lang w:eastAsia="zh-CN"/>
              </w:rPr>
              <w:t>；</w:t>
            </w:r>
            <w:sdt>
              <w:sdtPr>
                <w:id w:val="52063290"/>
                <w14:checkbox>
                  <w14:checked w14:val="0"/>
                  <w14:checkedState w14:val="00FE" w14:font="Wingdings"/>
                  <w14:uncheckedState w14:val="2610" w14:font="MS Gothic"/>
                </w14:checkbox>
              </w:sdtPr>
              <w:sdtContent>
                <w:r>
                  <w:rPr>
                    <w:rFonts w:ascii="MS Gothic" w:hAnsi="MS Gothic" w:eastAsia="宋体" w:cs="Times New Roman"/>
                    <w:kern w:val="2"/>
                    <w:sz w:val="24"/>
                    <w:szCs w:val="21"/>
                    <w:lang w:val="en-US" w:eastAsia="zh-Hans" w:bidi="ar-SA"/>
                  </w:rPr>
                  <w:t>☐</w:t>
                </w:r>
              </w:sdtContent>
            </w:sdt>
            <w:r>
              <w:rPr>
                <w:rFonts w:hint="eastAsia" w:cs="AdobeFangsongStd-Regular"/>
                <w:spacing w:val="-2"/>
                <w:kern w:val="0"/>
                <w:position w:val="-3"/>
              </w:rPr>
              <w:t xml:space="preserve">统一组织 </w:t>
            </w:r>
          </w:p>
          <w:p w14:paraId="1B46866C">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r>
              <w:rPr>
                <w:rFonts w:hint="eastAsia" w:cs="AdobeFangsongStd-Regular"/>
                <w:spacing w:val="-2"/>
                <w:kern w:val="0"/>
                <w:position w:val="-3"/>
              </w:rPr>
              <w:t>踏勘时间</w:t>
            </w:r>
            <w:r>
              <w:rPr>
                <w:rFonts w:hint="eastAsia" w:cs="AdobeFangsongStd-Regular"/>
                <w:spacing w:val="-2"/>
                <w:kern w:val="0"/>
                <w:position w:val="-3"/>
                <w:lang w:eastAsia="zh-CN"/>
              </w:rPr>
              <w:t>：</w:t>
            </w:r>
            <w:r>
              <w:rPr>
                <w:rFonts w:hint="eastAsia" w:cs="AdobeFangsongStd-Regular"/>
                <w:spacing w:val="-2"/>
                <w:kern w:val="0"/>
                <w:position w:val="-3"/>
              </w:rPr>
              <w:t xml:space="preserve">     </w:t>
            </w:r>
            <w:r>
              <w:rPr>
                <w:rFonts w:cs="AdobeFangsongStd-Regular"/>
                <w:spacing w:val="-2"/>
                <w:kern w:val="0"/>
                <w:position w:val="-3"/>
              </w:rPr>
              <w:t xml:space="preserve"> </w:t>
            </w:r>
            <w:r>
              <w:rPr>
                <w:rFonts w:hint="eastAsia" w:cs="AdobeFangsongStd-Regular"/>
                <w:spacing w:val="-2"/>
                <w:kern w:val="0"/>
                <w:position w:val="-3"/>
              </w:rPr>
              <w:t xml:space="preserve">踏勘集中地点： </w:t>
            </w:r>
          </w:p>
          <w:p w14:paraId="3AD48F1B">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Times New Roman"/>
                <w:kern w:val="2"/>
                <w:sz w:val="24"/>
                <w:szCs w:val="21"/>
                <w:lang w:val="en-US" w:eastAsia="zh-Hans" w:bidi="ar-SA"/>
              </w:rPr>
            </w:pPr>
            <w:r>
              <w:rPr>
                <w:rFonts w:hint="eastAsia"/>
              </w:rPr>
              <w:t xml:space="preserve">联 系 人： </w:t>
            </w:r>
            <w:r>
              <w:t xml:space="preserve">     </w:t>
            </w:r>
            <w:r>
              <w:rPr>
                <w:rFonts w:hint="eastAsia"/>
              </w:rPr>
              <w:t>联系方式：</w:t>
            </w:r>
          </w:p>
        </w:tc>
      </w:tr>
      <w:tr w14:paraId="3C1FB9A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559120F">
            <w:pPr>
              <w:pStyle w:val="42"/>
              <w:ind w:firstLine="0" w:firstLineChars="0"/>
            </w:pPr>
            <w:r>
              <w:rPr>
                <w:rFonts w:hint="eastAsia"/>
              </w:rPr>
              <w:t>一、</w:t>
            </w:r>
            <w:r>
              <w:t>10.</w:t>
            </w:r>
          </w:p>
        </w:tc>
        <w:tc>
          <w:tcPr>
            <w:tcW w:w="1430" w:type="dxa"/>
            <w:gridSpan w:val="2"/>
            <w:vAlign w:val="center"/>
          </w:tcPr>
          <w:p w14:paraId="2A549ACC">
            <w:pPr>
              <w:pStyle w:val="42"/>
              <w:ind w:firstLine="0" w:firstLineChars="0"/>
              <w:rPr>
                <w:rFonts w:hint="eastAsia" w:cs="AdobeFangsongStd-Regular"/>
                <w:spacing w:val="-2"/>
                <w:kern w:val="0"/>
                <w:position w:val="-3"/>
              </w:rPr>
            </w:pPr>
            <w:r>
              <w:rPr>
                <w:rFonts w:hint="eastAsia" w:cs="AdobeFangsongStd-Regular"/>
                <w:spacing w:val="-2"/>
                <w:kern w:val="0"/>
                <w:position w:val="-3"/>
              </w:rPr>
              <w:t>预备会</w:t>
            </w:r>
          </w:p>
          <w:p w14:paraId="407CE33D">
            <w:pPr>
              <w:pStyle w:val="42"/>
              <w:ind w:firstLine="0" w:firstLineChars="0"/>
              <w:rPr>
                <w:rFonts w:cs="AdobeFangsongStd-Regular"/>
                <w:spacing w:val="-2"/>
                <w:kern w:val="0"/>
                <w:position w:val="-3"/>
              </w:rPr>
            </w:pPr>
            <w:r>
              <w:rPr>
                <w:rFonts w:hint="eastAsia" w:cs="AdobeFangsongStd-Regular"/>
                <w:spacing w:val="-2"/>
                <w:kern w:val="0"/>
                <w:position w:val="-3"/>
              </w:rPr>
              <w:t>/答疑会</w:t>
            </w:r>
          </w:p>
        </w:tc>
        <w:tc>
          <w:tcPr>
            <w:tcW w:w="6045" w:type="dxa"/>
            <w:vAlign w:val="center"/>
          </w:tcPr>
          <w:p w14:paraId="0EBA7FAF">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eastAsia="宋体" w:cs="AdobeFangsongStd-Regular"/>
                <w:spacing w:val="-2"/>
                <w:kern w:val="0"/>
                <w:position w:val="-3"/>
                <w:lang w:eastAsia="zh-CN"/>
              </w:rPr>
            </w:pPr>
            <w:sdt>
              <w:sdtPr>
                <w:id w:val="853448301"/>
                <w14:checkbox>
                  <w14:checked w14:val="1"/>
                  <w14:checkedState w14:val="00FE" w14:font="Wingdings"/>
                  <w14:uncheckedState w14:val="2610" w14:font="MS Gothic"/>
                </w14:checkbox>
              </w:sdtPr>
              <w:sdtContent>
                <w:r>
                  <w:rPr/>
                  <w:sym w:font="Wingdings" w:char="F0FE"/>
                </w:r>
              </w:sdtContent>
            </w:sdt>
            <w:r>
              <w:rPr>
                <w:rFonts w:hint="eastAsia" w:cs="AdobeFangsongStd-Regular"/>
                <w:spacing w:val="-2"/>
                <w:kern w:val="0"/>
                <w:position w:val="-3"/>
              </w:rPr>
              <w:t>不召开</w:t>
            </w:r>
            <w:r>
              <w:rPr>
                <w:rFonts w:hint="eastAsia" w:cs="AdobeFangsongStd-Regular"/>
                <w:spacing w:val="-2"/>
                <w:kern w:val="0"/>
                <w:position w:val="-3"/>
                <w:lang w:eastAsia="zh-CN"/>
              </w:rPr>
              <w:t>；</w:t>
            </w:r>
            <w:sdt>
              <w:sdtPr>
                <w:id w:val="244442054"/>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cs="AdobeFangsongStd-Regular"/>
                <w:spacing w:val="-2"/>
                <w:kern w:val="0"/>
                <w:position w:val="-3"/>
              </w:rPr>
              <w:t>召开</w:t>
            </w:r>
          </w:p>
          <w:p w14:paraId="6B34342A">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rFonts w:cs="AdobeFangsongStd-Regular"/>
                <w:spacing w:val="-2"/>
                <w:kern w:val="0"/>
                <w:position w:val="-3"/>
              </w:rPr>
            </w:pPr>
            <w:r>
              <w:rPr>
                <w:rFonts w:hint="eastAsia" w:cs="AdobeFangsongStd-Regular"/>
                <w:spacing w:val="-2"/>
                <w:kern w:val="0"/>
                <w:position w:val="-3"/>
              </w:rPr>
              <w:t xml:space="preserve">召开时间：    </w:t>
            </w:r>
            <w:r>
              <w:rPr>
                <w:rFonts w:cs="AdobeFangsongStd-Regular"/>
                <w:spacing w:val="-2"/>
                <w:kern w:val="0"/>
                <w:position w:val="-3"/>
              </w:rPr>
              <w:t xml:space="preserve">  </w:t>
            </w:r>
            <w:r>
              <w:rPr>
                <w:rFonts w:hint="eastAsia" w:cs="AdobeFangsongStd-Regular"/>
                <w:spacing w:val="-2"/>
                <w:kern w:val="0"/>
                <w:position w:val="-3"/>
              </w:rPr>
              <w:t>召开地点：</w:t>
            </w:r>
          </w:p>
          <w:p w14:paraId="40A197B5">
            <w:pPr>
              <w:pStyle w:val="42"/>
              <w:keepNext w:val="0"/>
              <w:keepLines w:val="0"/>
              <w:pageBreakBefore w:val="0"/>
              <w:widowControl w:val="0"/>
              <w:kinsoku/>
              <w:wordWrap/>
              <w:overflowPunct/>
              <w:topLinePunct w:val="0"/>
              <w:autoSpaceDE/>
              <w:autoSpaceDN/>
              <w:bidi w:val="0"/>
              <w:adjustRightInd/>
              <w:snapToGrid/>
              <w:ind w:firstLine="0" w:firstLineChars="0"/>
              <w:textAlignment w:val="auto"/>
              <w:rPr>
                <w:lang w:eastAsia="zh-CN"/>
              </w:rPr>
            </w:pPr>
            <w:r>
              <w:rPr>
                <w:rFonts w:hint="eastAsia"/>
                <w:lang w:eastAsia="zh-CN"/>
              </w:rPr>
              <w:t>联</w:t>
            </w:r>
            <w:r>
              <w:rPr>
                <w:rFonts w:hint="eastAsia"/>
              </w:rPr>
              <w:t xml:space="preserve"> </w:t>
            </w:r>
            <w:r>
              <w:rPr>
                <w:rFonts w:hint="eastAsia"/>
                <w:lang w:eastAsia="zh-CN"/>
              </w:rPr>
              <w:t>系</w:t>
            </w:r>
            <w:r>
              <w:rPr>
                <w:rFonts w:hint="eastAsia"/>
              </w:rPr>
              <w:t xml:space="preserve"> </w:t>
            </w:r>
            <w:r>
              <w:rPr>
                <w:rFonts w:hint="eastAsia"/>
                <w:lang w:eastAsia="zh-CN"/>
              </w:rPr>
              <w:t>人</w:t>
            </w:r>
            <w:r>
              <w:rPr>
                <w:rFonts w:hint="eastAsia"/>
              </w:rPr>
              <w:t xml:space="preserve">： </w:t>
            </w:r>
            <w:r>
              <w:t xml:space="preserve">     </w:t>
            </w:r>
            <w:r>
              <w:rPr>
                <w:rFonts w:hint="eastAsia"/>
              </w:rPr>
              <w:t>联系方式：</w:t>
            </w:r>
          </w:p>
        </w:tc>
      </w:tr>
      <w:tr w14:paraId="341F99E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E9A8193">
            <w:pPr>
              <w:pStyle w:val="42"/>
              <w:ind w:firstLine="0" w:firstLineChars="0"/>
            </w:pPr>
            <w:r>
              <w:rPr>
                <w:rFonts w:hint="eastAsia"/>
              </w:rPr>
              <w:t>一、</w:t>
            </w:r>
            <w:r>
              <w:rPr>
                <w:rFonts w:hint="eastAsia"/>
                <w:lang w:eastAsia="zh-CN"/>
              </w:rPr>
              <w:t>1</w:t>
            </w:r>
            <w:r>
              <w:rPr>
                <w:rFonts w:hint="eastAsia"/>
              </w:rPr>
              <w:t>2</w:t>
            </w:r>
            <w:r>
              <w:t>.</w:t>
            </w:r>
          </w:p>
        </w:tc>
        <w:tc>
          <w:tcPr>
            <w:tcW w:w="1430" w:type="dxa"/>
            <w:gridSpan w:val="2"/>
            <w:vAlign w:val="center"/>
          </w:tcPr>
          <w:p w14:paraId="1E2E5CC9">
            <w:pPr>
              <w:pStyle w:val="42"/>
              <w:ind w:firstLine="0" w:firstLineChars="0"/>
            </w:pPr>
            <w:r>
              <w:rPr>
                <w:rFonts w:hint="eastAsia"/>
              </w:rPr>
              <w:t>本项目需要落实的政府采购政策</w:t>
            </w:r>
          </w:p>
        </w:tc>
        <w:tc>
          <w:tcPr>
            <w:tcW w:w="6045" w:type="dxa"/>
            <w:vAlign w:val="center"/>
          </w:tcPr>
          <w:p w14:paraId="2DC2D523">
            <w:pPr>
              <w:pStyle w:val="42"/>
              <w:ind w:firstLine="0" w:firstLineChars="0"/>
              <w:rPr>
                <w:rFonts w:hint="eastAsia"/>
                <w:b/>
                <w:bCs/>
                <w:color w:val="auto"/>
              </w:rPr>
            </w:pPr>
            <w:r>
              <w:rPr>
                <w:rFonts w:hint="eastAsia"/>
                <w:b/>
                <w:bCs/>
                <w:color w:val="auto"/>
                <w:lang w:val="en-US" w:eastAsia="zh-CN"/>
              </w:rPr>
              <w:t>1.</w:t>
            </w:r>
            <w:r>
              <w:rPr>
                <w:rFonts w:hint="eastAsia"/>
                <w:b/>
                <w:bCs/>
                <w:color w:val="auto"/>
              </w:rPr>
              <w:t>支持中小企业、残疾人福利性单位、监狱企业发展</w:t>
            </w:r>
          </w:p>
          <w:p w14:paraId="1424FEC7">
            <w:pPr>
              <w:pStyle w:val="42"/>
              <w:ind w:firstLine="0" w:firstLineChars="0"/>
              <w:rPr>
                <w:rFonts w:hint="default"/>
                <w:color w:val="auto"/>
                <w:lang w:val="en-US" w:eastAsia="zh-CN"/>
              </w:rPr>
            </w:pPr>
            <w:r>
              <w:rPr>
                <w:rFonts w:hint="eastAsia"/>
                <w:color w:val="auto"/>
                <w:lang w:val="en-US" w:eastAsia="zh-CN"/>
              </w:rPr>
              <w:t>（1）支持方式：详见本项目采购公告。</w:t>
            </w:r>
          </w:p>
          <w:p w14:paraId="43401502">
            <w:pPr>
              <w:pStyle w:val="42"/>
              <w:ind w:firstLine="0" w:firstLineChars="0"/>
              <w:rPr>
                <w:rFonts w:hint="default"/>
                <w:color w:val="auto"/>
                <w:lang w:val="en-US" w:eastAsia="zh-CN"/>
              </w:rPr>
            </w:pPr>
            <w:r>
              <w:rPr>
                <w:rFonts w:hint="eastAsia"/>
                <w:color w:val="auto"/>
                <w:lang w:val="en-US" w:eastAsia="zh-CN"/>
              </w:rPr>
              <w:t>（2）本项目采购标的：以本项目《中小企业声明函》（格式文本）列示的为准；</w:t>
            </w:r>
          </w:p>
          <w:p w14:paraId="2E346A4F">
            <w:pPr>
              <w:pStyle w:val="42"/>
              <w:ind w:firstLine="0" w:firstLineChars="0"/>
              <w:rPr>
                <w:rFonts w:hint="eastAsia"/>
                <w:color w:val="auto"/>
                <w:highlight w:val="none"/>
                <w:u w:val="single"/>
                <w:lang w:eastAsia="zh-CN"/>
              </w:rPr>
            </w:pPr>
            <w:r>
              <w:rPr>
                <w:rFonts w:hint="eastAsia"/>
                <w:b w:val="0"/>
                <w:bCs w:val="0"/>
                <w:color w:val="auto"/>
                <w:lang w:eastAsia="zh-CN"/>
              </w:rPr>
              <w:t>（</w:t>
            </w:r>
            <w:r>
              <w:rPr>
                <w:rFonts w:hint="eastAsia"/>
                <w:b w:val="0"/>
                <w:bCs w:val="0"/>
                <w:color w:val="auto"/>
                <w:lang w:val="en-US" w:eastAsia="zh-CN"/>
              </w:rPr>
              <w:t>3）</w:t>
            </w:r>
            <w:r>
              <w:rPr>
                <w:rFonts w:hint="eastAsia"/>
                <w:b/>
                <w:bCs/>
                <w:color w:val="auto"/>
                <w:lang w:eastAsia="zh-CN"/>
              </w:rPr>
              <w:t>采购标的</w:t>
            </w:r>
            <w:r>
              <w:rPr>
                <w:rFonts w:hint="eastAsia"/>
                <w:color w:val="auto"/>
                <w:lang w:eastAsia="zh-CN"/>
              </w:rPr>
              <w:t>对应的中小企业划分标准所属行业为：</w:t>
            </w:r>
            <w:r>
              <w:rPr>
                <w:rFonts w:hint="eastAsia"/>
                <w:color w:val="auto"/>
                <w:highlight w:val="none"/>
                <w:u w:val="single"/>
                <w:lang w:eastAsia="zh-CN"/>
              </w:rPr>
              <w:t>其他未列明行业。</w:t>
            </w:r>
            <w:r>
              <w:rPr>
                <w:rFonts w:hint="eastAsia" w:ascii="宋体" w:hAnsi="宋体"/>
                <w:szCs w:val="21"/>
              </w:rPr>
              <w:t>从业人员300人以下的为中小微型企业。其中，从业人员100人及以上的为中型企业；从业人员10人及以上的为小型企业；从业人员10人以下的为微型企业</w:t>
            </w:r>
            <w:r>
              <w:rPr>
                <w:rFonts w:hint="eastAsia"/>
                <w:sz w:val="24"/>
                <w:szCs w:val="24"/>
              </w:rPr>
              <w:t>。</w:t>
            </w:r>
          </w:p>
          <w:p w14:paraId="1FF6339A">
            <w:pPr>
              <w:pStyle w:val="41"/>
              <w:numPr>
                <w:ilvl w:val="3"/>
                <w:numId w:val="0"/>
              </w:numPr>
              <w:bidi w:val="0"/>
              <w:rPr>
                <w:rFonts w:hint="eastAsia" w:eastAsia="宋体"/>
                <w:color w:val="auto"/>
                <w:lang w:eastAsia="zh-CN"/>
              </w:rPr>
            </w:pPr>
            <w:r>
              <w:rPr>
                <w:rFonts w:hint="eastAsia"/>
                <w:color w:val="auto"/>
                <w:lang w:val="en-US" w:eastAsia="zh-CN"/>
              </w:rPr>
              <w:t>2.</w:t>
            </w:r>
            <w:r>
              <w:rPr>
                <w:color w:val="auto"/>
              </w:rPr>
              <w:t>支持绿色发展</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290E7B63">
            <w:pPr>
              <w:pStyle w:val="42"/>
              <w:ind w:firstLine="0" w:firstLineChars="0"/>
              <w:rPr>
                <w:rFonts w:hint="eastAsia"/>
                <w:color w:val="auto"/>
                <w:lang w:val="en-US" w:eastAsia="zh-CN"/>
              </w:rPr>
            </w:pPr>
            <w:r>
              <w:rPr>
                <w:rFonts w:hint="eastAsia"/>
                <w:color w:val="auto"/>
                <w:lang w:val="en-US" w:eastAsia="zh-CN"/>
              </w:rPr>
              <w:t>（1）</w:t>
            </w:r>
            <w:r>
              <w:rPr>
                <w:color w:val="auto"/>
              </w:rPr>
              <w:t>属于节能产品品目清单范围的</w:t>
            </w:r>
            <w:r>
              <w:rPr>
                <w:rFonts w:hint="eastAsia"/>
                <w:color w:val="auto"/>
                <w:lang w:val="en-US" w:eastAsia="zh-CN"/>
              </w:rPr>
              <w:t>产品：</w:t>
            </w:r>
          </w:p>
          <w:p w14:paraId="543010E7">
            <w:pPr>
              <w:pStyle w:val="42"/>
              <w:ind w:firstLine="0" w:firstLineChars="0"/>
              <w:rPr>
                <w:rFonts w:hint="eastAsia"/>
                <w:color w:val="auto"/>
                <w:lang w:val="en-US" w:eastAsia="zh-CN"/>
              </w:rPr>
            </w:pPr>
            <w:sdt>
              <w:sdtPr>
                <w:rPr>
                  <w:color w:val="auto"/>
                </w:rPr>
                <w:id w:val="95383036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854498278"/>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6B90EE3A">
            <w:pPr>
              <w:pStyle w:val="42"/>
              <w:ind w:firstLine="0" w:firstLineChars="0"/>
              <w:rPr>
                <w:rFonts w:hint="eastAsia"/>
                <w:color w:val="auto"/>
                <w:lang w:val="en-US" w:eastAsia="zh-CN"/>
              </w:rPr>
            </w:pPr>
            <w:r>
              <w:rPr>
                <w:rFonts w:hint="eastAsia"/>
                <w:color w:val="auto"/>
                <w:lang w:val="en-US" w:eastAsia="zh-CN"/>
              </w:rPr>
              <w:t>（2）</w:t>
            </w:r>
            <w:r>
              <w:rPr>
                <w:color w:val="auto"/>
              </w:rPr>
              <w:t>属于</w:t>
            </w:r>
            <w:r>
              <w:rPr>
                <w:rFonts w:hint="eastAsia"/>
                <w:color w:val="auto"/>
                <w:lang w:val="en-US" w:eastAsia="zh-CN"/>
              </w:rPr>
              <w:t>强制采购的</w:t>
            </w:r>
            <w:r>
              <w:rPr>
                <w:color w:val="auto"/>
              </w:rPr>
              <w:t>节能产品品目清单范围的</w:t>
            </w:r>
            <w:r>
              <w:rPr>
                <w:rFonts w:hint="eastAsia"/>
                <w:color w:val="auto"/>
                <w:lang w:val="en-US" w:eastAsia="zh-CN"/>
              </w:rPr>
              <w:t>产品：</w:t>
            </w:r>
          </w:p>
          <w:p w14:paraId="43A3CA8E">
            <w:pPr>
              <w:pStyle w:val="42"/>
              <w:ind w:firstLine="0" w:firstLineChars="0"/>
              <w:rPr>
                <w:rFonts w:hint="eastAsia"/>
                <w:color w:val="auto"/>
                <w:lang w:val="en-US" w:eastAsia="zh-CN"/>
              </w:rPr>
            </w:pPr>
            <w:sdt>
              <w:sdtPr>
                <w:rPr>
                  <w:color w:val="auto"/>
                </w:rPr>
                <w:id w:val="45867944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706572611"/>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47F72E70">
            <w:pPr>
              <w:pStyle w:val="42"/>
              <w:ind w:firstLine="0" w:firstLineChars="0"/>
              <w:rPr>
                <w:rFonts w:hint="eastAsia"/>
                <w:color w:val="auto"/>
                <w:lang w:val="en-US" w:eastAsia="zh-CN"/>
              </w:rPr>
            </w:pPr>
            <w:r>
              <w:rPr>
                <w:rFonts w:hint="eastAsia"/>
                <w:color w:val="auto"/>
                <w:lang w:val="en-US" w:eastAsia="zh-CN"/>
              </w:rPr>
              <w:t>（3）</w:t>
            </w:r>
            <w:r>
              <w:rPr>
                <w:color w:val="auto"/>
              </w:rPr>
              <w:t>属于</w:t>
            </w:r>
            <w:r>
              <w:rPr>
                <w:rFonts w:hint="eastAsia"/>
                <w:color w:val="auto"/>
                <w:lang w:val="en-US" w:eastAsia="zh-CN"/>
              </w:rPr>
              <w:t>环境标志产品</w:t>
            </w:r>
            <w:r>
              <w:rPr>
                <w:color w:val="auto"/>
              </w:rPr>
              <w:t>品目清单范围的</w:t>
            </w:r>
            <w:r>
              <w:rPr>
                <w:rFonts w:hint="eastAsia"/>
                <w:color w:val="auto"/>
                <w:lang w:val="en-US" w:eastAsia="zh-CN"/>
              </w:rPr>
              <w:t>产品：</w:t>
            </w:r>
          </w:p>
          <w:p w14:paraId="5CA356D6">
            <w:pPr>
              <w:pStyle w:val="42"/>
              <w:ind w:firstLine="0" w:firstLineChars="0"/>
              <w:rPr>
                <w:color w:val="auto"/>
              </w:rPr>
            </w:pPr>
            <w:sdt>
              <w:sdtPr>
                <w:rPr>
                  <w:color w:val="auto"/>
                </w:rPr>
                <w:id w:val="42538655"/>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无；</w:t>
            </w:r>
            <w:sdt>
              <w:sdtPr>
                <w:rPr>
                  <w:color w:val="auto"/>
                </w:rPr>
                <w:id w:val="628098712"/>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lang w:val="en-US" w:eastAsia="zh-CN"/>
              </w:rPr>
              <w:t>有：</w:t>
            </w:r>
            <w:r>
              <w:rPr>
                <w:rFonts w:hint="eastAsia"/>
                <w:color w:val="auto"/>
                <w:u w:val="single"/>
                <w:lang w:val="en-US" w:eastAsia="zh-CN"/>
              </w:rPr>
              <w:t xml:space="preserve">                                。</w:t>
            </w:r>
          </w:p>
          <w:p w14:paraId="2D0DBFA1">
            <w:pPr>
              <w:pStyle w:val="41"/>
              <w:numPr>
                <w:ilvl w:val="3"/>
                <w:numId w:val="0"/>
              </w:numPr>
              <w:rPr>
                <w:color w:val="auto"/>
              </w:rPr>
            </w:pPr>
            <w:r>
              <w:rPr>
                <w:rFonts w:hint="eastAsia"/>
                <w:color w:val="auto"/>
                <w:lang w:val="en-US" w:eastAsia="zh-CN"/>
              </w:rPr>
              <w:t>3.</w:t>
            </w:r>
            <w:r>
              <w:rPr>
                <w:color w:val="auto"/>
              </w:rPr>
              <w:t>支持创新发展</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0EC3724F">
            <w:pPr>
              <w:pStyle w:val="41"/>
              <w:numPr>
                <w:ilvl w:val="3"/>
                <w:numId w:val="0"/>
              </w:numPr>
              <w:rPr>
                <w:color w:val="auto"/>
              </w:rPr>
            </w:pPr>
            <w:r>
              <w:rPr>
                <w:rFonts w:hint="eastAsia"/>
                <w:color w:val="auto"/>
                <w:lang w:val="en-US" w:eastAsia="zh-CN"/>
              </w:rPr>
              <w:t>4.</w:t>
            </w:r>
            <w:r>
              <w:rPr>
                <w:rFonts w:hint="eastAsia"/>
                <w:color w:val="auto"/>
              </w:rPr>
              <w:t>支持本国生产的货物</w:t>
            </w:r>
            <w:r>
              <w:rPr>
                <w:rFonts w:hint="eastAsia"/>
                <w:color w:val="auto"/>
                <w:lang w:eastAsia="zh-CN"/>
              </w:rPr>
              <w:t>（</w:t>
            </w:r>
            <w:r>
              <w:rPr>
                <w:rFonts w:hint="eastAsia"/>
                <w:color w:val="auto"/>
                <w:lang w:val="en-US" w:eastAsia="zh-CN"/>
              </w:rPr>
              <w:t>本项目不适用</w:t>
            </w:r>
            <w:r>
              <w:rPr>
                <w:rFonts w:hint="eastAsia"/>
                <w:color w:val="auto"/>
                <w:lang w:eastAsia="zh-CN"/>
              </w:rPr>
              <w:t>）</w:t>
            </w:r>
          </w:p>
          <w:p w14:paraId="7A6A1D7A">
            <w:pPr>
              <w:pStyle w:val="42"/>
              <w:ind w:firstLine="0" w:firstLineChars="0"/>
              <w:rPr>
                <w:rFonts w:hint="eastAsia"/>
                <w:color w:val="auto"/>
                <w:u w:val="none"/>
                <w:lang w:val="en-US" w:eastAsia="zh-CN"/>
              </w:rPr>
            </w:pPr>
            <w:r>
              <w:rPr>
                <w:rFonts w:hint="eastAsia"/>
                <w:color w:val="auto"/>
                <w:u w:val="none"/>
                <w:lang w:eastAsia="zh-CN"/>
              </w:rPr>
              <w:t>（</w:t>
            </w:r>
            <w:r>
              <w:rPr>
                <w:rFonts w:hint="eastAsia"/>
                <w:color w:val="auto"/>
                <w:u w:val="none"/>
                <w:lang w:val="en-US" w:eastAsia="zh-CN"/>
              </w:rPr>
              <w:t>1）是否允许采购进口产品：☐否；☐是。</w:t>
            </w:r>
          </w:p>
          <w:p w14:paraId="10028B60">
            <w:pPr>
              <w:pStyle w:val="42"/>
              <w:ind w:firstLine="0" w:firstLineChars="0"/>
              <w:rPr>
                <w:rFonts w:hint="eastAsia" w:eastAsia="宋体"/>
                <w:color w:val="auto"/>
                <w:lang w:eastAsia="zh-CN"/>
              </w:rPr>
            </w:pPr>
            <w:r>
              <w:rPr>
                <w:rFonts w:hint="eastAsia"/>
                <w:color w:val="auto"/>
                <w:lang w:eastAsia="zh-CN"/>
              </w:rPr>
              <w:t>（</w:t>
            </w:r>
            <w:r>
              <w:rPr>
                <w:rFonts w:hint="eastAsia"/>
                <w:color w:val="auto"/>
                <w:lang w:val="en-US" w:eastAsia="zh-CN"/>
              </w:rPr>
              <w:t>2）</w:t>
            </w:r>
            <w:r>
              <w:rPr>
                <w:rFonts w:hint="eastAsia"/>
                <w:color w:val="auto"/>
              </w:rPr>
              <w:t>报价及交货方式：</w:t>
            </w:r>
            <w:sdt>
              <w:sdtPr>
                <w:rPr>
                  <w:color w:val="auto"/>
                </w:rPr>
                <w:id w:val="679625574"/>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CIP</w:t>
            </w:r>
            <w:r>
              <w:rPr>
                <w:rFonts w:hint="eastAsia"/>
                <w:color w:val="auto"/>
                <w:lang w:eastAsia="zh-CN"/>
              </w:rPr>
              <w:t>；</w:t>
            </w:r>
            <w:sdt>
              <w:sdtPr>
                <w:rPr>
                  <w:color w:val="auto"/>
                </w:rPr>
                <w:id w:val="135573657"/>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olor w:val="auto"/>
                  </w:rPr>
                  <w:t>☐</w:t>
                </w:r>
              </w:sdtContent>
            </w:sdt>
            <w:r>
              <w:rPr>
                <w:rFonts w:hint="eastAsia"/>
                <w:color w:val="auto"/>
              </w:rPr>
              <w:t>CIF</w:t>
            </w:r>
            <w:r>
              <w:rPr>
                <w:rFonts w:hint="eastAsia"/>
                <w:color w:val="auto"/>
                <w:lang w:eastAsia="zh-CN"/>
              </w:rPr>
              <w:t>。</w:t>
            </w:r>
          </w:p>
          <w:p w14:paraId="34D4CBBE">
            <w:pPr>
              <w:pStyle w:val="42"/>
              <w:ind w:firstLine="0" w:firstLineChars="0"/>
              <w:rPr>
                <w:rFonts w:hint="default"/>
                <w:color w:val="auto"/>
                <w:u w:val="none"/>
                <w:lang w:val="en-US" w:eastAsia="zh-CN"/>
              </w:rPr>
            </w:pPr>
            <w:r>
              <w:rPr>
                <w:rFonts w:hint="eastAsia"/>
                <w:color w:val="auto"/>
                <w:lang w:eastAsia="zh-CN"/>
              </w:rPr>
              <w:t>（</w:t>
            </w:r>
            <w:r>
              <w:rPr>
                <w:rFonts w:hint="eastAsia"/>
                <w:color w:val="auto"/>
                <w:lang w:val="en-US" w:eastAsia="zh-CN"/>
              </w:rPr>
              <w:t>3）</w:t>
            </w:r>
            <w:r>
              <w:rPr>
                <w:rFonts w:hint="eastAsia"/>
                <w:color w:val="auto"/>
              </w:rPr>
              <w:t>是否可免关税：</w:t>
            </w:r>
            <w:sdt>
              <w:sdtPr>
                <w:rPr>
                  <w:color w:val="auto"/>
                </w:rPr>
                <w:id w:val="87913067"/>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rPr>
              <w:t>否</w:t>
            </w:r>
            <w:r>
              <w:rPr>
                <w:rFonts w:hint="eastAsia"/>
                <w:color w:val="auto"/>
                <w:lang w:eastAsia="zh-CN"/>
              </w:rPr>
              <w:t>；</w:t>
            </w:r>
            <w:sdt>
              <w:sdtPr>
                <w:rPr>
                  <w:color w:val="auto"/>
                </w:rPr>
                <w:id w:val="530617980"/>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是</w:t>
            </w:r>
            <w:r>
              <w:rPr>
                <w:rFonts w:hint="eastAsia"/>
                <w:color w:val="auto"/>
              </w:rPr>
              <w:t>。</w:t>
            </w:r>
          </w:p>
        </w:tc>
      </w:tr>
      <w:tr w14:paraId="2669360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62450C4">
            <w:pPr>
              <w:pStyle w:val="42"/>
              <w:ind w:firstLine="0" w:firstLineChars="0"/>
              <w:rPr>
                <w:rFonts w:hint="eastAsia"/>
              </w:rPr>
            </w:pPr>
            <w:r>
              <w:rPr>
                <w:rFonts w:hint="eastAsia"/>
              </w:rPr>
              <w:t>一、</w:t>
            </w:r>
            <w:r>
              <w:rPr>
                <w:rFonts w:hint="eastAsia"/>
                <w:lang w:eastAsia="zh-CN"/>
              </w:rPr>
              <w:t>1</w:t>
            </w:r>
            <w:r>
              <w:rPr>
                <w:rFonts w:hint="eastAsia"/>
              </w:rPr>
              <w:t>2</w:t>
            </w:r>
            <w:r>
              <w:t>.</w:t>
            </w:r>
          </w:p>
        </w:tc>
        <w:tc>
          <w:tcPr>
            <w:tcW w:w="1430" w:type="dxa"/>
            <w:gridSpan w:val="2"/>
            <w:vAlign w:val="center"/>
          </w:tcPr>
          <w:p w14:paraId="60E58AE4">
            <w:pPr>
              <w:pStyle w:val="42"/>
              <w:ind w:firstLine="0" w:firstLineChars="0"/>
              <w:rPr>
                <w:rFonts w:hint="eastAsia"/>
              </w:rPr>
            </w:pPr>
            <w:r>
              <w:rPr>
                <w:rFonts w:hint="eastAsia"/>
              </w:rPr>
              <w:t>对供应商的限制</w:t>
            </w:r>
          </w:p>
        </w:tc>
        <w:tc>
          <w:tcPr>
            <w:tcW w:w="6045" w:type="dxa"/>
            <w:vAlign w:val="center"/>
          </w:tcPr>
          <w:p w14:paraId="62BE8B4B">
            <w:pPr>
              <w:pStyle w:val="42"/>
              <w:ind w:firstLine="0" w:firstLineChars="0"/>
              <w:rPr>
                <w:rFonts w:hint="eastAsia"/>
                <w:lang w:val="en-US" w:eastAsia="zh-CN"/>
              </w:rPr>
            </w:pPr>
            <w:r>
              <w:rPr>
                <w:rFonts w:hint="eastAsia"/>
                <w:lang w:val="en-US" w:eastAsia="zh-CN"/>
              </w:rPr>
              <w:t>本项目是否为“政府购买服务”项目</w:t>
            </w:r>
          </w:p>
          <w:p w14:paraId="0C43D77C">
            <w:pPr>
              <w:pStyle w:val="42"/>
              <w:ind w:firstLine="0" w:firstLineChars="0"/>
              <w:rPr>
                <w:rFonts w:hint="default"/>
                <w:lang w:val="en-US" w:eastAsia="zh-CN"/>
              </w:rPr>
            </w:pPr>
            <w:sdt>
              <w:sdtPr>
                <w:id w:val="828268428"/>
                <w14:checkbox>
                  <w14:checked w14:val="1"/>
                  <w14:checkedState w14:val="00FE" w14:font="Wingdings"/>
                  <w14:uncheckedState w14:val="2610" w14:font="MS Gothic"/>
                </w14:checkbox>
              </w:sdtPr>
              <w:sdtContent>
                <w:r>
                  <w:rPr>
                    <w:rFonts w:hint="eastAsia" w:ascii="Wingdings" w:hAnsi="Wingdings" w:eastAsia="MS Gothic" w:cs="Times New Roman"/>
                    <w:kern w:val="2"/>
                    <w:sz w:val="24"/>
                    <w:szCs w:val="21"/>
                    <w:lang w:val="en-US" w:eastAsia="zh-Hans" w:bidi="ar-SA"/>
                  </w:rPr>
                  <w:t>þ</w:t>
                </w:r>
              </w:sdtContent>
            </w:sdt>
            <w:r>
              <w:rPr>
                <w:rFonts w:hint="eastAsia"/>
              </w:rPr>
              <w:t>否</w:t>
            </w:r>
            <w:r>
              <w:rPr>
                <w:rFonts w:hint="eastAsia"/>
                <w:lang w:eastAsia="zh-CN"/>
              </w:rPr>
              <w:t>；</w:t>
            </w:r>
            <w:sdt>
              <w:sdtPr>
                <w:id w:val="511448120"/>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CN"/>
              </w:rPr>
              <w:t>是，公益一类事业单位、使用事业编制且由财政拨款保障的群团组织不作为政府购买服务的承接主体‌。</w:t>
            </w:r>
          </w:p>
        </w:tc>
      </w:tr>
      <w:tr w14:paraId="04DA755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D57EC68">
            <w:pPr>
              <w:pStyle w:val="42"/>
              <w:ind w:firstLine="0" w:firstLineChars="0"/>
            </w:pPr>
            <w:r>
              <w:rPr>
                <w:rFonts w:hint="eastAsia"/>
              </w:rPr>
              <w:t>三、5</w:t>
            </w:r>
            <w:r>
              <w:t>.</w:t>
            </w:r>
          </w:p>
        </w:tc>
        <w:tc>
          <w:tcPr>
            <w:tcW w:w="1430" w:type="dxa"/>
            <w:gridSpan w:val="2"/>
            <w:vAlign w:val="center"/>
          </w:tcPr>
          <w:p w14:paraId="44930AE2">
            <w:pPr>
              <w:pStyle w:val="42"/>
              <w:ind w:firstLine="0" w:firstLineChars="0"/>
              <w:rPr>
                <w:kern w:val="0"/>
              </w:rPr>
            </w:pPr>
            <w:r>
              <w:rPr>
                <w:rFonts w:hint="eastAsia" w:cs="AdobeFangsongStd-Regular"/>
                <w:kern w:val="0"/>
                <w:position w:val="-3"/>
              </w:rPr>
              <w:t>投标</w:t>
            </w:r>
            <w:r>
              <w:rPr>
                <w:rFonts w:hint="eastAsia" w:cs="AdobeFangsongStd-Regular"/>
                <w:spacing w:val="-2"/>
                <w:kern w:val="0"/>
                <w:position w:val="-3"/>
              </w:rPr>
              <w:t>文</w:t>
            </w:r>
            <w:r>
              <w:rPr>
                <w:rFonts w:hint="eastAsia" w:cs="AdobeFangsongStd-Regular"/>
                <w:kern w:val="0"/>
                <w:position w:val="-3"/>
              </w:rPr>
              <w:t>件</w:t>
            </w:r>
            <w:r>
              <w:rPr>
                <w:rFonts w:hint="eastAsia" w:cs="AdobeFangsongStd-Regular"/>
                <w:spacing w:val="-2"/>
                <w:kern w:val="0"/>
                <w:position w:val="-3"/>
              </w:rPr>
              <w:t>有</w:t>
            </w:r>
            <w:r>
              <w:rPr>
                <w:rFonts w:hint="eastAsia" w:cs="AdobeFangsongStd-Regular"/>
                <w:kern w:val="0"/>
                <w:position w:val="-3"/>
              </w:rPr>
              <w:t>效期</w:t>
            </w:r>
          </w:p>
        </w:tc>
        <w:tc>
          <w:tcPr>
            <w:tcW w:w="6045" w:type="dxa"/>
            <w:vAlign w:val="center"/>
          </w:tcPr>
          <w:p w14:paraId="70DB0167">
            <w:pPr>
              <w:pStyle w:val="42"/>
              <w:ind w:firstLine="0" w:firstLineChars="0"/>
              <w:rPr>
                <w:kern w:val="0"/>
              </w:rPr>
            </w:pPr>
            <w:r>
              <w:rPr>
                <w:rFonts w:hint="eastAsia" w:cs="AdobeFangsongStd-Regular"/>
                <w:kern w:val="0"/>
                <w:position w:val="-2"/>
              </w:rPr>
              <w:t>自投</w:t>
            </w:r>
            <w:r>
              <w:rPr>
                <w:rFonts w:hint="eastAsia" w:cs="AdobeFangsongStd-Regular"/>
                <w:spacing w:val="-2"/>
                <w:kern w:val="0"/>
                <w:position w:val="-2"/>
              </w:rPr>
              <w:t>标</w:t>
            </w:r>
            <w:r>
              <w:rPr>
                <w:rFonts w:hint="eastAsia" w:cs="AdobeFangsongStd-Regular"/>
                <w:kern w:val="0"/>
                <w:position w:val="-2"/>
              </w:rPr>
              <w:t>截</w:t>
            </w:r>
            <w:r>
              <w:rPr>
                <w:rFonts w:hint="eastAsia" w:cs="AdobeFangsongStd-Regular"/>
                <w:spacing w:val="-2"/>
                <w:kern w:val="0"/>
                <w:position w:val="-2"/>
              </w:rPr>
              <w:t>止</w:t>
            </w:r>
            <w:r>
              <w:rPr>
                <w:rFonts w:hint="eastAsia" w:cs="AdobeFangsongStd-Regular"/>
                <w:kern w:val="0"/>
                <w:position w:val="-2"/>
              </w:rPr>
              <w:t>时</w:t>
            </w:r>
            <w:r>
              <w:rPr>
                <w:rFonts w:hint="eastAsia" w:cs="AdobeFangsongStd-Regular"/>
                <w:spacing w:val="-2"/>
                <w:kern w:val="0"/>
                <w:position w:val="-2"/>
              </w:rPr>
              <w:t>间</w:t>
            </w:r>
            <w:r>
              <w:rPr>
                <w:rFonts w:hint="eastAsia" w:cs="AdobeFangsongStd-Regular"/>
                <w:kern w:val="0"/>
                <w:position w:val="-2"/>
              </w:rPr>
              <w:t>起不少于</w:t>
            </w:r>
            <w:r>
              <w:rPr>
                <w:rFonts w:hint="eastAsia" w:cs="Arial"/>
                <w:spacing w:val="-2"/>
                <w:kern w:val="0"/>
                <w:position w:val="-2"/>
              </w:rPr>
              <w:t>90</w:t>
            </w:r>
            <w:r>
              <w:rPr>
                <w:rFonts w:hint="eastAsia" w:cs="AdobeFangsongStd-Regular"/>
                <w:spacing w:val="-2"/>
                <w:kern w:val="0"/>
                <w:position w:val="-2"/>
              </w:rPr>
              <w:t>天。</w:t>
            </w:r>
          </w:p>
        </w:tc>
      </w:tr>
      <w:tr w14:paraId="6E2F399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gridSpan w:val="2"/>
            <w:vAlign w:val="center"/>
          </w:tcPr>
          <w:p w14:paraId="49C81615">
            <w:pPr>
              <w:pStyle w:val="42"/>
              <w:ind w:firstLine="0" w:firstLineChars="0"/>
              <w:rPr>
                <w:rFonts w:hint="default" w:eastAsia="宋体"/>
                <w:lang w:eastAsia="zh-Hans"/>
              </w:rPr>
            </w:pPr>
            <w:r>
              <w:rPr>
                <w:rFonts w:hint="eastAsia"/>
                <w:lang w:val="en-US" w:eastAsia="zh-Hans"/>
              </w:rPr>
              <w:t>四、</w:t>
            </w:r>
            <w:r>
              <w:rPr>
                <w:rFonts w:hint="default"/>
                <w:lang w:eastAsia="zh-Hans"/>
              </w:rPr>
              <w:t>1.</w:t>
            </w:r>
          </w:p>
        </w:tc>
        <w:tc>
          <w:tcPr>
            <w:tcW w:w="1427" w:type="dxa"/>
            <w:vAlign w:val="center"/>
          </w:tcPr>
          <w:p w14:paraId="3B347829">
            <w:pPr>
              <w:pStyle w:val="42"/>
              <w:ind w:firstLine="0" w:firstLineChars="0"/>
              <w:rPr>
                <w:rFonts w:hint="default" w:eastAsia="宋体" w:cs="AdobeFangsongStd-Regular"/>
                <w:kern w:val="0"/>
                <w:position w:val="-3"/>
                <w:lang w:val="en-US" w:eastAsia="zh-Hans"/>
              </w:rPr>
            </w:pPr>
            <w:r>
              <w:rPr>
                <w:rFonts w:hint="eastAsia" w:cs="AdobeFangsongStd-Regular"/>
                <w:kern w:val="0"/>
                <w:position w:val="-3"/>
                <w:lang w:val="en-US" w:eastAsia="zh-Hans"/>
              </w:rPr>
              <w:t>投标范围</w:t>
            </w:r>
          </w:p>
        </w:tc>
        <w:tc>
          <w:tcPr>
            <w:tcW w:w="6045" w:type="dxa"/>
            <w:vAlign w:val="center"/>
          </w:tcPr>
          <w:p w14:paraId="2AB09C69">
            <w:pPr>
              <w:pStyle w:val="42"/>
              <w:ind w:firstLine="0" w:firstLineChars="0"/>
              <w:rPr>
                <w:rFonts w:hint="eastAsia" w:cs="AdobeFangsongStd-Regular"/>
                <w:color w:val="auto"/>
                <w:kern w:val="0"/>
                <w:position w:val="-2"/>
                <w:lang w:val="en-US" w:eastAsia="zh-Hans"/>
              </w:rPr>
            </w:pPr>
            <w:sdt>
              <w:sdtPr>
                <w:rPr>
                  <w:color w:val="auto"/>
                </w:rPr>
                <w:id w:val="1389695766"/>
                <w14:checkbox>
                  <w14:checked w14:val="1"/>
                  <w14:checkedState w14:val="00FE" w14:font="Wingdings"/>
                  <w14:uncheckedState w14:val="2610" w14:font="MS Gothic"/>
                </w14:checkbox>
              </w:sdtPr>
              <w:sdtEndPr>
                <w:rPr>
                  <w:color w:val="auto"/>
                </w:rPr>
              </w:sdtEndPr>
              <w:sdtContent>
                <w:r>
                  <w:rPr>
                    <w:rFonts w:hint="eastAsia" w:ascii="Wingdings" w:hAnsi="Wingdings" w:eastAsia="MS Gothic" w:cs="Times New Roman"/>
                    <w:color w:val="auto"/>
                    <w:kern w:val="2"/>
                    <w:sz w:val="24"/>
                    <w:szCs w:val="21"/>
                    <w:lang w:val="en-US" w:eastAsia="zh-Hans" w:bidi="ar-SA"/>
                  </w:rPr>
                  <w:t>þ</w:t>
                </w:r>
              </w:sdtContent>
            </w:sdt>
            <w:r>
              <w:rPr>
                <w:rFonts w:hint="eastAsia" w:cs="AdobeFangsongStd-Regular"/>
                <w:color w:val="auto"/>
                <w:kern w:val="0"/>
                <w:position w:val="-2"/>
                <w:lang w:val="en-US" w:eastAsia="zh-Hans"/>
              </w:rPr>
              <w:t>本项目</w:t>
            </w:r>
            <w:r>
              <w:rPr>
                <w:rFonts w:hint="eastAsia" w:cs="AdobeFangsongStd-Regular"/>
                <w:color w:val="auto"/>
                <w:kern w:val="0"/>
                <w:position w:val="-2"/>
                <w:lang w:val="en-US" w:eastAsia="zh-CN"/>
              </w:rPr>
              <w:t>不</w:t>
            </w:r>
            <w:r>
              <w:rPr>
                <w:rFonts w:hint="eastAsia" w:cs="AdobeFangsongStd-Regular"/>
                <w:color w:val="auto"/>
                <w:kern w:val="0"/>
                <w:position w:val="-2"/>
                <w:lang w:val="en-US" w:eastAsia="zh-Hans"/>
              </w:rPr>
              <w:t>存在多个标项</w:t>
            </w:r>
          </w:p>
          <w:p w14:paraId="2500D5EC">
            <w:pPr>
              <w:pStyle w:val="42"/>
              <w:ind w:firstLine="0" w:firstLineChars="0"/>
              <w:rPr>
                <w:rFonts w:hint="eastAsia" w:eastAsia="宋体" w:cs="AdobeFangsongStd-Regular"/>
                <w:kern w:val="0"/>
                <w:position w:val="-2"/>
                <w:lang w:val="en-US" w:eastAsia="zh-CN"/>
              </w:rPr>
            </w:pPr>
            <w:sdt>
              <w:sdtPr>
                <w:id w:val="393592173"/>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cs="AdobeFangsongStd-Regular"/>
                <w:kern w:val="0"/>
                <w:position w:val="-2"/>
                <w:lang w:val="en-US" w:eastAsia="zh-Hans"/>
              </w:rPr>
              <w:t>本项目存在多个标项，投标人可</w:t>
            </w:r>
            <w:r>
              <w:rPr>
                <w:rFonts w:hint="eastAsia" w:cs="AdobeFangsongStd-Regular"/>
                <w:kern w:val="0"/>
                <w:position w:val="-2"/>
                <w:lang w:val="en-US" w:eastAsia="zh-CN"/>
              </w:rPr>
              <w:t>：</w:t>
            </w:r>
          </w:p>
          <w:p w14:paraId="6FBDE3AB">
            <w:pPr>
              <w:pStyle w:val="42"/>
              <w:ind w:firstLine="0" w:firstLineChars="0"/>
              <w:rPr>
                <w:rFonts w:hint="default" w:eastAsia="宋体"/>
                <w:lang w:val="en-US" w:eastAsia="zh-Hans"/>
              </w:rPr>
            </w:pPr>
            <w:sdt>
              <w:sdtPr>
                <w:id w:val="646997429"/>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Hans"/>
              </w:rPr>
              <w:t>兼投可兼中，即投标人可以选择一个或多个标项投报，并获得对应投报标项的中标机会。</w:t>
            </w:r>
          </w:p>
          <w:p w14:paraId="387DF035">
            <w:pPr>
              <w:pStyle w:val="42"/>
              <w:ind w:firstLine="0" w:firstLineChars="0"/>
              <w:rPr>
                <w:rFonts w:hint="default"/>
                <w:lang w:val="en-US" w:eastAsia="zh-Hans"/>
              </w:rPr>
            </w:pPr>
            <w:sdt>
              <w:sdtPr>
                <w:id w:val="2157937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val="en-US" w:eastAsia="zh-Hans"/>
              </w:rPr>
              <w:t>兼投不兼中，即投标人</w:t>
            </w:r>
            <w:r>
              <w:rPr>
                <w:rFonts w:hint="eastAsia"/>
                <w:highlight w:val="none"/>
                <w:lang w:val="en-US" w:eastAsia="zh-Hans"/>
              </w:rPr>
              <w:t>可以选择一个或多个标项投报，但只能获得一个投报标项的中标资格，具体理由、规则详见“第五章</w:t>
            </w:r>
            <w:r>
              <w:rPr>
                <w:rFonts w:hint="default"/>
                <w:highlight w:val="none"/>
                <w:lang w:eastAsia="zh-Hans"/>
              </w:rPr>
              <w:t xml:space="preserve"> </w:t>
            </w:r>
            <w:r>
              <w:rPr>
                <w:rFonts w:hint="eastAsia"/>
                <w:highlight w:val="none"/>
                <w:lang w:val="en-US" w:eastAsia="zh-Hans"/>
              </w:rPr>
              <w:t>评审办法和标准”。</w:t>
            </w:r>
          </w:p>
        </w:tc>
      </w:tr>
      <w:tr w14:paraId="3687E44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50" w:type="dxa"/>
            <w:gridSpan w:val="2"/>
            <w:shd w:val="clear" w:color="auto" w:fill="auto"/>
            <w:vAlign w:val="center"/>
          </w:tcPr>
          <w:p w14:paraId="1BF153A2">
            <w:pPr>
              <w:pStyle w:val="42"/>
              <w:ind w:firstLine="0" w:firstLineChars="0"/>
              <w:rPr>
                <w:rFonts w:hint="eastAsia" w:ascii="宋体" w:hAnsi="宋体" w:eastAsia="宋体" w:cs="Times New Roman"/>
                <w:kern w:val="2"/>
                <w:sz w:val="24"/>
                <w:szCs w:val="21"/>
                <w:lang w:val="en-US" w:eastAsia="zh-Hans" w:bidi="ar-SA"/>
              </w:rPr>
            </w:pPr>
            <w:r>
              <w:rPr>
                <w:rFonts w:hint="eastAsia"/>
              </w:rPr>
              <w:t>四、</w:t>
            </w:r>
            <w:r>
              <w:rPr>
                <w:rFonts w:hint="eastAsia"/>
                <w:lang w:val="en-US" w:eastAsia="zh-CN"/>
              </w:rPr>
              <w:t>5</w:t>
            </w:r>
            <w:r>
              <w:rPr>
                <w:rFonts w:hint="eastAsia"/>
              </w:rPr>
              <w:t>.</w:t>
            </w:r>
          </w:p>
        </w:tc>
        <w:tc>
          <w:tcPr>
            <w:tcW w:w="1427" w:type="dxa"/>
            <w:shd w:val="clear" w:color="auto" w:fill="auto"/>
            <w:vAlign w:val="center"/>
          </w:tcPr>
          <w:p w14:paraId="0EAC3A43">
            <w:pPr>
              <w:pStyle w:val="42"/>
              <w:ind w:firstLine="0" w:firstLineChars="0"/>
              <w:rPr>
                <w:rFonts w:hint="eastAsia" w:ascii="宋体" w:hAnsi="宋体" w:eastAsia="宋体" w:cs="AdobeFangsongStd-Regular"/>
                <w:kern w:val="0"/>
                <w:position w:val="-3"/>
                <w:sz w:val="24"/>
                <w:szCs w:val="21"/>
                <w:lang w:val="en-US" w:eastAsia="zh-Hans" w:bidi="ar-SA"/>
              </w:rPr>
            </w:pPr>
            <w:r>
              <w:rPr>
                <w:rFonts w:hint="eastAsia" w:cs="AdobeFangsongStd-Regular"/>
                <w:kern w:val="0"/>
                <w:position w:val="-3"/>
              </w:rPr>
              <w:t>投标样品</w:t>
            </w:r>
          </w:p>
        </w:tc>
        <w:tc>
          <w:tcPr>
            <w:tcW w:w="6045" w:type="dxa"/>
            <w:shd w:val="clear" w:color="auto" w:fill="auto"/>
            <w:vAlign w:val="center"/>
          </w:tcPr>
          <w:p w14:paraId="348E3D9F">
            <w:pPr>
              <w:pStyle w:val="42"/>
              <w:ind w:firstLine="0" w:firstLineChars="0"/>
            </w:pPr>
            <w:r>
              <w:rPr>
                <w:rFonts w:hint="eastAsia"/>
                <w:kern w:val="10"/>
              </w:rPr>
              <w:t>本项目是否需要样品：</w:t>
            </w:r>
            <w:sdt>
              <w:sdtPr>
                <w:id w:val="605111514"/>
                <w14:checkbox>
                  <w14:checked w14:val="1"/>
                  <w14:checkedState w14:val="00FE" w14:font="Wingdings"/>
                  <w14:uncheckedState w14:val="2610" w14:font="MS Gothic"/>
                </w14:checkbox>
              </w:sdtPr>
              <w:sdtContent>
                <w:r>
                  <w:rPr/>
                  <w:sym w:font="Wingdings" w:char="F0FE"/>
                </w:r>
              </w:sdtContent>
            </w:sdt>
            <w:r>
              <w:rPr>
                <w:rFonts w:hint="eastAsia"/>
              </w:rPr>
              <w:t>否；</w:t>
            </w:r>
            <w:sdt>
              <w:sdtPr>
                <w:id w:val="419642184"/>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是，详见第</w:t>
            </w:r>
            <w:r>
              <w:rPr>
                <w:rFonts w:hint="eastAsia"/>
                <w:lang w:val="en-US" w:eastAsia="zh-Hans"/>
              </w:rPr>
              <w:t>三章项目技术及服务</w:t>
            </w:r>
            <w:r>
              <w:rPr>
                <w:rFonts w:hint="eastAsia"/>
              </w:rPr>
              <w:t>要求。</w:t>
            </w:r>
          </w:p>
          <w:p w14:paraId="11E0727F">
            <w:pPr>
              <w:pStyle w:val="42"/>
              <w:ind w:firstLine="0" w:firstLineChars="0"/>
              <w:rPr>
                <w:kern w:val="10"/>
              </w:rPr>
            </w:pPr>
            <w:r>
              <w:rPr>
                <w:rFonts w:hint="eastAsia"/>
                <w:kern w:val="10"/>
              </w:rPr>
              <w:t>样品标识：</w:t>
            </w:r>
            <w:sdt>
              <w:sdtPr>
                <w:id w:val="589889740"/>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明标；</w:t>
            </w:r>
            <w:sdt>
              <w:sdtPr>
                <w:id w:val="492345628"/>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暗标。</w:t>
            </w:r>
          </w:p>
          <w:p w14:paraId="6B7F42AA">
            <w:pPr>
              <w:pStyle w:val="42"/>
              <w:ind w:firstLine="0" w:firstLineChars="0"/>
              <w:rPr>
                <w:rFonts w:hint="default"/>
                <w:kern w:val="10"/>
              </w:rPr>
            </w:pPr>
            <w:r>
              <w:rPr>
                <w:rFonts w:hint="eastAsia"/>
                <w:kern w:val="10"/>
              </w:rPr>
              <w:t>样品送至地点：</w:t>
            </w:r>
            <w:r>
              <w:rPr>
                <w:rFonts w:hint="default"/>
                <w:kern w:val="10"/>
                <w:u w:val="single"/>
              </w:rPr>
              <w:t xml:space="preserve">                                </w:t>
            </w:r>
          </w:p>
          <w:p w14:paraId="358EE260">
            <w:pPr>
              <w:pStyle w:val="42"/>
              <w:ind w:firstLine="0" w:firstLineChars="0"/>
              <w:rPr>
                <w:kern w:val="10"/>
              </w:rPr>
            </w:pPr>
            <w:r>
              <w:rPr>
                <w:rFonts w:hint="eastAsia"/>
                <w:kern w:val="10"/>
              </w:rPr>
              <w:t>中标人样品处理：</w:t>
            </w:r>
            <w:sdt>
              <w:sdtPr>
                <w:id w:val="39145648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退还；</w:t>
            </w:r>
            <w:sdt>
              <w:sdtPr>
                <w:id w:val="112193951"/>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封存至验收；</w:t>
            </w:r>
            <w:sdt>
              <w:sdtPr>
                <w:id w:val="153092391"/>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抵扣</w:t>
            </w:r>
            <w:r>
              <w:rPr>
                <w:rFonts w:hint="eastAsia"/>
                <w:lang w:val="en-US" w:eastAsia="zh-Hans"/>
              </w:rPr>
              <w:t>合同</w:t>
            </w:r>
            <w:r>
              <w:rPr>
                <w:rFonts w:hint="eastAsia"/>
              </w:rPr>
              <w:t>数。</w:t>
            </w:r>
          </w:p>
          <w:p w14:paraId="3E354D71">
            <w:pPr>
              <w:pStyle w:val="42"/>
              <w:ind w:firstLine="0" w:firstLineChars="0"/>
              <w:rPr>
                <w:rFonts w:ascii="宋体" w:hAnsi="宋体" w:eastAsia="宋体" w:cs="Times New Roman"/>
                <w:kern w:val="10"/>
                <w:sz w:val="24"/>
                <w:szCs w:val="21"/>
                <w:lang w:val="en-US" w:eastAsia="zh-Hans" w:bidi="ar-SA"/>
              </w:rPr>
            </w:pPr>
            <w:r>
              <w:rPr>
                <w:rFonts w:hint="eastAsia"/>
                <w:kern w:val="10"/>
              </w:rPr>
              <w:t>样品退还时间：</w:t>
            </w:r>
            <w:r>
              <w:rPr>
                <w:rFonts w:hint="eastAsia"/>
                <w:kern w:val="10"/>
                <w:u w:val="single"/>
                <w:lang w:eastAsia="zh-Hans"/>
              </w:rPr>
              <w:t>（</w:t>
            </w:r>
            <w:r>
              <w:rPr>
                <w:rFonts w:hint="eastAsia"/>
                <w:kern w:val="10"/>
                <w:u w:val="single"/>
              </w:rPr>
              <w:t>另行通知</w:t>
            </w:r>
            <w:r>
              <w:rPr>
                <w:rFonts w:hint="eastAsia"/>
                <w:kern w:val="10"/>
                <w:u w:val="single"/>
                <w:lang w:eastAsia="zh-Hans"/>
              </w:rPr>
              <w:t>）</w:t>
            </w:r>
            <w:r>
              <w:rPr>
                <w:rFonts w:hint="default"/>
                <w:kern w:val="10"/>
                <w:u w:val="single"/>
                <w:lang w:eastAsia="zh-Hans"/>
              </w:rPr>
              <w:t xml:space="preserve">                    </w:t>
            </w:r>
          </w:p>
        </w:tc>
      </w:tr>
      <w:tr w14:paraId="61A0EE6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EBA55AC">
            <w:pPr>
              <w:pStyle w:val="42"/>
              <w:ind w:firstLine="0" w:firstLineChars="0"/>
              <w:rPr>
                <w:rFonts w:hint="default" w:eastAsia="宋体"/>
                <w:lang w:eastAsia="zh-Hans"/>
              </w:rPr>
            </w:pPr>
            <w:r>
              <w:rPr>
                <w:rFonts w:hint="eastAsia"/>
                <w:lang w:val="en-US" w:eastAsia="zh-Hans"/>
              </w:rPr>
              <w:t>七、</w:t>
            </w:r>
            <w:r>
              <w:rPr>
                <w:rFonts w:hint="default"/>
                <w:lang w:eastAsia="zh-Hans"/>
              </w:rPr>
              <w:t>6</w:t>
            </w:r>
          </w:p>
        </w:tc>
        <w:tc>
          <w:tcPr>
            <w:tcW w:w="1430" w:type="dxa"/>
            <w:gridSpan w:val="2"/>
            <w:vAlign w:val="center"/>
          </w:tcPr>
          <w:p w14:paraId="708BDD63">
            <w:pPr>
              <w:pStyle w:val="42"/>
              <w:ind w:firstLine="0" w:firstLineChars="0"/>
              <w:rPr>
                <w:rFonts w:hint="default" w:eastAsia="宋体" w:cs="AdobeFangsongStd-Regular"/>
                <w:kern w:val="0"/>
                <w:position w:val="-3"/>
                <w:lang w:val="en-US" w:eastAsia="zh-Hans"/>
              </w:rPr>
            </w:pPr>
            <w:r>
              <w:rPr>
                <w:rFonts w:hint="eastAsia" w:cs="AdobeFangsongStd-Regular"/>
                <w:kern w:val="0"/>
                <w:position w:val="-3"/>
                <w:lang w:val="en-US" w:eastAsia="zh-Hans"/>
              </w:rPr>
              <w:t>讲解演示</w:t>
            </w:r>
          </w:p>
        </w:tc>
        <w:tc>
          <w:tcPr>
            <w:tcW w:w="6045" w:type="dxa"/>
            <w:vAlign w:val="center"/>
          </w:tcPr>
          <w:p w14:paraId="5920B727">
            <w:pPr>
              <w:pStyle w:val="42"/>
              <w:ind w:firstLine="0" w:firstLineChars="0"/>
              <w:rPr>
                <w:rFonts w:hint="eastAsia" w:eastAsia="宋体"/>
                <w:b/>
                <w:bCs/>
                <w:kern w:val="10"/>
                <w:lang w:val="en-US" w:eastAsia="zh-CN"/>
              </w:rPr>
            </w:pPr>
            <w:r>
              <w:rPr>
                <w:rFonts w:hint="eastAsia"/>
                <w:b/>
                <w:bCs/>
                <w:kern w:val="10"/>
                <w:lang w:val="en-US" w:eastAsia="zh-CN"/>
              </w:rPr>
              <w:t>1.</w:t>
            </w:r>
            <w:r>
              <w:rPr>
                <w:rFonts w:hint="eastAsia"/>
                <w:b/>
                <w:bCs/>
                <w:kern w:val="10"/>
              </w:rPr>
              <w:t>是否需要</w:t>
            </w:r>
            <w:r>
              <w:rPr>
                <w:rFonts w:hint="eastAsia"/>
                <w:b/>
                <w:bCs/>
                <w:kern w:val="10"/>
                <w:lang w:val="en-US" w:eastAsia="zh-Hans"/>
              </w:rPr>
              <w:t>讲解演示</w:t>
            </w:r>
            <w:r>
              <w:rPr>
                <w:rFonts w:hint="eastAsia"/>
                <w:b/>
                <w:bCs/>
                <w:kern w:val="10"/>
                <w:lang w:val="en-US" w:eastAsia="zh-CN"/>
              </w:rPr>
              <w:t>：</w:t>
            </w:r>
          </w:p>
          <w:p w14:paraId="046FC91D">
            <w:pPr>
              <w:pStyle w:val="42"/>
              <w:ind w:firstLine="0" w:firstLineChars="0"/>
              <w:rPr>
                <w:rFonts w:hint="eastAsia"/>
              </w:rPr>
            </w:pPr>
            <w:sdt>
              <w:sdtPr>
                <w:id w:val="907269315"/>
                <w14:checkbox>
                  <w14:checked w14:val="1"/>
                  <w14:checkedState w14:val="00FE" w14:font="Wingdings"/>
                  <w14:uncheckedState w14:val="2610" w14:font="MS Gothic"/>
                </w14:checkbox>
              </w:sdtPr>
              <w:sdtContent>
                <w:r>
                  <w:rPr/>
                  <w:sym w:font="Wingdings" w:char="F0FE"/>
                </w:r>
              </w:sdtContent>
            </w:sdt>
            <w:r>
              <w:rPr>
                <w:rFonts w:hint="eastAsia"/>
              </w:rPr>
              <w:t>否；</w:t>
            </w:r>
            <w:sdt>
              <w:sdtPr>
                <w:id w:val="134462083"/>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rPr>
              <w:t>是，详见第</w:t>
            </w:r>
            <w:r>
              <w:rPr>
                <w:rFonts w:hint="eastAsia"/>
                <w:lang w:val="en-US" w:eastAsia="zh-Hans"/>
              </w:rPr>
              <w:t>五章评审方案和标准</w:t>
            </w:r>
            <w:r>
              <w:rPr>
                <w:rFonts w:hint="eastAsia"/>
              </w:rPr>
              <w:t>。</w:t>
            </w:r>
          </w:p>
          <w:p w14:paraId="4AE63FE6">
            <w:pPr>
              <w:pStyle w:val="42"/>
              <w:ind w:firstLine="0" w:firstLineChars="0"/>
              <w:rPr>
                <w:rFonts w:hint="default" w:eastAsia="宋体"/>
                <w:b/>
                <w:bCs/>
                <w:lang w:val="en-US" w:eastAsia="zh-CN"/>
              </w:rPr>
            </w:pPr>
            <w:r>
              <w:rPr>
                <w:rFonts w:hint="eastAsia"/>
                <w:b/>
                <w:bCs/>
                <w:lang w:val="en-US" w:eastAsia="zh-CN"/>
              </w:rPr>
              <w:t>2.演示方式：</w:t>
            </w:r>
          </w:p>
          <w:p w14:paraId="6CFC793A">
            <w:pPr>
              <w:pStyle w:val="42"/>
              <w:ind w:firstLine="0" w:firstLineChars="0"/>
              <w:rPr>
                <w:rFonts w:hint="eastAsia"/>
                <w:color w:val="auto"/>
                <w:lang w:val="en-US" w:eastAsia="zh-Hans"/>
              </w:rPr>
            </w:pPr>
            <w:sdt>
              <w:sdtPr>
                <w:rPr>
                  <w:color w:val="0000FF"/>
                </w:rPr>
                <w:id w:val="189905846"/>
                <w14:checkbox>
                  <w14:checked w14:val="0"/>
                  <w14:checkedState w14:val="00FE" w14:font="Wingdings"/>
                  <w14:uncheckedState w14:val="2610" w14:font="MS Gothic"/>
                </w14:checkbox>
              </w:sdtPr>
              <w:sdtEndPr>
                <w:rPr>
                  <w:color w:val="auto"/>
                </w:rPr>
              </w:sdtEndPr>
              <w:sdtContent>
                <w:r>
                  <w:rPr>
                    <w:rFonts w:hint="eastAsia" w:ascii="MS Gothic" w:hAnsi="MS Gothic" w:eastAsia="MS Gothic" w:cs="Times New Roman"/>
                    <w:color w:val="auto"/>
                    <w:kern w:val="2"/>
                    <w:sz w:val="24"/>
                    <w:szCs w:val="21"/>
                    <w:lang w:val="en-US" w:eastAsia="zh-Hans" w:bidi="ar-SA"/>
                  </w:rPr>
                  <w:t>☐</w:t>
                </w:r>
              </w:sdtContent>
            </w:sdt>
            <w:r>
              <w:rPr>
                <w:rFonts w:hint="eastAsia"/>
                <w:color w:val="auto"/>
                <w:lang w:val="en-US" w:eastAsia="zh-CN"/>
              </w:rPr>
              <w:t>视频文件</w:t>
            </w:r>
            <w:r>
              <w:rPr>
                <w:rFonts w:hint="eastAsia"/>
                <w:color w:val="auto"/>
                <w:lang w:val="en-US" w:eastAsia="zh-Hans"/>
              </w:rPr>
              <w:t>演示</w:t>
            </w:r>
          </w:p>
          <w:p w14:paraId="27FC3C00">
            <w:pPr>
              <w:pStyle w:val="42"/>
              <w:ind w:firstLine="0" w:firstLineChars="0"/>
              <w:rPr>
                <w:rFonts w:hint="eastAsia"/>
                <w:color w:val="auto"/>
              </w:rPr>
            </w:pPr>
            <w:r>
              <w:rPr>
                <w:rFonts w:hint="eastAsia"/>
                <w:color w:val="auto"/>
                <w:lang w:val="en-US" w:eastAsia="zh-Hans"/>
              </w:rPr>
              <w:t>投标人</w:t>
            </w:r>
            <w:r>
              <w:rPr>
                <w:rFonts w:hint="eastAsia"/>
                <w:color w:val="auto"/>
                <w:lang w:val="en-US" w:eastAsia="zh-CN"/>
              </w:rPr>
              <w:t>应根据“评分办法”的要求录制演示视频，并将视频文件存储在U盘中，于投标截止时间前将演示视频文件密封送达（或快递）至采购组织机构（联系方式见招标公告），采购组织机构将于评审现场开启。</w:t>
            </w:r>
          </w:p>
          <w:p w14:paraId="5BF8F5FD">
            <w:pPr>
              <w:pStyle w:val="42"/>
              <w:ind w:firstLine="0" w:firstLineChars="0"/>
              <w:rPr>
                <w:rFonts w:hint="eastAsia"/>
                <w:lang w:val="en-US" w:eastAsia="zh-Hans"/>
              </w:rPr>
            </w:pPr>
            <w:sdt>
              <w:sdtPr>
                <w:id w:val="586854280"/>
                <w14:checkbox>
                  <w14:checked w14:val="0"/>
                  <w14:checkedState w14:val="00FE" w14:font="Wingdings"/>
                  <w14:uncheckedState w14:val="2610" w14:font="MS Gothic"/>
                </w14:checkbox>
              </w:sdtPr>
              <w:sdtContent>
                <w:r>
                  <w:rPr>
                    <w:rFonts w:hint="eastAsia" w:ascii="MS Gothic" w:hAnsi="MS Gothic" w:eastAsia="MS Gothic" w:cs="Times New Roman"/>
                    <w:kern w:val="2"/>
                    <w:sz w:val="24"/>
                    <w:szCs w:val="21"/>
                    <w:lang w:val="en-US" w:eastAsia="zh-Hans" w:bidi="ar-SA"/>
                  </w:rPr>
                  <w:t>☐</w:t>
                </w:r>
              </w:sdtContent>
            </w:sdt>
            <w:r>
              <w:rPr>
                <w:rFonts w:hint="eastAsia"/>
                <w:lang w:val="en-US" w:eastAsia="zh-Hans"/>
              </w:rPr>
              <w:t>在线讲解演示</w:t>
            </w:r>
          </w:p>
          <w:p w14:paraId="2C85C377">
            <w:pPr>
              <w:pStyle w:val="42"/>
              <w:ind w:firstLine="0" w:firstLineChars="0"/>
              <w:rPr>
                <w:rFonts w:hint="default"/>
                <w:lang w:val="en-US" w:eastAsia="zh-Hans"/>
              </w:rPr>
            </w:pPr>
            <w:r>
              <w:rPr>
                <w:rFonts w:hint="eastAsia"/>
                <w:lang w:val="en-US" w:eastAsia="zh-Hans"/>
              </w:rPr>
              <w:t>演示条件见“政采云平台”要求</w:t>
            </w:r>
          </w:p>
          <w:p w14:paraId="74EDD9D1">
            <w:pPr>
              <w:pStyle w:val="42"/>
              <w:ind w:firstLine="0" w:firstLineChars="0"/>
              <w:rPr>
                <w:rFonts w:hint="eastAsia"/>
                <w:lang w:val="en-US" w:eastAsia="zh-Hans"/>
              </w:rPr>
            </w:pPr>
            <w:sdt>
              <w:sdtPr>
                <w:id w:val="14976936"/>
                <w14:checkbox>
                  <w14:checked w14:val="0"/>
                  <w14:checkedState w14:val="00FE" w14:font="Wingdings"/>
                  <w14:uncheckedState w14:val="2610" w14:font="MS Gothic"/>
                </w14:checkbox>
              </w:sdtPr>
              <w:sdtContent>
                <w:r>
                  <w:rPr>
                    <w:rFonts w:hint="eastAsia" w:ascii="MS Gothic" w:hAnsi="MS Gothic" w:eastAsia="MS Gothic"/>
                  </w:rPr>
                  <w:t>☐</w:t>
                </w:r>
              </w:sdtContent>
            </w:sdt>
            <w:r>
              <w:rPr>
                <w:rFonts w:hint="eastAsia"/>
                <w:lang w:val="en-US" w:eastAsia="zh-Hans"/>
              </w:rPr>
              <w:t>现场讲解演示</w:t>
            </w:r>
          </w:p>
          <w:p w14:paraId="79373496">
            <w:pPr>
              <w:pStyle w:val="42"/>
              <w:ind w:firstLine="0" w:firstLineChars="0"/>
              <w:rPr>
                <w:rFonts w:hint="default"/>
                <w:lang w:eastAsia="zh-Hans"/>
              </w:rPr>
            </w:pPr>
            <w:r>
              <w:rPr>
                <w:rFonts w:hint="eastAsia"/>
                <w:lang w:val="en-US" w:eastAsia="zh-Hans"/>
              </w:rPr>
              <w:t>演示条件：投标人自行准备讲解演示设备，现场设备支持HDMI、Miracast、AirPlay方式投屏，屏幕比例支持</w:t>
            </w:r>
            <w:r>
              <w:rPr>
                <w:rFonts w:hint="default"/>
                <w:lang w:eastAsia="zh-Hans"/>
              </w:rPr>
              <w:t>16</w:t>
            </w:r>
            <w:r>
              <w:rPr>
                <w:rFonts w:hint="eastAsia"/>
                <w:lang w:eastAsia="zh-Hans"/>
              </w:rPr>
              <w:t>：</w:t>
            </w:r>
            <w:r>
              <w:rPr>
                <w:rFonts w:hint="default"/>
                <w:lang w:eastAsia="zh-Hans"/>
              </w:rPr>
              <w:t>9</w:t>
            </w:r>
            <w:r>
              <w:rPr>
                <w:rFonts w:hint="eastAsia"/>
                <w:lang w:eastAsia="zh-Hans"/>
              </w:rPr>
              <w:t>。</w:t>
            </w:r>
          </w:p>
          <w:p w14:paraId="6B79A9CA">
            <w:pPr>
              <w:pStyle w:val="42"/>
              <w:ind w:firstLine="0" w:firstLineChars="0"/>
              <w:rPr>
                <w:rFonts w:hint="default"/>
                <w:lang w:val="en-US" w:eastAsia="zh-Hans"/>
              </w:rPr>
            </w:pPr>
            <w:r>
              <w:rPr>
                <w:rFonts w:hint="eastAsia"/>
                <w:b/>
                <w:bCs/>
                <w:lang w:val="en-US" w:eastAsia="zh-CN"/>
              </w:rPr>
              <w:t>3.</w:t>
            </w:r>
            <w:r>
              <w:rPr>
                <w:rFonts w:hint="eastAsia"/>
                <w:b/>
                <w:bCs/>
                <w:lang w:val="en-US" w:eastAsia="zh-Hans"/>
              </w:rPr>
              <w:t>讲解演示时间：</w:t>
            </w:r>
          </w:p>
        </w:tc>
      </w:tr>
      <w:tr w14:paraId="4B610D0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BE20BDF">
            <w:pPr>
              <w:pStyle w:val="42"/>
              <w:ind w:firstLine="0" w:firstLineChars="0"/>
            </w:pPr>
            <w:r>
              <w:rPr>
                <w:rFonts w:hint="eastAsia"/>
              </w:rPr>
              <w:t>九、2</w:t>
            </w:r>
          </w:p>
        </w:tc>
        <w:tc>
          <w:tcPr>
            <w:tcW w:w="1430" w:type="dxa"/>
            <w:gridSpan w:val="2"/>
            <w:vAlign w:val="center"/>
          </w:tcPr>
          <w:p w14:paraId="0AFE88FD">
            <w:pPr>
              <w:pStyle w:val="42"/>
              <w:ind w:firstLine="0" w:firstLineChars="0"/>
              <w:rPr>
                <w:rFonts w:cs="AdobeFangsongStd-Regular"/>
                <w:color w:val="auto"/>
                <w:kern w:val="0"/>
                <w:position w:val="-3"/>
              </w:rPr>
            </w:pPr>
            <w:r>
              <w:rPr>
                <w:rFonts w:hint="eastAsia" w:cs="AdobeFangsongStd-Regular"/>
                <w:color w:val="auto"/>
                <w:kern w:val="0"/>
                <w:position w:val="-3"/>
              </w:rPr>
              <w:t>履约</w:t>
            </w:r>
          </w:p>
          <w:p w14:paraId="7B0E692C">
            <w:pPr>
              <w:pStyle w:val="42"/>
              <w:ind w:firstLine="0" w:firstLineChars="0"/>
              <w:rPr>
                <w:rFonts w:cs="AdobeFangsongStd-Regular"/>
                <w:color w:val="auto"/>
                <w:kern w:val="0"/>
                <w:position w:val="-3"/>
              </w:rPr>
            </w:pPr>
            <w:r>
              <w:rPr>
                <w:rFonts w:hint="eastAsia" w:cs="AdobeFangsongStd-Regular"/>
                <w:color w:val="auto"/>
                <w:kern w:val="0"/>
                <w:position w:val="-3"/>
              </w:rPr>
              <w:t>保证金</w:t>
            </w:r>
          </w:p>
        </w:tc>
        <w:tc>
          <w:tcPr>
            <w:tcW w:w="6045" w:type="dxa"/>
            <w:vAlign w:val="center"/>
          </w:tcPr>
          <w:p w14:paraId="3C891168">
            <w:pPr>
              <w:pStyle w:val="42"/>
              <w:ind w:firstLine="0" w:firstLineChars="0"/>
              <w:rPr>
                <w:rFonts w:hint="eastAsia" w:eastAsia="宋体"/>
                <w:color w:val="auto"/>
                <w:kern w:val="10"/>
                <w:lang w:val="en-US" w:eastAsia="zh-CN"/>
              </w:rPr>
            </w:pPr>
            <w:r>
              <w:rPr>
                <w:color w:val="auto"/>
                <w:kern w:val="10"/>
              </w:rPr>
              <w:t>履约保证金金额：</w:t>
            </w:r>
            <w:r>
              <w:rPr>
                <w:rFonts w:hint="eastAsia"/>
                <w:color w:val="auto"/>
                <w:kern w:val="10"/>
                <w:lang w:val="en-US" w:eastAsia="zh-CN"/>
              </w:rPr>
              <w:t>无</w:t>
            </w:r>
          </w:p>
          <w:p w14:paraId="2406935A">
            <w:pPr>
              <w:pStyle w:val="42"/>
              <w:ind w:firstLine="0" w:firstLineChars="0"/>
              <w:rPr>
                <w:color w:val="auto"/>
                <w:kern w:val="10"/>
              </w:rPr>
            </w:pPr>
            <w:r>
              <w:rPr>
                <w:color w:val="auto"/>
                <w:kern w:val="10"/>
              </w:rPr>
              <w:t>履约保证金缴纳形式：支票/汇票/电汇/保函等非现金形式</w:t>
            </w:r>
          </w:p>
          <w:p w14:paraId="6877C69A">
            <w:pPr>
              <w:pStyle w:val="42"/>
              <w:ind w:firstLine="0" w:firstLineChars="0"/>
              <w:rPr>
                <w:color w:val="auto"/>
                <w:kern w:val="10"/>
              </w:rPr>
            </w:pPr>
            <w:r>
              <w:rPr>
                <w:color w:val="auto"/>
                <w:kern w:val="10"/>
              </w:rPr>
              <w:t>履约保证金接收人：</w:t>
            </w:r>
            <w:r>
              <w:rPr>
                <w:rFonts w:hint="eastAsia"/>
                <w:color w:val="auto"/>
                <w:kern w:val="10"/>
              </w:rPr>
              <w:t>招标</w:t>
            </w:r>
            <w:r>
              <w:rPr>
                <w:color w:val="auto"/>
                <w:kern w:val="10"/>
              </w:rPr>
              <w:t>人</w:t>
            </w:r>
          </w:p>
          <w:p w14:paraId="4BCCC374">
            <w:pPr>
              <w:pStyle w:val="42"/>
              <w:ind w:firstLine="0" w:firstLineChars="0"/>
              <w:rPr>
                <w:color w:val="auto"/>
                <w:kern w:val="10"/>
              </w:rPr>
            </w:pPr>
            <w:r>
              <w:rPr>
                <w:color w:val="auto"/>
                <w:kern w:val="10"/>
              </w:rPr>
              <w:t>履约保证金有效期限：合同</w:t>
            </w:r>
            <w:r>
              <w:rPr>
                <w:rFonts w:hint="eastAsia"/>
                <w:color w:val="auto"/>
                <w:kern w:val="10"/>
              </w:rPr>
              <w:t>主要业务</w:t>
            </w:r>
            <w:r>
              <w:rPr>
                <w:color w:val="auto"/>
                <w:kern w:val="10"/>
              </w:rPr>
              <w:t>履行完毕前有效</w:t>
            </w:r>
          </w:p>
        </w:tc>
      </w:tr>
      <w:tr w14:paraId="526164B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626EE0D">
            <w:pPr>
              <w:pStyle w:val="42"/>
              <w:ind w:firstLine="0" w:firstLineChars="0"/>
            </w:pPr>
            <w:r>
              <w:rPr>
                <w:rFonts w:hint="eastAsia"/>
              </w:rPr>
              <w:t>十、</w:t>
            </w:r>
          </w:p>
        </w:tc>
        <w:tc>
          <w:tcPr>
            <w:tcW w:w="1430" w:type="dxa"/>
            <w:gridSpan w:val="2"/>
            <w:vAlign w:val="center"/>
          </w:tcPr>
          <w:p w14:paraId="08AB00B7">
            <w:pPr>
              <w:pStyle w:val="42"/>
              <w:ind w:firstLine="0" w:firstLineChars="0"/>
            </w:pPr>
            <w:r>
              <w:rPr>
                <w:rFonts w:hint="eastAsia"/>
              </w:rPr>
              <w:t>招标代理服务费</w:t>
            </w:r>
          </w:p>
        </w:tc>
        <w:tc>
          <w:tcPr>
            <w:tcW w:w="6045" w:type="dxa"/>
            <w:vAlign w:val="center"/>
          </w:tcPr>
          <w:p w14:paraId="22D8C71D">
            <w:pPr>
              <w:pStyle w:val="42"/>
              <w:ind w:firstLine="0" w:firstLineChars="0"/>
              <w:rPr>
                <w:lang w:eastAsia="zh-CN"/>
              </w:rPr>
            </w:pPr>
            <w:r>
              <w:rPr>
                <w:rFonts w:hint="eastAsia"/>
              </w:rPr>
              <w:t>本项目招标代理服务费以原国家计委《招标代理服务收费管理暂行办法</w:t>
            </w:r>
            <w:r>
              <w:rPr>
                <w:rFonts w:hint="eastAsia"/>
                <w:color w:val="auto"/>
              </w:rPr>
              <w:t>》（计价格[2002]1980号）以及原《国家发展改革委关于降低部分建设项目收费标准规范收费行为等有关问题的通知》（发改价格[2011]534号）文件中的收费标准</w:t>
            </w:r>
            <w:r>
              <w:rPr>
                <w:rFonts w:hint="eastAsia"/>
                <w:color w:val="auto"/>
                <w:lang w:eastAsia="zh-CN"/>
              </w:rPr>
              <w:t>，</w:t>
            </w:r>
            <w:r>
              <w:rPr>
                <w:rFonts w:hint="eastAsia"/>
                <w:color w:val="auto"/>
                <w:lang w:val="en-US" w:eastAsia="zh-CN"/>
              </w:rPr>
              <w:t>以预算金额</w:t>
            </w:r>
            <w:r>
              <w:rPr>
                <w:rFonts w:hint="eastAsia"/>
                <w:color w:val="auto"/>
              </w:rPr>
              <w:t>为基准</w:t>
            </w:r>
            <w:r>
              <w:rPr>
                <w:rFonts w:hint="eastAsia"/>
                <w:color w:val="auto"/>
                <w:lang w:val="en-US" w:eastAsia="zh-CN"/>
              </w:rPr>
              <w:t>的</w:t>
            </w:r>
            <w:r>
              <w:rPr>
                <w:rFonts w:hint="eastAsia"/>
                <w:color w:val="auto"/>
                <w:u w:val="none"/>
                <w:lang w:val="en-US" w:eastAsia="zh-CN"/>
              </w:rPr>
              <w:t>65%</w:t>
            </w:r>
            <w:r>
              <w:rPr>
                <w:rFonts w:hint="eastAsia"/>
                <w:color w:val="auto"/>
                <w:u w:val="none"/>
                <w:lang w:val="en-US" w:eastAsia="zh-Hans"/>
              </w:rPr>
              <w:t>向中</w:t>
            </w:r>
            <w:r>
              <w:rPr>
                <w:rFonts w:hint="eastAsia"/>
                <w:u w:val="none"/>
                <w:lang w:val="en-US" w:eastAsia="zh-Hans"/>
              </w:rPr>
              <w:t>标人收取</w:t>
            </w:r>
            <w:r>
              <w:rPr>
                <w:rFonts w:hint="eastAsia"/>
              </w:rPr>
              <w:t>。中标人应于</w:t>
            </w:r>
            <w:r>
              <w:rPr>
                <w:rFonts w:hint="eastAsia"/>
                <w:lang w:val="en-US" w:eastAsia="zh-Hans"/>
              </w:rPr>
              <w:t>领取中标通知书</w:t>
            </w:r>
            <w:r>
              <w:rPr>
                <w:rFonts w:hint="eastAsia"/>
              </w:rPr>
              <w:t>后5个工作日内，向浙江中勤招标代理有限公司办理招标代理服务费结算手续。</w:t>
            </w:r>
            <w:r>
              <w:rPr>
                <w:rFonts w:hint="eastAsia"/>
                <w:lang w:eastAsia="zh-CN"/>
              </w:rPr>
              <w:t>账户信息：</w:t>
            </w:r>
          </w:p>
          <w:p w14:paraId="111F82FD">
            <w:pPr>
              <w:pStyle w:val="42"/>
              <w:ind w:firstLine="0" w:firstLineChars="0"/>
            </w:pPr>
            <w:r>
              <w:t>账户名称</w:t>
            </w:r>
            <w:r>
              <w:rPr>
                <w:rFonts w:hint="eastAsia"/>
                <w:lang w:eastAsia="zh-CN"/>
              </w:rPr>
              <w:t>：</w:t>
            </w:r>
            <w:r>
              <w:t>浙江中勤招标代理有限公司</w:t>
            </w:r>
          </w:p>
          <w:p w14:paraId="4CCD7643">
            <w:pPr>
              <w:pStyle w:val="42"/>
              <w:ind w:firstLine="0" w:firstLineChars="0"/>
            </w:pPr>
            <w:r>
              <w:t>开</w:t>
            </w:r>
            <w:r>
              <w:rPr>
                <w:rFonts w:hint="eastAsia"/>
                <w:lang w:eastAsia="zh-CN"/>
              </w:rPr>
              <w:t xml:space="preserve"> </w:t>
            </w:r>
            <w:r>
              <w:t>户</w:t>
            </w:r>
            <w:r>
              <w:rPr>
                <w:rFonts w:hint="eastAsia"/>
                <w:lang w:eastAsia="zh-CN"/>
              </w:rPr>
              <w:t xml:space="preserve"> </w:t>
            </w:r>
            <w:r>
              <w:t>行：</w:t>
            </w:r>
            <w:r>
              <w:rPr>
                <w:rFonts w:hint="eastAsia"/>
              </w:rPr>
              <w:t>中国工商银行股份有限公司杭州东新支行</w:t>
            </w:r>
            <w:r>
              <w:rPr>
                <w:rFonts w:hint="eastAsia"/>
                <w:lang w:eastAsia="zh-Hans"/>
              </w:rPr>
              <w:t>（</w:t>
            </w:r>
            <w:r>
              <w:rPr>
                <w:rFonts w:hint="eastAsia"/>
              </w:rPr>
              <w:t>行号102331002181</w:t>
            </w:r>
            <w:r>
              <w:rPr>
                <w:rFonts w:hint="eastAsia"/>
                <w:lang w:eastAsia="zh-Hans"/>
              </w:rPr>
              <w:t>）</w:t>
            </w:r>
          </w:p>
          <w:p w14:paraId="636AB442">
            <w:pPr>
              <w:pStyle w:val="42"/>
              <w:ind w:firstLine="0" w:firstLineChars="0"/>
            </w:pPr>
            <w:r>
              <w:t>银行账号：1202021809800125070</w:t>
            </w:r>
          </w:p>
        </w:tc>
      </w:tr>
      <w:tr w14:paraId="798C4D83">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gridSpan w:val="3"/>
            <w:vMerge w:val="restart"/>
            <w:vAlign w:val="center"/>
          </w:tcPr>
          <w:p w14:paraId="6DC33D8D">
            <w:pPr>
              <w:pStyle w:val="42"/>
              <w:ind w:firstLine="0" w:firstLineChars="0"/>
            </w:pPr>
            <w:r>
              <w:rPr>
                <w:rFonts w:hint="eastAsia"/>
              </w:rPr>
              <w:t>其他注意事项</w:t>
            </w:r>
          </w:p>
        </w:tc>
        <w:tc>
          <w:tcPr>
            <w:tcW w:w="6045" w:type="dxa"/>
            <w:vAlign w:val="center"/>
          </w:tcPr>
          <w:p w14:paraId="2D9A3907">
            <w:pPr>
              <w:pStyle w:val="42"/>
              <w:ind w:firstLine="0" w:firstLineChars="0"/>
            </w:pPr>
            <w:r>
              <w:rPr>
                <w:rFonts w:hint="eastAsia"/>
              </w:rPr>
              <w:t>招标文件中部分加“</w:t>
            </w:r>
            <w:r>
              <w:rPr>
                <w:rFonts w:hint="eastAsia"/>
                <w:kern w:val="10"/>
              </w:rPr>
              <w:t>▲</w:t>
            </w:r>
            <w:r>
              <w:rPr>
                <w:rFonts w:hint="eastAsia"/>
              </w:rPr>
              <w:t>”的条款，属于招标文件的实质性要求和条件，着重提醒各投标人注意，并认真查看招标文件中的每一个条款及要求，因误读招标文件而造成的后果，招标人概不负责。</w:t>
            </w:r>
          </w:p>
        </w:tc>
      </w:tr>
      <w:tr w14:paraId="630F93C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jc w:val="center"/>
        </w:trPr>
        <w:tc>
          <w:tcPr>
            <w:tcW w:w="2477" w:type="dxa"/>
            <w:gridSpan w:val="3"/>
            <w:vMerge w:val="continue"/>
            <w:vAlign w:val="center"/>
          </w:tcPr>
          <w:p w14:paraId="77B7C8B6">
            <w:pPr>
              <w:pStyle w:val="42"/>
              <w:ind w:firstLine="0" w:firstLineChars="0"/>
            </w:pPr>
          </w:p>
        </w:tc>
        <w:tc>
          <w:tcPr>
            <w:tcW w:w="6045" w:type="dxa"/>
            <w:vAlign w:val="center"/>
          </w:tcPr>
          <w:p w14:paraId="298CDC0C">
            <w:pPr>
              <w:pStyle w:val="42"/>
              <w:ind w:firstLine="0" w:firstLineChars="0"/>
            </w:pPr>
            <w:r>
              <w:rPr>
                <w:rFonts w:hint="eastAsia"/>
              </w:rPr>
              <w:t>以上内容如有变化将另行通知，如通知其中某一项内容发生变化，其余未提及的内容将不作变动。</w:t>
            </w:r>
          </w:p>
        </w:tc>
      </w:tr>
      <w:tr w14:paraId="3DBD5F17">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244" w:hRule="atLeast"/>
          <w:jc w:val="center"/>
        </w:trPr>
        <w:tc>
          <w:tcPr>
            <w:tcW w:w="2477" w:type="dxa"/>
            <w:gridSpan w:val="3"/>
            <w:vMerge w:val="continue"/>
            <w:vAlign w:val="center"/>
          </w:tcPr>
          <w:p w14:paraId="3B005EED">
            <w:pPr>
              <w:pStyle w:val="42"/>
              <w:ind w:firstLine="0" w:firstLineChars="0"/>
            </w:pPr>
          </w:p>
        </w:tc>
        <w:tc>
          <w:tcPr>
            <w:tcW w:w="6045" w:type="dxa"/>
            <w:vAlign w:val="center"/>
          </w:tcPr>
          <w:p w14:paraId="401A9DC2">
            <w:pPr>
              <w:pStyle w:val="42"/>
              <w:ind w:firstLine="0" w:firstLineChars="0"/>
            </w:pPr>
            <w:r>
              <w:rPr>
                <w:rFonts w:hint="eastAsia"/>
                <w:lang w:eastAsia="zh-CN"/>
              </w:rPr>
              <w:t>本项目采用政府采购电子化交易，投标人应在投标前完成供应商注册（详见</w:t>
            </w:r>
            <w:r>
              <w:rPr>
                <w:lang w:eastAsia="zh-CN"/>
              </w:rPr>
              <w:t>https://zfcg.czt.zj.gov.cn“</w:t>
            </w:r>
            <w:r>
              <w:rPr>
                <w:rFonts w:hint="eastAsia"/>
                <w:lang w:eastAsia="zh-CN"/>
              </w:rPr>
              <w:t>首页</w:t>
            </w:r>
            <w:r>
              <w:rPr>
                <w:lang w:eastAsia="zh-CN"/>
              </w:rPr>
              <w:t>-</w:t>
            </w:r>
            <w:r>
              <w:rPr>
                <w:rFonts w:hint="eastAsia"/>
                <w:lang w:eastAsia="zh-CN"/>
              </w:rPr>
              <w:t>用户入驻与登录</w:t>
            </w:r>
            <w:r>
              <w:rPr>
                <w:lang w:eastAsia="zh-CN"/>
              </w:rPr>
              <w:t>-</w:t>
            </w:r>
            <w:r>
              <w:rPr>
                <w:rFonts w:hint="eastAsia"/>
                <w:lang w:eastAsia="zh-CN"/>
              </w:rPr>
              <w:t>用户注册</w:t>
            </w:r>
            <w:r>
              <w:rPr>
                <w:lang w:eastAsia="zh-CN"/>
              </w:rPr>
              <w:t>-</w:t>
            </w:r>
            <w:r>
              <w:rPr>
                <w:rFonts w:hint="eastAsia"/>
                <w:lang w:eastAsia="zh-CN"/>
              </w:rPr>
              <w:t>供应商登记”）并完成CA数字证书办理（详见</w:t>
            </w:r>
            <w:r>
              <w:rPr>
                <w:lang w:eastAsia="zh-CN"/>
              </w:rPr>
              <w:t>https://edu.zcygov.cn/luban/ca</w:t>
            </w:r>
            <w:r>
              <w:rPr>
                <w:rFonts w:hint="eastAsia"/>
                <w:lang w:eastAsia="zh-CN"/>
              </w:rPr>
              <w:t>），如有疑问，可致电政府采购云平台技术支持热线咨询，联系方式：</w:t>
            </w:r>
            <w:r>
              <w:rPr>
                <w:rFonts w:hint="eastAsia"/>
                <w:lang w:val="en-US" w:eastAsia="zh-CN"/>
              </w:rPr>
              <w:t>95763</w:t>
            </w:r>
            <w:r>
              <w:rPr>
                <w:rFonts w:hint="eastAsia"/>
                <w:lang w:eastAsia="zh-CN"/>
              </w:rPr>
              <w:t>；</w:t>
            </w:r>
            <w:r>
              <w:rPr>
                <w:rFonts w:hint="eastAsia"/>
              </w:rPr>
              <w:t>CA问题联系电话（人工）：汇信CA 400-888-4636；天谷CA 400-087-8198</w:t>
            </w:r>
            <w:r>
              <w:rPr>
                <w:rFonts w:hint="eastAsia"/>
                <w:lang w:eastAsia="zh-CN"/>
              </w:rPr>
              <w:t>。</w:t>
            </w:r>
          </w:p>
          <w:p w14:paraId="5281D8FC">
            <w:pPr>
              <w:pStyle w:val="42"/>
              <w:ind w:firstLine="0" w:firstLineChars="0"/>
              <w:rPr>
                <w:lang w:eastAsia="zh-CN"/>
              </w:rPr>
            </w:pPr>
            <w:r>
              <w:rPr>
                <w:rFonts w:hint="eastAsia"/>
                <w:lang w:eastAsia="zh-CN"/>
              </w:rPr>
              <w:t>电子标书生成可登录“政府采购云平台”，点击“前台大厅-服务中心（右上角）-帮助文档-项目采购（文档目录）”，查看相关编制帮助。</w:t>
            </w:r>
          </w:p>
        </w:tc>
      </w:tr>
    </w:tbl>
    <w:p w14:paraId="3FE8744F">
      <w:pPr>
        <w:pStyle w:val="44"/>
        <w:rPr>
          <w:rFonts w:cs="Times New Roman"/>
          <w:lang w:eastAsia="zh-CN"/>
        </w:rPr>
      </w:pPr>
      <w:r>
        <w:rPr>
          <w:rFonts w:hint="eastAsia"/>
          <w:sz w:val="24"/>
          <w:szCs w:val="24"/>
        </w:rPr>
        <w:br w:type="page"/>
      </w:r>
      <w:bookmarkStart w:id="4" w:name="_Toc233618972"/>
      <w:bookmarkEnd w:id="4"/>
      <w:bookmarkStart w:id="5" w:name="_Toc7950"/>
      <w:bookmarkStart w:id="6" w:name="_Toc464483845"/>
      <w:r>
        <w:rPr>
          <w:rFonts w:hint="eastAsia"/>
        </w:rPr>
        <w:t>总 则</w:t>
      </w:r>
      <w:bookmarkEnd w:id="5"/>
      <w:bookmarkEnd w:id="6"/>
    </w:p>
    <w:p w14:paraId="727FDEFA">
      <w:pPr>
        <w:pStyle w:val="45"/>
        <w:rPr>
          <w:rFonts w:ascii="宋体"/>
        </w:rPr>
      </w:pPr>
      <w:bookmarkStart w:id="7" w:name="_Hlt74714665"/>
      <w:bookmarkEnd w:id="7"/>
      <w:bookmarkStart w:id="8" w:name="_Hlt74730112"/>
      <w:bookmarkEnd w:id="8"/>
      <w:bookmarkStart w:id="9" w:name="_Hlt74730295"/>
      <w:bookmarkEnd w:id="9"/>
      <w:bookmarkStart w:id="10" w:name="_Hlt74730208"/>
      <w:r>
        <w:rPr>
          <w:rFonts w:hint="eastAsia"/>
        </w:rPr>
        <w:t>实施依据</w:t>
      </w:r>
      <w:bookmarkEnd w:id="10"/>
    </w:p>
    <w:p w14:paraId="2EE6B49B">
      <w:pPr>
        <w:pStyle w:val="42"/>
        <w:ind w:firstLine="480"/>
      </w:pPr>
      <w:r>
        <w:rPr>
          <w:rFonts w:hint="eastAsia"/>
        </w:rPr>
        <w:t>本次招标工作按照《中华人民共和国政府采购法》等政府采购有关法律、法规、规章、文件的规定组织和实施。</w:t>
      </w:r>
    </w:p>
    <w:p w14:paraId="2F0C2F86">
      <w:pPr>
        <w:pStyle w:val="45"/>
        <w:rPr>
          <w:rFonts w:ascii="宋体"/>
        </w:rPr>
      </w:pPr>
      <w:bookmarkStart w:id="11" w:name="_Toc91899873"/>
      <w:bookmarkEnd w:id="11"/>
      <w:r>
        <w:rPr>
          <w:rFonts w:hint="eastAsia"/>
        </w:rPr>
        <w:t>基本信息</w:t>
      </w:r>
    </w:p>
    <w:p w14:paraId="2F04D12D">
      <w:pPr>
        <w:pStyle w:val="42"/>
        <w:ind w:firstLine="480"/>
      </w:pPr>
      <w:r>
        <w:rPr>
          <w:rFonts w:hint="eastAsia"/>
          <w:lang w:eastAsia="zh-CN"/>
        </w:rPr>
        <w:t>有关本项目的基本信息</w:t>
      </w:r>
      <w:r>
        <w:rPr>
          <w:rFonts w:hint="eastAsia"/>
        </w:rPr>
        <w:t>见本项目“招标公告”。</w:t>
      </w:r>
      <w:bookmarkStart w:id="12" w:name="_Hlt68516771"/>
      <w:bookmarkEnd w:id="12"/>
      <w:bookmarkStart w:id="13" w:name="_Hlt74388212"/>
      <w:bookmarkEnd w:id="13"/>
    </w:p>
    <w:p w14:paraId="491FC231">
      <w:pPr>
        <w:pStyle w:val="45"/>
      </w:pPr>
      <w:bookmarkStart w:id="14" w:name="_Hlt74730303"/>
      <w:bookmarkEnd w:id="14"/>
      <w:r>
        <w:rPr>
          <w:rFonts w:hint="eastAsia"/>
          <w:lang w:eastAsia="zh-CN"/>
        </w:rPr>
        <w:t>词条</w:t>
      </w:r>
      <w:r>
        <w:rPr>
          <w:rFonts w:hint="eastAsia"/>
        </w:rPr>
        <w:t>定义</w:t>
      </w:r>
    </w:p>
    <w:p w14:paraId="66108F7F">
      <w:pPr>
        <w:pStyle w:val="42"/>
        <w:ind w:firstLine="482"/>
      </w:pPr>
      <w:r>
        <w:rPr>
          <w:rFonts w:hint="eastAsia"/>
          <w:b/>
          <w:bCs/>
          <w:lang w:eastAsia="zh-CN"/>
        </w:rPr>
        <w:t>“</w:t>
      </w:r>
      <w:r>
        <w:rPr>
          <w:rFonts w:hint="eastAsia"/>
          <w:b/>
          <w:bCs/>
        </w:rPr>
        <w:t>招标</w:t>
      </w:r>
      <w:r>
        <w:rPr>
          <w:rFonts w:hint="eastAsia"/>
          <w:b/>
          <w:bCs/>
          <w:lang w:eastAsia="zh-CN"/>
        </w:rPr>
        <w:t>人/</w:t>
      </w:r>
      <w:r>
        <w:rPr>
          <w:rFonts w:hint="eastAsia"/>
          <w:b/>
          <w:bCs/>
        </w:rPr>
        <w:t>采购人</w:t>
      </w:r>
      <w:r>
        <w:rPr>
          <w:rFonts w:hint="eastAsia"/>
          <w:b/>
          <w:bCs/>
          <w:lang w:eastAsia="zh-CN"/>
        </w:rPr>
        <w:t>/招标单位/</w:t>
      </w:r>
      <w:r>
        <w:rPr>
          <w:rFonts w:hint="eastAsia"/>
          <w:b/>
          <w:bCs/>
          <w:lang w:val="en-US" w:eastAsia="zh-Hans"/>
        </w:rPr>
        <w:t>采购</w:t>
      </w:r>
      <w:r>
        <w:rPr>
          <w:rFonts w:hint="eastAsia"/>
          <w:b/>
          <w:bCs/>
          <w:lang w:eastAsia="zh-CN"/>
        </w:rPr>
        <w:t>单位”</w:t>
      </w:r>
      <w:r>
        <w:rPr>
          <w:rFonts w:hint="eastAsia"/>
          <w:b/>
          <w:bCs/>
        </w:rPr>
        <w:t>：</w:t>
      </w:r>
      <w:r>
        <w:rPr>
          <w:rFonts w:hint="eastAsia"/>
          <w:lang w:eastAsia="zh-CN"/>
        </w:rPr>
        <w:t>系</w:t>
      </w:r>
      <w:r>
        <w:rPr>
          <w:rFonts w:hint="eastAsia"/>
        </w:rPr>
        <w:t>指依法进行政府采购的国家机关、事业单位、团体组织，见本项目“招标公告”；</w:t>
      </w:r>
    </w:p>
    <w:p w14:paraId="2CC7D3FA">
      <w:pPr>
        <w:pStyle w:val="42"/>
        <w:ind w:firstLine="482"/>
      </w:pPr>
      <w:r>
        <w:rPr>
          <w:rFonts w:hint="eastAsia"/>
          <w:b/>
          <w:bCs/>
          <w:lang w:eastAsia="zh-CN"/>
        </w:rPr>
        <w:t>“</w:t>
      </w:r>
      <w:r>
        <w:rPr>
          <w:rFonts w:hint="eastAsia"/>
          <w:b/>
          <w:bCs/>
        </w:rPr>
        <w:t>招标</w:t>
      </w:r>
      <w:r>
        <w:rPr>
          <w:rFonts w:hint="eastAsia"/>
          <w:b/>
          <w:bCs/>
          <w:lang w:eastAsia="zh-CN"/>
        </w:rPr>
        <w:t>代理机构/</w:t>
      </w:r>
      <w:r>
        <w:rPr>
          <w:rFonts w:hint="eastAsia"/>
          <w:b/>
          <w:bCs/>
        </w:rPr>
        <w:t>采购代理机构</w:t>
      </w:r>
      <w:r>
        <w:rPr>
          <w:rFonts w:hint="eastAsia"/>
          <w:b/>
          <w:bCs/>
          <w:lang w:eastAsia="zh-CN"/>
        </w:rPr>
        <w:t>/</w:t>
      </w:r>
      <w:r>
        <w:rPr>
          <w:rFonts w:hint="eastAsia"/>
          <w:b/>
          <w:bCs/>
          <w:lang w:val="en-US" w:eastAsia="zh-Hans"/>
        </w:rPr>
        <w:t>招标</w:t>
      </w:r>
      <w:r>
        <w:rPr>
          <w:rFonts w:hint="eastAsia"/>
          <w:b/>
          <w:bCs/>
          <w:lang w:eastAsia="zh-CN"/>
        </w:rPr>
        <w:t>组织机构/采购组织机构”</w:t>
      </w:r>
      <w:r>
        <w:rPr>
          <w:rFonts w:hint="eastAsia"/>
          <w:b/>
          <w:bCs/>
        </w:rPr>
        <w:t>：</w:t>
      </w:r>
      <w:r>
        <w:rPr>
          <w:rFonts w:hint="eastAsia"/>
          <w:lang w:eastAsia="zh-CN"/>
        </w:rPr>
        <w:t>系指</w:t>
      </w:r>
      <w:r>
        <w:rPr>
          <w:rFonts w:hint="eastAsia"/>
        </w:rPr>
        <w:t>受招标人委托，在委托的范围内办理政府采购事宜并组织招标活动的机构，见本项目“招标公告”；</w:t>
      </w:r>
    </w:p>
    <w:p w14:paraId="6ED14E3D">
      <w:pPr>
        <w:pStyle w:val="42"/>
        <w:ind w:firstLine="482"/>
        <w:rPr>
          <w:lang w:eastAsia="zh-CN"/>
        </w:rPr>
      </w:pPr>
      <w:r>
        <w:rPr>
          <w:rFonts w:hint="eastAsia"/>
          <w:b/>
          <w:bCs/>
        </w:rPr>
        <w:t>“招标文件</w:t>
      </w:r>
      <w:r>
        <w:rPr>
          <w:rFonts w:hint="eastAsia"/>
          <w:b/>
          <w:bCs/>
          <w:lang w:eastAsia="zh-CN"/>
        </w:rPr>
        <w:t>/</w:t>
      </w:r>
      <w:r>
        <w:rPr>
          <w:rFonts w:hint="eastAsia"/>
          <w:b/>
          <w:bCs/>
        </w:rPr>
        <w:t>采购文件/公开招标采购文件”：</w:t>
      </w:r>
      <w:r>
        <w:rPr>
          <w:rFonts w:hint="eastAsia"/>
        </w:rPr>
        <w:t>均指本文件</w:t>
      </w:r>
      <w:r>
        <w:rPr>
          <w:rFonts w:hint="eastAsia"/>
          <w:lang w:eastAsia="zh-CN"/>
        </w:rPr>
        <w:t>；</w:t>
      </w:r>
    </w:p>
    <w:p w14:paraId="0E754D3C">
      <w:pPr>
        <w:pStyle w:val="42"/>
        <w:ind w:firstLine="482"/>
      </w:pPr>
      <w:r>
        <w:rPr>
          <w:rFonts w:hint="eastAsia"/>
          <w:b/>
          <w:bCs/>
          <w:lang w:eastAsia="zh-CN"/>
        </w:rPr>
        <w:t>“</w:t>
      </w:r>
      <w:r>
        <w:rPr>
          <w:rFonts w:hint="eastAsia"/>
          <w:b/>
          <w:bCs/>
        </w:rPr>
        <w:t>投标人</w:t>
      </w:r>
      <w:r>
        <w:rPr>
          <w:rFonts w:hint="eastAsia"/>
          <w:b/>
          <w:bCs/>
          <w:lang w:eastAsia="zh-CN"/>
        </w:rPr>
        <w:t>/投标单位/投标供应商”</w:t>
      </w:r>
      <w:r>
        <w:rPr>
          <w:rFonts w:hint="eastAsia"/>
          <w:b/>
          <w:bCs/>
        </w:rPr>
        <w:t>：</w:t>
      </w:r>
      <w:r>
        <w:rPr>
          <w:rFonts w:hint="eastAsia"/>
          <w:lang w:eastAsia="zh-CN"/>
        </w:rPr>
        <w:t xml:space="preserve"> 系指</w:t>
      </w:r>
      <w:r>
        <w:rPr>
          <w:rFonts w:hint="eastAsia"/>
        </w:rPr>
        <w:t>参加本政府采购项目投标的供应商；</w:t>
      </w:r>
    </w:p>
    <w:p w14:paraId="3C048EBD">
      <w:pPr>
        <w:pStyle w:val="42"/>
        <w:ind w:firstLine="482"/>
        <w:rPr>
          <w:lang w:eastAsia="zh-CN"/>
        </w:rPr>
      </w:pPr>
      <w:r>
        <w:rPr>
          <w:rFonts w:hint="eastAsia"/>
          <w:b/>
          <w:bCs/>
          <w:lang w:eastAsia="zh-CN"/>
        </w:rPr>
        <w:t>“</w:t>
      </w:r>
      <w:r>
        <w:rPr>
          <w:rFonts w:hint="eastAsia"/>
          <w:b/>
          <w:bCs/>
        </w:rPr>
        <w:t>中标人</w:t>
      </w:r>
      <w:r>
        <w:rPr>
          <w:rFonts w:hint="eastAsia"/>
          <w:b/>
          <w:bCs/>
          <w:lang w:eastAsia="zh-CN"/>
        </w:rPr>
        <w:t>/中标单位/中标供应商”</w:t>
      </w:r>
      <w:r>
        <w:rPr>
          <w:rFonts w:hint="eastAsia"/>
          <w:b/>
          <w:bCs/>
        </w:rPr>
        <w:t>：</w:t>
      </w:r>
      <w:r>
        <w:rPr>
          <w:rFonts w:hint="eastAsia"/>
          <w:lang w:eastAsia="zh-CN"/>
        </w:rPr>
        <w:t xml:space="preserve"> 系指</w:t>
      </w:r>
      <w:r>
        <w:rPr>
          <w:rFonts w:hint="eastAsia"/>
        </w:rPr>
        <w:t>经评审获得本项目最终合同签订资格的投标人</w:t>
      </w:r>
      <w:r>
        <w:rPr>
          <w:rFonts w:hint="eastAsia"/>
          <w:lang w:eastAsia="zh-CN"/>
        </w:rPr>
        <w:t>；</w:t>
      </w:r>
    </w:p>
    <w:p w14:paraId="5FE621A9">
      <w:pPr>
        <w:pStyle w:val="42"/>
        <w:ind w:firstLine="482"/>
      </w:pPr>
      <w:r>
        <w:rPr>
          <w:rFonts w:hint="eastAsia"/>
          <w:b/>
          <w:bCs/>
          <w:lang w:eastAsia="zh-CN"/>
        </w:rPr>
        <w:t>“</w:t>
      </w:r>
      <w:r>
        <w:rPr>
          <w:rFonts w:hint="eastAsia"/>
          <w:b/>
          <w:bCs/>
        </w:rPr>
        <w:t>买方</w:t>
      </w:r>
      <w:r>
        <w:rPr>
          <w:rFonts w:hint="eastAsia"/>
          <w:b/>
          <w:bCs/>
          <w:lang w:eastAsia="zh-CN"/>
        </w:rPr>
        <w:t>/</w:t>
      </w:r>
      <w:r>
        <w:rPr>
          <w:rFonts w:hint="eastAsia"/>
          <w:b/>
          <w:bCs/>
        </w:rPr>
        <w:t>甲方</w:t>
      </w:r>
      <w:r>
        <w:rPr>
          <w:rFonts w:hint="eastAsia"/>
          <w:b/>
          <w:bCs/>
          <w:lang w:eastAsia="zh-CN"/>
        </w:rPr>
        <w:t>”</w:t>
      </w:r>
      <w:r>
        <w:rPr>
          <w:rFonts w:hint="eastAsia"/>
          <w:b/>
          <w:bCs/>
        </w:rPr>
        <w:t>：</w:t>
      </w:r>
      <w:r>
        <w:rPr>
          <w:rFonts w:hint="eastAsia"/>
          <w:lang w:eastAsia="zh-CN"/>
        </w:rPr>
        <w:t>系</w:t>
      </w:r>
      <w:r>
        <w:rPr>
          <w:rFonts w:hint="eastAsia"/>
        </w:rPr>
        <w:t>指合同签订的一方，一般与招标人、用户相同；</w:t>
      </w:r>
    </w:p>
    <w:p w14:paraId="0A2CCCB6">
      <w:pPr>
        <w:pStyle w:val="42"/>
        <w:ind w:firstLine="482"/>
      </w:pPr>
      <w:r>
        <w:rPr>
          <w:rFonts w:hint="eastAsia"/>
          <w:b/>
          <w:bCs/>
          <w:lang w:eastAsia="zh-CN"/>
        </w:rPr>
        <w:t>“</w:t>
      </w:r>
      <w:r>
        <w:rPr>
          <w:rFonts w:hint="eastAsia"/>
          <w:b/>
          <w:bCs/>
        </w:rPr>
        <w:t>卖方</w:t>
      </w:r>
      <w:r>
        <w:rPr>
          <w:rFonts w:hint="eastAsia"/>
          <w:b/>
          <w:bCs/>
          <w:lang w:eastAsia="zh-CN"/>
        </w:rPr>
        <w:t>/</w:t>
      </w:r>
      <w:r>
        <w:rPr>
          <w:rFonts w:hint="eastAsia"/>
          <w:b/>
          <w:bCs/>
        </w:rPr>
        <w:t>乙方</w:t>
      </w:r>
      <w:r>
        <w:rPr>
          <w:rFonts w:hint="eastAsia"/>
          <w:b/>
          <w:bCs/>
          <w:lang w:eastAsia="zh-CN"/>
        </w:rPr>
        <w:t>”</w:t>
      </w:r>
      <w:r>
        <w:rPr>
          <w:rFonts w:hint="eastAsia"/>
          <w:b/>
          <w:bCs/>
        </w:rPr>
        <w:t>：</w:t>
      </w:r>
      <w:r>
        <w:rPr>
          <w:rFonts w:hint="eastAsia"/>
          <w:lang w:eastAsia="zh-CN"/>
        </w:rPr>
        <w:t>系</w:t>
      </w:r>
      <w:r>
        <w:rPr>
          <w:rFonts w:hint="eastAsia"/>
        </w:rPr>
        <w:t>指合同签订的另一方，一般与中标人相同；</w:t>
      </w:r>
    </w:p>
    <w:p w14:paraId="1DEE9659">
      <w:pPr>
        <w:pStyle w:val="42"/>
        <w:ind w:firstLine="482"/>
        <w:rPr>
          <w:lang w:eastAsia="zh-CN"/>
        </w:rPr>
      </w:pPr>
      <w:r>
        <w:rPr>
          <w:rFonts w:hint="eastAsia"/>
          <w:b/>
          <w:bCs/>
          <w:lang w:eastAsia="zh-CN"/>
        </w:rPr>
        <w:t xml:space="preserve"> “</w:t>
      </w:r>
      <w:r>
        <w:rPr>
          <w:rFonts w:hint="eastAsia"/>
          <w:b/>
          <w:bCs/>
        </w:rPr>
        <w:t>书面形式</w:t>
      </w:r>
      <w:r>
        <w:rPr>
          <w:rFonts w:hint="eastAsia"/>
          <w:b/>
          <w:bCs/>
          <w:lang w:eastAsia="zh-CN"/>
        </w:rPr>
        <w:t>”</w:t>
      </w:r>
      <w:r>
        <w:rPr>
          <w:rFonts w:hint="eastAsia"/>
          <w:b/>
          <w:bCs/>
        </w:rPr>
        <w:t>：</w:t>
      </w:r>
      <w:r>
        <w:rPr>
          <w:rFonts w:hint="eastAsia"/>
          <w:lang w:eastAsia="zh-CN"/>
        </w:rPr>
        <w:t>系指用文字来进行意思表示，包括各类纸质文件以及数据电文（包括电报、电传、传真、电子数据交换和电子邮件）；</w:t>
      </w:r>
    </w:p>
    <w:p w14:paraId="70F1D460">
      <w:pPr>
        <w:pStyle w:val="42"/>
        <w:ind w:firstLine="482"/>
      </w:pPr>
      <w:r>
        <w:rPr>
          <w:rFonts w:hint="eastAsia"/>
          <w:b/>
          <w:bCs/>
          <w:lang w:eastAsia="zh-CN"/>
        </w:rPr>
        <w:t>“</w:t>
      </w:r>
      <w:r>
        <w:rPr>
          <w:rFonts w:hint="eastAsia"/>
          <w:b/>
          <w:bCs/>
        </w:rPr>
        <w:t>实质性</w:t>
      </w:r>
      <w:r>
        <w:rPr>
          <w:rFonts w:hint="eastAsia"/>
          <w:b/>
          <w:bCs/>
          <w:lang w:eastAsia="zh-CN"/>
        </w:rPr>
        <w:t>条款/实质性要求”</w:t>
      </w:r>
      <w:r>
        <w:rPr>
          <w:rFonts w:hint="eastAsia"/>
          <w:b/>
          <w:bCs/>
        </w:rPr>
        <w:t>:</w:t>
      </w:r>
      <w:r>
        <w:rPr>
          <w:rFonts w:hint="eastAsia"/>
        </w:rPr>
        <w:t>系是指招标文件的效力性强制性规定</w:t>
      </w:r>
      <w:r>
        <w:rPr>
          <w:rFonts w:hint="eastAsia"/>
          <w:lang w:eastAsia="zh-CN"/>
        </w:rPr>
        <w:t>，包括：“技术要求”中的</w:t>
      </w:r>
      <w:r>
        <w:rPr>
          <w:rFonts w:hint="eastAsia"/>
          <w:lang w:val="en-US" w:eastAsia="zh-CN"/>
        </w:rPr>
        <w:t>采购内容（范围）、</w:t>
      </w:r>
      <w:r>
        <w:rPr>
          <w:rFonts w:hint="eastAsia"/>
          <w:lang w:eastAsia="zh-CN"/>
        </w:rPr>
        <w:t>重要技术参数以及一般性技术参数不允许偏离的范围和幅度等；“商务要求/合同条件”中的合同标的、数量、质量、价款及价款支付方式和条件、履行期限、履行地点及方式、违约责任和解决争议方式等；“招标投标规则”中投标有效期、投标保证金、投标报价、投标文件密封、投标文件签署与盖章等</w:t>
      </w:r>
      <w:r>
        <w:rPr>
          <w:rFonts w:hint="eastAsia"/>
        </w:rPr>
        <w:t>。</w:t>
      </w:r>
      <w:r>
        <w:rPr>
          <w:rFonts w:hint="eastAsia"/>
          <w:lang w:eastAsia="zh-CN"/>
        </w:rPr>
        <w:t>包括但不限于标记“▲”条款；</w:t>
      </w:r>
    </w:p>
    <w:p w14:paraId="22B6CCBE">
      <w:pPr>
        <w:pStyle w:val="42"/>
        <w:ind w:firstLine="482"/>
      </w:pPr>
      <w:r>
        <w:rPr>
          <w:rFonts w:hint="eastAsia"/>
          <w:b/>
          <w:bCs/>
          <w:lang w:eastAsia="zh-CN"/>
        </w:rPr>
        <w:t>“</w:t>
      </w:r>
      <w:r>
        <w:rPr>
          <w:rFonts w:hint="eastAsia"/>
          <w:b/>
          <w:bCs/>
        </w:rPr>
        <w:t>重大偏离</w:t>
      </w:r>
      <w:r>
        <w:rPr>
          <w:rFonts w:hint="eastAsia"/>
          <w:b/>
          <w:bCs/>
          <w:lang w:eastAsia="zh-CN"/>
        </w:rPr>
        <w:t>（保留）”</w:t>
      </w:r>
      <w:r>
        <w:rPr>
          <w:rFonts w:hint="eastAsia"/>
          <w:b/>
          <w:bCs/>
        </w:rPr>
        <w:t>：</w:t>
      </w:r>
      <w:r>
        <w:rPr>
          <w:rFonts w:hint="eastAsia"/>
        </w:rPr>
        <w:t>系指将会影响到招标文件规定的服务范围、质量标准，或会给合同中规定的招标人的权利和投标人的责任造成实质性限制，而纠正这些偏离或保留将对其他提交了实质性响应的投标文件的投标人产生不公平影响的</w:t>
      </w:r>
      <w:r>
        <w:rPr>
          <w:rFonts w:hint="eastAsia"/>
          <w:lang w:eastAsia="zh-CN"/>
        </w:rPr>
        <w:t>偏离或保留</w:t>
      </w:r>
      <w:r>
        <w:rPr>
          <w:rFonts w:hint="eastAsia"/>
        </w:rPr>
        <w:t>。</w:t>
      </w:r>
    </w:p>
    <w:p w14:paraId="7B69AEBE">
      <w:pPr>
        <w:pStyle w:val="45"/>
      </w:pPr>
      <w:r>
        <w:rPr>
          <w:rFonts w:hint="eastAsia"/>
          <w:lang w:eastAsia="zh-CN"/>
        </w:rPr>
        <w:t>符号</w:t>
      </w:r>
      <w:r>
        <w:rPr>
          <w:rFonts w:hint="eastAsia"/>
        </w:rPr>
        <w:t>定义</w:t>
      </w:r>
    </w:p>
    <w:p w14:paraId="45DF7FDF">
      <w:pPr>
        <w:pStyle w:val="42"/>
        <w:ind w:firstLine="480"/>
        <w:rPr>
          <w:lang w:eastAsia="zh-CN"/>
        </w:rPr>
      </w:pPr>
      <w:r>
        <w:rPr>
          <w:rFonts w:hint="eastAsia"/>
          <w:lang w:eastAsia="zh-CN"/>
        </w:rPr>
        <w:t>“▲”：系指实质性要求条款；</w:t>
      </w:r>
    </w:p>
    <w:p w14:paraId="43D9EC51">
      <w:pPr>
        <w:pStyle w:val="42"/>
        <w:ind w:firstLine="480"/>
        <w:rPr>
          <w:lang w:eastAsia="zh-CN"/>
        </w:rPr>
      </w:pPr>
      <w:r>
        <w:rPr>
          <w:lang w:eastAsia="zh-CN"/>
        </w:rPr>
        <w:t>“</w:t>
      </w:r>
      <w:sdt>
        <w:sdtPr>
          <w:id w:val="47733809"/>
          <w14:checkbox>
            <w14:checked w14:val="1"/>
            <w14:checkedState w14:val="00FE" w14:font="Wingdings"/>
            <w14:uncheckedState w14:val="2610" w14:font="MS Gothic"/>
          </w14:checkbox>
        </w:sdtPr>
        <w:sdtContent>
          <w:r>
            <w:rPr/>
            <w:sym w:font="Wingdings" w:char="F0FE"/>
          </w:r>
        </w:sdtContent>
      </w:sdt>
      <w:r>
        <w:rPr>
          <w:lang w:eastAsia="zh-CN"/>
        </w:rPr>
        <w:t>”</w:t>
      </w:r>
      <w:r>
        <w:rPr>
          <w:rFonts w:hint="eastAsia"/>
          <w:lang w:eastAsia="zh-CN"/>
        </w:rPr>
        <w:t>：系指适用本项目的要求；</w:t>
      </w:r>
    </w:p>
    <w:p w14:paraId="429CC276">
      <w:pPr>
        <w:pStyle w:val="42"/>
        <w:ind w:firstLine="480"/>
        <w:rPr>
          <w:lang w:eastAsia="zh-CN"/>
        </w:rPr>
      </w:pPr>
      <w:r>
        <w:rPr>
          <w:rFonts w:hint="eastAsia"/>
          <w:lang w:eastAsia="zh-CN"/>
        </w:rPr>
        <w:t>“</w:t>
      </w:r>
      <w:sdt>
        <w:sdtPr>
          <w:id w:val="1539159011"/>
          <w14:checkbox>
            <w14:checked w14:val="0"/>
            <w14:checkedState w14:val="00FE" w14:font="Wingdings"/>
            <w14:uncheckedState w14:val="2610" w14:font="MS Gothic"/>
          </w14:checkbox>
        </w:sdtPr>
        <w:sdtContent>
          <w:r>
            <w:rPr>
              <w:rFonts w:hint="eastAsia" w:ascii="MS Gothic" w:hAnsi="MS Gothic" w:eastAsia="MS Gothic"/>
            </w:rPr>
            <w:t>☐</w:t>
          </w:r>
        </w:sdtContent>
      </w:sdt>
      <w:r>
        <w:rPr>
          <w:lang w:eastAsia="zh-CN"/>
        </w:rPr>
        <w:t>”</w:t>
      </w:r>
      <w:r>
        <w:rPr>
          <w:rFonts w:hint="eastAsia"/>
          <w:lang w:eastAsia="zh-CN"/>
        </w:rPr>
        <w:t>：系指不适用本项目的要求；</w:t>
      </w:r>
    </w:p>
    <w:p w14:paraId="2A0C8FB3">
      <w:pPr>
        <w:pStyle w:val="42"/>
        <w:ind w:firstLine="480"/>
        <w:rPr>
          <w:lang w:eastAsia="zh-CN"/>
        </w:rPr>
      </w:pPr>
      <w:r>
        <w:rPr>
          <w:rFonts w:hint="eastAsia"/>
          <w:lang w:eastAsia="zh-CN"/>
        </w:rPr>
        <w:t>其他符号除非有明确说明，否则均仅作强调。</w:t>
      </w:r>
    </w:p>
    <w:p w14:paraId="75EBBF27">
      <w:pPr>
        <w:pStyle w:val="45"/>
      </w:pPr>
      <w:r>
        <w:rPr>
          <w:rFonts w:hint="eastAsia"/>
        </w:rPr>
        <w:t>投标费用</w:t>
      </w:r>
    </w:p>
    <w:p w14:paraId="381B362A">
      <w:pPr>
        <w:pStyle w:val="42"/>
        <w:ind w:firstLine="480"/>
      </w:pPr>
      <w:r>
        <w:rPr>
          <w:rFonts w:hint="eastAsia"/>
        </w:rPr>
        <w:t>无论招投标过程中的做法和结果如何，投标人自行承担招投标活动中所发生的全部费用。</w:t>
      </w:r>
    </w:p>
    <w:p w14:paraId="0A11A873">
      <w:pPr>
        <w:pStyle w:val="45"/>
      </w:pPr>
      <w:r>
        <w:rPr>
          <w:rFonts w:hint="eastAsia"/>
        </w:rPr>
        <w:t>语言文字</w:t>
      </w:r>
    </w:p>
    <w:p w14:paraId="1387125D">
      <w:pPr>
        <w:pStyle w:val="52"/>
        <w:bidi w:val="0"/>
      </w:pPr>
      <w:bookmarkStart w:id="15" w:name="_Hlt74729768"/>
      <w:bookmarkEnd w:id="15"/>
      <w:bookmarkStart w:id="16" w:name="_Hlt75236290"/>
      <w:bookmarkEnd w:id="16"/>
      <w:bookmarkStart w:id="17" w:name="_Hlt68072990"/>
      <w:bookmarkEnd w:id="17"/>
      <w:bookmarkStart w:id="18" w:name="_Hlt68057669"/>
      <w:bookmarkEnd w:id="18"/>
      <w:bookmarkStart w:id="19" w:name="_Toc91899879"/>
      <w:bookmarkEnd w:id="19"/>
      <w:bookmarkStart w:id="20" w:name="_Hlt74707468"/>
      <w:bookmarkEnd w:id="20"/>
      <w:r>
        <w:t>除专用术语外，投标文件以及投标人与招标人就有关投标的往来函电均应使用中文，否则视同未实质性响应招标文件要求。</w:t>
      </w:r>
    </w:p>
    <w:p w14:paraId="738D4E24">
      <w:pPr>
        <w:pStyle w:val="52"/>
        <w:bidi w:val="0"/>
      </w:pPr>
      <w:r>
        <w:t>投标人提交的支持性文件和印制的文件可以用另一种语言，但相应内容应翻译成中文，对不同文字文本投标文件的解释发生异议的，以中文文本为准。仅以中文以外的文字表述的材料视同未提供。</w:t>
      </w:r>
    </w:p>
    <w:p w14:paraId="4EB1E3CE">
      <w:pPr>
        <w:pStyle w:val="45"/>
      </w:pPr>
      <w:r>
        <w:rPr>
          <w:rFonts w:hint="eastAsia"/>
        </w:rPr>
        <w:t>计量单位</w:t>
      </w:r>
    </w:p>
    <w:p w14:paraId="18309621">
      <w:pPr>
        <w:pStyle w:val="42"/>
        <w:ind w:firstLine="480"/>
      </w:pPr>
      <w:r>
        <w:rPr>
          <w:rFonts w:hint="eastAsia"/>
        </w:rPr>
        <w:t>招标文件有明确规定的，适用招标文件规定的计量单位；招标文件没有规定的，应采用中华人民共和国法定计量单位，否则视同未</w:t>
      </w:r>
      <w:r>
        <w:rPr>
          <w:rFonts w:hint="eastAsia"/>
          <w:lang w:eastAsia="zh-CN"/>
        </w:rPr>
        <w:t>实质性</w:t>
      </w:r>
      <w:r>
        <w:rPr>
          <w:rFonts w:hint="eastAsia"/>
        </w:rPr>
        <w:t>响应</w:t>
      </w:r>
      <w:r>
        <w:rPr>
          <w:rFonts w:hint="eastAsia"/>
          <w:lang w:eastAsia="zh-CN"/>
        </w:rPr>
        <w:t>招标文件要求</w:t>
      </w:r>
      <w:r>
        <w:rPr>
          <w:rFonts w:hint="eastAsia"/>
        </w:rPr>
        <w:t>。</w:t>
      </w:r>
    </w:p>
    <w:p w14:paraId="551C734D">
      <w:pPr>
        <w:pStyle w:val="45"/>
      </w:pPr>
      <w:r>
        <w:rPr>
          <w:rFonts w:hint="eastAsia"/>
        </w:rPr>
        <w:t>转包与分包</w:t>
      </w:r>
    </w:p>
    <w:p w14:paraId="26CB683F">
      <w:pPr>
        <w:pStyle w:val="41"/>
        <w:keepNext w:val="0"/>
        <w:keepLines w:val="0"/>
        <w:pageBreakBefore w:val="0"/>
        <w:widowControl w:val="0"/>
        <w:kinsoku/>
        <w:wordWrap/>
        <w:overflowPunct/>
        <w:topLinePunct w:val="0"/>
        <w:autoSpaceDE/>
        <w:autoSpaceDN/>
        <w:bidi w:val="0"/>
        <w:adjustRightInd w:val="0"/>
        <w:snapToGrid/>
        <w:textAlignment w:val="auto"/>
      </w:pPr>
      <w:r>
        <w:rPr>
          <w:rFonts w:hint="eastAsia"/>
          <w:lang w:val="en-US" w:eastAsia="zh-CN"/>
        </w:rPr>
        <w:t>转包</w:t>
      </w:r>
    </w:p>
    <w:p w14:paraId="6ABF76E0">
      <w:pPr>
        <w:pStyle w:val="42"/>
        <w:bidi w:val="0"/>
      </w:pPr>
      <w:r>
        <w:t>本项目不允许转包。</w:t>
      </w:r>
    </w:p>
    <w:p w14:paraId="7107FD9F">
      <w:pPr>
        <w:pStyle w:val="41"/>
        <w:bidi w:val="0"/>
      </w:pPr>
      <w:r>
        <w:rPr>
          <w:rFonts w:hint="eastAsia"/>
          <w:lang w:val="en-US" w:eastAsia="zh-CN"/>
        </w:rPr>
        <w:t>分包</w:t>
      </w:r>
    </w:p>
    <w:p w14:paraId="3ACD181C">
      <w:pPr>
        <w:pStyle w:val="52"/>
        <w:numPr>
          <w:ilvl w:val="0"/>
          <w:numId w:val="7"/>
        </w:numPr>
        <w:bidi w:val="0"/>
      </w:pPr>
      <w:r>
        <w:rPr>
          <w:rFonts w:hint="eastAsia"/>
          <w:lang w:val="en-US" w:eastAsia="zh-CN"/>
        </w:rPr>
        <w:t>本项目是否允许分包详见</w:t>
      </w:r>
      <w:r>
        <w:t>本章“前附表”规定</w:t>
      </w:r>
      <w:r>
        <w:rPr>
          <w:rFonts w:hint="eastAsia"/>
          <w:lang w:eastAsia="zh-CN"/>
        </w:rPr>
        <w:t>；</w:t>
      </w:r>
    </w:p>
    <w:p w14:paraId="1076B069">
      <w:pPr>
        <w:pStyle w:val="52"/>
        <w:numPr>
          <w:ilvl w:val="0"/>
          <w:numId w:val="7"/>
        </w:numPr>
        <w:bidi w:val="0"/>
      </w:pPr>
      <w:r>
        <w:t>如本章“前附表”规定“</w:t>
      </w:r>
      <w:r>
        <w:rPr>
          <w:rFonts w:hint="eastAsia"/>
          <w:lang w:val="en-US" w:eastAsia="zh-CN"/>
        </w:rPr>
        <w:t>允许分包</w:t>
      </w:r>
      <w:r>
        <w:t>”的</w:t>
      </w:r>
      <w:r>
        <w:rPr>
          <w:rFonts w:hint="eastAsia"/>
          <w:lang w:eastAsia="zh-CN"/>
        </w:rPr>
        <w:t>，</w:t>
      </w:r>
      <w:r>
        <w:rPr>
          <w:rFonts w:hint="eastAsia"/>
        </w:rPr>
        <w:t>投标人根据采购项目的实际情况，拟在中标后将中标项目的非主体、非关键性工作分包的，应当在投标文件中载明分包承担主体，分包承担主体应当具备相应资质条件且不得再次分包</w:t>
      </w:r>
      <w:r>
        <w:rPr>
          <w:rFonts w:hint="eastAsia"/>
          <w:lang w:eastAsia="zh-CN"/>
        </w:rPr>
        <w:t>，</w:t>
      </w:r>
      <w:r>
        <w:rPr>
          <w:rFonts w:hint="eastAsia"/>
        </w:rPr>
        <w:t>中标供应商就采购项目和分包项目向采购人负责，分包供应商就分包项目承担责任</w:t>
      </w:r>
      <w:r>
        <w:t>。</w:t>
      </w:r>
    </w:p>
    <w:p w14:paraId="55A24017">
      <w:pPr>
        <w:pStyle w:val="45"/>
      </w:pPr>
      <w:r>
        <w:rPr>
          <w:rFonts w:hint="eastAsia"/>
        </w:rPr>
        <w:t>踏勘现场</w:t>
      </w:r>
    </w:p>
    <w:p w14:paraId="02586597">
      <w:pPr>
        <w:pStyle w:val="52"/>
        <w:numPr>
          <w:ilvl w:val="0"/>
          <w:numId w:val="8"/>
        </w:numPr>
        <w:bidi w:val="0"/>
      </w:pPr>
      <w:r>
        <w:rPr>
          <w:rFonts w:hint="eastAsia"/>
          <w:lang w:val="en-US" w:eastAsia="zh-CN"/>
        </w:rPr>
        <w:t>本项目是否组织</w:t>
      </w:r>
      <w:r>
        <w:rPr>
          <w:rFonts w:hint="eastAsia"/>
        </w:rPr>
        <w:t>踏勘现场</w:t>
      </w:r>
      <w:r>
        <w:rPr>
          <w:rFonts w:hint="eastAsia"/>
          <w:lang w:val="en-US" w:eastAsia="zh-CN"/>
        </w:rPr>
        <w:t>详见</w:t>
      </w:r>
      <w:r>
        <w:t>本章“前附表”规定</w:t>
      </w:r>
      <w:r>
        <w:rPr>
          <w:rFonts w:hint="eastAsia"/>
          <w:lang w:eastAsia="zh-CN"/>
        </w:rPr>
        <w:t>；</w:t>
      </w:r>
    </w:p>
    <w:p w14:paraId="2C030B61">
      <w:pPr>
        <w:pStyle w:val="52"/>
        <w:numPr>
          <w:ilvl w:val="0"/>
          <w:numId w:val="8"/>
        </w:numPr>
        <w:bidi w:val="0"/>
      </w:pPr>
      <w:r>
        <w:t>如本章“前附表”规定“不组织”的，供应商如觉得有必要，可自行前往踏勘现场。</w:t>
      </w:r>
    </w:p>
    <w:p w14:paraId="7619BFCD">
      <w:pPr>
        <w:pStyle w:val="52"/>
        <w:numPr>
          <w:ilvl w:val="0"/>
          <w:numId w:val="8"/>
        </w:numPr>
        <w:bidi w:val="0"/>
      </w:pPr>
      <w:r>
        <w:rPr>
          <w:rFonts w:hint="eastAsia"/>
          <w:lang w:val="en-US" w:eastAsia="zh-Hans"/>
        </w:rPr>
        <w:t>如</w:t>
      </w:r>
      <w:r>
        <w:t>本章“前附表”规定“统一组织”的，供应商应按规定的时间、地点准时出席，否则将不予单独安排。</w:t>
      </w:r>
    </w:p>
    <w:p w14:paraId="22492F42">
      <w:pPr>
        <w:pStyle w:val="52"/>
        <w:numPr>
          <w:ilvl w:val="0"/>
          <w:numId w:val="8"/>
        </w:numPr>
        <w:bidi w:val="0"/>
      </w:pPr>
      <w:r>
        <w:t>供应商踏勘现场发生的费用自理。</w:t>
      </w:r>
    </w:p>
    <w:p w14:paraId="305398F5">
      <w:pPr>
        <w:pStyle w:val="52"/>
        <w:numPr>
          <w:ilvl w:val="0"/>
          <w:numId w:val="8"/>
        </w:numPr>
        <w:bidi w:val="0"/>
      </w:pPr>
      <w:r>
        <w:t>除招标人的原因外，供应商自行负责在踏勘现场中可能发生的人员伤亡和财产损失。</w:t>
      </w:r>
    </w:p>
    <w:p w14:paraId="1CA3EE81">
      <w:pPr>
        <w:pStyle w:val="52"/>
        <w:numPr>
          <w:ilvl w:val="0"/>
          <w:numId w:val="8"/>
        </w:numPr>
        <w:bidi w:val="0"/>
      </w:pPr>
      <w:r>
        <w:t>招标人在踏勘现场中介绍的场地和相关的周边环境情况，供应商在编制投标文件时参考，招标人不对供应商据此作出的判断和决策负责。</w:t>
      </w:r>
    </w:p>
    <w:p w14:paraId="2C26E65E">
      <w:pPr>
        <w:pStyle w:val="45"/>
      </w:pPr>
      <w:r>
        <w:rPr>
          <w:rFonts w:hint="eastAsia"/>
        </w:rPr>
        <w:t>投标预备会/答疑会</w:t>
      </w:r>
    </w:p>
    <w:p w14:paraId="3ADFB36A">
      <w:pPr>
        <w:pStyle w:val="52"/>
        <w:numPr>
          <w:ilvl w:val="0"/>
          <w:numId w:val="9"/>
        </w:numPr>
        <w:bidi w:val="0"/>
      </w:pPr>
      <w:r>
        <w:rPr>
          <w:rFonts w:hint="eastAsia"/>
          <w:lang w:val="en-US" w:eastAsia="zh-CN"/>
        </w:rPr>
        <w:t>本项目是否召开</w:t>
      </w:r>
      <w:r>
        <w:rPr>
          <w:rFonts w:hint="eastAsia"/>
        </w:rPr>
        <w:t>投标预备会/答疑会</w:t>
      </w:r>
      <w:r>
        <w:rPr>
          <w:rFonts w:hint="eastAsia"/>
          <w:lang w:val="en-US" w:eastAsia="zh-CN"/>
        </w:rPr>
        <w:t>详见</w:t>
      </w:r>
      <w:r>
        <w:t>本章“前附表”规定</w:t>
      </w:r>
      <w:r>
        <w:rPr>
          <w:rFonts w:hint="eastAsia"/>
          <w:lang w:eastAsia="zh-CN"/>
        </w:rPr>
        <w:t>；</w:t>
      </w:r>
    </w:p>
    <w:p w14:paraId="6F3F7952">
      <w:pPr>
        <w:pStyle w:val="52"/>
        <w:numPr>
          <w:ilvl w:val="0"/>
          <w:numId w:val="4"/>
        </w:numPr>
        <w:bidi w:val="0"/>
      </w:pPr>
      <w:r>
        <w:t>如本章“前附表”规定</w:t>
      </w:r>
      <w:r>
        <w:rPr>
          <w:rFonts w:hint="eastAsia"/>
          <w:lang w:eastAsia="zh-CN"/>
        </w:rPr>
        <w:t>“</w:t>
      </w:r>
      <w:r>
        <w:t>召开</w:t>
      </w:r>
      <w:r>
        <w:rPr>
          <w:rFonts w:hint="eastAsia"/>
          <w:lang w:eastAsia="zh-CN"/>
        </w:rPr>
        <w:t>”</w:t>
      </w:r>
      <w:r>
        <w:t>答疑会的，招标人将按规定的时间、地点准时召开答疑会，澄清供应商提出的问题，供应商应按规定准时出席，否则将不予单独安排答疑。</w:t>
      </w:r>
    </w:p>
    <w:p w14:paraId="525E883A">
      <w:pPr>
        <w:pStyle w:val="52"/>
        <w:numPr>
          <w:ilvl w:val="0"/>
          <w:numId w:val="4"/>
        </w:numPr>
        <w:bidi w:val="0"/>
      </w:pPr>
      <w:r>
        <w:t>供应商应在答疑会时间的前一天，以书面形式将提出的问题送达招标人，以便招标人在会议期间澄清。</w:t>
      </w:r>
    </w:p>
    <w:p w14:paraId="03325FA1">
      <w:pPr>
        <w:pStyle w:val="52"/>
        <w:numPr>
          <w:ilvl w:val="0"/>
          <w:numId w:val="4"/>
        </w:numPr>
        <w:bidi w:val="0"/>
      </w:pPr>
      <w:r>
        <w:t>答疑会后，招标人将按规定对供应商所提问题进行书面澄清答复。</w:t>
      </w:r>
    </w:p>
    <w:p w14:paraId="664FF2ED">
      <w:pPr>
        <w:pStyle w:val="45"/>
      </w:pPr>
      <w:r>
        <w:rPr>
          <w:rFonts w:hint="eastAsia"/>
        </w:rPr>
        <w:t>联合体</w:t>
      </w:r>
      <w:r>
        <w:rPr>
          <w:rFonts w:hint="eastAsia"/>
          <w:lang w:eastAsia="zh-CN"/>
        </w:rPr>
        <w:t>投标</w:t>
      </w:r>
    </w:p>
    <w:p w14:paraId="22125B1B">
      <w:pPr>
        <w:pStyle w:val="42"/>
        <w:ind w:firstLine="480"/>
        <w:rPr>
          <w:rFonts w:hint="default"/>
          <w:lang w:val="en-US" w:eastAsia="zh-CN"/>
        </w:rPr>
      </w:pPr>
      <w:r>
        <w:rPr>
          <w:rFonts w:hint="eastAsia"/>
          <w:lang w:val="en-US" w:eastAsia="zh-CN"/>
        </w:rPr>
        <w:t>本项目是否接受联合体投标详见本项目招标公告。</w:t>
      </w:r>
    </w:p>
    <w:p w14:paraId="2E0306D2">
      <w:pPr>
        <w:pStyle w:val="42"/>
        <w:ind w:firstLine="480"/>
      </w:pPr>
      <w:r>
        <w:rPr>
          <w:rFonts w:hint="eastAsia"/>
          <w:lang w:eastAsia="zh-CN"/>
        </w:rPr>
        <w:t>如</w:t>
      </w:r>
      <w:r>
        <w:rPr>
          <w:rFonts w:hint="eastAsia"/>
        </w:rPr>
        <w:t>“招标公告”规定</w:t>
      </w:r>
      <w:r>
        <w:rPr>
          <w:rFonts w:hint="eastAsia"/>
          <w:lang w:eastAsia="zh-CN"/>
        </w:rPr>
        <w:t>本项目接受</w:t>
      </w:r>
      <w:r>
        <w:rPr>
          <w:rFonts w:hint="eastAsia"/>
        </w:rPr>
        <w:t>联合体投标的，</w:t>
      </w:r>
      <w:r>
        <w:rPr>
          <w:rFonts w:hint="eastAsia"/>
          <w:lang w:eastAsia="zh-CN"/>
        </w:rPr>
        <w:t>则</w:t>
      </w:r>
      <w:r>
        <w:rPr>
          <w:rFonts w:hint="eastAsia"/>
        </w:rPr>
        <w:t>应遵守以下规定：</w:t>
      </w:r>
    </w:p>
    <w:p w14:paraId="25A4EC19">
      <w:pPr>
        <w:pStyle w:val="52"/>
        <w:numPr>
          <w:ilvl w:val="0"/>
          <w:numId w:val="10"/>
        </w:numPr>
        <w:ind w:firstLine="480"/>
        <w:rPr>
          <w:rFonts w:hint="default"/>
        </w:rPr>
      </w:pPr>
      <w:r>
        <w:rPr>
          <w:color w:val="auto"/>
        </w:rPr>
        <w:t>两个以上供应商可以组成一个联合体，以一个供应商的身份共同参加投标。以联合体形式参加本项目投标的，联合体的各成员均应当具备“招标公告”中“申请人的资格要求”</w:t>
      </w:r>
      <w:r>
        <w:rPr>
          <w:rFonts w:hint="eastAsia"/>
          <w:color w:val="auto"/>
          <w:lang w:val="en-US" w:eastAsia="zh-CN"/>
        </w:rPr>
        <w:t>及</w:t>
      </w:r>
      <w:r>
        <w:rPr>
          <w:color w:val="auto"/>
        </w:rPr>
        <w:t>“特定资格</w:t>
      </w:r>
      <w:r>
        <w:t>；</w:t>
      </w:r>
    </w:p>
    <w:p w14:paraId="41C3A65B">
      <w:pPr>
        <w:pStyle w:val="52"/>
        <w:numPr>
          <w:ilvl w:val="0"/>
          <w:numId w:val="11"/>
        </w:numPr>
        <w:bidi w:val="0"/>
        <w:rPr>
          <w:rFonts w:hint="default"/>
        </w:rPr>
      </w:pPr>
      <w:r>
        <w:t>联合体各方之间须签订联合投标协议，明确约定联合体各方承担的工作和相应的责任以及各方的协议合同金额比例，在投标联合协议中指定本项目主办人，并将联合投标协议作为投标文件组成的一部分。本项目的主体、关键性工作须由主办人完成，并在投标联合协议中进行说明；</w:t>
      </w:r>
    </w:p>
    <w:p w14:paraId="3C73F0FC">
      <w:pPr>
        <w:pStyle w:val="52"/>
        <w:numPr>
          <w:ilvl w:val="0"/>
          <w:numId w:val="11"/>
        </w:numPr>
        <w:bidi w:val="0"/>
        <w:rPr>
          <w:rFonts w:hint="default"/>
        </w:rPr>
      </w:pPr>
      <w:r>
        <w:t>联合体各方签订投标联合协议后，不得再以自己名义单独在本项目中参加投标，也不得组成新的联合体参加本项目投标；</w:t>
      </w:r>
    </w:p>
    <w:p w14:paraId="2A93731F">
      <w:pPr>
        <w:pStyle w:val="52"/>
        <w:numPr>
          <w:ilvl w:val="0"/>
          <w:numId w:val="11"/>
        </w:numPr>
        <w:bidi w:val="0"/>
        <w:rPr>
          <w:rFonts w:hint="default"/>
        </w:rPr>
      </w:pPr>
      <w:r>
        <w:t>由联合投标协议书中载明的主办人按规定进行签、章以及采购合同签订，对联合体各成员方同样具有约束力；</w:t>
      </w:r>
    </w:p>
    <w:p w14:paraId="1D49682E">
      <w:pPr>
        <w:pStyle w:val="52"/>
        <w:numPr>
          <w:ilvl w:val="0"/>
          <w:numId w:val="11"/>
        </w:numPr>
        <w:bidi w:val="0"/>
        <w:rPr>
          <w:rFonts w:hint="default"/>
        </w:rPr>
      </w:pPr>
      <w:r>
        <w:t>联合体形式参加政府采购的，履约保证金、采购代理服务费可由主办人一方缴纳，也可以由联合体各方按联合投标协议书约定共同缴纳。</w:t>
      </w:r>
    </w:p>
    <w:p w14:paraId="5AA0D2C3">
      <w:pPr>
        <w:pStyle w:val="45"/>
      </w:pPr>
      <w:r>
        <w:rPr>
          <w:rFonts w:hint="eastAsia"/>
        </w:rPr>
        <w:t>本项目需要落实的政府采购政策</w:t>
      </w:r>
    </w:p>
    <w:p w14:paraId="3B0E232C">
      <w:pPr>
        <w:pStyle w:val="41"/>
        <w:bidi w:val="0"/>
      </w:pPr>
      <w:r>
        <w:rPr>
          <w:rFonts w:hint="eastAsia"/>
        </w:rPr>
        <w:t>支持中小企业、残疾人福利性单位、监狱企业发展</w:t>
      </w:r>
    </w:p>
    <w:p w14:paraId="67DABC8F">
      <w:pPr>
        <w:pStyle w:val="46"/>
        <w:keepNext w:val="0"/>
        <w:keepLines w:val="0"/>
        <w:pageBreakBefore w:val="0"/>
        <w:widowControl w:val="0"/>
        <w:kinsoku/>
        <w:wordWrap/>
        <w:overflowPunct/>
        <w:topLinePunct w:val="0"/>
        <w:autoSpaceDE/>
        <w:autoSpaceDN/>
        <w:bidi w:val="0"/>
        <w:adjustRightInd w:val="0"/>
        <w:snapToGrid/>
        <w:ind w:left="0" w:firstLine="482"/>
        <w:textAlignment w:val="auto"/>
      </w:pPr>
      <w:r>
        <w:rPr>
          <w:rFonts w:hint="eastAsia"/>
        </w:rPr>
        <w:t>支持对象</w:t>
      </w:r>
    </w:p>
    <w:p w14:paraId="323D9D88">
      <w:pPr>
        <w:pStyle w:val="42"/>
        <w:ind w:firstLine="480"/>
      </w:pPr>
      <w:r>
        <w:rPr>
          <w:rFonts w:hint="eastAsia"/>
        </w:rPr>
        <w:t>中小企业</w:t>
      </w:r>
      <w:r>
        <w:rPr>
          <w:rFonts w:hint="eastAsia"/>
          <w:lang w:eastAsia="zh-CN"/>
        </w:rPr>
        <w:t>，</w:t>
      </w:r>
      <w:r>
        <w:rPr>
          <w:rFonts w:hint="eastAsia"/>
        </w:rPr>
        <w:t>系指在中华人民共和国境内依法设立，依据国务院批准的中小企业划分标准确定的中型企业、小型企业和微型企业，但与大企业的负责人为同一人，或者与大企业存在直接控股、管理关系的除外。</w:t>
      </w:r>
    </w:p>
    <w:p w14:paraId="342807FB">
      <w:pPr>
        <w:pStyle w:val="42"/>
        <w:ind w:firstLine="482"/>
        <w:rPr>
          <w:b/>
          <w:bCs/>
          <w:lang w:eastAsia="zh-CN"/>
        </w:rPr>
      </w:pPr>
      <w:r>
        <w:rPr>
          <w:rFonts w:hint="eastAsia"/>
          <w:b/>
          <w:bCs/>
          <w:lang w:eastAsia="zh-CN"/>
        </w:rPr>
        <w:t>本项目采购标的对应的中小企业划分标准所属行业见本章“前附表”。</w:t>
      </w:r>
    </w:p>
    <w:p w14:paraId="14815E57">
      <w:pPr>
        <w:pStyle w:val="54"/>
        <w:ind w:firstLine="480"/>
      </w:pPr>
      <w:r>
        <w:rPr>
          <w:rFonts w:hint="eastAsia"/>
        </w:rPr>
        <w:t>符合中小企业划分标准的个体工商户在政府采购活动中视同中小企业；</w:t>
      </w:r>
    </w:p>
    <w:p w14:paraId="538C7C26">
      <w:pPr>
        <w:pStyle w:val="54"/>
        <w:ind w:firstLine="480"/>
      </w:pPr>
      <w:r>
        <w:rPr>
          <w:rFonts w:hint="eastAsia"/>
        </w:rPr>
        <w:t>符合《关于促进残疾人就业政府采购政策的通知》（财库〔2017〕141号）规定的条件并提供《残疾人福利性单位声明函》的残疾人福利性单位视同小型、微型企业；</w:t>
      </w:r>
    </w:p>
    <w:p w14:paraId="4EEE6134">
      <w:pPr>
        <w:pStyle w:val="54"/>
        <w:ind w:firstLine="480"/>
      </w:pPr>
      <w:r>
        <w:rPr>
          <w:rFonts w:hint="eastAsia"/>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7F5A3E05">
      <w:pPr>
        <w:pStyle w:val="54"/>
        <w:ind w:firstLine="480"/>
      </w:pPr>
      <w:r>
        <w:rPr>
          <w:rFonts w:hint="eastAsia"/>
        </w:rPr>
        <w:t>以联合体形式参加政府采购活动，联合体各方均为中小企业的，联合体视同中小企业。其中，联合体各方均为小微企业的，联合体视同小微企业。</w:t>
      </w:r>
    </w:p>
    <w:p w14:paraId="72EECC06">
      <w:pPr>
        <w:pStyle w:val="42"/>
        <w:ind w:firstLine="480"/>
        <w:rPr>
          <w:u w:val="single"/>
          <w:lang w:eastAsia="zh-CN"/>
        </w:rPr>
      </w:pPr>
      <w:r>
        <w:rPr>
          <w:rFonts w:hint="eastAsia"/>
          <w:u w:val="single"/>
          <w:lang w:eastAsia="zh-CN"/>
        </w:rPr>
        <w:t>除上述情形以及其他法律法规和国家有关政策明确规定外，其他事业单位、社会组织等</w:t>
      </w:r>
      <w:r>
        <w:rPr>
          <w:rFonts w:hint="eastAsia"/>
          <w:b/>
          <w:bCs/>
          <w:u w:val="single"/>
          <w:lang w:eastAsia="zh-CN"/>
        </w:rPr>
        <w:t>非企业主体</w:t>
      </w:r>
      <w:r>
        <w:rPr>
          <w:rFonts w:hint="eastAsia"/>
          <w:u w:val="single"/>
          <w:lang w:eastAsia="zh-CN"/>
        </w:rPr>
        <w:t>不享受中小企业有关优惠政策。</w:t>
      </w:r>
    </w:p>
    <w:p w14:paraId="0FE0FE0E">
      <w:pPr>
        <w:pStyle w:val="46"/>
        <w:ind w:firstLine="482"/>
      </w:pPr>
      <w:r>
        <w:rPr>
          <w:rFonts w:hint="eastAsia"/>
        </w:rPr>
        <w:t>支持条件</w:t>
      </w:r>
    </w:p>
    <w:p w14:paraId="4BD5338E">
      <w:pPr>
        <w:pStyle w:val="52"/>
        <w:numPr>
          <w:ilvl w:val="0"/>
          <w:numId w:val="12"/>
        </w:numPr>
        <w:bidi w:val="0"/>
        <w:rPr>
          <w:u w:val="single"/>
        </w:rPr>
      </w:pPr>
      <w:r>
        <w:rPr>
          <w:rFonts w:hint="eastAsia"/>
          <w:u w:val="single"/>
        </w:rPr>
        <w:t>在政府采购活动中，投标人提供的货物、工程或者服务符合下列情形的，享受中小企业扶持政策：</w:t>
      </w:r>
    </w:p>
    <w:p w14:paraId="553B41B9">
      <w:pPr>
        <w:pStyle w:val="53"/>
        <w:bidi w:val="0"/>
      </w:pPr>
      <w:r>
        <w:rPr>
          <w:rFonts w:hint="eastAsia"/>
        </w:rPr>
        <w:t>在货物采购项目中，货物全部由中小企业制造，即货物全部由中小企业生产且使用该中小企业商号或者注册商标；</w:t>
      </w:r>
    </w:p>
    <w:p w14:paraId="11B4B762">
      <w:pPr>
        <w:pStyle w:val="53"/>
        <w:bidi w:val="0"/>
      </w:pPr>
      <w:r>
        <w:rPr>
          <w:rFonts w:hint="eastAsia"/>
        </w:rPr>
        <w:t>在工程采购项目中，工程全部由中小企业承建，即工程施工单位为全部中小企业；</w:t>
      </w:r>
    </w:p>
    <w:p w14:paraId="059F716D">
      <w:pPr>
        <w:pStyle w:val="53"/>
        <w:bidi w:val="0"/>
      </w:pPr>
      <w:r>
        <w:rPr>
          <w:rFonts w:hint="eastAsia"/>
        </w:rPr>
        <w:t>在服务采购项目中，服务全部由中小企业承接，即提供服务的人员全部为中小企业依照《中华人民共和国劳动合同法》订立劳动合同的从业人员。</w:t>
      </w:r>
    </w:p>
    <w:p w14:paraId="1BEDB0CC">
      <w:pPr>
        <w:pStyle w:val="52"/>
        <w:bidi w:val="0"/>
        <w:rPr>
          <w:u w:val="single"/>
        </w:rPr>
      </w:pPr>
      <w:r>
        <w:rPr>
          <w:rFonts w:hint="eastAsia"/>
          <w:u w:val="single"/>
        </w:rPr>
        <w:t>以下情形不享受中小企业扶持政策，即在未</w:t>
      </w:r>
      <w:r>
        <w:rPr>
          <w:u w:val="single"/>
        </w:rPr>
        <w:t>专门面向中小企业预留采购份额</w:t>
      </w:r>
      <w:r>
        <w:rPr>
          <w:rFonts w:hint="eastAsia"/>
          <w:u w:val="single"/>
        </w:rPr>
        <w:t>得项目中不享受价格扣除优惠政策，在</w:t>
      </w:r>
      <w:r>
        <w:rPr>
          <w:u w:val="single"/>
        </w:rPr>
        <w:t>专门面向中小企业预留采购份额</w:t>
      </w:r>
      <w:r>
        <w:rPr>
          <w:rFonts w:hint="eastAsia"/>
          <w:u w:val="single"/>
        </w:rPr>
        <w:t>的项目中视为资格审查不通过：</w:t>
      </w:r>
    </w:p>
    <w:p w14:paraId="65E63E03">
      <w:pPr>
        <w:pStyle w:val="53"/>
        <w:numPr>
          <w:ilvl w:val="0"/>
          <w:numId w:val="13"/>
        </w:numPr>
        <w:bidi w:val="0"/>
      </w:pPr>
      <w:r>
        <w:rPr>
          <w:rFonts w:hint="eastAsia"/>
        </w:rPr>
        <w:t>在货物采购项目中，投标人提供的货物既有中小企业制造货物，也有大型企业制造货物的；</w:t>
      </w:r>
    </w:p>
    <w:p w14:paraId="4D16F1EF">
      <w:pPr>
        <w:pStyle w:val="53"/>
        <w:numPr>
          <w:ilvl w:val="0"/>
          <w:numId w:val="13"/>
        </w:numPr>
        <w:bidi w:val="0"/>
      </w:pPr>
      <w:r>
        <w:rPr>
          <w:rFonts w:hint="eastAsia"/>
        </w:rPr>
        <w:t>组成联合体或者接受分包的小微企业与联合体内其他企业、分包企业之间存在直接控股、管理关系的；</w:t>
      </w:r>
    </w:p>
    <w:p w14:paraId="6A3DDA7B">
      <w:pPr>
        <w:pStyle w:val="53"/>
        <w:numPr>
          <w:ilvl w:val="0"/>
          <w:numId w:val="13"/>
        </w:numPr>
        <w:bidi w:val="0"/>
      </w:pPr>
      <w:r>
        <w:rPr>
          <w:rFonts w:hint="eastAsia"/>
        </w:rPr>
        <w:t>中小微企业未提供《中小企业声明函》、残疾人福利性单位未提供《残疾人福利性单位声明函》、监狱企业未提供省级以上监狱管理局、戒毒管理局（含新疆生产建设兵团）出具的属于监狱企业证明文件的。</w:t>
      </w:r>
    </w:p>
    <w:p w14:paraId="6B53024A">
      <w:pPr>
        <w:pStyle w:val="46"/>
        <w:bidi w:val="0"/>
      </w:pPr>
      <w:r>
        <w:rPr>
          <w:rFonts w:hint="eastAsia"/>
        </w:rPr>
        <w:t>支持方式</w:t>
      </w:r>
    </w:p>
    <w:p w14:paraId="6A06CAA1">
      <w:pPr>
        <w:pStyle w:val="52"/>
        <w:numPr>
          <w:ilvl w:val="0"/>
          <w:numId w:val="14"/>
        </w:numPr>
        <w:bidi w:val="0"/>
        <w:rPr>
          <w:u w:val="single"/>
        </w:rPr>
      </w:pPr>
      <w:r>
        <w:rPr>
          <w:rFonts w:hint="eastAsia"/>
          <w:u w:val="single"/>
        </w:rPr>
        <w:t>对于预留份额专门面向中小企业的政府采购项目通过下列措施之一进行：</w:t>
      </w:r>
    </w:p>
    <w:p w14:paraId="108F7B83">
      <w:pPr>
        <w:pStyle w:val="53"/>
        <w:numPr>
          <w:ilvl w:val="0"/>
          <w:numId w:val="15"/>
        </w:numPr>
        <w:bidi w:val="0"/>
      </w:pPr>
      <w:r>
        <w:t>将采购项目整体或者设置采购包专门面向中小企 业采购；</w:t>
      </w:r>
    </w:p>
    <w:p w14:paraId="01DF7A0F">
      <w:pPr>
        <w:pStyle w:val="53"/>
        <w:numPr>
          <w:ilvl w:val="0"/>
          <w:numId w:val="15"/>
        </w:numPr>
        <w:bidi w:val="0"/>
      </w:pPr>
      <w:r>
        <w:t>要求供应商以联合体形式参加采购活动，且联合体中中小企业承担的部分达到一定比例；</w:t>
      </w:r>
    </w:p>
    <w:p w14:paraId="490FA01F">
      <w:pPr>
        <w:pStyle w:val="53"/>
        <w:numPr>
          <w:ilvl w:val="0"/>
          <w:numId w:val="15"/>
        </w:numPr>
        <w:bidi w:val="0"/>
      </w:pPr>
      <w:r>
        <w:t>要求获得采购合同的供应商将采购项目中的一定比例分包给一家或者多家中小企业。</w:t>
      </w:r>
    </w:p>
    <w:p w14:paraId="5465EEDD">
      <w:pPr>
        <w:pStyle w:val="52"/>
        <w:bidi w:val="0"/>
        <w:rPr>
          <w:u w:val="single"/>
        </w:rPr>
      </w:pPr>
      <w:r>
        <w:rPr>
          <w:rFonts w:hint="eastAsia"/>
          <w:u w:val="single"/>
        </w:rPr>
        <w:t>对于未预留份额专门面向中小企业的政府采购项目，以及预留份额政府采购项目中的非预留部分标项：</w:t>
      </w:r>
    </w:p>
    <w:p w14:paraId="41505143">
      <w:pPr>
        <w:pStyle w:val="53"/>
        <w:numPr>
          <w:ilvl w:val="0"/>
          <w:numId w:val="16"/>
        </w:numPr>
        <w:bidi w:val="0"/>
      </w:pPr>
      <w:r>
        <w:rPr>
          <w:rFonts w:hint="eastAsia"/>
        </w:rPr>
        <w:t>对小型和微型企业的投标报价给予一定比例的扣除，用扣除后的价格参与评审；</w:t>
      </w:r>
    </w:p>
    <w:p w14:paraId="0D136AEE">
      <w:pPr>
        <w:pStyle w:val="53"/>
        <w:numPr>
          <w:ilvl w:val="0"/>
          <w:numId w:val="16"/>
        </w:numPr>
        <w:bidi w:val="0"/>
      </w:pPr>
      <w:r>
        <w:rPr>
          <w:rFonts w:hint="eastAsia"/>
        </w:rPr>
        <w:t>接受大中型企业与小微企业组成联合体或者允许大中型企业向一家或者多家小微企业分包的政府采购项目，对于联合协议或者分包意向协议约定小微企业的合同份额占到合同总金额一定比例以上的，对联合体或者大中型企业的报价给予一定比例的扣除，用扣除后的价格参加评审。</w:t>
      </w:r>
    </w:p>
    <w:p w14:paraId="567631D1">
      <w:pPr>
        <w:pStyle w:val="42"/>
        <w:ind w:firstLine="480"/>
        <w:rPr>
          <w:u w:val="single"/>
        </w:rPr>
      </w:pPr>
      <w:r>
        <w:rPr>
          <w:rFonts w:hint="eastAsia"/>
          <w:u w:val="single"/>
        </w:rPr>
        <w:t>本项目具体支持方式见“招标公告”及“第五章 评审办法和标准”。</w:t>
      </w:r>
    </w:p>
    <w:p w14:paraId="763A4CC5">
      <w:pPr>
        <w:pStyle w:val="52"/>
        <w:bidi w:val="0"/>
        <w:rPr>
          <w:rFonts w:hint="default"/>
          <w:u w:val="single"/>
        </w:rPr>
      </w:pPr>
      <w:r>
        <w:rPr>
          <w:u w:val="single"/>
        </w:rPr>
        <w:t>投标人提供的声明或证明材料与实际情况不符的，属于提供虚假材料谋取中标、成交的行为，不享受中小企业扶持政策且将依法承担法律责任。</w:t>
      </w:r>
    </w:p>
    <w:p w14:paraId="127D975A">
      <w:pPr>
        <w:pStyle w:val="41"/>
        <w:bidi w:val="0"/>
      </w:pPr>
      <w:bookmarkStart w:id="21" w:name="_Toc661102123"/>
      <w:r>
        <w:t>支持绿色发展</w:t>
      </w:r>
      <w:bookmarkEnd w:id="21"/>
    </w:p>
    <w:p w14:paraId="63BE753F">
      <w:pPr>
        <w:pStyle w:val="42"/>
        <w:ind w:firstLine="480"/>
      </w:pPr>
      <w:r>
        <w:rPr>
          <w:rFonts w:hint="eastAsia"/>
          <w:lang w:eastAsia="zh-CN"/>
        </w:rPr>
        <w:t>招标</w:t>
      </w:r>
      <w:r>
        <w:t>人拟采购的产品属于节能产品、环境标志产品实施品目清单范围的，将依据国家确定的认证机构出具的、处于有效期之内的节能产品、环境标志产品认证证书，对获得证书的产品实施政府优先采购或强制采购。供应商须按采购文件要求提供相关产品认证证书。</w:t>
      </w:r>
    </w:p>
    <w:p w14:paraId="43941D37">
      <w:pPr>
        <w:pStyle w:val="42"/>
        <w:ind w:firstLine="480"/>
      </w:pPr>
      <w:r>
        <w:rPr>
          <w:rFonts w:hint="eastAsia"/>
          <w:lang w:eastAsia="zh-CN"/>
        </w:rPr>
        <w:t>招标</w:t>
      </w:r>
      <w:r>
        <w:t>人拟采购的产品属于政府强制采购的节能产品品目清单范围的，供应商未按采购文件要求提供国家确定的认证机构出具的、处于有效期之内的节能产品认证证书的，响应文件无效。</w:t>
      </w:r>
    </w:p>
    <w:p w14:paraId="4A48C857">
      <w:pPr>
        <w:pStyle w:val="41"/>
        <w:ind w:firstLine="482"/>
      </w:pPr>
      <w:bookmarkStart w:id="22" w:name="_Toc62991683"/>
      <w:r>
        <w:t>支持创新发展</w:t>
      </w:r>
      <w:bookmarkEnd w:id="22"/>
    </w:p>
    <w:p w14:paraId="5C7DB0F9">
      <w:pPr>
        <w:pStyle w:val="42"/>
        <w:ind w:firstLine="480"/>
      </w:pPr>
      <w:r>
        <w:rPr>
          <w:rFonts w:hint="eastAsia"/>
          <w:lang w:eastAsia="zh-CN"/>
        </w:rPr>
        <w:t>招标</w:t>
      </w:r>
      <w:r>
        <w:t>人优先采购被认定为</w:t>
      </w:r>
      <w:r>
        <w:rPr>
          <w:rFonts w:hint="eastAsia"/>
          <w:lang w:eastAsia="zh-CN"/>
        </w:rPr>
        <w:t>“</w:t>
      </w:r>
      <w:r>
        <w:t>首台套产品</w:t>
      </w:r>
      <w:r>
        <w:rPr>
          <w:rFonts w:hint="eastAsia"/>
          <w:lang w:eastAsia="zh-CN"/>
        </w:rPr>
        <w:t>”</w:t>
      </w:r>
      <w:r>
        <w:t>和“制造精品”的自主创新产品。</w:t>
      </w:r>
    </w:p>
    <w:p w14:paraId="5FB54197">
      <w:pPr>
        <w:pStyle w:val="42"/>
        <w:ind w:firstLine="480"/>
      </w:pPr>
      <w:r>
        <w:t>“首台套产品</w:t>
      </w:r>
      <w:r>
        <w:rPr>
          <w:rFonts w:hint="eastAsia"/>
          <w:lang w:eastAsia="zh-CN"/>
        </w:rPr>
        <w:t>”</w:t>
      </w:r>
      <w:r>
        <w:t>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0A7CF759">
      <w:pPr>
        <w:pStyle w:val="41"/>
        <w:ind w:firstLine="482"/>
      </w:pPr>
      <w:bookmarkStart w:id="23" w:name="_Toc2139261857"/>
      <w:r>
        <w:rPr>
          <w:rFonts w:hint="eastAsia"/>
        </w:rPr>
        <w:t>支持本国生产的货物</w:t>
      </w:r>
      <w:bookmarkEnd w:id="23"/>
    </w:p>
    <w:p w14:paraId="7FC1E1AC">
      <w:pPr>
        <w:pStyle w:val="42"/>
        <w:bidi w:val="0"/>
        <w:rPr>
          <w:rFonts w:hint="eastAsia" w:eastAsia="宋体"/>
          <w:lang w:eastAsia="zh-CN"/>
        </w:rPr>
      </w:pPr>
      <w:r>
        <w:rPr>
          <w:rFonts w:hint="eastAsia"/>
        </w:rPr>
        <w:t>本项目原则上采购本国生产的货物</w:t>
      </w:r>
      <w:r>
        <w:rPr>
          <w:rFonts w:hint="eastAsia"/>
          <w:lang w:eastAsia="zh-CN"/>
        </w:rPr>
        <w:t>，</w:t>
      </w:r>
      <w:r>
        <w:rPr>
          <w:rFonts w:hint="eastAsia"/>
          <w:lang w:val="en-US" w:eastAsia="zh-CN"/>
        </w:rPr>
        <w:t>是否“允许采购进口产品”详见</w:t>
      </w:r>
      <w:r>
        <w:t>本章“前附表”规定</w:t>
      </w:r>
      <w:r>
        <w:rPr>
          <w:rFonts w:hint="eastAsia"/>
          <w:lang w:eastAsia="zh-CN"/>
        </w:rPr>
        <w:t>。</w:t>
      </w:r>
    </w:p>
    <w:p w14:paraId="0D28DD71">
      <w:pPr>
        <w:pStyle w:val="42"/>
        <w:ind w:firstLine="480"/>
        <w:rPr>
          <w:lang w:eastAsia="zh-CN"/>
        </w:rPr>
      </w:pPr>
      <w:r>
        <w:rPr>
          <w:rFonts w:hint="eastAsia"/>
          <w:highlight w:val="none"/>
          <w:lang w:eastAsia="zh-CN"/>
        </w:rPr>
        <w:t>如本章“前附表”规定“允许</w:t>
      </w:r>
      <w:r>
        <w:rPr>
          <w:rFonts w:hint="eastAsia"/>
          <w:highlight w:val="none"/>
          <w:lang w:val="en-US" w:eastAsia="zh-CN"/>
        </w:rPr>
        <w:t>采购进口产品</w:t>
      </w:r>
      <w:r>
        <w:rPr>
          <w:rFonts w:hint="eastAsia"/>
          <w:highlight w:val="none"/>
          <w:lang w:eastAsia="zh-CN"/>
        </w:rPr>
        <w:t>”的，</w:t>
      </w:r>
      <w:r>
        <w:rPr>
          <w:rFonts w:hint="eastAsia"/>
        </w:rPr>
        <w:t>表明招标人已经在采购活动开始前向财政部门提出申请并获得财政部门审核同意允许采购进口产品</w:t>
      </w:r>
      <w:r>
        <w:rPr>
          <w:rFonts w:hint="eastAsia"/>
          <w:lang w:eastAsia="zh-CN"/>
        </w:rPr>
        <w:t>。</w:t>
      </w:r>
    </w:p>
    <w:p w14:paraId="3E7AD217">
      <w:pPr>
        <w:pStyle w:val="42"/>
        <w:ind w:firstLine="480"/>
      </w:pPr>
      <w:r>
        <w:rPr>
          <w:rFonts w:hint="eastAsia"/>
        </w:rPr>
        <w:t>即使允许采购进口产品但不排斥满足需求的国内产品参与采购公平竞争。</w:t>
      </w:r>
    </w:p>
    <w:p w14:paraId="094D5DD7">
      <w:pPr>
        <w:pStyle w:val="42"/>
        <w:ind w:firstLine="480"/>
      </w:pPr>
      <w:r>
        <w:rPr>
          <w:rFonts w:hint="eastAsia"/>
        </w:rPr>
        <w:t>优先采购向我国企业转让技术、与我国企业签订消化吸收再创新方案的供应商的进口产品；</w:t>
      </w:r>
    </w:p>
    <w:p w14:paraId="46A319D3">
      <w:pPr>
        <w:pStyle w:val="42"/>
        <w:rPr>
          <w:rFonts w:hint="default"/>
        </w:rPr>
      </w:pPr>
      <w:r>
        <w:rPr>
          <w:rFonts w:hint="eastAsia"/>
        </w:rPr>
        <w:t>若进口产品需从中华人民共和国境外提供的，货物的最终用户须为招标人，投标人应委托招标人指定机构或者经招标人同意后自行委托具有进出口代理权的机构办理相关进口事宜，并承担因此产生的所有费用。</w:t>
      </w:r>
    </w:p>
    <w:p w14:paraId="09BCBE63">
      <w:pPr>
        <w:pStyle w:val="45"/>
      </w:pPr>
      <w:r>
        <w:rPr>
          <w:rFonts w:hint="eastAsia"/>
        </w:rPr>
        <w:t>对供应商的限制</w:t>
      </w:r>
    </w:p>
    <w:p w14:paraId="77A4839F">
      <w:pPr>
        <w:pStyle w:val="42"/>
        <w:ind w:firstLine="480"/>
      </w:pPr>
      <w:r>
        <w:rPr>
          <w:rFonts w:hint="eastAsia"/>
        </w:rPr>
        <w:t>违反以下规定</w:t>
      </w:r>
      <w:r>
        <w:rPr>
          <w:rFonts w:hint="eastAsia"/>
          <w:lang w:eastAsia="zh-CN"/>
        </w:rPr>
        <w:t>之一</w:t>
      </w:r>
      <w:r>
        <w:rPr>
          <w:rFonts w:hint="eastAsia"/>
        </w:rPr>
        <w:t>的，相关</w:t>
      </w:r>
      <w:r>
        <w:rPr>
          <w:rFonts w:hint="eastAsia"/>
          <w:lang w:eastAsia="zh-CN"/>
        </w:rPr>
        <w:t>当事人</w:t>
      </w:r>
      <w:r>
        <w:rPr>
          <w:rFonts w:hint="eastAsia"/>
        </w:rPr>
        <w:t>的投标均无效：</w:t>
      </w:r>
    </w:p>
    <w:p w14:paraId="2BC20594">
      <w:pPr>
        <w:pStyle w:val="52"/>
        <w:numPr>
          <w:ilvl w:val="0"/>
          <w:numId w:val="17"/>
        </w:numPr>
        <w:bidi w:val="0"/>
      </w:pPr>
      <w:r>
        <w:rPr>
          <w:rFonts w:hint="eastAsia"/>
        </w:rPr>
        <w:t>单位负责人（指法定代表人或者法律、行政法规规定代表单位行使职权的主要负责人）为同一人或者存在直接控股、管理关系的不同投标人不得分别参加同一合同项下的采购活动。</w:t>
      </w:r>
    </w:p>
    <w:p w14:paraId="1DCC7ECB">
      <w:pPr>
        <w:pStyle w:val="52"/>
        <w:numPr>
          <w:ilvl w:val="0"/>
          <w:numId w:val="17"/>
        </w:numPr>
        <w:bidi w:val="0"/>
      </w:pPr>
      <w:r>
        <w:rPr>
          <w:rFonts w:hint="eastAsia"/>
        </w:rPr>
        <w:t>为本项目提供过整体设计、规范编制或者项目管理、监理、检测等服务的供应商，不得再参加该采购项目的其他采购活动（不包括为该项目提供整体设计、规范编制或者项目管理、监理、检测等服务）；</w:t>
      </w:r>
    </w:p>
    <w:p w14:paraId="3FCF5F85">
      <w:pPr>
        <w:pStyle w:val="52"/>
        <w:numPr>
          <w:ilvl w:val="0"/>
          <w:numId w:val="17"/>
        </w:numPr>
        <w:bidi w:val="0"/>
      </w:pPr>
      <w:r>
        <w:rPr>
          <w:rFonts w:hint="eastAsia"/>
        </w:rPr>
        <w:t>以联合体形式参加政府采购活动的，联合体各方不得再单独参加或者与其他供应商另外组成联合体参加同一合同项下的政府采购活动；</w:t>
      </w:r>
    </w:p>
    <w:p w14:paraId="3C0A9821">
      <w:pPr>
        <w:pStyle w:val="52"/>
        <w:numPr>
          <w:ilvl w:val="0"/>
          <w:numId w:val="17"/>
        </w:numPr>
        <w:bidi w:val="0"/>
      </w:pPr>
      <w:r>
        <w:rPr>
          <w:rFonts w:hint="eastAsia"/>
        </w:rPr>
        <w:t>公益一类事业单位、使用事业编制且由财政拨款保障的群团组织不作为政府购买服务</w:t>
      </w:r>
      <w:r>
        <w:rPr>
          <w:rFonts w:hint="eastAsia"/>
          <w:lang w:val="en-US" w:eastAsia="zh-CN"/>
        </w:rPr>
        <w:t>的</w:t>
      </w:r>
      <w:r>
        <w:rPr>
          <w:rFonts w:hint="eastAsia"/>
        </w:rPr>
        <w:t>承接主体‌。</w:t>
      </w:r>
    </w:p>
    <w:p w14:paraId="46AE5282">
      <w:pPr>
        <w:pStyle w:val="45"/>
      </w:pPr>
      <w:r>
        <w:rPr>
          <w:rFonts w:hint="eastAsia"/>
        </w:rPr>
        <w:t>询问、质疑与投诉</w:t>
      </w:r>
    </w:p>
    <w:p w14:paraId="355F5571">
      <w:pPr>
        <w:pStyle w:val="42"/>
        <w:ind w:firstLine="480"/>
        <w:rPr>
          <w:lang w:eastAsia="zh-CN"/>
        </w:rPr>
      </w:pPr>
      <w:r>
        <w:rPr>
          <w:rFonts w:hint="eastAsia"/>
          <w:lang w:eastAsia="zh-CN"/>
        </w:rPr>
        <w:t>询问、</w:t>
      </w:r>
      <w:r>
        <w:t>质疑</w:t>
      </w:r>
      <w:r>
        <w:rPr>
          <w:rFonts w:hint="eastAsia"/>
          <w:lang w:eastAsia="zh-CN"/>
        </w:rPr>
        <w:t>与</w:t>
      </w:r>
      <w:r>
        <w:t>投诉应当采用书面形式</w:t>
      </w:r>
      <w:r>
        <w:rPr>
          <w:rFonts w:hint="eastAsia"/>
          <w:lang w:eastAsia="zh-CN"/>
        </w:rPr>
        <w:t>。</w:t>
      </w:r>
      <w:r>
        <w:t>供应商为自然人的，应当由本人签字并附上身份证明；供应商为法人或者其他组织的，应当由法定代表人或者其授权代表签字或者盖章，并加盖公章。以联合体形式参加政府采购活动的，其</w:t>
      </w:r>
      <w:r>
        <w:rPr>
          <w:rFonts w:hint="eastAsia"/>
          <w:lang w:eastAsia="zh-CN"/>
        </w:rPr>
        <w:t>质疑、</w:t>
      </w:r>
      <w:r>
        <w:t>投诉应当由组成联合体的所有供应商共同提出</w:t>
      </w:r>
      <w:r>
        <w:rPr>
          <w:rFonts w:hint="eastAsia"/>
          <w:lang w:eastAsia="zh-CN"/>
        </w:rPr>
        <w:t>。</w:t>
      </w:r>
    </w:p>
    <w:p w14:paraId="6F22E3B5">
      <w:pPr>
        <w:pStyle w:val="41"/>
        <w:ind w:firstLine="482"/>
      </w:pPr>
      <w:r>
        <w:rPr>
          <w:rFonts w:hint="eastAsia"/>
        </w:rPr>
        <w:t>询问</w:t>
      </w:r>
    </w:p>
    <w:p w14:paraId="3248FBFB">
      <w:pPr>
        <w:pStyle w:val="52"/>
        <w:numPr>
          <w:ilvl w:val="0"/>
          <w:numId w:val="18"/>
        </w:numPr>
        <w:bidi w:val="0"/>
      </w:pPr>
      <w:r>
        <w:t>在采购活动中供应商可以就某一事项向采购组织机构发出“询问”，采购组织机构将在收到供应商“询问”后三个工作日内予以答复，但规定不予答复的内容除外。</w:t>
      </w:r>
    </w:p>
    <w:p w14:paraId="05F7882F">
      <w:pPr>
        <w:pStyle w:val="52"/>
        <w:numPr>
          <w:ilvl w:val="0"/>
          <w:numId w:val="18"/>
        </w:numPr>
        <w:bidi w:val="0"/>
      </w:pPr>
      <w:r>
        <w:t>供应商提出的询问超出招标人对采购代理机构委托授权范围的，采购代理机构应当告知供应商向招标人提出。</w:t>
      </w:r>
    </w:p>
    <w:p w14:paraId="1C5C0404">
      <w:pPr>
        <w:pStyle w:val="52"/>
        <w:numPr>
          <w:ilvl w:val="0"/>
          <w:numId w:val="18"/>
        </w:numPr>
        <w:bidi w:val="0"/>
      </w:pPr>
      <w:r>
        <w:t>在线询问路径为：政采云平台-项目采购-询问质疑投诉-询问列表。</w:t>
      </w:r>
    </w:p>
    <w:p w14:paraId="3ACEB175">
      <w:pPr>
        <w:pStyle w:val="41"/>
        <w:ind w:firstLine="482"/>
      </w:pPr>
      <w:r>
        <w:rPr>
          <w:rFonts w:hint="eastAsia"/>
        </w:rPr>
        <w:t>质疑</w:t>
      </w:r>
    </w:p>
    <w:p w14:paraId="58A630A7">
      <w:pPr>
        <w:pStyle w:val="52"/>
        <w:numPr>
          <w:ilvl w:val="0"/>
          <w:numId w:val="19"/>
        </w:numPr>
        <w:bidi w:val="0"/>
      </w:pPr>
      <w:r>
        <w:t>提出质疑的供应商应当是参与所质疑项目采购活动的供应商，即已</w:t>
      </w:r>
      <w:r>
        <w:rPr>
          <w:rFonts w:hint="eastAsia"/>
          <w:lang w:val="en-US" w:eastAsia="zh-Hans"/>
        </w:rPr>
        <w:t>按</w:t>
      </w:r>
      <w:r>
        <w:t>“招标公告”要求依法获取其可质疑的招标文件的供应商。</w:t>
      </w:r>
    </w:p>
    <w:p w14:paraId="13D42027">
      <w:pPr>
        <w:pStyle w:val="52"/>
        <w:numPr>
          <w:ilvl w:val="0"/>
          <w:numId w:val="19"/>
        </w:numPr>
        <w:bidi w:val="0"/>
      </w:pPr>
      <w:r>
        <w:t>供应商认为招标文件、招标过程和招标结果使自己的合法权益受到损害的，应当在知道或者应知其权益受到损害之日起七个工作日内，以书面形式一次性向招标人、招标组织机构提出质疑，否则招标人、招标组织组织机构可不予受理。</w:t>
      </w:r>
    </w:p>
    <w:p w14:paraId="7AABD879">
      <w:pPr>
        <w:pStyle w:val="42"/>
        <w:ind w:firstLine="480"/>
        <w:rPr>
          <w:u w:val="single"/>
          <w:lang w:eastAsia="zh-CN"/>
        </w:rPr>
      </w:pPr>
      <w:r>
        <w:rPr>
          <w:rFonts w:hint="eastAsia"/>
          <w:u w:val="single"/>
          <w:lang w:eastAsia="zh-CN"/>
        </w:rPr>
        <w:t>上述“</w:t>
      </w:r>
      <w:r>
        <w:rPr>
          <w:rFonts w:hint="eastAsia"/>
          <w:u w:val="single"/>
        </w:rPr>
        <w:t>应当在知道或者应知其权益受到损害之日</w:t>
      </w:r>
      <w:r>
        <w:rPr>
          <w:rFonts w:hint="eastAsia"/>
          <w:u w:val="single"/>
          <w:lang w:eastAsia="zh-CN"/>
        </w:rPr>
        <w:t>”是指：</w:t>
      </w:r>
    </w:p>
    <w:p w14:paraId="399D9489">
      <w:pPr>
        <w:pStyle w:val="54"/>
        <w:ind w:firstLine="480"/>
      </w:pPr>
      <w:r>
        <w:t>对</w:t>
      </w:r>
      <w:r>
        <w:rPr>
          <w:rFonts w:hint="eastAsia"/>
        </w:rPr>
        <w:t>招标</w:t>
      </w:r>
      <w:r>
        <w:t>文件提出质疑的，为获取</w:t>
      </w:r>
      <w:r>
        <w:rPr>
          <w:rFonts w:hint="eastAsia"/>
        </w:rPr>
        <w:t>招标</w:t>
      </w:r>
      <w:r>
        <w:t>文件之日或者</w:t>
      </w:r>
      <w:r>
        <w:rPr>
          <w:rFonts w:hint="eastAsia"/>
        </w:rPr>
        <w:t>招标</w:t>
      </w:r>
      <w:r>
        <w:t>文件公告期限届满之日（</w:t>
      </w:r>
      <w:r>
        <w:rPr>
          <w:rFonts w:hint="eastAsia"/>
        </w:rPr>
        <w:t>招标</w:t>
      </w:r>
      <w:r>
        <w:t>文件公告期限届满后获取</w:t>
      </w:r>
      <w:r>
        <w:rPr>
          <w:rFonts w:hint="eastAsia"/>
        </w:rPr>
        <w:t>招标</w:t>
      </w:r>
      <w:r>
        <w:t>文件的，以</w:t>
      </w:r>
      <w:r>
        <w:rPr>
          <w:rFonts w:hint="eastAsia"/>
        </w:rPr>
        <w:t>招标</w:t>
      </w:r>
      <w:r>
        <w:t>文件公告期限届满之日为准）；</w:t>
      </w:r>
    </w:p>
    <w:p w14:paraId="58F92505">
      <w:pPr>
        <w:pStyle w:val="54"/>
        <w:ind w:firstLine="480"/>
      </w:pPr>
      <w:r>
        <w:t>对</w:t>
      </w:r>
      <w:r>
        <w:rPr>
          <w:rFonts w:hint="eastAsia"/>
        </w:rPr>
        <w:t>招标</w:t>
      </w:r>
      <w:r>
        <w:t>过程提出质疑的，为各</w:t>
      </w:r>
      <w:r>
        <w:rPr>
          <w:rFonts w:hint="eastAsia"/>
        </w:rPr>
        <w:t>招标</w:t>
      </w:r>
      <w:r>
        <w:t>程序环节结束之日；</w:t>
      </w:r>
    </w:p>
    <w:p w14:paraId="1428A933">
      <w:pPr>
        <w:pStyle w:val="54"/>
        <w:ind w:firstLine="480"/>
      </w:pPr>
      <w:r>
        <w:t>对中标或者成交结果提出质疑的，为中标或者成交结果公告期限届满之日。</w:t>
      </w:r>
    </w:p>
    <w:p w14:paraId="621681AC">
      <w:pPr>
        <w:pStyle w:val="52"/>
        <w:bidi w:val="0"/>
      </w:pPr>
      <w:r>
        <w:t>供应商提出质疑应当提交质疑函和必要的证明材料。质疑函应当包括下列内容：</w:t>
      </w:r>
    </w:p>
    <w:p w14:paraId="2CC39926">
      <w:pPr>
        <w:pStyle w:val="53"/>
        <w:numPr>
          <w:ilvl w:val="0"/>
          <w:numId w:val="20"/>
        </w:numPr>
        <w:bidi w:val="0"/>
      </w:pPr>
      <w:r>
        <w:t>供应商的姓名或者名称、地址、邮编、联系人及联系电话；</w:t>
      </w:r>
    </w:p>
    <w:p w14:paraId="50EC65FF">
      <w:pPr>
        <w:pStyle w:val="53"/>
        <w:numPr>
          <w:ilvl w:val="0"/>
          <w:numId w:val="20"/>
        </w:numPr>
        <w:bidi w:val="0"/>
      </w:pPr>
      <w:r>
        <w:t>质疑项目的名称、编号；</w:t>
      </w:r>
    </w:p>
    <w:p w14:paraId="28A7EA05">
      <w:pPr>
        <w:pStyle w:val="53"/>
        <w:numPr>
          <w:ilvl w:val="0"/>
          <w:numId w:val="20"/>
        </w:numPr>
        <w:bidi w:val="0"/>
      </w:pPr>
      <w:r>
        <w:t>具体、明确的质疑事项和与质疑事项相关的请求；</w:t>
      </w:r>
    </w:p>
    <w:p w14:paraId="73B68B4C">
      <w:pPr>
        <w:pStyle w:val="53"/>
        <w:numPr>
          <w:ilvl w:val="0"/>
          <w:numId w:val="20"/>
        </w:numPr>
        <w:bidi w:val="0"/>
      </w:pPr>
      <w:r>
        <w:t>事实依据；</w:t>
      </w:r>
    </w:p>
    <w:p w14:paraId="73C84DB3">
      <w:pPr>
        <w:pStyle w:val="53"/>
        <w:numPr>
          <w:ilvl w:val="0"/>
          <w:numId w:val="20"/>
        </w:numPr>
        <w:bidi w:val="0"/>
      </w:pPr>
      <w:r>
        <w:t>必要的法律依据；</w:t>
      </w:r>
    </w:p>
    <w:p w14:paraId="7CA9A91E">
      <w:pPr>
        <w:pStyle w:val="53"/>
        <w:numPr>
          <w:ilvl w:val="0"/>
          <w:numId w:val="20"/>
        </w:numPr>
        <w:bidi w:val="0"/>
      </w:pPr>
      <w:r>
        <w:t>提出质疑的日期。</w:t>
      </w:r>
    </w:p>
    <w:p w14:paraId="5BF8EA7E">
      <w:pPr>
        <w:pStyle w:val="52"/>
        <w:bidi w:val="0"/>
      </w:pPr>
      <w:r>
        <w:t>对同一招标程序环节的质疑，供应商须在法定质疑期内一次性提出。</w:t>
      </w:r>
    </w:p>
    <w:p w14:paraId="28AEE691">
      <w:pPr>
        <w:pStyle w:val="52"/>
        <w:bidi w:val="0"/>
      </w:pPr>
      <w:r>
        <w:t>招标或者招标组织机构将在收到供应商的书面质疑后七个工作日内作出答复，并以书面形式通知质疑供应商和其他与质疑处理结果有利害关系的政府采购当事人，但答复的内容涉及商业秘密的除外。</w:t>
      </w:r>
    </w:p>
    <w:p w14:paraId="3CC080C6">
      <w:pPr>
        <w:pStyle w:val="52"/>
        <w:bidi w:val="0"/>
      </w:pPr>
      <w:r>
        <w:t>在线质疑路径为：政采云</w:t>
      </w:r>
      <w:r>
        <w:rPr>
          <w:rFonts w:hint="eastAsia"/>
          <w:u w:val="single"/>
          <w:lang w:val="en-US" w:eastAsia="zh-CN"/>
        </w:rPr>
        <w:t>平</w:t>
      </w:r>
      <w:r>
        <w:t>台-项目采购-询问质疑投诉-质疑列表。</w:t>
      </w:r>
    </w:p>
    <w:p w14:paraId="70BDC464">
      <w:pPr>
        <w:pStyle w:val="41"/>
        <w:ind w:firstLine="482"/>
      </w:pPr>
      <w:r>
        <w:t>投诉</w:t>
      </w:r>
    </w:p>
    <w:p w14:paraId="6188AF29">
      <w:pPr>
        <w:pStyle w:val="52"/>
        <w:numPr>
          <w:ilvl w:val="0"/>
          <w:numId w:val="21"/>
        </w:numPr>
        <w:bidi w:val="0"/>
      </w:pPr>
      <w:r>
        <w:t>供应商对招标人、招标组织机构的质疑答复不满意或者招标人、招标组织组织机构未在规定时间内作出答复的，可以在答复期满后十五个工作日内向同级采购监管部门投诉。</w:t>
      </w:r>
    </w:p>
    <w:p w14:paraId="754604E0">
      <w:pPr>
        <w:pStyle w:val="52"/>
        <w:numPr>
          <w:ilvl w:val="0"/>
          <w:numId w:val="21"/>
        </w:numPr>
        <w:bidi w:val="0"/>
      </w:pPr>
      <w:r>
        <w:t>供应商投诉的事项不得超出已质疑事项的范围，基于质疑答复内容提出的投诉事项除外。</w:t>
      </w:r>
    </w:p>
    <w:p w14:paraId="65D1CA17">
      <w:pPr>
        <w:pStyle w:val="52"/>
        <w:numPr>
          <w:ilvl w:val="0"/>
          <w:numId w:val="21"/>
        </w:numPr>
        <w:bidi w:val="0"/>
      </w:pPr>
      <w:r>
        <w:t>供应商投诉应当有明确的请求和必要的证明材料。</w:t>
      </w:r>
    </w:p>
    <w:p w14:paraId="50978179">
      <w:pPr>
        <w:pStyle w:val="52"/>
        <w:numPr>
          <w:ilvl w:val="0"/>
          <w:numId w:val="21"/>
        </w:numPr>
        <w:bidi w:val="0"/>
      </w:pPr>
      <w:r>
        <w:t>在线投诉路径为：浙江政府服务网-</w:t>
      </w:r>
      <w:r>
        <w:rPr>
          <w:rFonts w:hint="eastAsia"/>
          <w:lang w:val="en-US" w:eastAsia="zh-Hans"/>
        </w:rPr>
        <w:t>咨询建言举报</w:t>
      </w:r>
      <w:r>
        <w:rPr>
          <w:rFonts w:hint="default"/>
          <w:lang w:eastAsia="zh-Hans"/>
        </w:rPr>
        <w:t>/</w:t>
      </w:r>
      <w:r>
        <w:rPr>
          <w:rFonts w:hint="eastAsia"/>
          <w:lang w:val="en-US" w:eastAsia="zh-Hans"/>
        </w:rPr>
        <w:t>投诉</w:t>
      </w:r>
      <w:r>
        <w:rPr>
          <w:rFonts w:hint="default"/>
          <w:lang w:eastAsia="zh-Hans"/>
        </w:rPr>
        <w:t>-</w:t>
      </w:r>
      <w:r>
        <w:t>政府采购投诉-在线办理。</w:t>
      </w:r>
    </w:p>
    <w:p w14:paraId="28BFE0C2">
      <w:pPr>
        <w:pStyle w:val="45"/>
      </w:pPr>
      <w:r>
        <w:rPr>
          <w:rFonts w:hint="eastAsia"/>
        </w:rPr>
        <w:t>其他注意事项</w:t>
      </w:r>
    </w:p>
    <w:p w14:paraId="2FEF0D73">
      <w:pPr>
        <w:pStyle w:val="52"/>
        <w:numPr>
          <w:ilvl w:val="0"/>
          <w:numId w:val="22"/>
        </w:numPr>
        <w:bidi w:val="0"/>
      </w:pPr>
      <w:r>
        <w:t>根据政府采购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14:paraId="3A877A08">
      <w:pPr>
        <w:pStyle w:val="52"/>
        <w:numPr>
          <w:ilvl w:val="0"/>
          <w:numId w:val="22"/>
        </w:numPr>
        <w:bidi w:val="0"/>
      </w:pPr>
      <w:r>
        <w:t>不论招标人、招标代理机构向供应商发送的资料文件，还是供应商提出的问题，均以书面形式为准。</w:t>
      </w:r>
    </w:p>
    <w:p w14:paraId="24FB8D5D">
      <w:pPr>
        <w:pStyle w:val="52"/>
        <w:numPr>
          <w:ilvl w:val="0"/>
          <w:numId w:val="22"/>
        </w:numPr>
        <w:bidi w:val="0"/>
      </w:pPr>
      <w:r>
        <w:t>投标人应保证</w:t>
      </w:r>
      <w:r>
        <w:rPr>
          <w:rFonts w:hint="eastAsia"/>
          <w:lang w:val="en-US" w:eastAsia="zh-Hans"/>
        </w:rPr>
        <w:t>服务过程中</w:t>
      </w:r>
      <w:r>
        <w:t>免受第三方提出的侵犯其专利权、商标权、著作权或其他知识产权的起诉。投标人应承担由此可能产生的一切法律责任和费用。</w:t>
      </w:r>
    </w:p>
    <w:p w14:paraId="430D9E08">
      <w:pPr>
        <w:pStyle w:val="52"/>
        <w:numPr>
          <w:ilvl w:val="0"/>
          <w:numId w:val="22"/>
        </w:numPr>
        <w:bidi w:val="0"/>
      </w:pPr>
      <w:r>
        <w:t>为证明投标人拥有的业绩、荣誉、知识产权、项目案例等而在投标文件中提供的证明材料必须为投标人自身所有。不同法人、其他组织的资料与投标人无关。</w:t>
      </w:r>
    </w:p>
    <w:p w14:paraId="6B8525BF">
      <w:pPr>
        <w:pStyle w:val="45"/>
      </w:pPr>
      <w:r>
        <w:rPr>
          <w:rFonts w:hint="eastAsia"/>
        </w:rPr>
        <w:t>保密</w:t>
      </w:r>
    </w:p>
    <w:p w14:paraId="7CE384B6">
      <w:pPr>
        <w:pStyle w:val="42"/>
        <w:ind w:firstLine="480"/>
      </w:pPr>
      <w:r>
        <w:rPr>
          <w:rFonts w:hint="eastAsia"/>
        </w:rPr>
        <w:t>参与招标投标活动的各方应对招标文件和投标文件中的商业和技术等秘密保密，违者应对此造成的后果承担法律责任。</w:t>
      </w:r>
    </w:p>
    <w:p w14:paraId="76206B8B">
      <w:pPr>
        <w:pStyle w:val="42"/>
        <w:ind w:firstLine="480"/>
      </w:pPr>
      <w:r>
        <w:rPr>
          <w:rFonts w:hint="eastAsia"/>
        </w:rPr>
        <w:t>在</w:t>
      </w:r>
      <w:r>
        <w:rPr>
          <w:rFonts w:hint="eastAsia"/>
          <w:lang w:eastAsia="zh-CN"/>
        </w:rPr>
        <w:t>招标</w:t>
      </w:r>
      <w:r>
        <w:rPr>
          <w:rFonts w:hint="eastAsia"/>
        </w:rPr>
        <w:t>人或</w:t>
      </w:r>
      <w:r>
        <w:rPr>
          <w:rFonts w:hint="eastAsia"/>
          <w:lang w:eastAsia="zh-CN"/>
        </w:rPr>
        <w:t>招标</w:t>
      </w:r>
      <w:r>
        <w:rPr>
          <w:rFonts w:hint="eastAsia"/>
        </w:rPr>
        <w:t>代理机构认为适当时</w:t>
      </w:r>
      <w:r>
        <w:rPr>
          <w:rFonts w:hint="eastAsia"/>
          <w:lang w:eastAsia="zh-CN"/>
        </w:rPr>
        <w:t>或</w:t>
      </w:r>
      <w:r>
        <w:rPr>
          <w:rFonts w:hint="eastAsia"/>
        </w:rPr>
        <w:t>国家机关调查、审查、审计时以及其他符合法律规定的情形下，</w:t>
      </w:r>
      <w:r>
        <w:rPr>
          <w:rFonts w:hint="eastAsia"/>
          <w:lang w:eastAsia="zh-CN"/>
        </w:rPr>
        <w:t>招标</w:t>
      </w:r>
      <w:r>
        <w:rPr>
          <w:rFonts w:hint="eastAsia"/>
        </w:rPr>
        <w:t>人或</w:t>
      </w:r>
      <w:r>
        <w:rPr>
          <w:rFonts w:hint="eastAsia"/>
          <w:lang w:eastAsia="zh-CN"/>
        </w:rPr>
        <w:t>招标</w:t>
      </w:r>
      <w:r>
        <w:rPr>
          <w:rFonts w:hint="eastAsia"/>
        </w:rPr>
        <w:t>代理机构无须事先征求</w:t>
      </w:r>
      <w:r>
        <w:rPr>
          <w:rFonts w:hint="eastAsia"/>
          <w:lang w:eastAsia="zh-CN"/>
        </w:rPr>
        <w:t>投标人</w:t>
      </w:r>
      <w:r>
        <w:rPr>
          <w:rFonts w:hint="eastAsia"/>
        </w:rPr>
        <w:t>同意而可以在合理的必要范围内披露关于采购过程、合同文本、签署情况的资料、供应商的名称及地址、响应文件的有关信息以及补充条款等。对任何已经公布过的内容或与之内容相同的资料，以及</w:t>
      </w:r>
      <w:r>
        <w:rPr>
          <w:rFonts w:hint="eastAsia"/>
          <w:lang w:eastAsia="zh-CN"/>
        </w:rPr>
        <w:t>投标人</w:t>
      </w:r>
      <w:r>
        <w:rPr>
          <w:rFonts w:hint="eastAsia"/>
        </w:rPr>
        <w:t>已经泄露或公开的，无须再承担保密责任。</w:t>
      </w:r>
    </w:p>
    <w:p w14:paraId="650C29AF">
      <w:pPr>
        <w:pStyle w:val="42"/>
        <w:ind w:firstLine="480"/>
      </w:pPr>
      <w:r>
        <w:rPr>
          <w:rFonts w:hint="eastAsia"/>
        </w:rPr>
        <w:t xml:space="preserve"> </w:t>
      </w:r>
    </w:p>
    <w:p w14:paraId="2B3C059E">
      <w:pPr>
        <w:pStyle w:val="44"/>
      </w:pPr>
      <w:bookmarkStart w:id="24" w:name="_Toc233618973"/>
      <w:bookmarkEnd w:id="24"/>
      <w:bookmarkStart w:id="25" w:name="_Toc464483846"/>
      <w:bookmarkStart w:id="26" w:name="_Toc4758"/>
      <w:r>
        <w:rPr>
          <w:rFonts w:hint="eastAsia"/>
        </w:rPr>
        <w:t>招标文件</w:t>
      </w:r>
      <w:bookmarkEnd w:id="25"/>
      <w:bookmarkEnd w:id="26"/>
    </w:p>
    <w:p w14:paraId="219E0131">
      <w:pPr>
        <w:pStyle w:val="45"/>
      </w:pPr>
      <w:bookmarkStart w:id="27" w:name="_Toc91899880"/>
      <w:bookmarkEnd w:id="27"/>
      <w:bookmarkStart w:id="28" w:name="_Hlt74730307"/>
      <w:r>
        <w:rPr>
          <w:rFonts w:hint="eastAsia"/>
        </w:rPr>
        <w:t>招标文件的</w:t>
      </w:r>
      <w:bookmarkEnd w:id="28"/>
      <w:r>
        <w:rPr>
          <w:rFonts w:hint="eastAsia"/>
        </w:rPr>
        <w:t>组成</w:t>
      </w:r>
    </w:p>
    <w:p w14:paraId="7E183F95">
      <w:pPr>
        <w:pStyle w:val="42"/>
        <w:ind w:firstLine="480"/>
        <w:rPr>
          <w:lang w:eastAsia="zh-CN"/>
        </w:rPr>
      </w:pPr>
      <w:r>
        <w:rPr>
          <w:rFonts w:hint="eastAsia"/>
        </w:rPr>
        <w:t>招标文件包括</w:t>
      </w:r>
      <w:r>
        <w:rPr>
          <w:rFonts w:hint="eastAsia"/>
          <w:lang w:eastAsia="zh-CN"/>
        </w:rPr>
        <w:t>指本文件、补充文件（</w:t>
      </w:r>
      <w:r>
        <w:rPr>
          <w:rFonts w:hint="eastAsia"/>
        </w:rPr>
        <w:t>如果有，包括相关的补充、更正、澄清公告和文件</w:t>
      </w:r>
      <w:r>
        <w:rPr>
          <w:rFonts w:hint="eastAsia"/>
          <w:lang w:eastAsia="zh-CN"/>
        </w:rPr>
        <w:t>）以及其他附件</w:t>
      </w:r>
      <w:r>
        <w:rPr>
          <w:rFonts w:hint="eastAsia"/>
        </w:rPr>
        <w:t>（如果有，如图纸等）</w:t>
      </w:r>
      <w:r>
        <w:rPr>
          <w:rFonts w:hint="eastAsia"/>
          <w:lang w:eastAsia="zh-CN"/>
        </w:rPr>
        <w:t>。</w:t>
      </w:r>
    </w:p>
    <w:p w14:paraId="65D01084">
      <w:pPr>
        <w:pStyle w:val="45"/>
      </w:pPr>
      <w:r>
        <w:rPr>
          <w:rFonts w:hint="eastAsia"/>
        </w:rPr>
        <w:t>招标文件的解释</w:t>
      </w:r>
    </w:p>
    <w:p w14:paraId="4CA4CA10">
      <w:pPr>
        <w:pStyle w:val="52"/>
        <w:numPr>
          <w:ilvl w:val="0"/>
          <w:numId w:val="23"/>
        </w:numPr>
        <w:bidi w:val="0"/>
        <w:rPr>
          <w:color w:val="auto"/>
        </w:rPr>
      </w:pPr>
      <w:r>
        <w:rPr>
          <w:rFonts w:hint="eastAsia"/>
          <w:color w:val="auto"/>
        </w:rPr>
        <w:t>构成本招标文件的各个组成文件应互为解释，互为说明；如有不明确或不一致，除招标文件中另有特别规定外，仅适用于招标投标阶段的规定，按招标公告（投标邀请）、投标人须知前附表、投标人须知、货物技术规格参数与要求、评标办法、合同条款、投标文件格式的先后顺序解释；同一组成文件中就同一事项规定或约定不一致的，以编排顺序在后者为准；同一组成文件不同版本之间有不一致的，以形成时间后者为准。</w:t>
      </w:r>
    </w:p>
    <w:p w14:paraId="3DABAF05">
      <w:pPr>
        <w:pStyle w:val="52"/>
        <w:numPr>
          <w:ilvl w:val="0"/>
          <w:numId w:val="23"/>
        </w:numPr>
        <w:bidi w:val="0"/>
      </w:pPr>
      <w:r>
        <w:t>供应商一旦参与本次招标活动，即被视为接受了本招标文件的所有内容，如有任何异议，均应在答疑截止时间前提出。</w:t>
      </w:r>
    </w:p>
    <w:p w14:paraId="125762FC">
      <w:pPr>
        <w:pStyle w:val="52"/>
        <w:numPr>
          <w:ilvl w:val="0"/>
          <w:numId w:val="23"/>
        </w:numPr>
        <w:bidi w:val="0"/>
      </w:pPr>
      <w:r>
        <w:t>招标文件澄清、答复、修改、补充等书面内容均作为招标文件的补充文件，是招标文件的组成部分，将以传真、网上公告、电子邮件等形式书面告知所有购买招标文件的供应商，并对所有投标人均有约束力。当招标文件与补充文件就同一内容的表述不一致时，以最后发出的书面文件为准。</w:t>
      </w:r>
    </w:p>
    <w:p w14:paraId="3BB6773F">
      <w:pPr>
        <w:pStyle w:val="52"/>
        <w:numPr>
          <w:ilvl w:val="0"/>
          <w:numId w:val="23"/>
        </w:numPr>
        <w:bidi w:val="0"/>
      </w:pPr>
      <w:r>
        <w:t>招标文件的解释权归招标人、招标代理机构所有。</w:t>
      </w:r>
    </w:p>
    <w:p w14:paraId="54B5A9FB">
      <w:pPr>
        <w:pStyle w:val="45"/>
      </w:pPr>
      <w:r>
        <w:rPr>
          <w:rFonts w:hint="eastAsia"/>
        </w:rPr>
        <w:t>招标文件的修改</w:t>
      </w:r>
    </w:p>
    <w:p w14:paraId="1E12E716">
      <w:pPr>
        <w:pStyle w:val="52"/>
        <w:numPr>
          <w:ilvl w:val="0"/>
          <w:numId w:val="24"/>
        </w:numPr>
        <w:bidi w:val="0"/>
      </w:pPr>
      <w:r>
        <w:t>由于各种原因招标人可能在投标截止时间前以澄清、答复、修改、补充文件的形式修改完善招标文件。</w:t>
      </w:r>
    </w:p>
    <w:p w14:paraId="1F79D9A5">
      <w:pPr>
        <w:pStyle w:val="52"/>
        <w:numPr>
          <w:ilvl w:val="0"/>
          <w:numId w:val="24"/>
        </w:numPr>
        <w:bidi w:val="0"/>
      </w:pPr>
      <w:r>
        <w:t>澄清、答复、修改、补充文件发出后，除法律法规规定的情形外原则上不改变招标文件规定的投标截止时间及开标时间。供应商如认为澄清、答复、修改、补充文件内容影响投标文件编制，需延长投标截止时间的，必须在收到澄清、答复、修改、补充文件后 24 小时内将意见和理由以书面形式向招标代理机构提出，否则，招标代理机构视供应商完全接受并有足够的时间编制投标文件且按规定时间进行投标。</w:t>
      </w:r>
    </w:p>
    <w:p w14:paraId="6551818F">
      <w:pPr>
        <w:pStyle w:val="52"/>
        <w:numPr>
          <w:ilvl w:val="0"/>
          <w:numId w:val="24"/>
        </w:numPr>
        <w:bidi w:val="0"/>
      </w:pPr>
      <w:r>
        <w:t>供应商在收到澄清、答复、修改、补充文件后，应在 24 小时内以书面形式向招标代理机构确认已收到该澄清、答复、修改、补充文件，逾期未确认的招标代理机构有权视其已收到。对澄清、答复、修改、补充文件如有疑问要求澄清，应在 24 小时内将书面送达招标代理机构，并与招标代理机构进行确认，逾期提出的，招标代理机构可不予受理。如有必要，招标代理机构将以书面形式回复询疑人。</w:t>
      </w:r>
    </w:p>
    <w:p w14:paraId="13EEFD0C">
      <w:pPr>
        <w:pStyle w:val="42"/>
        <w:ind w:firstLine="480"/>
      </w:pPr>
    </w:p>
    <w:p w14:paraId="2046DF97">
      <w:pPr>
        <w:pStyle w:val="44"/>
      </w:pPr>
      <w:bookmarkStart w:id="29" w:name="_Toc464483847"/>
      <w:bookmarkEnd w:id="29"/>
      <w:bookmarkStart w:id="30" w:name="_Toc91899884"/>
      <w:bookmarkEnd w:id="30"/>
      <w:bookmarkStart w:id="31" w:name="_Toc3407"/>
      <w:bookmarkStart w:id="32" w:name="_Toc233618974"/>
      <w:r>
        <w:rPr>
          <w:rFonts w:hint="eastAsia"/>
        </w:rPr>
        <w:t>投标文件</w:t>
      </w:r>
      <w:bookmarkEnd w:id="31"/>
      <w:bookmarkEnd w:id="32"/>
    </w:p>
    <w:p w14:paraId="3240FCE2">
      <w:pPr>
        <w:pStyle w:val="45"/>
      </w:pPr>
      <w:r>
        <w:rPr>
          <w:rFonts w:hint="eastAsia"/>
        </w:rPr>
        <w:t>投标文件的组成</w:t>
      </w:r>
    </w:p>
    <w:p w14:paraId="6E6E2A14">
      <w:pPr>
        <w:pStyle w:val="42"/>
        <w:ind w:firstLine="480"/>
        <w:rPr>
          <w:highlight w:val="none"/>
        </w:rPr>
      </w:pPr>
      <w:r>
        <w:rPr>
          <w:rFonts w:hint="eastAsia"/>
          <w:lang w:eastAsia="zh-CN"/>
        </w:rPr>
        <w:t>投标文</w:t>
      </w:r>
      <w:r>
        <w:rPr>
          <w:rFonts w:hint="eastAsia"/>
          <w:highlight w:val="none"/>
          <w:lang w:eastAsia="zh-CN"/>
        </w:rPr>
        <w:t>件包括资格文件、商务技术文件和报价文件，包含但不限于以下内容：</w:t>
      </w:r>
    </w:p>
    <w:p w14:paraId="779A1505">
      <w:pPr>
        <w:pStyle w:val="41"/>
        <w:ind w:firstLine="482"/>
        <w:rPr>
          <w:highlight w:val="none"/>
        </w:rPr>
      </w:pPr>
      <w:r>
        <w:rPr>
          <w:rFonts w:hint="eastAsia"/>
          <w:highlight w:val="none"/>
        </w:rPr>
        <w:t>资格文件</w:t>
      </w:r>
    </w:p>
    <w:p w14:paraId="00F5CB97">
      <w:pPr>
        <w:pStyle w:val="52"/>
        <w:numPr>
          <w:ilvl w:val="0"/>
          <w:numId w:val="25"/>
        </w:numPr>
        <w:bidi w:val="0"/>
        <w:rPr>
          <w:highlight w:val="none"/>
        </w:rPr>
      </w:pPr>
      <w:r>
        <w:rPr>
          <w:rFonts w:hint="eastAsia"/>
          <w:highlight w:val="none"/>
        </w:rPr>
        <w:t xml:space="preserve">符合参加政府采购活动应当具备的一般条件的承诺函（见“第六章 投标文件部分格式文本 </w:t>
      </w:r>
      <w:r>
        <w:rPr>
          <w:rFonts w:hint="eastAsia"/>
          <w:highlight w:val="none"/>
          <w:lang w:val="en-US" w:eastAsia="zh-Hans"/>
        </w:rPr>
        <w:t>二</w:t>
      </w:r>
      <w:r>
        <w:rPr>
          <w:rFonts w:hint="eastAsia"/>
          <w:highlight w:val="none"/>
        </w:rPr>
        <w:t>、”）；</w:t>
      </w:r>
    </w:p>
    <w:p w14:paraId="4F274C9B">
      <w:pPr>
        <w:pStyle w:val="52"/>
        <w:numPr>
          <w:ilvl w:val="0"/>
          <w:numId w:val="25"/>
        </w:numPr>
        <w:bidi w:val="0"/>
        <w:rPr>
          <w:highlight w:val="none"/>
        </w:rPr>
      </w:pPr>
      <w:r>
        <w:rPr>
          <w:rFonts w:hint="eastAsia"/>
          <w:highlight w:val="none"/>
        </w:rPr>
        <w:t>营业执照</w:t>
      </w:r>
      <w:r>
        <w:rPr>
          <w:highlight w:val="none"/>
        </w:rPr>
        <w:t>（或事业单位法人证书或执业许可证或自然人有效身份证明）</w:t>
      </w:r>
      <w:r>
        <w:rPr>
          <w:rFonts w:hint="eastAsia"/>
          <w:highlight w:val="none"/>
          <w:lang w:val="en-US" w:eastAsia="zh-Hans"/>
        </w:rPr>
        <w:t>复制件</w:t>
      </w:r>
      <w:r>
        <w:rPr>
          <w:rFonts w:hint="eastAsia"/>
          <w:highlight w:val="none"/>
        </w:rPr>
        <w:t>；</w:t>
      </w:r>
    </w:p>
    <w:p w14:paraId="56AFD2C1">
      <w:pPr>
        <w:pStyle w:val="52"/>
        <w:numPr>
          <w:ilvl w:val="0"/>
          <w:numId w:val="25"/>
        </w:numPr>
        <w:bidi w:val="0"/>
        <w:rPr>
          <w:highlight w:val="none"/>
        </w:rPr>
      </w:pPr>
      <w:r>
        <w:rPr>
          <w:rFonts w:hint="eastAsia"/>
          <w:highlight w:val="none"/>
        </w:rPr>
        <w:t xml:space="preserve">联合协议（见“第六章 投标文件部分格式文本 </w:t>
      </w:r>
      <w:r>
        <w:rPr>
          <w:rFonts w:hint="eastAsia"/>
          <w:highlight w:val="none"/>
          <w:lang w:val="en-US" w:eastAsia="zh-Hans"/>
        </w:rPr>
        <w:t>七</w:t>
      </w:r>
      <w:r>
        <w:rPr>
          <w:rFonts w:hint="eastAsia"/>
          <w:highlight w:val="none"/>
        </w:rPr>
        <w:t>、”，</w:t>
      </w:r>
      <w:r>
        <w:rPr>
          <w:highlight w:val="none"/>
        </w:rPr>
        <w:t>本项目不接受联合体投标或者投标人不以联合体形式投标的，则</w:t>
      </w:r>
      <w:r>
        <w:rPr>
          <w:rFonts w:hint="eastAsia"/>
          <w:highlight w:val="none"/>
        </w:rPr>
        <w:t>本项内容无需</w:t>
      </w:r>
      <w:r>
        <w:rPr>
          <w:highlight w:val="none"/>
        </w:rPr>
        <w:t>提供</w:t>
      </w:r>
      <w:r>
        <w:rPr>
          <w:rFonts w:hint="eastAsia"/>
          <w:highlight w:val="none"/>
        </w:rPr>
        <w:t>）；</w:t>
      </w:r>
    </w:p>
    <w:p w14:paraId="1DDACC8A">
      <w:pPr>
        <w:pStyle w:val="52"/>
        <w:numPr>
          <w:ilvl w:val="0"/>
          <w:numId w:val="25"/>
        </w:numPr>
        <w:bidi w:val="0"/>
        <w:rPr>
          <w:highlight w:val="none"/>
        </w:rPr>
      </w:pPr>
      <w:r>
        <w:rPr>
          <w:rFonts w:hint="eastAsia"/>
          <w:highlight w:val="none"/>
        </w:rPr>
        <w:t xml:space="preserve">根据招标公告落实政府采购政策需满足的资格要求选择提供相应的材料（见“第六章 投标文件部分格式文本 </w:t>
      </w:r>
      <w:r>
        <w:rPr>
          <w:rFonts w:hint="eastAsia"/>
          <w:highlight w:val="none"/>
          <w:lang w:val="en-US" w:eastAsia="zh-Hans"/>
        </w:rPr>
        <w:t>七</w:t>
      </w:r>
      <w:r>
        <w:rPr>
          <w:rFonts w:hint="eastAsia"/>
          <w:highlight w:val="none"/>
        </w:rPr>
        <w:t>、</w:t>
      </w:r>
      <w:r>
        <w:rPr>
          <w:rFonts w:hint="eastAsia"/>
          <w:highlight w:val="none"/>
          <w:lang w:val="en-US" w:eastAsia="zh-Hans"/>
        </w:rPr>
        <w:t>八</w:t>
      </w:r>
      <w:r>
        <w:rPr>
          <w:rFonts w:hint="eastAsia"/>
          <w:highlight w:val="none"/>
        </w:rPr>
        <w:t>、十</w:t>
      </w:r>
      <w:r>
        <w:rPr>
          <w:rFonts w:hint="eastAsia"/>
          <w:highlight w:val="none"/>
          <w:lang w:val="en-US" w:eastAsia="zh-Hans"/>
        </w:rPr>
        <w:t>一</w:t>
      </w:r>
      <w:r>
        <w:rPr>
          <w:rFonts w:hint="eastAsia"/>
          <w:highlight w:val="none"/>
        </w:rPr>
        <w:t>、十</w:t>
      </w:r>
      <w:r>
        <w:rPr>
          <w:rFonts w:hint="eastAsia"/>
          <w:highlight w:val="none"/>
          <w:lang w:val="en-US" w:eastAsia="zh-Hans"/>
        </w:rPr>
        <w:t>二</w:t>
      </w:r>
      <w:r>
        <w:rPr>
          <w:rFonts w:hint="eastAsia"/>
          <w:highlight w:val="none"/>
        </w:rPr>
        <w:t>”），其中</w:t>
      </w:r>
    </w:p>
    <w:p w14:paraId="0E9E61E4">
      <w:pPr>
        <w:pStyle w:val="54"/>
        <w:ind w:firstLine="480"/>
        <w:rPr>
          <w:highlight w:val="none"/>
        </w:rPr>
      </w:pPr>
      <w:r>
        <w:rPr>
          <w:rFonts w:hint="eastAsia"/>
          <w:highlight w:val="none"/>
        </w:rPr>
        <w:t>项目专门面向中小企业的，</w:t>
      </w:r>
      <w:r>
        <w:rPr>
          <w:rFonts w:hint="eastAsia"/>
          <w:highlight w:val="none"/>
          <w:lang w:val="en-US" w:eastAsia="zh-CN"/>
        </w:rPr>
        <w:t>服务</w:t>
      </w:r>
      <w:r>
        <w:rPr>
          <w:rFonts w:hint="eastAsia"/>
          <w:highlight w:val="none"/>
        </w:rPr>
        <w:t>全部由符合政策要求的中小企业（或小微企业）</w:t>
      </w:r>
      <w:r>
        <w:rPr>
          <w:rFonts w:hint="eastAsia"/>
          <w:highlight w:val="none"/>
          <w:lang w:val="en-US" w:eastAsia="zh-CN"/>
        </w:rPr>
        <w:t>承接</w:t>
      </w:r>
      <w:r>
        <w:rPr>
          <w:rFonts w:hint="eastAsia"/>
          <w:highlight w:val="none"/>
        </w:rPr>
        <w:t xml:space="preserve">的，提供相应的中小企业声明函（或残疾人福利性企业声明函或监狱企业证明文件）； </w:t>
      </w:r>
    </w:p>
    <w:p w14:paraId="592BDDAC">
      <w:pPr>
        <w:pStyle w:val="54"/>
        <w:ind w:firstLine="480"/>
        <w:rPr>
          <w:highlight w:val="none"/>
        </w:rPr>
      </w:pPr>
      <w:r>
        <w:rPr>
          <w:rFonts w:hint="eastAsia"/>
          <w:highlight w:val="none"/>
        </w:rPr>
        <w:t>项目要求以联合体形式参加的，提供联合协议和中小企业声明函（或残疾人福利性企业声明函或监狱企业证明文件），联合协议中中小企业合同金额应当达到招标公告载明的比例；如果供应商本身提供所有标的均由中小企业制造的，视同符合了资格条件，无需再与其他中小企业组成联合体参加政府采购活动，无需提供联合协议；</w:t>
      </w:r>
    </w:p>
    <w:p w14:paraId="62985064">
      <w:pPr>
        <w:pStyle w:val="54"/>
        <w:ind w:firstLine="480"/>
        <w:rPr>
          <w:highlight w:val="none"/>
        </w:rPr>
      </w:pPr>
      <w:r>
        <w:rPr>
          <w:rFonts w:hint="eastAsia"/>
          <w:highlight w:val="none"/>
        </w:rPr>
        <w:t>项目要求合同分包的，提供分包意向协议和中小企业声明函（或残疾人福利性企业声明函或监狱企业证明文件），分包意向协议中中小企业合同金额应当达到招标公告载明的比例；如果供应商本身提供所有标的均由中小企业制造的，视同符合了资格条件，无需再向中小企业分包，无需提供分包意向协议；</w:t>
      </w:r>
    </w:p>
    <w:p w14:paraId="4DD2E146">
      <w:pPr>
        <w:pStyle w:val="54"/>
        <w:ind w:firstLine="480"/>
        <w:rPr>
          <w:rFonts w:ascii="Times New Roman" w:hAnsi="Times New Roman"/>
          <w:sz w:val="21"/>
          <w:highlight w:val="none"/>
        </w:rPr>
      </w:pPr>
      <w:r>
        <w:rPr>
          <w:rFonts w:hint="eastAsia"/>
          <w:highlight w:val="none"/>
        </w:rPr>
        <w:t>项目无落实政府采购政策需满足的资格要求的，则本项内容无需提供。</w:t>
      </w:r>
    </w:p>
    <w:p w14:paraId="12F681FD">
      <w:pPr>
        <w:pStyle w:val="52"/>
        <w:bidi w:val="0"/>
        <w:rPr>
          <w:highlight w:val="none"/>
        </w:rPr>
      </w:pPr>
      <w:r>
        <w:rPr>
          <w:rFonts w:hint="eastAsia"/>
          <w:highlight w:val="none"/>
        </w:rPr>
        <w:t>本项目的特定资格要求</w:t>
      </w:r>
      <w:r>
        <w:rPr>
          <w:rFonts w:hint="eastAsia"/>
          <w:highlight w:val="none"/>
          <w:lang w:eastAsia="zh-Hans"/>
        </w:rPr>
        <w:t>（</w:t>
      </w:r>
      <w:r>
        <w:rPr>
          <w:rFonts w:hint="eastAsia"/>
          <w:highlight w:val="none"/>
        </w:rPr>
        <w:t>根据招标公告本项目的特定资格要求提供相应的证明材料；项目无特定资格要求的，则本项内容无需提供</w:t>
      </w:r>
      <w:r>
        <w:rPr>
          <w:rFonts w:hint="eastAsia"/>
          <w:highlight w:val="none"/>
          <w:lang w:eastAsia="zh-Hans"/>
        </w:rPr>
        <w:t>）</w:t>
      </w:r>
      <w:r>
        <w:rPr>
          <w:rFonts w:hint="eastAsia"/>
          <w:highlight w:val="none"/>
        </w:rPr>
        <w:t>。</w:t>
      </w:r>
    </w:p>
    <w:p w14:paraId="3C06DB02">
      <w:pPr>
        <w:pStyle w:val="41"/>
        <w:ind w:firstLine="482"/>
        <w:rPr>
          <w:highlight w:val="none"/>
        </w:rPr>
      </w:pPr>
      <w:r>
        <w:rPr>
          <w:highlight w:val="none"/>
        </w:rPr>
        <w:t>商务技术文件</w:t>
      </w:r>
    </w:p>
    <w:p w14:paraId="02498379">
      <w:pPr>
        <w:pStyle w:val="52"/>
        <w:numPr>
          <w:ilvl w:val="0"/>
          <w:numId w:val="26"/>
        </w:numPr>
        <w:ind w:firstLine="480"/>
        <w:rPr>
          <w:highlight w:val="none"/>
        </w:rPr>
      </w:pPr>
      <w:r>
        <w:rPr>
          <w:highlight w:val="none"/>
        </w:rPr>
        <w:t>投标函</w:t>
      </w:r>
      <w:r>
        <w:rPr>
          <w:rFonts w:hint="eastAsia"/>
          <w:highlight w:val="none"/>
        </w:rPr>
        <w:t>（见“第六章 投标文件部分格式文本 三、”）</w:t>
      </w:r>
      <w:r>
        <w:rPr>
          <w:highlight w:val="none"/>
        </w:rPr>
        <w:t xml:space="preserve">； </w:t>
      </w:r>
    </w:p>
    <w:p w14:paraId="71C33EB5">
      <w:pPr>
        <w:pStyle w:val="52"/>
        <w:numPr>
          <w:ilvl w:val="0"/>
          <w:numId w:val="26"/>
        </w:numPr>
        <w:ind w:firstLine="480"/>
        <w:rPr>
          <w:highlight w:val="none"/>
        </w:rPr>
      </w:pPr>
      <w:r>
        <w:rPr>
          <w:highlight w:val="none"/>
        </w:rPr>
        <w:t>政府采购供应商廉洁自律承诺书</w:t>
      </w:r>
      <w:r>
        <w:rPr>
          <w:rFonts w:hint="eastAsia"/>
          <w:highlight w:val="none"/>
        </w:rPr>
        <w:t xml:space="preserve">（见“第六章 投标文件部分格式文本 </w:t>
      </w:r>
      <w:r>
        <w:rPr>
          <w:rFonts w:hint="eastAsia"/>
          <w:highlight w:val="none"/>
          <w:lang w:val="en-US" w:eastAsia="zh-Hans"/>
        </w:rPr>
        <w:t>四</w:t>
      </w:r>
      <w:r>
        <w:rPr>
          <w:rFonts w:hint="eastAsia"/>
          <w:highlight w:val="none"/>
        </w:rPr>
        <w:t>、”）</w:t>
      </w:r>
      <w:r>
        <w:rPr>
          <w:highlight w:val="none"/>
        </w:rPr>
        <w:t>；</w:t>
      </w:r>
    </w:p>
    <w:p w14:paraId="787E0629">
      <w:pPr>
        <w:pStyle w:val="52"/>
        <w:numPr>
          <w:ilvl w:val="0"/>
          <w:numId w:val="26"/>
        </w:numPr>
        <w:ind w:firstLine="480"/>
        <w:rPr>
          <w:highlight w:val="none"/>
        </w:rPr>
      </w:pPr>
      <w:r>
        <w:rPr>
          <w:highlight w:val="none"/>
        </w:rPr>
        <w:t>法定代表人（单位负责人、自然人本人）身份证明</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Hans"/>
        </w:rPr>
        <w:t>五</w:t>
      </w:r>
      <w:r>
        <w:rPr>
          <w:rFonts w:hint="eastAsia"/>
          <w:highlight w:val="none"/>
        </w:rPr>
        <w:t>、”）或包含法定代表人、授权代表人身份证明的</w:t>
      </w:r>
      <w:r>
        <w:rPr>
          <w:highlight w:val="none"/>
        </w:rPr>
        <w:t>授权委托书</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Hans"/>
        </w:rPr>
        <w:t>六</w:t>
      </w:r>
      <w:r>
        <w:rPr>
          <w:rFonts w:hint="eastAsia"/>
          <w:highlight w:val="none"/>
        </w:rPr>
        <w:t>、”）</w:t>
      </w:r>
      <w:r>
        <w:rPr>
          <w:highlight w:val="none"/>
        </w:rPr>
        <w:t>；</w:t>
      </w:r>
    </w:p>
    <w:p w14:paraId="70F71DDA">
      <w:pPr>
        <w:pStyle w:val="52"/>
        <w:numPr>
          <w:ilvl w:val="0"/>
          <w:numId w:val="26"/>
        </w:numPr>
        <w:ind w:firstLine="480"/>
        <w:rPr>
          <w:highlight w:val="none"/>
        </w:rPr>
      </w:pPr>
      <w:r>
        <w:rPr>
          <w:highlight w:val="none"/>
        </w:rPr>
        <w:t>商务</w:t>
      </w:r>
      <w:r>
        <w:rPr>
          <w:rFonts w:hint="eastAsia"/>
          <w:highlight w:val="none"/>
        </w:rPr>
        <w:t>及</w:t>
      </w:r>
      <w:r>
        <w:rPr>
          <w:highlight w:val="none"/>
        </w:rPr>
        <w:t>技术偏离表</w:t>
      </w:r>
      <w:r>
        <w:rPr>
          <w:rFonts w:hint="eastAsia"/>
          <w:highlight w:val="none"/>
        </w:rPr>
        <w:t>（见“第六章 投标文件部分格式文本 十</w:t>
      </w:r>
      <w:r>
        <w:rPr>
          <w:rFonts w:hint="eastAsia"/>
          <w:highlight w:val="none"/>
          <w:lang w:val="en-US" w:eastAsia="zh-Hans"/>
        </w:rPr>
        <w:t>三</w:t>
      </w:r>
      <w:r>
        <w:rPr>
          <w:rFonts w:hint="eastAsia"/>
          <w:highlight w:val="none"/>
        </w:rPr>
        <w:t>、”如有偏离均应编制偏离表，如不填写，招标人有权视作投标文件完全响应招标文件要求）</w:t>
      </w:r>
      <w:r>
        <w:rPr>
          <w:highlight w:val="none"/>
        </w:rPr>
        <w:t>；</w:t>
      </w:r>
    </w:p>
    <w:p w14:paraId="5EF5BA41">
      <w:pPr>
        <w:pStyle w:val="52"/>
        <w:numPr>
          <w:ilvl w:val="0"/>
          <w:numId w:val="26"/>
        </w:numPr>
        <w:ind w:firstLine="480"/>
        <w:rPr>
          <w:highlight w:val="none"/>
        </w:rPr>
      </w:pPr>
      <w:r>
        <w:rPr>
          <w:rFonts w:hint="eastAsia"/>
          <w:highlight w:val="none"/>
          <w:lang w:eastAsia="zh-CN"/>
        </w:rPr>
        <w:t>评分标准</w:t>
      </w:r>
      <w:r>
        <w:rPr>
          <w:highlight w:val="none"/>
        </w:rPr>
        <w:t>相应的商务技术资料</w:t>
      </w:r>
      <w:r>
        <w:rPr>
          <w:rFonts w:hint="eastAsia"/>
          <w:highlight w:val="none"/>
        </w:rPr>
        <w:t>，其中：</w:t>
      </w:r>
    </w:p>
    <w:p w14:paraId="7ACAC64B">
      <w:pPr>
        <w:pStyle w:val="54"/>
        <w:ind w:firstLine="480"/>
        <w:rPr>
          <w:highlight w:val="none"/>
        </w:rPr>
      </w:pPr>
      <w:r>
        <w:rPr>
          <w:rFonts w:hint="eastAsia"/>
          <w:highlight w:val="none"/>
        </w:rPr>
        <w:t>涉及以往业绩证明的应当在业绩证明材料前附</w:t>
      </w:r>
      <w:r>
        <w:rPr>
          <w:rFonts w:hint="eastAsia"/>
          <w:highlight w:val="none"/>
          <w:lang w:eastAsia="zh-Hans"/>
        </w:rPr>
        <w:t>《……</w:t>
      </w:r>
      <w:r>
        <w:rPr>
          <w:rFonts w:hint="eastAsia"/>
          <w:highlight w:val="none"/>
        </w:rPr>
        <w:t>业绩汇总表</w:t>
      </w:r>
      <w:r>
        <w:rPr>
          <w:rFonts w:hint="eastAsia"/>
          <w:highlight w:val="none"/>
          <w:lang w:eastAsia="zh-Hans"/>
        </w:rPr>
        <w:t>》</w:t>
      </w:r>
      <w:r>
        <w:rPr>
          <w:rFonts w:hint="eastAsia"/>
          <w:highlight w:val="none"/>
        </w:rPr>
        <w:t>（</w:t>
      </w:r>
      <w:r>
        <w:rPr>
          <w:rFonts w:hint="eastAsia"/>
          <w:highlight w:val="none"/>
          <w:lang w:val="en-US" w:eastAsia="zh-Hans"/>
        </w:rPr>
        <w:t>格式自拟</w:t>
      </w:r>
      <w:r>
        <w:rPr>
          <w:rFonts w:hint="eastAsia"/>
          <w:highlight w:val="none"/>
        </w:rPr>
        <w:t>），</w:t>
      </w:r>
      <w:r>
        <w:rPr>
          <w:rFonts w:hint="eastAsia"/>
          <w:highlight w:val="none"/>
          <w:lang w:val="en-US" w:eastAsia="zh-Hans"/>
        </w:rPr>
        <w:t>内容</w:t>
      </w:r>
      <w:r>
        <w:rPr>
          <w:rFonts w:hint="eastAsia"/>
          <w:highlight w:val="none"/>
        </w:rPr>
        <w:t>至少包括</w:t>
      </w:r>
      <w:r>
        <w:rPr>
          <w:rFonts w:hint="eastAsia"/>
          <w:highlight w:val="none"/>
          <w:lang w:val="en-US" w:eastAsia="zh-Hans"/>
        </w:rPr>
        <w:t>项目名称、合同签订时间、合同金额、合同甲方联系方式等对应评审所需信息；</w:t>
      </w:r>
    </w:p>
    <w:p w14:paraId="10D772EB">
      <w:pPr>
        <w:pStyle w:val="54"/>
        <w:ind w:firstLine="480"/>
        <w:rPr>
          <w:highlight w:val="none"/>
        </w:rPr>
      </w:pPr>
      <w:r>
        <w:rPr>
          <w:rFonts w:hint="eastAsia"/>
          <w:highlight w:val="none"/>
        </w:rPr>
        <w:t>涉及服务团队人员证明</w:t>
      </w:r>
      <w:r>
        <w:rPr>
          <w:rFonts w:hint="eastAsia"/>
          <w:highlight w:val="none"/>
          <w:lang w:val="en-US" w:eastAsia="zh-Hans"/>
        </w:rPr>
        <w:t>的</w:t>
      </w:r>
      <w:r>
        <w:rPr>
          <w:rFonts w:hint="eastAsia"/>
          <w:highlight w:val="none"/>
        </w:rPr>
        <w:t>应当在人员证明材料前附</w:t>
      </w:r>
      <w:r>
        <w:rPr>
          <w:rFonts w:hint="eastAsia"/>
          <w:highlight w:val="none"/>
          <w:lang w:eastAsia="zh-Hans"/>
        </w:rPr>
        <w:t>《</w:t>
      </w:r>
      <w:r>
        <w:rPr>
          <w:rFonts w:hint="eastAsia"/>
          <w:highlight w:val="none"/>
          <w:lang w:val="en-US" w:eastAsia="zh-Hans"/>
        </w:rPr>
        <w:t>服务团队人员汇总表》格式自拟</w:t>
      </w:r>
      <w:r>
        <w:rPr>
          <w:rFonts w:hint="eastAsia"/>
          <w:highlight w:val="none"/>
        </w:rPr>
        <w:t>）</w:t>
      </w:r>
      <w:r>
        <w:rPr>
          <w:rFonts w:hint="eastAsia"/>
          <w:highlight w:val="none"/>
          <w:lang w:eastAsia="zh-Hans"/>
        </w:rPr>
        <w:t>，</w:t>
      </w:r>
      <w:r>
        <w:rPr>
          <w:rFonts w:hint="eastAsia"/>
          <w:highlight w:val="none"/>
          <w:lang w:val="en-US" w:eastAsia="zh-Hans"/>
        </w:rPr>
        <w:t>内容至少包括姓名、年龄、职称</w:t>
      </w:r>
      <w:r>
        <w:rPr>
          <w:rFonts w:hint="default"/>
          <w:highlight w:val="none"/>
          <w:lang w:eastAsia="zh-Hans"/>
        </w:rPr>
        <w:t>/</w:t>
      </w:r>
      <w:r>
        <w:rPr>
          <w:rFonts w:hint="eastAsia"/>
          <w:highlight w:val="none"/>
          <w:lang w:val="en-US" w:eastAsia="zh-Hans"/>
        </w:rPr>
        <w:t>职务、学历</w:t>
      </w:r>
      <w:r>
        <w:rPr>
          <w:rFonts w:hint="default"/>
          <w:highlight w:val="none"/>
          <w:lang w:eastAsia="zh-Hans"/>
        </w:rPr>
        <w:t>/</w:t>
      </w:r>
      <w:r>
        <w:rPr>
          <w:rFonts w:hint="eastAsia"/>
          <w:highlight w:val="none"/>
          <w:lang w:val="en-US" w:eastAsia="zh-Hans"/>
        </w:rPr>
        <w:t>资格、本项目中拟担任职务等对应评审所需信息。</w:t>
      </w:r>
    </w:p>
    <w:p w14:paraId="4D2EF676">
      <w:pPr>
        <w:pStyle w:val="52"/>
        <w:numPr>
          <w:ilvl w:val="0"/>
          <w:numId w:val="26"/>
        </w:numPr>
        <w:ind w:firstLine="480"/>
        <w:rPr>
          <w:highlight w:val="none"/>
        </w:rPr>
      </w:pPr>
      <w:r>
        <w:rPr>
          <w:rFonts w:hint="eastAsia"/>
          <w:highlight w:val="none"/>
        </w:rPr>
        <w:t>其他商务技术文件或说明（如拟分包情况等其他投标人认为有必要需要说明的商务技术文件。如无，则本项内容无需提供）。</w:t>
      </w:r>
    </w:p>
    <w:p w14:paraId="42750F8A">
      <w:pPr>
        <w:pStyle w:val="41"/>
        <w:ind w:firstLine="482"/>
        <w:rPr>
          <w:highlight w:val="none"/>
        </w:rPr>
      </w:pPr>
      <w:r>
        <w:rPr>
          <w:highlight w:val="none"/>
        </w:rPr>
        <w:t xml:space="preserve">报价文件 </w:t>
      </w:r>
    </w:p>
    <w:p w14:paraId="6F282610">
      <w:pPr>
        <w:pStyle w:val="52"/>
        <w:numPr>
          <w:ilvl w:val="0"/>
          <w:numId w:val="27"/>
        </w:numPr>
        <w:ind w:firstLine="480"/>
        <w:rPr>
          <w:highlight w:val="none"/>
        </w:rPr>
      </w:pPr>
      <w:r>
        <w:rPr>
          <w:highlight w:val="none"/>
        </w:rPr>
        <w:t>开标一览表（报价表）</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CN"/>
        </w:rPr>
        <w:t>九</w:t>
      </w:r>
      <w:r>
        <w:rPr>
          <w:rFonts w:hint="eastAsia"/>
          <w:highlight w:val="none"/>
        </w:rPr>
        <w:t>、”）</w:t>
      </w:r>
      <w:r>
        <w:rPr>
          <w:highlight w:val="none"/>
        </w:rPr>
        <w:t>；</w:t>
      </w:r>
    </w:p>
    <w:p w14:paraId="4A44886E">
      <w:pPr>
        <w:pStyle w:val="52"/>
        <w:numPr>
          <w:ilvl w:val="0"/>
          <w:numId w:val="27"/>
        </w:numPr>
        <w:ind w:firstLine="480"/>
        <w:rPr>
          <w:highlight w:val="none"/>
        </w:rPr>
      </w:pPr>
      <w:r>
        <w:rPr>
          <w:rFonts w:hint="eastAsia"/>
          <w:highlight w:val="none"/>
        </w:rPr>
        <w:t>报价明细表</w:t>
      </w:r>
      <w:r>
        <w:rPr>
          <w:rFonts w:hint="eastAsia"/>
          <w:kern w:val="28"/>
          <w:highlight w:val="none"/>
        </w:rPr>
        <w:t>（</w:t>
      </w:r>
      <w:r>
        <w:rPr>
          <w:rFonts w:hint="eastAsia"/>
          <w:highlight w:val="none"/>
        </w:rPr>
        <w:t xml:space="preserve">见“第六章 投标文件部分格式文本 </w:t>
      </w:r>
      <w:r>
        <w:rPr>
          <w:rFonts w:hint="eastAsia"/>
          <w:highlight w:val="none"/>
          <w:lang w:val="en-US" w:eastAsia="zh-CN"/>
        </w:rPr>
        <w:t>十</w:t>
      </w:r>
      <w:r>
        <w:rPr>
          <w:rFonts w:hint="eastAsia"/>
          <w:highlight w:val="none"/>
        </w:rPr>
        <w:t>、”）</w:t>
      </w:r>
    </w:p>
    <w:p w14:paraId="72A4B852">
      <w:pPr>
        <w:pStyle w:val="52"/>
        <w:numPr>
          <w:ilvl w:val="0"/>
          <w:numId w:val="27"/>
        </w:numPr>
        <w:ind w:firstLine="480"/>
        <w:rPr>
          <w:highlight w:val="none"/>
        </w:rPr>
      </w:pPr>
      <w:r>
        <w:rPr>
          <w:rFonts w:hint="eastAsia"/>
          <w:highlight w:val="none"/>
        </w:rPr>
        <w:t>如招标公告中无落实政府采购政策需满足的资格要求的，提供</w:t>
      </w:r>
      <w:r>
        <w:rPr>
          <w:highlight w:val="none"/>
        </w:rPr>
        <w:t>中小企业声明函</w:t>
      </w:r>
      <w:r>
        <w:rPr>
          <w:rFonts w:hint="eastAsia"/>
          <w:highlight w:val="none"/>
        </w:rPr>
        <w:t>或残疾人福利性企业声明函或监狱企业证明文件，（见“第六章 投标文件部分格式文本 十</w:t>
      </w:r>
      <w:r>
        <w:rPr>
          <w:rFonts w:hint="eastAsia"/>
          <w:highlight w:val="none"/>
          <w:lang w:val="en-US" w:eastAsia="zh-Hans"/>
        </w:rPr>
        <w:t>一</w:t>
      </w:r>
      <w:r>
        <w:rPr>
          <w:rFonts w:hint="eastAsia"/>
          <w:highlight w:val="none"/>
        </w:rPr>
        <w:t>、十</w:t>
      </w:r>
      <w:r>
        <w:rPr>
          <w:rFonts w:hint="eastAsia"/>
          <w:highlight w:val="none"/>
          <w:lang w:val="en-US" w:eastAsia="zh-Hans"/>
        </w:rPr>
        <w:t>二</w:t>
      </w:r>
      <w:r>
        <w:rPr>
          <w:rFonts w:hint="eastAsia"/>
          <w:highlight w:val="none"/>
        </w:rPr>
        <w:t>”，如不是上述企业本项内容无需提供）。</w:t>
      </w:r>
    </w:p>
    <w:p w14:paraId="3C1A428F">
      <w:pPr>
        <w:pStyle w:val="42"/>
        <w:ind w:firstLine="482"/>
        <w:rPr>
          <w:b/>
          <w:bCs/>
          <w:highlight w:val="none"/>
          <w:u w:val="single"/>
          <w:lang w:eastAsia="zh-CN"/>
        </w:rPr>
      </w:pPr>
      <w:r>
        <w:rPr>
          <w:rFonts w:hint="eastAsia"/>
          <w:b/>
          <w:bCs/>
          <w:highlight w:val="none"/>
          <w:u w:val="single"/>
          <w:lang w:eastAsia="zh-CN"/>
        </w:rPr>
        <w:t>除有说明</w:t>
      </w:r>
      <w:r>
        <w:rPr>
          <w:rFonts w:hint="eastAsia"/>
          <w:b/>
          <w:bCs/>
          <w:highlight w:val="none"/>
          <w:u w:val="single"/>
          <w:lang w:val="en-US" w:eastAsia="zh-Hans"/>
        </w:rPr>
        <w:t>或明示</w:t>
      </w:r>
      <w:r>
        <w:rPr>
          <w:rFonts w:hint="eastAsia"/>
          <w:b/>
          <w:bCs/>
          <w:highlight w:val="none"/>
          <w:u w:val="single"/>
          <w:lang w:eastAsia="zh-CN"/>
        </w:rPr>
        <w:t>可不提供的情形外，未完整提供上述内容的投标文件将被视为无效投标文件。</w:t>
      </w:r>
    </w:p>
    <w:p w14:paraId="2CE77F1F">
      <w:pPr>
        <w:pStyle w:val="45"/>
        <w:rPr>
          <w:highlight w:val="none"/>
        </w:rPr>
      </w:pPr>
      <w:r>
        <w:rPr>
          <w:rFonts w:hint="eastAsia"/>
          <w:highlight w:val="none"/>
        </w:rPr>
        <w:t>投标文件的编制</w:t>
      </w:r>
    </w:p>
    <w:p w14:paraId="3CC49F45">
      <w:pPr>
        <w:pStyle w:val="52"/>
        <w:numPr>
          <w:ilvl w:val="0"/>
          <w:numId w:val="28"/>
        </w:numPr>
        <w:bidi w:val="0"/>
        <w:rPr>
          <w:highlight w:val="none"/>
        </w:rPr>
      </w:pPr>
      <w:r>
        <w:rPr>
          <w:highlight w:val="none"/>
        </w:rPr>
        <w:t>供应商应仔细阅读招标文件规定的所有内容，以保证能全面准确理解招标文件，并按照招标文件要求，详细编制投标文件，投标文件内容必须针对本次招标要求进行响应。</w:t>
      </w:r>
    </w:p>
    <w:p w14:paraId="6256F8EB">
      <w:pPr>
        <w:pStyle w:val="52"/>
        <w:numPr>
          <w:ilvl w:val="0"/>
          <w:numId w:val="28"/>
        </w:numPr>
        <w:bidi w:val="0"/>
        <w:rPr>
          <w:highlight w:val="none"/>
        </w:rPr>
      </w:pPr>
      <w:r>
        <w:rPr>
          <w:highlight w:val="none"/>
        </w:rPr>
        <w:t>投标人必须按招标文件的要求提供相关资料，并对招标文件中提出的所有内容要求给予实质性响应，须保证投标文件的准确、真实、有效。投标文件响应内容对招标文件要求如有偏离均应填写偏离表，如不填写，招标人有权视作投标文件完全响应招标文件要求。</w:t>
      </w:r>
    </w:p>
    <w:p w14:paraId="0FF1E96C">
      <w:pPr>
        <w:pStyle w:val="52"/>
        <w:numPr>
          <w:ilvl w:val="0"/>
          <w:numId w:val="28"/>
        </w:numPr>
        <w:bidi w:val="0"/>
        <w:rPr>
          <w:highlight w:val="none"/>
        </w:rPr>
      </w:pPr>
      <w:r>
        <w:rPr>
          <w:highlight w:val="none"/>
        </w:rPr>
        <w:t>投标文件应按照本节“1.投标文件的组成”及“政采云投标客户端”中的要求和顺序进行编写。招标文件有提供格式文本的，应按照格式文本进行编制（格式中要求提供相关证明材料的还需后附相关证明材料），并按格式文本要求在指定位置根据要求进行签章，否则视为未提供；招标文件未提供格式的，供应商可自行拟定格式。</w:t>
      </w:r>
    </w:p>
    <w:p w14:paraId="1DE87AC8">
      <w:pPr>
        <w:pStyle w:val="52"/>
        <w:numPr>
          <w:ilvl w:val="0"/>
          <w:numId w:val="28"/>
        </w:numPr>
        <w:bidi w:val="0"/>
        <w:rPr>
          <w:highlight w:val="none"/>
        </w:rPr>
      </w:pPr>
      <w:r>
        <w:rPr>
          <w:highlight w:val="none"/>
        </w:rPr>
        <w:t>投标文件内容不完整、编排混乱或表达不清导致投标文件被误读、漏读或者查找不到相关内容的，是投标人的责任。</w:t>
      </w:r>
    </w:p>
    <w:p w14:paraId="2E7DEC73">
      <w:pPr>
        <w:pStyle w:val="52"/>
        <w:numPr>
          <w:ilvl w:val="0"/>
          <w:numId w:val="28"/>
        </w:numPr>
        <w:bidi w:val="0"/>
        <w:rPr>
          <w:highlight w:val="none"/>
        </w:rPr>
      </w:pPr>
      <w:r>
        <w:rPr>
          <w:highlight w:val="none"/>
        </w:rPr>
        <w:t>投标人没有按照招标文件要求提供全部资料，或者没有仔细阅读招标文件，或者没有对招标文件在各方面的要求作出实质性响应是投标人的风险，由此造成的一切后果由投标人自行承担。</w:t>
      </w:r>
    </w:p>
    <w:p w14:paraId="56E8F1EC">
      <w:pPr>
        <w:pStyle w:val="52"/>
        <w:numPr>
          <w:ilvl w:val="0"/>
          <w:numId w:val="28"/>
        </w:numPr>
        <w:bidi w:val="0"/>
        <w:rPr>
          <w:highlight w:val="none"/>
        </w:rPr>
      </w:pPr>
      <w:r>
        <w:rPr>
          <w:highlight w:val="none"/>
        </w:rPr>
        <w:t>投标人不得递交任何的投标备选（替代）方案，否则作无效标处理。</w:t>
      </w:r>
    </w:p>
    <w:p w14:paraId="4721B6CF">
      <w:pPr>
        <w:pStyle w:val="45"/>
        <w:rPr>
          <w:highlight w:val="none"/>
        </w:rPr>
      </w:pPr>
      <w:r>
        <w:rPr>
          <w:rFonts w:hint="eastAsia"/>
          <w:highlight w:val="none"/>
        </w:rPr>
        <w:t>投标文件的签署</w:t>
      </w:r>
    </w:p>
    <w:p w14:paraId="01315F0B">
      <w:pPr>
        <w:pStyle w:val="52"/>
        <w:numPr>
          <w:ilvl w:val="0"/>
          <w:numId w:val="29"/>
        </w:numPr>
        <w:bidi w:val="0"/>
        <w:rPr>
          <w:highlight w:val="none"/>
        </w:rPr>
      </w:pPr>
      <w:r>
        <w:rPr>
          <w:highlight w:val="none"/>
        </w:rPr>
        <w:t>招标文件中提供了投标文件格式文本的必须按照格式本文的要求签字或盖章。授权代表签字的，投标文件应附法定代表人签署的授权委托书。应签章而未签章的材料视为未提供。</w:t>
      </w:r>
    </w:p>
    <w:p w14:paraId="2E66755F">
      <w:pPr>
        <w:pStyle w:val="52"/>
        <w:numPr>
          <w:ilvl w:val="0"/>
          <w:numId w:val="29"/>
        </w:numPr>
        <w:bidi w:val="0"/>
      </w:pPr>
      <w:r>
        <w:rPr>
          <w:highlight w:val="none"/>
        </w:rPr>
        <w:t>所有</w:t>
      </w:r>
      <w:r>
        <w:rPr>
          <w:rFonts w:hint="eastAsia"/>
          <w:highlight w:val="none"/>
          <w:lang w:val="en-US" w:eastAsia="zh-Hans"/>
        </w:rPr>
        <w:t>扫描件、</w:t>
      </w:r>
      <w:r>
        <w:rPr>
          <w:highlight w:val="none"/>
        </w:rPr>
        <w:t>复印件（如各类资格资质证书、业绩材料、许可材料、荣誉证书、产品注册登记材料、产品检测材料、验收材料等）均须加盖投标人</w:t>
      </w:r>
      <w:r>
        <w:rPr>
          <w:rFonts w:hint="eastAsia"/>
          <w:highlight w:val="none"/>
          <w:lang w:val="en-US" w:eastAsia="zh-Hans"/>
        </w:rPr>
        <w:t>电子签章或</w:t>
      </w:r>
      <w:r>
        <w:rPr>
          <w:highlight w:val="none"/>
        </w:rPr>
        <w:t>公章。评审委员会可视情况要求投标</w:t>
      </w:r>
      <w:r>
        <w:t>人提供原件，如投标人不能在规定时间内提供原件核实，其投标文件中提供的</w:t>
      </w:r>
      <w:r>
        <w:rPr>
          <w:rFonts w:hint="eastAsia"/>
          <w:lang w:val="en-US" w:eastAsia="zh-CN"/>
        </w:rPr>
        <w:t>复制件</w:t>
      </w:r>
      <w:r>
        <w:t>视为未提供。</w:t>
      </w:r>
    </w:p>
    <w:p w14:paraId="36695613">
      <w:pPr>
        <w:pStyle w:val="45"/>
      </w:pPr>
      <w:r>
        <w:rPr>
          <w:rFonts w:hint="eastAsia"/>
        </w:rPr>
        <w:t>投标报价</w:t>
      </w:r>
    </w:p>
    <w:p w14:paraId="4BE25845">
      <w:pPr>
        <w:pStyle w:val="41"/>
        <w:ind w:firstLine="482"/>
      </w:pPr>
      <w:r>
        <w:rPr>
          <w:rFonts w:hint="eastAsia"/>
        </w:rPr>
        <w:t>报价组成</w:t>
      </w:r>
    </w:p>
    <w:p w14:paraId="6F06116D">
      <w:pPr>
        <w:pStyle w:val="42"/>
        <w:ind w:firstLine="480"/>
        <w:rPr>
          <w:rFonts w:hint="eastAsia"/>
        </w:rPr>
      </w:pPr>
      <w:r>
        <w:rPr>
          <w:rFonts w:hint="eastAsia"/>
        </w:rPr>
        <w:t>投标报价是履行合同的最终价格，包括完成本项目</w:t>
      </w:r>
      <w:r>
        <w:rPr>
          <w:rFonts w:hint="eastAsia"/>
          <w:lang w:val="en-US" w:eastAsia="zh-CN"/>
        </w:rPr>
        <w:t>合同履行并且</w:t>
      </w:r>
      <w:r>
        <w:rPr>
          <w:rFonts w:hint="eastAsia"/>
        </w:rPr>
        <w:t>产品</w:t>
      </w:r>
      <w:r>
        <w:rPr>
          <w:rFonts w:hint="eastAsia"/>
          <w:lang w:val="en-US" w:eastAsia="zh-CN"/>
        </w:rPr>
        <w:t>及</w:t>
      </w:r>
      <w:r>
        <w:rPr>
          <w:rFonts w:hint="eastAsia"/>
        </w:rPr>
        <w:t>服务须达到招标文件规定的质量标准</w:t>
      </w:r>
      <w:r>
        <w:rPr>
          <w:rFonts w:hint="eastAsia"/>
          <w:lang w:eastAsia="zh-CN"/>
        </w:rPr>
        <w:t>、</w:t>
      </w:r>
      <w:r>
        <w:rPr>
          <w:rFonts w:hint="eastAsia"/>
        </w:rPr>
        <w:t>使用要求所需的全部费用</w:t>
      </w:r>
      <w:r>
        <w:rPr>
          <w:rFonts w:hint="eastAsia"/>
          <w:lang w:val="en-US" w:eastAsia="zh-CN"/>
        </w:rPr>
        <w:t>以及</w:t>
      </w:r>
      <w:r>
        <w:rPr>
          <w:rFonts w:hint="default"/>
        </w:rPr>
        <w:t>采购文件</w:t>
      </w:r>
      <w:r>
        <w:rPr>
          <w:rFonts w:hint="eastAsia"/>
        </w:rPr>
        <w:t>及合同明示或者暗示的所有责任、义务和风险。</w:t>
      </w:r>
    </w:p>
    <w:p w14:paraId="3A834B90">
      <w:pPr>
        <w:pStyle w:val="42"/>
        <w:ind w:firstLine="480"/>
        <w:rPr>
          <w:u w:val="single"/>
        </w:rPr>
      </w:pPr>
      <w:r>
        <w:rPr>
          <w:rFonts w:hint="eastAsia"/>
          <w:u w:val="single"/>
          <w:lang w:val="en-US" w:eastAsia="zh-CN"/>
        </w:rPr>
        <w:t>如</w:t>
      </w:r>
      <w:r>
        <w:rPr>
          <w:rFonts w:hint="eastAsia"/>
          <w:u w:val="single"/>
        </w:rPr>
        <w:t>本章“前附表”规定</w:t>
      </w:r>
      <w:r>
        <w:rPr>
          <w:rFonts w:hint="eastAsia"/>
          <w:u w:val="single"/>
          <w:lang w:eastAsia="zh-CN"/>
        </w:rPr>
        <w:t>“</w:t>
      </w:r>
      <w:r>
        <w:rPr>
          <w:rFonts w:hint="eastAsia"/>
          <w:u w:val="single"/>
        </w:rPr>
        <w:t>允许</w:t>
      </w:r>
      <w:r>
        <w:rPr>
          <w:rFonts w:hint="eastAsia"/>
          <w:u w:val="single"/>
          <w:lang w:val="en-US" w:eastAsia="zh-CN"/>
        </w:rPr>
        <w:t>采购</w:t>
      </w:r>
      <w:r>
        <w:rPr>
          <w:rFonts w:hint="eastAsia"/>
          <w:u w:val="single"/>
        </w:rPr>
        <w:t>进口产品</w:t>
      </w:r>
      <w:r>
        <w:rPr>
          <w:rFonts w:hint="eastAsia"/>
          <w:u w:val="single"/>
          <w:lang w:eastAsia="zh-CN"/>
        </w:rPr>
        <w:t>”</w:t>
      </w:r>
      <w:r>
        <w:rPr>
          <w:rFonts w:hint="eastAsia"/>
          <w:u w:val="single"/>
        </w:rPr>
        <w:t>的，投标报价还应包括：</w:t>
      </w:r>
    </w:p>
    <w:p w14:paraId="4B984C15">
      <w:pPr>
        <w:pStyle w:val="52"/>
        <w:numPr>
          <w:ilvl w:val="0"/>
          <w:numId w:val="30"/>
        </w:numPr>
        <w:ind w:firstLine="480"/>
      </w:pPr>
      <w:r>
        <w:rPr>
          <w:rFonts w:hint="eastAsia"/>
        </w:rPr>
        <w:t>投标截止时间前已经进口的货物：货物在从关境外进口时已交纳或应交纳的全部关税、增值税和其它税；</w:t>
      </w:r>
    </w:p>
    <w:p w14:paraId="551B6021">
      <w:pPr>
        <w:pStyle w:val="52"/>
        <w:numPr>
          <w:ilvl w:val="0"/>
          <w:numId w:val="30"/>
        </w:numPr>
        <w:ind w:firstLine="480"/>
      </w:pPr>
      <w:r>
        <w:rPr>
          <w:rFonts w:hint="eastAsia"/>
        </w:rPr>
        <w:t>需从中华人民共和国境外提供的货物：货物在从关境外进口时已交纳或应交纳的全部关税、增值税和其它税（本章“前附表”规定可办理免税的除外）以及委托具有进出口代理权的机构办理进口事宜所需的所有费用。</w:t>
      </w:r>
    </w:p>
    <w:p w14:paraId="49148FCF">
      <w:pPr>
        <w:pStyle w:val="52"/>
        <w:numPr>
          <w:ilvl w:val="0"/>
          <w:numId w:val="30"/>
        </w:numPr>
        <w:ind w:firstLine="480"/>
      </w:pPr>
      <w:r>
        <w:rPr>
          <w:rFonts w:hint="eastAsia"/>
        </w:rPr>
        <w:t>本章“前附表”即使明确可免关税，如因国家（海关）政策等原因导致无法免关税的，关税由招标人承担；如因供应商原因导致无法办理的，合同价不予调整，关税由中标人承担，报价范围按前款（1）条执行。</w:t>
      </w:r>
    </w:p>
    <w:p w14:paraId="19A0FC83">
      <w:pPr>
        <w:pStyle w:val="41"/>
        <w:ind w:firstLine="482"/>
      </w:pPr>
      <w:r>
        <w:rPr>
          <w:rFonts w:hint="eastAsia"/>
        </w:rPr>
        <w:t>其它费用处理</w:t>
      </w:r>
    </w:p>
    <w:p w14:paraId="5A4F454E">
      <w:pPr>
        <w:pStyle w:val="42"/>
        <w:ind w:firstLine="480"/>
        <w:rPr>
          <w:rFonts w:hint="eastAsia"/>
        </w:rPr>
      </w:pPr>
      <w:r>
        <w:rPr>
          <w:rFonts w:hint="eastAsia"/>
        </w:rPr>
        <w:t>招标文件未列明，而投标人认为必需的费用也需列入报价。投标人在投标报价中应充分考虑所有可能发生的费用，否则招标人将视投标总价中已包括所有费用。</w:t>
      </w:r>
    </w:p>
    <w:p w14:paraId="3EFE108E">
      <w:pPr>
        <w:pStyle w:val="42"/>
        <w:ind w:firstLine="480"/>
      </w:pPr>
      <w:r>
        <w:rPr>
          <w:rFonts w:hint="eastAsia" w:ascii="宋体" w:hAnsi="宋体"/>
          <w:spacing w:val="-4"/>
          <w:sz w:val="24"/>
          <w:szCs w:val="22"/>
        </w:rPr>
        <w:t>参与本项目竞争需要的工作成本、成交后</w:t>
      </w:r>
      <w:r>
        <w:rPr>
          <w:rFonts w:hint="eastAsia" w:ascii="宋体" w:hAnsi="宋体"/>
          <w:sz w:val="24"/>
        </w:rPr>
        <w:t>向采购代理机构支付的代理服务费、合同履行过程中项目需求变动引起工作量的缩减等涉及的费用不需要单列报价子项，但均应由供应商考虑并包含在企业运营成本或报价因素中。</w:t>
      </w:r>
    </w:p>
    <w:p w14:paraId="37507DB1">
      <w:pPr>
        <w:pStyle w:val="41"/>
        <w:ind w:firstLine="482"/>
      </w:pPr>
      <w:r>
        <w:rPr>
          <w:rFonts w:hint="eastAsia"/>
        </w:rPr>
        <w:t>投标货币</w:t>
      </w:r>
    </w:p>
    <w:p w14:paraId="3C6985FE">
      <w:pPr>
        <w:pStyle w:val="42"/>
        <w:ind w:firstLine="480"/>
      </w:pPr>
      <w:r>
        <w:rPr>
          <w:rFonts w:hint="eastAsia"/>
        </w:rPr>
        <w:t>投标文件中价格全部采用人民币报价。</w:t>
      </w:r>
    </w:p>
    <w:p w14:paraId="5A69742C">
      <w:pPr>
        <w:pStyle w:val="42"/>
        <w:ind w:firstLine="480"/>
      </w:pPr>
      <w:r>
        <w:rPr>
          <w:rFonts w:hint="eastAsia"/>
        </w:rPr>
        <w:t>报价应是唯一的，不接受有选择的报价。</w:t>
      </w:r>
    </w:p>
    <w:p w14:paraId="61ACFBD4">
      <w:pPr>
        <w:pStyle w:val="41"/>
        <w:ind w:firstLine="482"/>
      </w:pPr>
      <w:r>
        <w:rPr>
          <w:rFonts w:hint="eastAsia"/>
        </w:rPr>
        <w:t>特别说明</w:t>
      </w:r>
    </w:p>
    <w:p w14:paraId="2A68D0D4">
      <w:pPr>
        <w:pStyle w:val="54"/>
        <w:ind w:firstLine="480"/>
      </w:pPr>
      <w:r>
        <w:rPr>
          <w:rFonts w:hint="eastAsia"/>
        </w:rPr>
        <w:t>投标人对在合同执行中，除上述费用及招标文件规定的由中标人负责的工作范围以外需要招标人协调或提供便利的工作应当在投标文件中说明。</w:t>
      </w:r>
      <w:bookmarkStart w:id="33" w:name="_Hlt75236011"/>
      <w:bookmarkEnd w:id="33"/>
    </w:p>
    <w:p w14:paraId="249BCE45">
      <w:pPr>
        <w:pStyle w:val="54"/>
        <w:ind w:firstLine="480"/>
        <w:rPr>
          <w:b/>
        </w:rPr>
      </w:pPr>
      <w:r>
        <w:rPr>
          <w:rFonts w:hint="eastAsia"/>
          <w:u w:val="single"/>
        </w:rPr>
        <w:t>报价是中标的一个重要因素，但最低报价不是中标的唯一依据。</w:t>
      </w:r>
    </w:p>
    <w:p w14:paraId="2BE3F4C5">
      <w:pPr>
        <w:pStyle w:val="45"/>
      </w:pPr>
      <w:bookmarkStart w:id="34" w:name="_Toc91899887"/>
      <w:bookmarkEnd w:id="34"/>
      <w:r>
        <w:rPr>
          <w:rFonts w:hint="eastAsia"/>
        </w:rPr>
        <w:t>投标有效期</w:t>
      </w:r>
    </w:p>
    <w:p w14:paraId="2CBDFA9C">
      <w:pPr>
        <w:pStyle w:val="52"/>
        <w:numPr>
          <w:ilvl w:val="0"/>
          <w:numId w:val="31"/>
        </w:numPr>
        <w:bidi w:val="0"/>
      </w:pPr>
      <w:r>
        <w:t>投标文件合格投递后，自投标截止日期起，至前附表规定的日期内有效。合同签订后，投标文件作为合同附件，投标文件有效期延长至与合同有效期相同。</w:t>
      </w:r>
    </w:p>
    <w:p w14:paraId="5A50ADF1">
      <w:pPr>
        <w:pStyle w:val="52"/>
        <w:numPr>
          <w:ilvl w:val="0"/>
          <w:numId w:val="31"/>
        </w:numPr>
        <w:bidi w:val="0"/>
      </w:pPr>
      <w:r>
        <w:t>招标人如因故推迟投标截止时间，将以书面形式通知所有投标人。在这种情况下，招标人与投标人以前在投标截止期方面的全部权利、责任和义务，将适用于延长至新的投标截止期。</w:t>
      </w:r>
    </w:p>
    <w:p w14:paraId="40820BB1">
      <w:pPr>
        <w:pStyle w:val="52"/>
        <w:numPr>
          <w:ilvl w:val="0"/>
          <w:numId w:val="31"/>
        </w:numPr>
        <w:bidi w:val="0"/>
      </w:pPr>
      <w:r>
        <w:t>投标人可拒绝接受延期要求，拒绝延期要求视同未实质性响应招标文件要求。同意延长有效期的投标人不能修改投标文件。</w:t>
      </w:r>
    </w:p>
    <w:p w14:paraId="7F76C798">
      <w:pPr>
        <w:pStyle w:val="45"/>
        <w:rPr>
          <w:lang w:eastAsia="zh-CN"/>
        </w:rPr>
      </w:pPr>
      <w:r>
        <w:rPr>
          <w:rFonts w:hint="eastAsia"/>
        </w:rPr>
        <w:t>电子标书的</w:t>
      </w:r>
      <w:r>
        <w:rPr>
          <w:rFonts w:hint="eastAsia"/>
          <w:lang w:eastAsia="zh-CN"/>
        </w:rPr>
        <w:t>生成</w:t>
      </w:r>
    </w:p>
    <w:p w14:paraId="60934FD4">
      <w:pPr>
        <w:pStyle w:val="41"/>
        <w:ind w:firstLine="482"/>
      </w:pPr>
      <w:r>
        <w:rPr>
          <w:rFonts w:hint="eastAsia"/>
        </w:rPr>
        <w:t>登录客户端</w:t>
      </w:r>
    </w:p>
    <w:p w14:paraId="62532525">
      <w:pPr>
        <w:pStyle w:val="42"/>
        <w:ind w:firstLine="480"/>
      </w:pPr>
      <w:r>
        <w:rPr>
          <w:rFonts w:hint="eastAsia"/>
          <w:lang w:eastAsia="zh-CN"/>
        </w:rPr>
        <w:t>电子标书的生成须在“</w:t>
      </w:r>
      <w:r>
        <w:t>政采云投标客户端</w:t>
      </w:r>
      <w:r>
        <w:rPr>
          <w:rFonts w:hint="eastAsia"/>
          <w:lang w:eastAsia="zh-CN"/>
        </w:rPr>
        <w:t>”（非政采云平台网页）中进行，投标人生成电子标书须具备以下前置条件：</w:t>
      </w:r>
    </w:p>
    <w:p w14:paraId="6731AEEB">
      <w:pPr>
        <w:pStyle w:val="52"/>
        <w:numPr>
          <w:ilvl w:val="0"/>
          <w:numId w:val="32"/>
        </w:numPr>
        <w:ind w:firstLine="480"/>
      </w:pPr>
      <w:r>
        <w:t>已在</w:t>
      </w:r>
      <w:r>
        <w:rPr>
          <w:rFonts w:hint="eastAsia"/>
        </w:rPr>
        <w:t>浙江省</w:t>
      </w:r>
      <w:r>
        <w:t>政府采购网下载并安装</w:t>
      </w:r>
      <w:r>
        <w:rPr>
          <w:rFonts w:hint="eastAsia"/>
        </w:rPr>
        <w:t>“</w:t>
      </w:r>
      <w:r>
        <w:t>政采云投标客户端</w:t>
      </w:r>
      <w:r>
        <w:rPr>
          <w:rFonts w:hint="eastAsia"/>
        </w:rPr>
        <w:t>”；</w:t>
      </w:r>
    </w:p>
    <w:p w14:paraId="6224ACD2">
      <w:pPr>
        <w:pStyle w:val="52"/>
        <w:numPr>
          <w:ilvl w:val="0"/>
          <w:numId w:val="32"/>
        </w:numPr>
        <w:ind w:firstLine="480"/>
      </w:pPr>
      <w:r>
        <w:t>已完成CA申领，并在政采云平台与账号绑定</w:t>
      </w:r>
      <w:r>
        <w:rPr>
          <w:rFonts w:hint="eastAsia"/>
        </w:rPr>
        <w:t>；</w:t>
      </w:r>
    </w:p>
    <w:p w14:paraId="582F043B">
      <w:pPr>
        <w:pStyle w:val="52"/>
        <w:numPr>
          <w:ilvl w:val="0"/>
          <w:numId w:val="32"/>
        </w:numPr>
        <w:ind w:firstLine="480"/>
      </w:pPr>
      <w:r>
        <w:t>已下载并安装CA驱动。</w:t>
      </w:r>
    </w:p>
    <w:p w14:paraId="75556DF8">
      <w:pPr>
        <w:pStyle w:val="42"/>
        <w:ind w:firstLine="480"/>
        <w:rPr>
          <w:u w:val="single"/>
          <w:lang w:eastAsia="zh-CN"/>
        </w:rPr>
      </w:pPr>
      <w:r>
        <w:rPr>
          <w:rFonts w:hint="eastAsia"/>
          <w:u w:val="single"/>
          <w:lang w:val="en-US" w:eastAsia="zh-Hans"/>
        </w:rPr>
        <w:t>建议</w:t>
      </w:r>
      <w:r>
        <w:rPr>
          <w:rFonts w:hint="eastAsia"/>
          <w:u w:val="single"/>
          <w:lang w:eastAsia="zh-CN"/>
        </w:rPr>
        <w:t>使用实体CA锁而非移动数字CA登录投标客户端。</w:t>
      </w:r>
    </w:p>
    <w:p w14:paraId="0A152B1F">
      <w:pPr>
        <w:pStyle w:val="41"/>
        <w:ind w:firstLine="482"/>
      </w:pPr>
      <w:r>
        <w:rPr>
          <w:rFonts w:hint="eastAsia"/>
        </w:rPr>
        <w:t>制作投标文件</w:t>
      </w:r>
    </w:p>
    <w:p w14:paraId="03FB616A">
      <w:pPr>
        <w:pStyle w:val="42"/>
        <w:ind w:firstLine="480"/>
        <w:rPr>
          <w:u w:val="single"/>
        </w:rPr>
      </w:pPr>
      <w:r>
        <w:rPr>
          <w:rFonts w:hint="eastAsia"/>
          <w:u w:val="single"/>
        </w:rPr>
        <w:t>菜单路径：政采云投标客户端</w:t>
      </w:r>
      <w:r>
        <w:rPr>
          <w:u w:val="single"/>
        </w:rPr>
        <w:t>-</w:t>
      </w:r>
      <w:r>
        <w:rPr>
          <w:rFonts w:hint="eastAsia"/>
          <w:u w:val="single"/>
        </w:rPr>
        <w:t>投标响应文件编制</w:t>
      </w:r>
    </w:p>
    <w:p w14:paraId="516C2EDF">
      <w:pPr>
        <w:pStyle w:val="42"/>
        <w:ind w:firstLine="480"/>
        <w:rPr>
          <w:lang w:eastAsia="zh-CN"/>
        </w:rPr>
      </w:pPr>
      <w:r>
        <w:rPr>
          <w:rFonts w:hint="eastAsia"/>
          <w:lang w:eastAsia="zh-CN"/>
        </w:rPr>
        <w:t>投标人需</w:t>
      </w:r>
      <w:r>
        <w:rPr>
          <w:lang w:eastAsia="zh-CN"/>
        </w:rPr>
        <w:t>在“已报名项目”标签页</w:t>
      </w:r>
      <w:r>
        <w:rPr>
          <w:rFonts w:hint="eastAsia"/>
          <w:lang w:eastAsia="zh-CN"/>
        </w:rPr>
        <w:t>中</w:t>
      </w:r>
      <w:r>
        <w:rPr>
          <w:lang w:eastAsia="zh-CN"/>
        </w:rPr>
        <w:t>选择</w:t>
      </w:r>
      <w:r>
        <w:rPr>
          <w:rFonts w:hint="eastAsia"/>
          <w:lang w:eastAsia="zh-CN"/>
        </w:rPr>
        <w:t>对应</w:t>
      </w:r>
      <w:r>
        <w:rPr>
          <w:lang w:eastAsia="zh-CN"/>
        </w:rPr>
        <w:t>项目，</w:t>
      </w:r>
      <w:r>
        <w:rPr>
          <w:rFonts w:hint="eastAsia"/>
          <w:lang w:eastAsia="zh-CN"/>
        </w:rPr>
        <w:t>并在“标项”弹窗中选择对应标项开始制作</w:t>
      </w:r>
      <w:r>
        <w:rPr>
          <w:lang w:eastAsia="zh-CN"/>
        </w:rPr>
        <w:t>。</w:t>
      </w:r>
    </w:p>
    <w:p w14:paraId="3E515FC2">
      <w:pPr>
        <w:pStyle w:val="41"/>
        <w:ind w:firstLine="482"/>
      </w:pPr>
      <w:r>
        <w:rPr>
          <w:rFonts w:hint="eastAsia"/>
        </w:rPr>
        <w:t>基本信息</w:t>
      </w:r>
    </w:p>
    <w:p w14:paraId="7F4B158D">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基本信息</w:t>
      </w:r>
    </w:p>
    <w:p w14:paraId="1DEA44D5">
      <w:pPr>
        <w:pStyle w:val="42"/>
        <w:ind w:firstLine="480"/>
      </w:pPr>
      <w:r>
        <w:rPr>
          <w:rFonts w:hint="eastAsia"/>
          <w:lang w:eastAsia="zh-CN"/>
        </w:rPr>
        <w:t>如本项目</w:t>
      </w:r>
      <w:r>
        <w:rPr>
          <w:rFonts w:hint="eastAsia"/>
        </w:rPr>
        <w:t>“招标公告”规定接受联合体投标的</w:t>
      </w:r>
      <w:r>
        <w:t>，</w:t>
      </w:r>
      <w:r>
        <w:rPr>
          <w:rFonts w:hint="eastAsia"/>
          <w:lang w:eastAsia="zh-CN"/>
        </w:rPr>
        <w:t>且投标人</w:t>
      </w:r>
      <w:r>
        <w:t>需要以联合体身份投标</w:t>
      </w:r>
      <w:r>
        <w:rPr>
          <w:rFonts w:hint="eastAsia"/>
          <w:lang w:eastAsia="zh-CN"/>
        </w:rPr>
        <w:t>的，投标人需在本环节开启“联合体投标”按钮，并录入联合体成员信息。</w:t>
      </w:r>
    </w:p>
    <w:p w14:paraId="3163EEF9">
      <w:pPr>
        <w:pStyle w:val="41"/>
        <w:ind w:firstLine="482"/>
      </w:pPr>
      <w:r>
        <w:rPr>
          <w:rFonts w:hint="eastAsia"/>
        </w:rPr>
        <w:t>导入投标（响应）文件</w:t>
      </w:r>
    </w:p>
    <w:p w14:paraId="5112938F">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rPr>
        <w:t>制作和导入投标（响应）文件</w:t>
      </w:r>
    </w:p>
    <w:p w14:paraId="16674826">
      <w:pPr>
        <w:pStyle w:val="42"/>
        <w:ind w:firstLine="480"/>
        <w:rPr>
          <w:lang w:eastAsia="zh-CN"/>
        </w:rPr>
      </w:pPr>
      <w:r>
        <w:rPr>
          <w:rFonts w:hint="eastAsia"/>
          <w:lang w:eastAsia="zh-CN"/>
        </w:rPr>
        <w:t>投标人需在本环节导入事先制作好的资格文件、商务技术文件及报价文件的PDF版本。其中资格文件可以引用资质库中的资质，也可以直接上传本地文件。</w:t>
      </w:r>
    </w:p>
    <w:p w14:paraId="43743DC4">
      <w:pPr>
        <w:pStyle w:val="42"/>
        <w:ind w:firstLine="480"/>
        <w:rPr>
          <w:lang w:eastAsia="zh-CN"/>
        </w:rPr>
      </w:pPr>
      <w:r>
        <w:rPr>
          <w:rFonts w:hint="eastAsia"/>
          <w:lang w:eastAsia="zh-CN"/>
        </w:rPr>
        <w:t>建议对应客户端中显示的各资格项分页上传资格文件各部分内容。</w:t>
      </w:r>
    </w:p>
    <w:p w14:paraId="2E94F914">
      <w:pPr>
        <w:pStyle w:val="42"/>
        <w:ind w:firstLine="480"/>
        <w:rPr>
          <w:lang w:eastAsia="zh-CN"/>
        </w:rPr>
      </w:pPr>
      <w:r>
        <w:rPr>
          <w:rFonts w:hint="eastAsia"/>
          <w:lang w:eastAsia="zh-CN"/>
        </w:rPr>
        <w:t>在生成电子标书前如需修改投标文件，可在任何阶段返回本环节重新导入文件并重新开始后续步骤。</w:t>
      </w:r>
    </w:p>
    <w:p w14:paraId="206B005C">
      <w:pPr>
        <w:pStyle w:val="41"/>
        <w:ind w:firstLine="482"/>
      </w:pPr>
      <w:r>
        <w:rPr>
          <w:rFonts w:hint="eastAsia"/>
        </w:rPr>
        <w:t>标书关联</w:t>
      </w:r>
    </w:p>
    <w:p w14:paraId="739593A7">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标书关联</w:t>
      </w:r>
    </w:p>
    <w:p w14:paraId="527EDBCA">
      <w:pPr>
        <w:pStyle w:val="42"/>
        <w:ind w:firstLine="480"/>
        <w:rPr>
          <w:lang w:eastAsia="zh-CN"/>
        </w:rPr>
      </w:pPr>
      <w:r>
        <w:rPr>
          <w:rFonts w:hint="eastAsia"/>
          <w:lang w:eastAsia="zh-CN"/>
        </w:rPr>
        <w:t>投标人需在本环节</w:t>
      </w:r>
      <w:r>
        <w:rPr>
          <w:lang w:eastAsia="zh-CN"/>
        </w:rPr>
        <w:t>填写</w:t>
      </w:r>
      <w:r>
        <w:rPr>
          <w:rFonts w:hint="eastAsia"/>
          <w:lang w:eastAsia="zh-CN"/>
        </w:rPr>
        <w:t>“</w:t>
      </w:r>
      <w:r>
        <w:rPr>
          <w:lang w:eastAsia="zh-CN"/>
        </w:rPr>
        <w:t>开标一览表</w:t>
      </w:r>
      <w:r>
        <w:rPr>
          <w:rFonts w:hint="eastAsia"/>
          <w:lang w:eastAsia="zh-CN"/>
        </w:rPr>
        <w:t>”</w:t>
      </w:r>
      <w:r>
        <w:rPr>
          <w:lang w:eastAsia="zh-CN"/>
        </w:rPr>
        <w:t>，并将各响应项关联至</w:t>
      </w:r>
      <w:r>
        <w:rPr>
          <w:rFonts w:hint="eastAsia"/>
          <w:lang w:eastAsia="zh-CN"/>
        </w:rPr>
        <w:t>投标文件</w:t>
      </w:r>
      <w:r>
        <w:rPr>
          <w:lang w:eastAsia="zh-CN"/>
        </w:rPr>
        <w:t>对应页码，方便专家评审。</w:t>
      </w:r>
    </w:p>
    <w:p w14:paraId="53937E1B">
      <w:pPr>
        <w:pStyle w:val="42"/>
        <w:ind w:firstLine="480"/>
        <w:rPr>
          <w:lang w:eastAsia="zh-CN"/>
        </w:rPr>
      </w:pPr>
      <w:r>
        <w:rPr>
          <w:rFonts w:hint="eastAsia"/>
          <w:lang w:eastAsia="zh-CN"/>
        </w:rPr>
        <w:t>此处“开标一览表”的信息录入须与报价文件中的《开标一览表》内容一致。</w:t>
      </w:r>
    </w:p>
    <w:p w14:paraId="2E37CD9A">
      <w:pPr>
        <w:pStyle w:val="42"/>
        <w:ind w:firstLine="480"/>
        <w:rPr>
          <w:lang w:eastAsia="zh-CN"/>
        </w:rPr>
      </w:pPr>
      <w:r>
        <w:rPr>
          <w:rFonts w:hint="eastAsia"/>
          <w:lang w:eastAsia="zh-CN"/>
        </w:rPr>
        <w:t>除符合性要求的关联可指向文件封面外，其他响应项均应正确“关联定位”投标文件对应位置；无响应内容的，投标人可选择“放弃关联”。</w:t>
      </w:r>
    </w:p>
    <w:p w14:paraId="312474B5">
      <w:pPr>
        <w:pStyle w:val="42"/>
        <w:ind w:firstLine="480"/>
        <w:rPr>
          <w:lang w:eastAsia="zh-CN"/>
        </w:rPr>
      </w:pPr>
      <w:r>
        <w:rPr>
          <w:rFonts w:hint="eastAsia"/>
          <w:lang w:eastAsia="zh-CN"/>
        </w:rPr>
        <w:t>因投标人未正确关联</w:t>
      </w:r>
      <w:r>
        <w:rPr>
          <w:lang w:eastAsia="zh-CN"/>
        </w:rPr>
        <w:t>导致</w:t>
      </w:r>
      <w:r>
        <w:rPr>
          <w:rFonts w:hint="eastAsia"/>
          <w:lang w:eastAsia="zh-CN"/>
        </w:rPr>
        <w:t>投标文件</w:t>
      </w:r>
      <w:r>
        <w:rPr>
          <w:lang w:eastAsia="zh-CN"/>
        </w:rPr>
        <w:t>被误读、漏读或者查找不到相关内容的，是投标</w:t>
      </w:r>
      <w:r>
        <w:rPr>
          <w:rFonts w:hint="eastAsia"/>
          <w:lang w:eastAsia="zh-CN"/>
        </w:rPr>
        <w:t>人</w:t>
      </w:r>
      <w:r>
        <w:rPr>
          <w:lang w:eastAsia="zh-CN"/>
        </w:rPr>
        <w:t>的责任。</w:t>
      </w:r>
    </w:p>
    <w:p w14:paraId="042E270C">
      <w:pPr>
        <w:pStyle w:val="41"/>
        <w:ind w:firstLine="482"/>
      </w:pPr>
      <w:r>
        <w:rPr>
          <w:rFonts w:hint="eastAsia"/>
        </w:rPr>
        <w:t>标书检查</w:t>
      </w:r>
    </w:p>
    <w:p w14:paraId="4079E618">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标书检查</w:t>
      </w:r>
    </w:p>
    <w:p w14:paraId="2110108E">
      <w:pPr>
        <w:pStyle w:val="42"/>
        <w:ind w:firstLine="480"/>
        <w:rPr>
          <w:lang w:eastAsia="zh-CN"/>
        </w:rPr>
      </w:pPr>
      <w:r>
        <w:rPr>
          <w:rFonts w:hint="eastAsia"/>
          <w:lang w:eastAsia="zh-CN"/>
        </w:rPr>
        <w:t>点击“检查”按钮后</w:t>
      </w:r>
      <w:r>
        <w:rPr>
          <w:lang w:eastAsia="zh-CN"/>
        </w:rPr>
        <w:t>系统自动检查标书情况，如</w:t>
      </w:r>
      <w:r>
        <w:rPr>
          <w:rFonts w:hint="eastAsia"/>
          <w:lang w:eastAsia="zh-CN"/>
        </w:rPr>
        <w:t>出现异常请及时</w:t>
      </w:r>
      <w:r>
        <w:rPr>
          <w:lang w:eastAsia="zh-CN"/>
        </w:rPr>
        <w:t>根据问题进行修改，完成后点击“检查</w:t>
      </w:r>
      <w:r>
        <w:rPr>
          <w:rFonts w:hint="eastAsia"/>
          <w:lang w:eastAsia="zh-CN"/>
        </w:rPr>
        <w:t>”</w:t>
      </w:r>
      <w:r>
        <w:rPr>
          <w:lang w:eastAsia="zh-CN"/>
        </w:rPr>
        <w:t>。</w:t>
      </w:r>
    </w:p>
    <w:p w14:paraId="1896E993">
      <w:pPr>
        <w:pStyle w:val="42"/>
        <w:ind w:firstLine="480"/>
        <w:rPr>
          <w:lang w:eastAsia="zh-CN"/>
        </w:rPr>
      </w:pPr>
      <w:r>
        <w:rPr>
          <w:lang w:eastAsia="zh-CN"/>
        </w:rPr>
        <w:t>标书检查完成</w:t>
      </w:r>
      <w:r>
        <w:rPr>
          <w:rFonts w:hint="eastAsia"/>
          <w:lang w:eastAsia="zh-CN"/>
        </w:rPr>
        <w:t>后</w:t>
      </w:r>
      <w:r>
        <w:rPr>
          <w:lang w:eastAsia="zh-CN"/>
        </w:rPr>
        <w:t>已关联内容会被锁定。如需更改，点击“恢复编辑</w:t>
      </w:r>
      <w:r>
        <w:rPr>
          <w:rFonts w:hint="eastAsia"/>
          <w:lang w:eastAsia="zh-CN"/>
        </w:rPr>
        <w:t>”</w:t>
      </w:r>
      <w:r>
        <w:rPr>
          <w:lang w:eastAsia="zh-CN"/>
        </w:rPr>
        <w:t>可重新操作。</w:t>
      </w:r>
    </w:p>
    <w:p w14:paraId="45BE84B5">
      <w:pPr>
        <w:pStyle w:val="41"/>
        <w:ind w:firstLine="482"/>
      </w:pPr>
      <w:r>
        <w:rPr>
          <w:rFonts w:hint="eastAsia"/>
        </w:rPr>
        <w:t>电子签名</w:t>
      </w:r>
    </w:p>
    <w:p w14:paraId="72628AFA">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电子签名</w:t>
      </w:r>
    </w:p>
    <w:p w14:paraId="1ADC71CA">
      <w:pPr>
        <w:pStyle w:val="42"/>
        <w:ind w:firstLine="480"/>
        <w:rPr>
          <w:lang w:eastAsia="zh-CN"/>
        </w:rPr>
      </w:pPr>
      <w:r>
        <w:rPr>
          <w:rFonts w:hint="eastAsia"/>
          <w:lang w:eastAsia="zh-CN"/>
        </w:rPr>
        <w:t>投标人须在本环节</w:t>
      </w:r>
      <w:r>
        <w:rPr>
          <w:lang w:eastAsia="zh-CN"/>
        </w:rPr>
        <w:t>点击</w:t>
      </w:r>
      <w:r>
        <w:rPr>
          <w:rFonts w:hint="eastAsia"/>
          <w:lang w:eastAsia="zh-CN"/>
        </w:rPr>
        <w:t>需要签章的页面，并选择“</w:t>
      </w:r>
      <w:r>
        <w:rPr>
          <w:lang w:eastAsia="zh-CN"/>
        </w:rPr>
        <w:t>单页签/多页签/骑缝章</w:t>
      </w:r>
      <w:r>
        <w:rPr>
          <w:rFonts w:hint="eastAsia"/>
          <w:lang w:eastAsia="zh-CN"/>
        </w:rPr>
        <w:t>”，可在调整印章大小后拖至盖章处，完成电子签章</w:t>
      </w:r>
      <w:r>
        <w:rPr>
          <w:lang w:eastAsia="zh-CN"/>
        </w:rPr>
        <w:t>。</w:t>
      </w:r>
    </w:p>
    <w:p w14:paraId="536DD7A3">
      <w:pPr>
        <w:pStyle w:val="42"/>
        <w:ind w:firstLine="480"/>
        <w:rPr>
          <w:lang w:eastAsia="zh-CN"/>
        </w:rPr>
      </w:pPr>
      <w:r>
        <w:rPr>
          <w:lang w:eastAsia="zh-CN"/>
        </w:rPr>
        <w:t>招标文件对投标文件签署、盖章的要求适用于电子签名</w:t>
      </w:r>
      <w:r>
        <w:rPr>
          <w:rFonts w:hint="eastAsia"/>
          <w:lang w:eastAsia="zh-CN"/>
        </w:rPr>
        <w:t>。</w:t>
      </w:r>
    </w:p>
    <w:p w14:paraId="59876932">
      <w:pPr>
        <w:pStyle w:val="42"/>
        <w:ind w:firstLine="480"/>
        <w:rPr>
          <w:lang w:eastAsia="zh-CN"/>
        </w:rPr>
      </w:pPr>
      <w:r>
        <w:rPr>
          <w:rFonts w:hint="eastAsia"/>
          <w:lang w:eastAsia="zh-CN"/>
        </w:rPr>
        <w:t>CA中无除公章外其他（如法定代表人章等）电子签章的可事先在PDF中扫描制作再导入、关联、签章（电子公章）。</w:t>
      </w:r>
      <w:r>
        <w:rPr>
          <w:lang w:eastAsia="zh-CN"/>
        </w:rPr>
        <w:t>为确保网上操作合法、有效和安全，投标人应当在投标截止时间前完成在“政府采购云平台”的身份认证，确保在电子投标过程中能够对相关数据电文进行加密和使用电子签名。</w:t>
      </w:r>
    </w:p>
    <w:p w14:paraId="081D0C9C">
      <w:pPr>
        <w:pStyle w:val="41"/>
        <w:ind w:firstLine="482"/>
      </w:pPr>
      <w:r>
        <w:rPr>
          <w:rFonts w:hint="eastAsia"/>
        </w:rPr>
        <w:t>生成电子标书</w:t>
      </w:r>
    </w:p>
    <w:p w14:paraId="55DE2943">
      <w:pPr>
        <w:pStyle w:val="42"/>
        <w:ind w:firstLine="480"/>
        <w:rPr>
          <w:u w:val="single"/>
        </w:rPr>
      </w:pPr>
      <w:r>
        <w:rPr>
          <w:rFonts w:hint="eastAsia"/>
          <w:u w:val="single"/>
        </w:rPr>
        <w:t>菜单路径：政采云投标客户端</w:t>
      </w:r>
      <w:r>
        <w:rPr>
          <w:u w:val="single"/>
        </w:rPr>
        <w:t>-</w:t>
      </w:r>
      <w:r>
        <w:rPr>
          <w:rFonts w:hint="eastAsia"/>
          <w:u w:val="single"/>
        </w:rPr>
        <w:t>投标响应文件编制</w:t>
      </w:r>
      <w:r>
        <w:rPr>
          <w:u w:val="single"/>
        </w:rPr>
        <w:t>-</w:t>
      </w:r>
      <w:r>
        <w:rPr>
          <w:rFonts w:hint="eastAsia"/>
          <w:u w:val="single"/>
        </w:rPr>
        <w:t>编制</w:t>
      </w:r>
      <w:r>
        <w:rPr>
          <w:u w:val="single"/>
        </w:rPr>
        <w:t>-</w:t>
      </w:r>
      <w:r>
        <w:rPr>
          <w:rFonts w:hint="eastAsia"/>
          <w:u w:val="single"/>
          <w:lang w:eastAsia="zh-CN"/>
        </w:rPr>
        <w:t>生成电子标书</w:t>
      </w:r>
    </w:p>
    <w:p w14:paraId="1FEE4FFC">
      <w:pPr>
        <w:pStyle w:val="42"/>
        <w:ind w:firstLine="480"/>
        <w:rPr>
          <w:lang w:eastAsia="zh-CN"/>
        </w:rPr>
      </w:pPr>
      <w:r>
        <w:rPr>
          <w:rFonts w:hint="eastAsia"/>
          <w:lang w:eastAsia="zh-CN"/>
        </w:rPr>
        <w:t>点击“生成电子标书”并选择保存位置，系统将</w:t>
      </w:r>
      <w:r>
        <w:rPr>
          <w:lang w:eastAsia="zh-CN"/>
        </w:rPr>
        <w:t>生成两份电子标书，一份</w:t>
      </w:r>
      <w:r>
        <w:rPr>
          <w:rFonts w:hint="eastAsia"/>
          <w:lang w:eastAsia="zh-CN"/>
        </w:rPr>
        <w:t>文件格式为“.</w:t>
      </w:r>
      <w:r>
        <w:rPr>
          <w:lang w:eastAsia="zh-CN"/>
        </w:rPr>
        <w:t>jmbs”</w:t>
      </w:r>
      <w:r>
        <w:rPr>
          <w:rFonts w:hint="eastAsia"/>
          <w:lang w:eastAsia="zh-CN"/>
        </w:rPr>
        <w:t>的</w:t>
      </w:r>
      <w:r>
        <w:rPr>
          <w:lang w:eastAsia="zh-CN"/>
        </w:rPr>
        <w:t>加密标书，一份</w:t>
      </w:r>
      <w:r>
        <w:rPr>
          <w:rFonts w:hint="eastAsia"/>
          <w:lang w:eastAsia="zh-CN"/>
        </w:rPr>
        <w:t>文件格式为“.</w:t>
      </w:r>
      <w:r>
        <w:rPr>
          <w:lang w:eastAsia="zh-CN"/>
        </w:rPr>
        <w:t>bfbs”</w:t>
      </w:r>
      <w:r>
        <w:rPr>
          <w:rFonts w:hint="eastAsia"/>
          <w:lang w:eastAsia="zh-CN"/>
        </w:rPr>
        <w:t>的</w:t>
      </w:r>
      <w:r>
        <w:rPr>
          <w:lang w:eastAsia="zh-CN"/>
        </w:rPr>
        <w:t>备份标书</w:t>
      </w:r>
      <w:r>
        <w:rPr>
          <w:rFonts w:hint="eastAsia"/>
          <w:lang w:eastAsia="zh-CN"/>
        </w:rPr>
        <w:t>。</w:t>
      </w:r>
    </w:p>
    <w:p w14:paraId="6CD060B3">
      <w:pPr>
        <w:pStyle w:val="42"/>
        <w:ind w:firstLine="480"/>
        <w:rPr>
          <w:u w:val="single"/>
        </w:rPr>
      </w:pPr>
      <w:r>
        <w:rPr>
          <w:rFonts w:hint="eastAsia"/>
          <w:u w:val="single"/>
        </w:rPr>
        <w:t>投标人</w:t>
      </w:r>
      <w:r>
        <w:rPr>
          <w:rFonts w:hint="eastAsia"/>
          <w:u w:val="single"/>
          <w:lang w:eastAsia="zh-CN"/>
        </w:rPr>
        <w:t>可</w:t>
      </w:r>
      <w:r>
        <w:rPr>
          <w:rFonts w:hint="eastAsia"/>
          <w:u w:val="single"/>
        </w:rPr>
        <w:t>登录“政府采购云平台”</w:t>
      </w:r>
      <w:r>
        <w:rPr>
          <w:rFonts w:hint="eastAsia"/>
          <w:u w:val="single"/>
          <w:lang w:eastAsia="zh-CN"/>
        </w:rPr>
        <w:t>（网页）</w:t>
      </w:r>
      <w:r>
        <w:rPr>
          <w:rFonts w:hint="eastAsia"/>
          <w:u w:val="single"/>
        </w:rPr>
        <w:t>，点击“前台大厅</w:t>
      </w:r>
      <w:r>
        <w:rPr>
          <w:u w:val="single"/>
        </w:rPr>
        <w:t>-</w:t>
      </w:r>
      <w:r>
        <w:rPr>
          <w:rFonts w:hint="eastAsia"/>
          <w:u w:val="single"/>
        </w:rPr>
        <w:t>服务中心（右上角）</w:t>
      </w:r>
      <w:r>
        <w:rPr>
          <w:u w:val="single"/>
        </w:rPr>
        <w:t>-</w:t>
      </w:r>
      <w:r>
        <w:rPr>
          <w:rFonts w:hint="eastAsia"/>
          <w:u w:val="single"/>
        </w:rPr>
        <w:t>帮助文档</w:t>
      </w:r>
      <w:r>
        <w:rPr>
          <w:u w:val="single"/>
        </w:rPr>
        <w:t>-</w:t>
      </w:r>
      <w:r>
        <w:rPr>
          <w:rFonts w:hint="eastAsia"/>
          <w:u w:val="single"/>
        </w:rPr>
        <w:t>项目采购（文档目录）”，查看</w:t>
      </w:r>
      <w:r>
        <w:rPr>
          <w:rFonts w:hint="eastAsia"/>
          <w:u w:val="single"/>
          <w:lang w:eastAsia="zh-CN"/>
        </w:rPr>
        <w:t>具体的</w:t>
      </w:r>
      <w:r>
        <w:rPr>
          <w:rFonts w:hint="eastAsia"/>
          <w:u w:val="single"/>
        </w:rPr>
        <w:t>电子标书的生成帮助。</w:t>
      </w:r>
    </w:p>
    <w:p w14:paraId="551862E3">
      <w:pPr>
        <w:pStyle w:val="42"/>
        <w:ind w:firstLine="480"/>
        <w:rPr>
          <w:u w:val="single"/>
        </w:rPr>
      </w:pPr>
      <w:r>
        <w:rPr>
          <w:rFonts w:hint="eastAsia"/>
          <w:u w:val="single"/>
        </w:rPr>
        <w:t>如有疑问，可致电政府采购云平台技术支持热线咨询，联系方式：</w:t>
      </w:r>
      <w:r>
        <w:rPr>
          <w:rFonts w:hint="eastAsia"/>
          <w:u w:val="single"/>
          <w:lang w:val="en-US" w:eastAsia="zh-CN"/>
        </w:rPr>
        <w:t>95763</w:t>
      </w:r>
      <w:r>
        <w:rPr>
          <w:rFonts w:hint="eastAsia"/>
          <w:u w:val="single"/>
        </w:rPr>
        <w:t>；CA问题联系电话（人工）：汇信CA 400-888-4636；天谷CA 400-087-8198。</w:t>
      </w:r>
    </w:p>
    <w:p w14:paraId="563B5562">
      <w:pPr>
        <w:pStyle w:val="42"/>
        <w:ind w:firstLine="480"/>
        <w:rPr>
          <w:u w:val="single"/>
        </w:rPr>
      </w:pPr>
    </w:p>
    <w:p w14:paraId="75D5D188">
      <w:pPr>
        <w:pStyle w:val="44"/>
      </w:pPr>
      <w:bookmarkStart w:id="35" w:name="_Toc464483848"/>
      <w:bookmarkEnd w:id="35"/>
      <w:bookmarkStart w:id="36" w:name="_Toc29218"/>
      <w:r>
        <w:rPr>
          <w:rFonts w:hint="eastAsia"/>
        </w:rPr>
        <w:t>投 标</w:t>
      </w:r>
      <w:bookmarkEnd w:id="36"/>
    </w:p>
    <w:p w14:paraId="7C192DCF">
      <w:pPr>
        <w:pStyle w:val="45"/>
      </w:pPr>
      <w:r>
        <w:rPr>
          <w:rFonts w:hint="eastAsia"/>
          <w:lang w:val="en-US" w:eastAsia="zh-Hans"/>
        </w:rPr>
        <w:t>投标范围</w:t>
      </w:r>
    </w:p>
    <w:p w14:paraId="5A7E28F4">
      <w:pPr>
        <w:pStyle w:val="42"/>
        <w:bidi w:val="0"/>
        <w:rPr>
          <w:rFonts w:hint="default"/>
          <w:lang w:val="en-US" w:eastAsia="zh-Hans"/>
        </w:rPr>
      </w:pPr>
      <w:r>
        <w:rPr>
          <w:rFonts w:hint="eastAsia"/>
          <w:lang w:val="en-US" w:eastAsia="zh-Hans"/>
        </w:rPr>
        <w:t>本项目如存在多个标项的，投标人可选择一个或多个标项进行投报，中标规则见“前附表”。</w:t>
      </w:r>
    </w:p>
    <w:p w14:paraId="098E67C2">
      <w:pPr>
        <w:pStyle w:val="52"/>
        <w:numPr>
          <w:ilvl w:val="0"/>
          <w:numId w:val="0"/>
        </w:numPr>
        <w:bidi w:val="0"/>
        <w:ind w:leftChars="200"/>
      </w:pPr>
      <w:r>
        <w:t>投标人对所投标项内的采购内容必须全部进行投标。</w:t>
      </w:r>
    </w:p>
    <w:p w14:paraId="634F8063">
      <w:pPr>
        <w:pStyle w:val="45"/>
      </w:pPr>
      <w:r>
        <w:rPr>
          <w:rFonts w:hint="eastAsia"/>
        </w:rPr>
        <w:t>投标文件的上传（递交）</w:t>
      </w:r>
    </w:p>
    <w:p w14:paraId="6DD0E3FC">
      <w:pPr>
        <w:pStyle w:val="42"/>
        <w:ind w:firstLine="480"/>
        <w:rPr>
          <w:lang w:eastAsia="zh-CN"/>
        </w:rPr>
      </w:pPr>
      <w:r>
        <w:rPr>
          <w:rFonts w:hint="eastAsia"/>
          <w:lang w:eastAsia="zh-CN"/>
        </w:rPr>
        <w:t>投标人</w:t>
      </w:r>
      <w:r>
        <w:rPr>
          <w:rFonts w:hint="eastAsia"/>
        </w:rPr>
        <w:t>生成加密标书后，需在投标截止时间前将加密的投标文件上传至</w:t>
      </w:r>
      <w:r>
        <w:t>“政府采购云平台”（网页）</w:t>
      </w:r>
      <w:r>
        <w:rPr>
          <w:rFonts w:hint="eastAsia"/>
          <w:lang w:eastAsia="zh-CN"/>
        </w:rPr>
        <w:t>。</w:t>
      </w:r>
    </w:p>
    <w:p w14:paraId="3CAD5314">
      <w:pPr>
        <w:pStyle w:val="42"/>
        <w:ind w:firstLine="480"/>
        <w:rPr>
          <w:u w:val="single"/>
        </w:rPr>
      </w:pPr>
      <w:r>
        <w:rPr>
          <w:u w:val="single"/>
        </w:rPr>
        <w:t>菜单路径：我的工作台-项目采购-投标文件上传</w:t>
      </w:r>
    </w:p>
    <w:p w14:paraId="4664433B">
      <w:pPr>
        <w:pStyle w:val="42"/>
        <w:ind w:firstLine="480"/>
        <w:rPr>
          <w:lang w:eastAsia="zh-CN"/>
        </w:rPr>
      </w:pPr>
      <w:r>
        <w:rPr>
          <w:rFonts w:hint="eastAsia"/>
          <w:lang w:eastAsia="zh-CN"/>
        </w:rPr>
        <w:t>在“进行中”的项目中选择本项目“上传”文件格式为“.</w:t>
      </w:r>
      <w:r>
        <w:rPr>
          <w:lang w:eastAsia="zh-CN"/>
        </w:rPr>
        <w:t>jmbs”</w:t>
      </w:r>
      <w:r>
        <w:rPr>
          <w:rFonts w:hint="eastAsia"/>
          <w:lang w:eastAsia="zh-CN"/>
        </w:rPr>
        <w:t>的电子加密标书，并如实填写联系信息</w:t>
      </w:r>
      <w:r>
        <w:rPr>
          <w:rFonts w:hint="eastAsia"/>
          <w:u w:val="single"/>
          <w:lang w:eastAsia="zh-CN"/>
        </w:rPr>
        <w:t>（该联系信息用于接收开评标期间的有关信息，务必真实并确保联系畅通。）</w:t>
      </w:r>
    </w:p>
    <w:p w14:paraId="6C954E03">
      <w:pPr>
        <w:pStyle w:val="42"/>
        <w:ind w:firstLine="480"/>
        <w:rPr>
          <w:u w:val="single"/>
        </w:rPr>
      </w:pPr>
      <w:r>
        <w:rPr>
          <w:u w:val="single"/>
        </w:rPr>
        <w:t>投标截止时间后传输递交的投标文件，“政府采购云平台”将予以拒收。</w:t>
      </w:r>
    </w:p>
    <w:p w14:paraId="033C28FE">
      <w:pPr>
        <w:pStyle w:val="45"/>
      </w:pPr>
      <w:r>
        <w:rPr>
          <w:rFonts w:hint="eastAsia"/>
        </w:rPr>
        <w:t>投标文件的补充、修改、撤回</w:t>
      </w:r>
    </w:p>
    <w:p w14:paraId="6DE03B30">
      <w:pPr>
        <w:pStyle w:val="42"/>
        <w:ind w:firstLine="480"/>
        <w:rPr>
          <w:lang w:eastAsia="zh-CN"/>
        </w:rPr>
      </w:pPr>
      <w:r>
        <w:t>在投标截止时间前，</w:t>
      </w:r>
      <w:r>
        <w:rPr>
          <w:rFonts w:hint="eastAsia"/>
          <w:lang w:eastAsia="zh-CN"/>
        </w:rPr>
        <w:t>投标人</w:t>
      </w:r>
      <w:r>
        <w:t>可</w:t>
      </w:r>
      <w:r>
        <w:rPr>
          <w:rFonts w:hint="eastAsia"/>
          <w:lang w:eastAsia="zh-CN"/>
        </w:rPr>
        <w:t>在</w:t>
      </w:r>
      <w:r>
        <w:t>“政府采购云平台”（网页）</w:t>
      </w:r>
      <w:r>
        <w:rPr>
          <w:rFonts w:hint="eastAsia"/>
          <w:lang w:eastAsia="zh-CN"/>
        </w:rPr>
        <w:t>中“</w:t>
      </w:r>
      <w:r>
        <w:t>我的工作台-项目采购-投标文件上传</w:t>
      </w:r>
      <w:r>
        <w:rPr>
          <w:rFonts w:hint="eastAsia"/>
          <w:lang w:eastAsia="zh-CN"/>
        </w:rPr>
        <w:t>”页面</w:t>
      </w:r>
      <w:r>
        <w:t>撤回</w:t>
      </w:r>
      <w:r>
        <w:rPr>
          <w:rFonts w:hint="eastAsia"/>
          <w:lang w:eastAsia="zh-CN"/>
        </w:rPr>
        <w:t>本项目</w:t>
      </w:r>
      <w:r>
        <w:t>投标文件，</w:t>
      </w:r>
      <w:r>
        <w:rPr>
          <w:rFonts w:hint="eastAsia"/>
          <w:lang w:eastAsia="zh-CN"/>
        </w:rPr>
        <w:t>也可在撤回后在“</w:t>
      </w:r>
      <w:r>
        <w:t>政采云投标客户端</w:t>
      </w:r>
      <w:r>
        <w:rPr>
          <w:rFonts w:hint="eastAsia"/>
          <w:lang w:eastAsia="zh-CN"/>
        </w:rPr>
        <w:t>”中补充、修改并重新生成电子加密标书重新上传。</w:t>
      </w:r>
      <w:r>
        <w:rPr>
          <w:lang w:eastAsia="zh-CN"/>
        </w:rPr>
        <w:t>投标截止时间前未重新完成</w:t>
      </w:r>
      <w:r>
        <w:rPr>
          <w:rFonts w:hint="eastAsia"/>
          <w:lang w:eastAsia="zh-CN"/>
        </w:rPr>
        <w:t>上传</w:t>
      </w:r>
      <w:r>
        <w:rPr>
          <w:lang w:eastAsia="zh-CN"/>
        </w:rPr>
        <w:t>的，视为撤回投标文件。</w:t>
      </w:r>
    </w:p>
    <w:p w14:paraId="61F1F0CA">
      <w:pPr>
        <w:pStyle w:val="42"/>
        <w:ind w:firstLine="480"/>
      </w:pPr>
      <w:r>
        <w:rPr>
          <w:rFonts w:hint="eastAsia"/>
          <w:lang w:eastAsia="zh-CN"/>
        </w:rPr>
        <w:t>在投标截止时间后，投标人</w:t>
      </w:r>
      <w:r>
        <w:rPr>
          <w:lang w:eastAsia="zh-CN"/>
        </w:rPr>
        <w:t>不得对投标文件进行补充、修改或撤回。</w:t>
      </w:r>
    </w:p>
    <w:p w14:paraId="30CAD90D">
      <w:pPr>
        <w:pStyle w:val="45"/>
      </w:pPr>
      <w:r>
        <w:rPr>
          <w:rFonts w:hint="eastAsia"/>
        </w:rPr>
        <w:t>投标文件的备份文件</w:t>
      </w:r>
    </w:p>
    <w:p w14:paraId="26B9C1F1">
      <w:pPr>
        <w:pStyle w:val="41"/>
        <w:ind w:firstLine="482"/>
      </w:pPr>
      <w:r>
        <w:rPr>
          <w:rFonts w:hint="eastAsia"/>
        </w:rPr>
        <w:t>备份文件的生成</w:t>
      </w:r>
    </w:p>
    <w:p w14:paraId="7FBB011F">
      <w:pPr>
        <w:pStyle w:val="42"/>
        <w:ind w:firstLine="480"/>
      </w:pPr>
      <w:r>
        <w:rPr>
          <w:rFonts w:hint="eastAsia"/>
          <w:lang w:eastAsia="zh-CN"/>
        </w:rPr>
        <w:t>投标人递</w:t>
      </w:r>
      <w:r>
        <w:t>交的备份投标文件应当是通过“政采云电子交易客户端”完成投标文件编制后，与电子加密“投标文件”同时生成的数据电文形式的未加密的备份投标文件，文件格式</w:t>
      </w:r>
      <w:r>
        <w:rPr>
          <w:rFonts w:hint="eastAsia"/>
          <w:lang w:eastAsia="zh-CN"/>
        </w:rPr>
        <w:t>为</w:t>
      </w:r>
      <w:r>
        <w:t>“.bfbs”。</w:t>
      </w:r>
    </w:p>
    <w:p w14:paraId="2E9CF5FB">
      <w:pPr>
        <w:pStyle w:val="42"/>
        <w:ind w:firstLine="480"/>
      </w:pPr>
      <w:r>
        <w:t>以其他方式编制的“备份投标文件”视为无效“备份投标文件”。</w:t>
      </w:r>
    </w:p>
    <w:p w14:paraId="38DA651C">
      <w:pPr>
        <w:pStyle w:val="41"/>
        <w:ind w:firstLine="482"/>
      </w:pPr>
      <w:r>
        <w:t>备份投标文件的递交与接收</w:t>
      </w:r>
    </w:p>
    <w:p w14:paraId="78BA58DE">
      <w:pPr>
        <w:pStyle w:val="42"/>
        <w:ind w:firstLine="480"/>
      </w:pPr>
      <w:r>
        <w:rPr>
          <w:rFonts w:hint="eastAsia"/>
          <w:lang w:eastAsia="zh-CN"/>
        </w:rPr>
        <w:t>投标人可以在</w:t>
      </w:r>
      <w:r>
        <w:t>投标截止时间前以邮寄等方式</w:t>
      </w:r>
      <w:r>
        <w:rPr>
          <w:rFonts w:hint="eastAsia"/>
          <w:lang w:eastAsia="zh-CN"/>
        </w:rPr>
        <w:t>将密封包装的</w:t>
      </w:r>
      <w:r>
        <w:t>备份投标文件</w:t>
      </w:r>
      <w:r>
        <w:rPr>
          <w:rFonts w:hint="eastAsia"/>
          <w:lang w:eastAsia="zh-CN"/>
        </w:rPr>
        <w:t>送至招标</w:t>
      </w:r>
      <w:r>
        <w:t>代理机构（</w:t>
      </w:r>
      <w:r>
        <w:rPr>
          <w:rFonts w:hint="eastAsia"/>
          <w:lang w:eastAsia="zh-CN"/>
        </w:rPr>
        <w:t>联系方式见招标公告</w:t>
      </w:r>
      <w:r>
        <w:t>），送达时间以</w:t>
      </w:r>
      <w:r>
        <w:rPr>
          <w:rFonts w:hint="eastAsia"/>
          <w:lang w:eastAsia="zh-CN"/>
        </w:rPr>
        <w:t>招标</w:t>
      </w:r>
      <w:r>
        <w:t>代理机构工作人员实际签收时间为准</w:t>
      </w:r>
      <w:r>
        <w:rPr>
          <w:rFonts w:hint="eastAsia"/>
          <w:lang w:eastAsia="zh-CN"/>
        </w:rPr>
        <w:t>。</w:t>
      </w:r>
      <w:r>
        <w:t>“备份投标文件”逾期送达的视为未递交。</w:t>
      </w:r>
    </w:p>
    <w:p w14:paraId="3ECE41F9">
      <w:pPr>
        <w:pStyle w:val="42"/>
        <w:ind w:firstLine="480"/>
        <w:rPr>
          <w:u w:val="single"/>
        </w:rPr>
      </w:pPr>
      <w:r>
        <w:rPr>
          <w:u w:val="single"/>
        </w:rPr>
        <w:t>“备份投标文件”由</w:t>
      </w:r>
      <w:r>
        <w:rPr>
          <w:rFonts w:hint="eastAsia"/>
          <w:u w:val="single"/>
          <w:lang w:eastAsia="zh-CN"/>
        </w:rPr>
        <w:t>投标人</w:t>
      </w:r>
      <w:r>
        <w:rPr>
          <w:u w:val="single"/>
        </w:rPr>
        <w:t>自愿提交，不作强制性要求，但供应商仅递交了“备份投标文件”的，投标无效。</w:t>
      </w:r>
    </w:p>
    <w:p w14:paraId="33DEFB60">
      <w:pPr>
        <w:pStyle w:val="41"/>
        <w:ind w:firstLine="482"/>
      </w:pPr>
      <w:r>
        <w:t>备份投标文件的</w:t>
      </w:r>
      <w:r>
        <w:rPr>
          <w:rFonts w:hint="eastAsia"/>
        </w:rPr>
        <w:t>存储、</w:t>
      </w:r>
      <w:r>
        <w:t>密封包装</w:t>
      </w:r>
      <w:r>
        <w:rPr>
          <w:rFonts w:hint="eastAsia"/>
        </w:rPr>
        <w:t>及</w:t>
      </w:r>
      <w:r>
        <w:t>标识</w:t>
      </w:r>
    </w:p>
    <w:p w14:paraId="6CA7A42B">
      <w:pPr>
        <w:pStyle w:val="42"/>
        <w:ind w:firstLine="480"/>
      </w:pPr>
      <w:r>
        <w:t>备份投标文件应当密封包装并在外包装上标注投标项目名称、投标单位名称并加盖公章。“备份投标文件”没有密封包装或标识或盖章的视为未递交。</w:t>
      </w:r>
    </w:p>
    <w:p w14:paraId="6BFD588C">
      <w:pPr>
        <w:pStyle w:val="41"/>
        <w:ind w:firstLine="482"/>
      </w:pPr>
      <w:r>
        <w:rPr>
          <w:rFonts w:hint="eastAsia"/>
        </w:rPr>
        <w:t>备份投标文件的使用与失效</w:t>
      </w:r>
    </w:p>
    <w:p w14:paraId="7A90D0A6">
      <w:pPr>
        <w:pStyle w:val="42"/>
        <w:ind w:firstLine="480"/>
      </w:pPr>
      <w:r>
        <w:rPr>
          <w:rFonts w:hint="eastAsia"/>
        </w:rPr>
        <w:t>合格的备份投标文件在电子加密“投标文件”解密异常时拆封、使用，电子加密“投标文件”正常解密的备份投标文件自动失效，不再拆封、使用。</w:t>
      </w:r>
    </w:p>
    <w:p w14:paraId="2D91D8E1">
      <w:pPr>
        <w:pStyle w:val="42"/>
        <w:ind w:firstLine="480"/>
        <w:rPr>
          <w:rFonts w:hint="eastAsia"/>
        </w:rPr>
      </w:pPr>
      <w:r>
        <w:rPr>
          <w:rFonts w:hint="eastAsia"/>
        </w:rPr>
        <w:t>“备份投标文件”与电子加密的“投标文件”同时生成，不属于投标备选（替代）方案。</w:t>
      </w:r>
    </w:p>
    <w:p w14:paraId="4DD47580">
      <w:pPr>
        <w:pStyle w:val="45"/>
      </w:pPr>
      <w:bookmarkStart w:id="37" w:name="_Toc2026166791"/>
      <w:r>
        <w:rPr>
          <w:rFonts w:hint="eastAsia"/>
        </w:rPr>
        <w:t>投标样品的递交与退还</w:t>
      </w:r>
      <w:bookmarkEnd w:id="37"/>
    </w:p>
    <w:p w14:paraId="03D3A678">
      <w:pPr>
        <w:pStyle w:val="52"/>
        <w:numPr>
          <w:ilvl w:val="0"/>
          <w:numId w:val="33"/>
        </w:numPr>
        <w:bidi w:val="0"/>
      </w:pPr>
      <w:r>
        <w:t>投标人应按本章“前附表”及“第三章 项目技术及服务要求”的要求提供样品。</w:t>
      </w:r>
    </w:p>
    <w:p w14:paraId="76315814">
      <w:pPr>
        <w:pStyle w:val="52"/>
        <w:numPr>
          <w:ilvl w:val="0"/>
          <w:numId w:val="33"/>
        </w:numPr>
        <w:bidi w:val="0"/>
      </w:pPr>
      <w:r>
        <w:t>样品为投标文件的补充，仅作辅助评标用，但其应能真实反应投标货物的参数性能指标，所提供样品与投标文件不符以投标文件为准。</w:t>
      </w:r>
    </w:p>
    <w:p w14:paraId="2DC7F70D">
      <w:pPr>
        <w:pStyle w:val="52"/>
        <w:numPr>
          <w:ilvl w:val="0"/>
          <w:numId w:val="33"/>
        </w:numPr>
        <w:bidi w:val="0"/>
      </w:pPr>
      <w:r>
        <w:t>本章“前附表”规定样品标识为“明标”的，投标人须在样品本体明显位置标注“项目（标项）；投标人全称；样品总件数-第几件”（例：A项目，标项B，XX公司 16-1）。</w:t>
      </w:r>
    </w:p>
    <w:p w14:paraId="3099FAF6">
      <w:pPr>
        <w:pStyle w:val="52"/>
        <w:numPr>
          <w:ilvl w:val="0"/>
          <w:numId w:val="33"/>
        </w:numPr>
        <w:bidi w:val="0"/>
      </w:pPr>
      <w:r>
        <w:t>本章“前附表”规定样品标识为“暗标”的，投标人样品任何地方均不得出现投标人信息，否则视同未提交样品。</w:t>
      </w:r>
    </w:p>
    <w:p w14:paraId="2DD1274E">
      <w:pPr>
        <w:pStyle w:val="52"/>
        <w:numPr>
          <w:ilvl w:val="0"/>
          <w:numId w:val="33"/>
        </w:numPr>
        <w:bidi w:val="0"/>
      </w:pPr>
      <w:r>
        <w:t>投标人样品应于投标截止时间前到达本章“前附表”规定的地点，否则视为未提交样品。</w:t>
      </w:r>
    </w:p>
    <w:p w14:paraId="5332E48E">
      <w:pPr>
        <w:pStyle w:val="52"/>
        <w:numPr>
          <w:ilvl w:val="0"/>
          <w:numId w:val="33"/>
        </w:numPr>
        <w:bidi w:val="0"/>
      </w:pPr>
      <w:r>
        <w:t>投标人样品应于本章“前附表”规定的时间起5个工作日取回。</w:t>
      </w:r>
    </w:p>
    <w:p w14:paraId="240826C1">
      <w:pPr>
        <w:pStyle w:val="52"/>
        <w:numPr>
          <w:ilvl w:val="0"/>
          <w:numId w:val="33"/>
        </w:numPr>
        <w:bidi w:val="0"/>
      </w:pPr>
      <w:r>
        <w:t>本章“前附表”规定中标样品“封存至验收”或“抵扣采购数量”的，中标人应将样品运送至招标人指定地点，期间应保证到达目的地的样品与评标样品完全一致。</w:t>
      </w:r>
    </w:p>
    <w:p w14:paraId="10C9F9C7">
      <w:pPr>
        <w:pStyle w:val="52"/>
        <w:numPr>
          <w:ilvl w:val="0"/>
          <w:numId w:val="33"/>
        </w:numPr>
        <w:bidi w:val="0"/>
      </w:pPr>
      <w:r>
        <w:t>样品制作、安装、运输、拆除等递交、退还样品所需要费用由投标人自行承担。</w:t>
      </w:r>
    </w:p>
    <w:p w14:paraId="407F0CCF">
      <w:pPr>
        <w:pStyle w:val="42"/>
        <w:ind w:firstLine="480"/>
        <w:rPr>
          <w:rFonts w:hint="eastAsia"/>
        </w:rPr>
      </w:pPr>
      <w:r>
        <w:t>样品的包装应方便样品运输、保存并二次包装，否则投标人取回样品时需自行携带包装。</w:t>
      </w:r>
    </w:p>
    <w:p w14:paraId="3BF8E0FD">
      <w:pPr>
        <w:pStyle w:val="44"/>
      </w:pPr>
      <w:bookmarkStart w:id="38" w:name="_Toc464483849"/>
      <w:bookmarkEnd w:id="38"/>
      <w:bookmarkStart w:id="39" w:name="_Toc91899897"/>
      <w:bookmarkEnd w:id="39"/>
      <w:bookmarkStart w:id="40" w:name="_Toc1502"/>
      <w:r>
        <w:rPr>
          <w:rFonts w:hint="eastAsia"/>
        </w:rPr>
        <w:t>开 标</w:t>
      </w:r>
      <w:bookmarkEnd w:id="40"/>
    </w:p>
    <w:p w14:paraId="4E70A444">
      <w:pPr>
        <w:pStyle w:val="45"/>
      </w:pPr>
      <w:r>
        <w:t>开标组织</w:t>
      </w:r>
    </w:p>
    <w:p w14:paraId="58AA558E">
      <w:pPr>
        <w:pStyle w:val="42"/>
        <w:ind w:firstLine="480"/>
      </w:pPr>
      <w:r>
        <w:t>本项目开标现场活动由</w:t>
      </w:r>
      <w:r>
        <w:rPr>
          <w:rFonts w:hint="eastAsia"/>
          <w:lang w:eastAsia="zh-CN"/>
        </w:rPr>
        <w:t>招标</w:t>
      </w:r>
      <w:r>
        <w:t>代理机构组织实施，准备工作由</w:t>
      </w:r>
      <w:r>
        <w:rPr>
          <w:rFonts w:hint="eastAsia"/>
          <w:lang w:eastAsia="zh-CN"/>
        </w:rPr>
        <w:t>招标</w:t>
      </w:r>
      <w:r>
        <w:t>代理机构负责落实，开标过程由</w:t>
      </w:r>
      <w:r>
        <w:rPr>
          <w:rFonts w:hint="eastAsia"/>
          <w:lang w:eastAsia="zh-CN"/>
        </w:rPr>
        <w:t>招标</w:t>
      </w:r>
      <w:r>
        <w:t>代理机构负责记录，开标现场由</w:t>
      </w:r>
      <w:r>
        <w:rPr>
          <w:rFonts w:hint="eastAsia"/>
          <w:lang w:eastAsia="zh-CN"/>
        </w:rPr>
        <w:t>招标</w:t>
      </w:r>
      <w:r>
        <w:t>代理机构人员主持。</w:t>
      </w:r>
    </w:p>
    <w:p w14:paraId="26AED7A9">
      <w:pPr>
        <w:pStyle w:val="42"/>
        <w:ind w:firstLine="480"/>
      </w:pPr>
      <w:r>
        <w:t>本项目采用电子交易，</w:t>
      </w:r>
      <w:r>
        <w:rPr>
          <w:rFonts w:hint="eastAsia"/>
          <w:lang w:eastAsia="zh-CN"/>
        </w:rPr>
        <w:t>招标</w:t>
      </w:r>
      <w:r>
        <w:t>代理机构将按照</w:t>
      </w:r>
      <w:r>
        <w:rPr>
          <w:rFonts w:hint="eastAsia"/>
          <w:lang w:eastAsia="zh-CN"/>
        </w:rPr>
        <w:t>招标</w:t>
      </w:r>
      <w:r>
        <w:t>文件规定的开标时间在“政府采购云平台”组织开标、开启投标文件，所有</w:t>
      </w:r>
      <w:r>
        <w:rPr>
          <w:rFonts w:hint="eastAsia"/>
          <w:lang w:eastAsia="zh-CN"/>
        </w:rPr>
        <w:t>投标人</w:t>
      </w:r>
      <w:r>
        <w:t>均应当准时在线参加。</w:t>
      </w:r>
    </w:p>
    <w:p w14:paraId="523D486E">
      <w:pPr>
        <w:pStyle w:val="42"/>
        <w:ind w:firstLine="480"/>
      </w:pPr>
      <w:r>
        <w:rPr>
          <w:rFonts w:hint="eastAsia"/>
          <w:lang w:eastAsia="zh-CN"/>
        </w:rPr>
        <w:t>投标人</w:t>
      </w:r>
      <w:r>
        <w:t>对开标过程和开标记录有疑义，以及认为</w:t>
      </w:r>
      <w:r>
        <w:rPr>
          <w:rFonts w:hint="eastAsia"/>
          <w:lang w:eastAsia="zh-CN"/>
        </w:rPr>
        <w:t>招标</w:t>
      </w:r>
      <w:r>
        <w:t>人、</w:t>
      </w:r>
      <w:r>
        <w:rPr>
          <w:rFonts w:hint="eastAsia"/>
          <w:lang w:eastAsia="zh-CN"/>
        </w:rPr>
        <w:t>招标</w:t>
      </w:r>
      <w:r>
        <w:t>代理机构相关工作人员有需要回避的情形的，应当场提出询问或回避申请。</w:t>
      </w:r>
      <w:r>
        <w:rPr>
          <w:rFonts w:hint="eastAsia"/>
          <w:lang w:eastAsia="zh-CN"/>
        </w:rPr>
        <w:t>投标人</w:t>
      </w:r>
      <w:r>
        <w:t>未参加开标的视同认可开标结果。</w:t>
      </w:r>
    </w:p>
    <w:p w14:paraId="3609ADDA">
      <w:pPr>
        <w:pStyle w:val="45"/>
      </w:pPr>
      <w:r>
        <w:t>开标流程</w:t>
      </w:r>
    </w:p>
    <w:p w14:paraId="3E8DAE4B">
      <w:pPr>
        <w:pStyle w:val="42"/>
        <w:ind w:firstLine="480"/>
      </w:pPr>
      <w:r>
        <w:t>本项目由采购代理机构通过“政府采购云平台”按以下流程顺序组织实施开标：</w:t>
      </w:r>
    </w:p>
    <w:p w14:paraId="3FF7608A">
      <w:pPr>
        <w:pStyle w:val="52"/>
        <w:numPr>
          <w:ilvl w:val="0"/>
          <w:numId w:val="34"/>
        </w:numPr>
        <w:bidi w:val="0"/>
      </w:pPr>
      <w:r>
        <w:t>投标截止时间后，招标代理机构将在“政府采购云平台”发出投标文件【开始解密】通知，投标人应当登录“政府采购云平台”并在规定的“在线解密时间期限（30分钟）”内自行完成投标文件的解密。</w:t>
      </w:r>
    </w:p>
    <w:p w14:paraId="56E17991">
      <w:pPr>
        <w:pStyle w:val="42"/>
        <w:ind w:firstLine="480"/>
        <w:rPr>
          <w:u w:val="single"/>
        </w:rPr>
      </w:pPr>
      <w:r>
        <w:rPr>
          <w:u w:val="single"/>
          <w:lang w:eastAsia="zh-CN"/>
        </w:rPr>
        <w:t>解密标书时使用的CA锁必须与制作投标文件时使用的为同一把</w:t>
      </w:r>
      <w:r>
        <w:rPr>
          <w:rFonts w:hint="eastAsia"/>
          <w:u w:val="single"/>
          <w:lang w:eastAsia="zh-CN"/>
        </w:rPr>
        <w:t>。</w:t>
      </w:r>
    </w:p>
    <w:p w14:paraId="2CD074C8">
      <w:pPr>
        <w:pStyle w:val="42"/>
        <w:ind w:firstLine="480"/>
      </w:pPr>
      <w:r>
        <w:rPr>
          <w:rFonts w:hint="eastAsia"/>
          <w:lang w:eastAsia="zh-CN"/>
        </w:rPr>
        <w:t>如遇投标人上传</w:t>
      </w:r>
      <w:r>
        <w:t>至“政府采购云平台”的电子加密“投标文件”无法按时解密时，按以下规定处理：</w:t>
      </w:r>
    </w:p>
    <w:p w14:paraId="14123BC9">
      <w:pPr>
        <w:pStyle w:val="53"/>
        <w:numPr>
          <w:ilvl w:val="0"/>
          <w:numId w:val="35"/>
        </w:numPr>
        <w:bidi w:val="0"/>
      </w:pPr>
      <w:r>
        <w:t>已按规定递交了合格的备份投标文件的，</w:t>
      </w:r>
      <w:r>
        <w:rPr>
          <w:rFonts w:hint="eastAsia"/>
        </w:rPr>
        <w:t>招标</w:t>
      </w:r>
      <w:r>
        <w:t>代理机构将拆封</w:t>
      </w:r>
      <w:r>
        <w:rPr>
          <w:rFonts w:hint="eastAsia"/>
        </w:rPr>
        <w:t>投标人</w:t>
      </w:r>
      <w:r>
        <w:t>递交的备份投标文件，按“政府采购云平台”操作规范将备份投标文件上传至“政府采购云平台”，并以备份投标文件为依据进行评审。备份投标文件上传成功后，已传输递交至“政府采购云平台”的电子加密“投标文件”自动失效。</w:t>
      </w:r>
    </w:p>
    <w:p w14:paraId="74699C63">
      <w:pPr>
        <w:pStyle w:val="53"/>
        <w:numPr>
          <w:ilvl w:val="0"/>
          <w:numId w:val="35"/>
        </w:numPr>
        <w:bidi w:val="0"/>
      </w:pPr>
      <w:r>
        <w:t>未按规定递交合格的备份投标文件的或递交的备份投标文件无法成功上传的，视为投标文件撤回。</w:t>
      </w:r>
    </w:p>
    <w:p w14:paraId="397E813E">
      <w:pPr>
        <w:pStyle w:val="53"/>
        <w:numPr>
          <w:ilvl w:val="0"/>
          <w:numId w:val="35"/>
        </w:numPr>
        <w:bidi w:val="0"/>
      </w:pPr>
      <w:r>
        <w:t>备份投标文件上传成功后视为投标文件解密成功，供应商可以继续进入后续评审。</w:t>
      </w:r>
    </w:p>
    <w:p w14:paraId="6A274F65">
      <w:pPr>
        <w:pStyle w:val="52"/>
        <w:bidi w:val="0"/>
      </w:pPr>
      <w:r>
        <w:t>公布投标文件解密情况（包括成功解密投标文件的供应商名单等信息）；</w:t>
      </w:r>
    </w:p>
    <w:p w14:paraId="3326C47F">
      <w:pPr>
        <w:pStyle w:val="52"/>
        <w:bidi w:val="0"/>
      </w:pPr>
      <w:r>
        <w:t>开启所有已成功解密投标文件的投标人的资格文件，进行资格审查（包括信用信息查询）。资格审查结束后，公布投标人资格审查结果，告知不合格名称及理由；</w:t>
      </w:r>
    </w:p>
    <w:p w14:paraId="71F82B38">
      <w:pPr>
        <w:pStyle w:val="52"/>
        <w:bidi w:val="0"/>
      </w:pPr>
      <w:r>
        <w:t>开启所有资格审查合格的投标人的商务技术文件，进入符合性审查和商务技术部分评审；</w:t>
      </w:r>
    </w:p>
    <w:p w14:paraId="7B66EA70">
      <w:pPr>
        <w:pStyle w:val="52"/>
        <w:bidi w:val="0"/>
      </w:pPr>
      <w:r>
        <w:t>符合性审查和商务技术评审结束后，公布经评审的无效标供应商名称及理由；公布经评审的有效供应商名单，同时公布其商务技术得分情况；</w:t>
      </w:r>
    </w:p>
    <w:p w14:paraId="28F204C7">
      <w:pPr>
        <w:pStyle w:val="52"/>
        <w:bidi w:val="0"/>
      </w:pPr>
      <w:r>
        <w:t>开启有效投标人的报价文件，公布开标一览表有关内容，制作开标记录表，并在线发起“报价确认”，投标人代表及相关人员应及时进行报价确认，供应商不予确认的应说明理由，否则视为无异议；</w:t>
      </w:r>
    </w:p>
    <w:p w14:paraId="0E41279C">
      <w:pPr>
        <w:pStyle w:val="52"/>
        <w:bidi w:val="0"/>
      </w:pPr>
      <w:r>
        <w:t>进入</w:t>
      </w:r>
      <w:r>
        <w:rPr>
          <w:rFonts w:hint="eastAsia"/>
          <w:lang w:val="en-US" w:eastAsia="zh-Hans"/>
        </w:rPr>
        <w:t>报价文件</w:t>
      </w:r>
      <w:r>
        <w:t>符合性审查和</w:t>
      </w:r>
      <w:r>
        <w:rPr>
          <w:rFonts w:hint="eastAsia"/>
          <w:lang w:val="en-US" w:eastAsia="zh-Hans"/>
        </w:rPr>
        <w:t>报价</w:t>
      </w:r>
      <w:r>
        <w:t>部分评审</w:t>
      </w:r>
      <w:r>
        <w:rPr>
          <w:rFonts w:hint="eastAsia"/>
          <w:lang w:eastAsia="zh-Hans"/>
        </w:rPr>
        <w:t>；</w:t>
      </w:r>
    </w:p>
    <w:p w14:paraId="31541A56">
      <w:pPr>
        <w:pStyle w:val="52"/>
        <w:bidi w:val="0"/>
      </w:pPr>
      <w:r>
        <w:t>公布报价文件无效供应商名称及理由，公布有效投标人的报价得分；</w:t>
      </w:r>
    </w:p>
    <w:p w14:paraId="2664CB3E">
      <w:pPr>
        <w:pStyle w:val="52"/>
        <w:bidi w:val="0"/>
      </w:pPr>
      <w:r>
        <w:t>公布评审结果、中标候选供应商名单及采购人最终确定中标或成交供应商名单的时间和公告方式等。</w:t>
      </w:r>
    </w:p>
    <w:p w14:paraId="6548C978">
      <w:pPr>
        <w:pStyle w:val="45"/>
      </w:pPr>
      <w:r>
        <w:t>开标过程特殊情况说明</w:t>
      </w:r>
    </w:p>
    <w:p w14:paraId="07E9CEAE">
      <w:pPr>
        <w:pStyle w:val="52"/>
        <w:numPr>
          <w:ilvl w:val="0"/>
          <w:numId w:val="36"/>
        </w:numPr>
        <w:bidi w:val="0"/>
      </w:pPr>
      <w:r>
        <w:t>如遇“政府采购云平台”电子化开标或评审程序调整的，按调整后程序执行，不再另行通知。</w:t>
      </w:r>
    </w:p>
    <w:p w14:paraId="7C5954A4">
      <w:pPr>
        <w:pStyle w:val="52"/>
        <w:numPr>
          <w:ilvl w:val="0"/>
          <w:numId w:val="36"/>
        </w:numPr>
        <w:bidi w:val="0"/>
      </w:pPr>
      <w:r>
        <w:t>开标过程中需要相关当事人进行签字或盖章确认的材料将通过“政府采购云平台”进行，若因“政府采购云平台”技术问题无法进行签字或盖章确认的，招标代理机构将通过邮件等形式组织确认。</w:t>
      </w:r>
    </w:p>
    <w:p w14:paraId="1B4FD9F8">
      <w:pPr>
        <w:pStyle w:val="42"/>
        <w:ind w:firstLine="480"/>
      </w:pPr>
      <w:bookmarkStart w:id="41" w:name="_Toc464483850"/>
      <w:bookmarkEnd w:id="41"/>
    </w:p>
    <w:p w14:paraId="030975B9">
      <w:pPr>
        <w:pStyle w:val="44"/>
      </w:pPr>
      <w:bookmarkStart w:id="42" w:name="_Toc126"/>
      <w:r>
        <w:t>资格审查</w:t>
      </w:r>
      <w:bookmarkEnd w:id="42"/>
    </w:p>
    <w:p w14:paraId="6392E3FC">
      <w:pPr>
        <w:pStyle w:val="52"/>
        <w:numPr>
          <w:ilvl w:val="0"/>
          <w:numId w:val="37"/>
        </w:numPr>
        <w:bidi w:val="0"/>
      </w:pPr>
      <w:r>
        <w:t>开标后，</w:t>
      </w:r>
      <w:r>
        <w:rPr>
          <w:rFonts w:hint="eastAsia"/>
          <w:lang w:eastAsia="zh-CN"/>
        </w:rPr>
        <w:t>招标人</w:t>
      </w:r>
      <w:r>
        <w:t>或</w:t>
      </w:r>
      <w:r>
        <w:rPr>
          <w:rFonts w:hint="eastAsia"/>
          <w:lang w:eastAsia="zh-CN"/>
        </w:rPr>
        <w:t>招标</w:t>
      </w:r>
      <w:r>
        <w:t>代理机构首先依法对投标</w:t>
      </w:r>
      <w:r>
        <w:rPr>
          <w:rFonts w:hint="eastAsia"/>
          <w:lang w:eastAsia="zh-CN"/>
        </w:rPr>
        <w:t>人</w:t>
      </w:r>
      <w:r>
        <w:t>的资格文件进行审查，审查各投标人的资格符合情况。</w:t>
      </w:r>
      <w:r>
        <w:rPr>
          <w:rFonts w:hint="eastAsia"/>
          <w:lang w:eastAsia="zh-CN"/>
        </w:rPr>
        <w:t>招标人</w:t>
      </w:r>
      <w:r>
        <w:t>或</w:t>
      </w:r>
      <w:r>
        <w:rPr>
          <w:rFonts w:hint="eastAsia"/>
          <w:lang w:eastAsia="zh-CN"/>
        </w:rPr>
        <w:t>招标</w:t>
      </w:r>
      <w:r>
        <w:t>代理机构仅对投标</w:t>
      </w:r>
      <w:r>
        <w:rPr>
          <w:rFonts w:hint="eastAsia"/>
          <w:lang w:eastAsia="zh-CN"/>
        </w:rPr>
        <w:t>人</w:t>
      </w:r>
      <w:r>
        <w:t>所提交的资格证明材料内容负审核的责任，不对资格证明材料的真实性负责。如发现投标</w:t>
      </w:r>
      <w:r>
        <w:rPr>
          <w:rFonts w:hint="eastAsia"/>
          <w:lang w:eastAsia="zh-CN"/>
        </w:rPr>
        <w:t>人</w:t>
      </w:r>
      <w:r>
        <w:t>所提交的资格证明材料存在弄虚作假或其他与事实不符的情形，</w:t>
      </w:r>
      <w:r>
        <w:rPr>
          <w:rFonts w:hint="eastAsia"/>
          <w:lang w:eastAsia="zh-CN"/>
        </w:rPr>
        <w:t>招标</w:t>
      </w:r>
      <w:r>
        <w:t>人可依法取消其中标资格并追究投标人的法律责任。</w:t>
      </w:r>
    </w:p>
    <w:p w14:paraId="12424AEC">
      <w:pPr>
        <w:pStyle w:val="52"/>
        <w:numPr>
          <w:ilvl w:val="0"/>
          <w:numId w:val="37"/>
        </w:numPr>
        <w:bidi w:val="0"/>
      </w:pPr>
      <w:r>
        <w:t>投标</w:t>
      </w:r>
      <w:r>
        <w:rPr>
          <w:rFonts w:hint="eastAsia"/>
          <w:lang w:eastAsia="zh-CN"/>
        </w:rPr>
        <w:t>人</w:t>
      </w:r>
      <w:r>
        <w:t>提交的资格文件内的资格证明材料无法证明其符合</w:t>
      </w:r>
      <w:r>
        <w:rPr>
          <w:rFonts w:hint="eastAsia"/>
          <w:lang w:eastAsia="zh-CN"/>
        </w:rPr>
        <w:t>招标</w:t>
      </w:r>
      <w:r>
        <w:t>文件规定的“投标人资格要求（申请人的资格要求）”的，</w:t>
      </w:r>
      <w:r>
        <w:rPr>
          <w:rFonts w:hint="eastAsia"/>
          <w:lang w:eastAsia="zh-CN"/>
        </w:rPr>
        <w:t>招标人</w:t>
      </w:r>
      <w:r>
        <w:t>或</w:t>
      </w:r>
      <w:r>
        <w:rPr>
          <w:rFonts w:hint="eastAsia"/>
          <w:lang w:eastAsia="zh-CN"/>
        </w:rPr>
        <w:t>招标</w:t>
      </w:r>
      <w:r>
        <w:t>代理机构将对其作“资格审查不合格”处理，并不再将其商务技术文件、报价文件提交评审委员会进行后续评审。</w:t>
      </w:r>
    </w:p>
    <w:p w14:paraId="07610E0B">
      <w:pPr>
        <w:pStyle w:val="52"/>
        <w:numPr>
          <w:ilvl w:val="0"/>
          <w:numId w:val="37"/>
        </w:numPr>
        <w:bidi w:val="0"/>
      </w:pPr>
      <w:r>
        <w:rPr>
          <w:rFonts w:hint="eastAsia"/>
          <w:lang w:eastAsia="zh-CN"/>
        </w:rPr>
        <w:t>投标人</w:t>
      </w:r>
      <w:r>
        <w:t>信用记录查询与使用</w:t>
      </w:r>
    </w:p>
    <w:p w14:paraId="7C411D8D">
      <w:pPr>
        <w:pStyle w:val="42"/>
        <w:ind w:firstLine="480"/>
      </w:pPr>
      <w:r>
        <w:t>根据《财政部关于在政府采购活动中查询及使用信用记录的通知》（财库〔2016〕125号）相关规定，</w:t>
      </w:r>
      <w:r>
        <w:rPr>
          <w:rFonts w:hint="eastAsia"/>
          <w:lang w:eastAsia="zh-CN"/>
        </w:rPr>
        <w:t>招标</w:t>
      </w:r>
      <w:r>
        <w:t>组织机构将统一通过“信用中国”网站（www.creditchina.gov.cn）、中国政府采购网（www.ccgp.gov.cn）等渠道查询供应商信用记录，对</w:t>
      </w:r>
      <w:r>
        <w:rPr>
          <w:rFonts w:hint="eastAsia"/>
          <w:lang w:eastAsia="zh-CN"/>
        </w:rPr>
        <w:t>投标人</w:t>
      </w:r>
      <w:r>
        <w:t>信用记录进行甄别。凡是列入失信被执行人、</w:t>
      </w:r>
      <w:r>
        <w:rPr>
          <w:rFonts w:hint="eastAsia"/>
          <w:color w:val="auto"/>
          <w:lang w:eastAsia="zh-CN"/>
        </w:rPr>
        <w:t>重大税收违法失信主体</w:t>
      </w:r>
      <w:r>
        <w:rPr>
          <w:rFonts w:hint="eastAsia"/>
          <w:color w:val="auto"/>
          <w:lang w:val="en-US" w:eastAsia="zh-CN"/>
        </w:rPr>
        <w:t>名单</w:t>
      </w:r>
      <w:r>
        <w:t>、政府采购严重违法失信行为记录名单及其他不符合《中华人民共和国政府采购法》第二十二条规定条件的供应商，一律拒绝其参加本次政府采购活动。</w:t>
      </w:r>
    </w:p>
    <w:p w14:paraId="062DBC28">
      <w:pPr>
        <w:pStyle w:val="42"/>
        <w:ind w:firstLine="480"/>
      </w:pPr>
      <w:r>
        <w:t>查询工作在资格审查时由</w:t>
      </w:r>
      <w:r>
        <w:rPr>
          <w:rFonts w:hint="eastAsia"/>
          <w:lang w:eastAsia="zh-CN"/>
        </w:rPr>
        <w:t>招标</w:t>
      </w:r>
      <w:r>
        <w:t>组织机构统一进行，查询结果打印后留存备案。</w:t>
      </w:r>
    </w:p>
    <w:p w14:paraId="6D17EE4D">
      <w:pPr>
        <w:pStyle w:val="42"/>
        <w:ind w:firstLine="480"/>
      </w:pPr>
      <w:r>
        <w:t>以联合体形式参加采购活动的，</w:t>
      </w:r>
      <w:r>
        <w:rPr>
          <w:rFonts w:hint="eastAsia"/>
          <w:lang w:val="en-US" w:eastAsia="zh-Hans"/>
        </w:rPr>
        <w:t>将</w:t>
      </w:r>
      <w:r>
        <w:t>对所有联合体成员进行信用记录查询，联合体成员存在不良信用记录的，视同联合体存在不良信用记录。</w:t>
      </w:r>
    </w:p>
    <w:p w14:paraId="47F94520">
      <w:pPr>
        <w:pStyle w:val="52"/>
        <w:bidi w:val="0"/>
      </w:pPr>
      <w:r>
        <w:t>资格审查合格的投标人不足三家的，项目不再进行评审。除采购任务取消情形外，采购人可选择以下方式之一处理：</w:t>
      </w:r>
    </w:p>
    <w:p w14:paraId="6EB1E595">
      <w:pPr>
        <w:pStyle w:val="53"/>
        <w:numPr>
          <w:ilvl w:val="0"/>
          <w:numId w:val="38"/>
        </w:numPr>
        <w:bidi w:val="0"/>
      </w:pPr>
      <w:r>
        <w:t>将本标项作废标处理，重新组织采购；</w:t>
      </w:r>
    </w:p>
    <w:p w14:paraId="223CA63D">
      <w:pPr>
        <w:pStyle w:val="53"/>
        <w:numPr>
          <w:ilvl w:val="0"/>
          <w:numId w:val="38"/>
        </w:numPr>
        <w:bidi w:val="0"/>
      </w:pPr>
      <w:r>
        <w:t>按同级政府采购监督管理部门审批意见采用其他采购方式组织采购。</w:t>
      </w:r>
    </w:p>
    <w:p w14:paraId="39FC62A0">
      <w:pPr>
        <w:pStyle w:val="42"/>
        <w:ind w:firstLine="480"/>
      </w:pPr>
    </w:p>
    <w:p w14:paraId="40F42EB9">
      <w:pPr>
        <w:pStyle w:val="44"/>
      </w:pPr>
      <w:bookmarkStart w:id="43" w:name="_Toc14805"/>
      <w:r>
        <w:rPr>
          <w:rFonts w:hint="eastAsia"/>
        </w:rPr>
        <w:t>评 审</w:t>
      </w:r>
      <w:bookmarkEnd w:id="43"/>
    </w:p>
    <w:p w14:paraId="6C49EDC2">
      <w:pPr>
        <w:pStyle w:val="45"/>
      </w:pPr>
      <w:bookmarkStart w:id="44" w:name="_Toc91899903"/>
      <w:bookmarkEnd w:id="44"/>
      <w:r>
        <w:t>评审组织</w:t>
      </w:r>
    </w:p>
    <w:p w14:paraId="63A32B63">
      <w:pPr>
        <w:pStyle w:val="52"/>
        <w:numPr>
          <w:ilvl w:val="0"/>
          <w:numId w:val="39"/>
        </w:numPr>
        <w:bidi w:val="0"/>
      </w:pPr>
      <w:r>
        <w:t>招标人或招标代理机构负责组织本项目的评审工作，并依法履行职责。</w:t>
      </w:r>
    </w:p>
    <w:p w14:paraId="698CD477">
      <w:pPr>
        <w:pStyle w:val="52"/>
        <w:numPr>
          <w:ilvl w:val="0"/>
          <w:numId w:val="39"/>
        </w:numPr>
        <w:bidi w:val="0"/>
      </w:pPr>
      <w:r>
        <w:t>评审委员会由招标人或招标代理机构依法组建，成员由招标人代表和评审专家组成，成员人数为五人或以上单数，其中评审专家不少于成员总数的三分之二。</w:t>
      </w:r>
    </w:p>
    <w:p w14:paraId="58C8FE80">
      <w:pPr>
        <w:pStyle w:val="52"/>
        <w:numPr>
          <w:ilvl w:val="0"/>
          <w:numId w:val="39"/>
        </w:numPr>
        <w:bidi w:val="0"/>
      </w:pPr>
      <w:r>
        <w:t>评审专家从省级或以上财政部门设立的政府采购评审专家库中通过随机方式抽取产生。评审委员会成员名单在采购结果公告前保密。</w:t>
      </w:r>
    </w:p>
    <w:p w14:paraId="0E450B43">
      <w:pPr>
        <w:pStyle w:val="45"/>
      </w:pPr>
      <w:r>
        <w:t>评</w:t>
      </w:r>
      <w:r>
        <w:rPr>
          <w:rFonts w:hint="eastAsia"/>
          <w:lang w:eastAsia="zh-CN"/>
        </w:rPr>
        <w:t>审</w:t>
      </w:r>
      <w:r>
        <w:t>委员会的职责</w:t>
      </w:r>
    </w:p>
    <w:p w14:paraId="27C1853A">
      <w:pPr>
        <w:pStyle w:val="42"/>
        <w:ind w:firstLine="480"/>
      </w:pPr>
      <w:r>
        <w:t>评</w:t>
      </w:r>
      <w:r>
        <w:rPr>
          <w:rFonts w:hint="eastAsia"/>
          <w:lang w:eastAsia="zh-CN"/>
        </w:rPr>
        <w:t>审</w:t>
      </w:r>
      <w:r>
        <w:t>委员会负责具体评审事务，并独立履行下列职责：</w:t>
      </w:r>
    </w:p>
    <w:p w14:paraId="0E9A6E38">
      <w:pPr>
        <w:pStyle w:val="52"/>
        <w:numPr>
          <w:ilvl w:val="0"/>
          <w:numId w:val="40"/>
        </w:numPr>
        <w:ind w:firstLine="480"/>
      </w:pPr>
      <w:r>
        <w:t>审查、评价投标文件是否符合采购文件的商务、技术等实质性要求；</w:t>
      </w:r>
    </w:p>
    <w:p w14:paraId="06836F9D">
      <w:pPr>
        <w:pStyle w:val="52"/>
        <w:numPr>
          <w:ilvl w:val="0"/>
          <w:numId w:val="40"/>
        </w:numPr>
        <w:ind w:firstLine="480"/>
      </w:pPr>
      <w:r>
        <w:t>要求投标</w:t>
      </w:r>
      <w:r>
        <w:rPr>
          <w:rFonts w:hint="eastAsia"/>
        </w:rPr>
        <w:t>人</w:t>
      </w:r>
      <w:r>
        <w:t>对投标文件有关事项作出澄清或者说明；</w:t>
      </w:r>
    </w:p>
    <w:p w14:paraId="68E4EB20">
      <w:pPr>
        <w:pStyle w:val="52"/>
        <w:numPr>
          <w:ilvl w:val="0"/>
          <w:numId w:val="40"/>
        </w:numPr>
        <w:ind w:firstLine="480"/>
      </w:pPr>
      <w:r>
        <w:t>对投标文件进行</w:t>
      </w:r>
      <w:r>
        <w:rPr>
          <w:rFonts w:hint="eastAsia"/>
        </w:rPr>
        <w:t>详细</w:t>
      </w:r>
      <w:r>
        <w:t>评价；</w:t>
      </w:r>
    </w:p>
    <w:p w14:paraId="5E7DCC27">
      <w:pPr>
        <w:pStyle w:val="52"/>
        <w:numPr>
          <w:ilvl w:val="0"/>
          <w:numId w:val="40"/>
        </w:numPr>
        <w:ind w:firstLine="480"/>
      </w:pPr>
      <w:r>
        <w:t>确定中标候选供应商名单</w:t>
      </w:r>
      <w:r>
        <w:rPr>
          <w:rFonts w:hint="eastAsia"/>
        </w:rPr>
        <w:t>或</w:t>
      </w:r>
      <w:r>
        <w:t>根据</w:t>
      </w:r>
      <w:r>
        <w:rPr>
          <w:rFonts w:hint="eastAsia"/>
        </w:rPr>
        <w:t>招标</w:t>
      </w:r>
      <w:r>
        <w:t>人委托直接确定中标供应商；</w:t>
      </w:r>
    </w:p>
    <w:p w14:paraId="71085F10">
      <w:pPr>
        <w:pStyle w:val="52"/>
        <w:numPr>
          <w:ilvl w:val="0"/>
          <w:numId w:val="40"/>
        </w:numPr>
        <w:ind w:firstLine="480"/>
      </w:pPr>
      <w:r>
        <w:t>向</w:t>
      </w:r>
      <w:r>
        <w:rPr>
          <w:rFonts w:hint="eastAsia"/>
        </w:rPr>
        <w:t>招标人、招标</w:t>
      </w:r>
      <w:r>
        <w:t>代理机构或者有关部门报告评审中发现的违法行为。</w:t>
      </w:r>
    </w:p>
    <w:p w14:paraId="2DBF21C0">
      <w:pPr>
        <w:pStyle w:val="45"/>
      </w:pPr>
      <w:r>
        <w:t>评审原则</w:t>
      </w:r>
    </w:p>
    <w:p w14:paraId="3E80D8A0">
      <w:pPr>
        <w:pStyle w:val="52"/>
        <w:numPr>
          <w:ilvl w:val="0"/>
          <w:numId w:val="41"/>
        </w:numPr>
        <w:bidi w:val="0"/>
      </w:pPr>
      <w:r>
        <w:t>评审原则：评审委员会按照客观、公正、审慎、择优的原则，根据采购文件规定的评审程序、评审方法和评审标准进行独立评审。</w:t>
      </w:r>
    </w:p>
    <w:p w14:paraId="36E1AF23">
      <w:pPr>
        <w:pStyle w:val="52"/>
        <w:numPr>
          <w:ilvl w:val="0"/>
          <w:numId w:val="41"/>
        </w:numPr>
        <w:bidi w:val="0"/>
      </w:pPr>
      <w:r>
        <w:t>评审工作将依据招标文件、投标文件及采购文件中事先已列明的内容进行（如方案讲解、演示、样品等）。</w:t>
      </w:r>
    </w:p>
    <w:p w14:paraId="571E49D4">
      <w:pPr>
        <w:pStyle w:val="45"/>
      </w:pPr>
      <w:r>
        <w:t>评</w:t>
      </w:r>
      <w:r>
        <w:rPr>
          <w:rFonts w:hint="eastAsia"/>
          <w:lang w:eastAsia="zh-CN"/>
        </w:rPr>
        <w:t>审</w:t>
      </w:r>
      <w:r>
        <w:t>意见的争议处理</w:t>
      </w:r>
    </w:p>
    <w:p w14:paraId="1C278BBA">
      <w:pPr>
        <w:pStyle w:val="42"/>
        <w:ind w:firstLine="480"/>
        <w:rPr>
          <w:lang w:eastAsia="zh-CN"/>
        </w:rPr>
      </w:pPr>
      <w:r>
        <w:t>评</w:t>
      </w:r>
      <w:r>
        <w:rPr>
          <w:rFonts w:hint="eastAsia"/>
        </w:rPr>
        <w:t>审</w:t>
      </w:r>
      <w:r>
        <w:t>委员会成员对需要共同认定的事项存在争议的，按照少数服从多数的原则作出结论。持不同意见的评</w:t>
      </w:r>
      <w:r>
        <w:rPr>
          <w:rFonts w:hint="eastAsia"/>
        </w:rPr>
        <w:t>审</w:t>
      </w:r>
      <w:r>
        <w:t>委员会成员应当在评</w:t>
      </w:r>
      <w:r>
        <w:rPr>
          <w:rFonts w:hint="eastAsia"/>
        </w:rPr>
        <w:t>审</w:t>
      </w:r>
      <w:r>
        <w:t>报告上签署不同意见及理由，否则视为同意评</w:t>
      </w:r>
      <w:r>
        <w:rPr>
          <w:rFonts w:hint="eastAsia"/>
        </w:rPr>
        <w:t>审</w:t>
      </w:r>
      <w:r>
        <w:t>报告</w:t>
      </w:r>
      <w:r>
        <w:rPr>
          <w:rFonts w:hint="eastAsia"/>
        </w:rPr>
        <w:t>。</w:t>
      </w:r>
    </w:p>
    <w:p w14:paraId="26B077DC">
      <w:pPr>
        <w:pStyle w:val="45"/>
      </w:pPr>
      <w:r>
        <w:t>评</w:t>
      </w:r>
      <w:r>
        <w:rPr>
          <w:rFonts w:hint="eastAsia"/>
          <w:lang w:eastAsia="zh-CN"/>
        </w:rPr>
        <w:t>审</w:t>
      </w:r>
      <w:r>
        <w:t>纪律</w:t>
      </w:r>
    </w:p>
    <w:p w14:paraId="43DE9EB2">
      <w:pPr>
        <w:pStyle w:val="42"/>
        <w:ind w:firstLine="480"/>
      </w:pPr>
      <w:r>
        <w:rPr>
          <w:rFonts w:hint="eastAsia"/>
        </w:rPr>
        <w:t>评审委员会成员要严格遵守评标纪律、保密、回避等相关规定，依法独立履行评标职责，客观、公正、审慎参与评标工作：</w:t>
      </w:r>
    </w:p>
    <w:p w14:paraId="3E19A465">
      <w:pPr>
        <w:pStyle w:val="52"/>
        <w:numPr>
          <w:ilvl w:val="0"/>
          <w:numId w:val="42"/>
        </w:numPr>
        <w:ind w:firstLine="480"/>
      </w:pPr>
      <w:r>
        <w:rPr>
          <w:rFonts w:hint="eastAsia"/>
        </w:rPr>
        <w:t>严格遵守评标时间，因突发情况确实不能按时参加评标的，应事先告知招标组织机构；</w:t>
      </w:r>
    </w:p>
    <w:p w14:paraId="6D87BEAE">
      <w:pPr>
        <w:pStyle w:val="52"/>
        <w:numPr>
          <w:ilvl w:val="0"/>
          <w:numId w:val="42"/>
        </w:numPr>
        <w:ind w:firstLine="480"/>
      </w:pPr>
      <w:r>
        <w:rPr>
          <w:rFonts w:hint="eastAsia"/>
        </w:rPr>
        <w:t>服从招标组织机构的现场管理，主动出示身份证明，进入评标区域后应主动寄存移动通讯工具，按要求佩戴工作牌；</w:t>
      </w:r>
    </w:p>
    <w:p w14:paraId="32ED7867">
      <w:pPr>
        <w:pStyle w:val="52"/>
        <w:numPr>
          <w:ilvl w:val="0"/>
          <w:numId w:val="42"/>
        </w:numPr>
        <w:ind w:firstLine="480"/>
      </w:pPr>
      <w:r>
        <w:rPr>
          <w:rFonts w:hint="eastAsia"/>
        </w:rPr>
        <w:t>与投标人或评审委员会其他成员存在利害关系的，要主动回避，自觉签订《政府采购评审人员廉洁自律承诺书》；</w:t>
      </w:r>
    </w:p>
    <w:p w14:paraId="2DB9813C">
      <w:pPr>
        <w:pStyle w:val="52"/>
        <w:numPr>
          <w:ilvl w:val="0"/>
          <w:numId w:val="42"/>
        </w:numPr>
        <w:ind w:firstLine="480"/>
      </w:pPr>
      <w:r>
        <w:rPr>
          <w:rFonts w:hint="eastAsia"/>
        </w:rPr>
        <w:t>保持评标现场安静，不在评标现场随意走动，因发生不可预见情况确需与外界联系或暂时离开评标现场的，应向现场监督员说明情况，征得同意后在监控区域内进行相关活动，并应接受相关工作人员的监督；</w:t>
      </w:r>
    </w:p>
    <w:p w14:paraId="3A71BA8C">
      <w:pPr>
        <w:pStyle w:val="52"/>
        <w:numPr>
          <w:ilvl w:val="0"/>
          <w:numId w:val="42"/>
        </w:numPr>
        <w:ind w:firstLine="480"/>
      </w:pPr>
      <w:r>
        <w:rPr>
          <w:rFonts w:hint="eastAsia"/>
        </w:rPr>
        <w:t>自觉遵守职业道德，尊重招标人代表和投标人代表，配合招标组织机构回答投标人代表提出的有关异议；</w:t>
      </w:r>
    </w:p>
    <w:p w14:paraId="0AD26241">
      <w:pPr>
        <w:pStyle w:val="52"/>
        <w:numPr>
          <w:ilvl w:val="0"/>
          <w:numId w:val="42"/>
        </w:numPr>
        <w:ind w:firstLine="480"/>
      </w:pPr>
      <w:r>
        <w:rPr>
          <w:rFonts w:hint="eastAsia"/>
        </w:rPr>
        <w:t>不得将评标过程、结果和投标人的商业秘密透露给任何单位和个人。未公告评标结果前不准泄露评标结果，不准将评标资料带出会场；</w:t>
      </w:r>
    </w:p>
    <w:p w14:paraId="2CF61A19">
      <w:pPr>
        <w:pStyle w:val="52"/>
        <w:numPr>
          <w:ilvl w:val="0"/>
          <w:numId w:val="42"/>
        </w:numPr>
        <w:ind w:firstLine="480"/>
      </w:pPr>
      <w:r>
        <w:rPr>
          <w:rFonts w:hint="eastAsia"/>
        </w:rPr>
        <w:t>评标过程中，涉及到相关法律法规不清楚之处的，由招标人监管部门或请示权威部门作出法定解释，涉及到招标文件的由编制招标文件的机构和部门负责解释。</w:t>
      </w:r>
    </w:p>
    <w:p w14:paraId="3BE3045E">
      <w:pPr>
        <w:pStyle w:val="45"/>
      </w:pPr>
      <w:r>
        <w:t>评</w:t>
      </w:r>
      <w:r>
        <w:rPr>
          <w:rFonts w:hint="eastAsia"/>
          <w:lang w:eastAsia="zh-CN"/>
        </w:rPr>
        <w:t>审</w:t>
      </w:r>
      <w:r>
        <w:t>方法和标准</w:t>
      </w:r>
    </w:p>
    <w:p w14:paraId="1D19F25D">
      <w:pPr>
        <w:pStyle w:val="42"/>
        <w:bidi w:val="0"/>
      </w:pPr>
      <w:r>
        <w:t>评审委员会将按照采购文件中规定的评审方法和标准，对符合性审查合格的投标文件进行商务和技术评估，综合评价。详细评审方法和标准见本招标文件“第五章 评审方法和标准”。</w:t>
      </w:r>
    </w:p>
    <w:p w14:paraId="20937978">
      <w:pPr>
        <w:pStyle w:val="45"/>
      </w:pPr>
      <w:r>
        <w:rPr>
          <w:rFonts w:hint="eastAsia"/>
        </w:rPr>
        <w:t>评</w:t>
      </w:r>
      <w:r>
        <w:rPr>
          <w:rFonts w:hint="eastAsia"/>
          <w:lang w:eastAsia="zh-CN"/>
        </w:rPr>
        <w:t>审</w:t>
      </w:r>
      <w:r>
        <w:rPr>
          <w:rFonts w:hint="eastAsia"/>
        </w:rPr>
        <w:t>内容的保密</w:t>
      </w:r>
    </w:p>
    <w:p w14:paraId="5C91D31F">
      <w:pPr>
        <w:pStyle w:val="52"/>
        <w:numPr>
          <w:ilvl w:val="0"/>
          <w:numId w:val="43"/>
        </w:numPr>
        <w:bidi w:val="0"/>
      </w:pPr>
      <w:r>
        <w:t>公开开标后，直到公告中标单位止，凡属于审查、澄清、评价和比较投标的所有资料，都不向投标人或与评标无关的其他人泄露。</w:t>
      </w:r>
    </w:p>
    <w:p w14:paraId="63AA09DF">
      <w:pPr>
        <w:pStyle w:val="52"/>
        <w:numPr>
          <w:ilvl w:val="0"/>
          <w:numId w:val="43"/>
        </w:numPr>
        <w:bidi w:val="0"/>
      </w:pPr>
      <w:r>
        <w:t>在投标文件的审查、澄清、评价和比较以及确定中标人过程中，投标人对招标人、招标代理机构和评审委员会施加影响的任何行为，都将导致取消资格。</w:t>
      </w:r>
    </w:p>
    <w:p w14:paraId="4B2CE557">
      <w:pPr>
        <w:pStyle w:val="42"/>
        <w:ind w:firstLine="480"/>
      </w:pPr>
    </w:p>
    <w:p w14:paraId="062E6E65">
      <w:pPr>
        <w:pStyle w:val="44"/>
      </w:pPr>
      <w:bookmarkStart w:id="45" w:name="_Toc29210"/>
      <w:r>
        <w:rPr>
          <w:rFonts w:hint="eastAsia"/>
        </w:rPr>
        <w:t>定 标</w:t>
      </w:r>
      <w:bookmarkEnd w:id="45"/>
    </w:p>
    <w:p w14:paraId="01BCC62F">
      <w:pPr>
        <w:pStyle w:val="45"/>
      </w:pPr>
      <w:r>
        <w:rPr>
          <w:rFonts w:hint="eastAsia"/>
        </w:rPr>
        <w:t>定标</w:t>
      </w:r>
      <w:r>
        <w:rPr>
          <w:rFonts w:hint="eastAsia"/>
        </w:rPr>
        <w:tab/>
      </w:r>
    </w:p>
    <w:p w14:paraId="554656AC">
      <w:pPr>
        <w:pStyle w:val="42"/>
        <w:ind w:firstLine="480"/>
      </w:pPr>
      <w:r>
        <w:rPr>
          <w:rFonts w:hint="eastAsia"/>
        </w:rPr>
        <w:t>评审委员会将根据招标文件和有关规定，履行评标工作职责，以评标办法为标准，推荐中标候选人的先后顺序，并按顺序提出授标建议。招标人按政府采购法有关规定最终确定招标结果。</w:t>
      </w:r>
    </w:p>
    <w:p w14:paraId="047C65AD">
      <w:pPr>
        <w:pStyle w:val="45"/>
      </w:pPr>
      <w:r>
        <w:rPr>
          <w:rFonts w:hint="eastAsia"/>
        </w:rPr>
        <w:t>招标结果公告</w:t>
      </w:r>
      <w:r>
        <w:rPr>
          <w:rFonts w:hint="eastAsia"/>
        </w:rPr>
        <w:tab/>
      </w:r>
    </w:p>
    <w:p w14:paraId="24928B69">
      <w:pPr>
        <w:pStyle w:val="42"/>
        <w:ind w:firstLine="480"/>
      </w:pPr>
      <w:r>
        <w:rPr>
          <w:rFonts w:hint="eastAsia"/>
        </w:rPr>
        <w:t>在招标人确认招标结果后招标代理机构按相关政府采购规定将招标结果发布在原招标公告发布媒体。</w:t>
      </w:r>
    </w:p>
    <w:p w14:paraId="7470842D">
      <w:pPr>
        <w:pStyle w:val="42"/>
        <w:ind w:firstLine="480"/>
      </w:pPr>
      <w:r>
        <w:rPr>
          <w:rFonts w:hint="eastAsia"/>
        </w:rPr>
        <w:t>结果公告内容包括</w:t>
      </w:r>
      <w:r>
        <w:rPr>
          <w:rFonts w:hint="eastAsia"/>
          <w:lang w:eastAsia="zh-CN"/>
        </w:rPr>
        <w:t>招标</w:t>
      </w:r>
      <w:r>
        <w:rPr>
          <w:rFonts w:hint="eastAsia"/>
        </w:rPr>
        <w:t>人</w:t>
      </w:r>
      <w:r>
        <w:rPr>
          <w:rFonts w:hint="eastAsia"/>
          <w:lang w:eastAsia="zh-CN"/>
        </w:rPr>
        <w:t>、招标代理</w:t>
      </w:r>
      <w:r>
        <w:rPr>
          <w:rFonts w:hint="eastAsia"/>
        </w:rPr>
        <w:t>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w:t>
      </w:r>
      <w:r>
        <w:rPr>
          <w:rFonts w:hint="eastAsia"/>
          <w:lang w:eastAsia="zh-CN"/>
        </w:rPr>
        <w:t>情况</w:t>
      </w:r>
      <w:r>
        <w:rPr>
          <w:rFonts w:hint="eastAsia"/>
        </w:rPr>
        <w:t>。</w:t>
      </w:r>
    </w:p>
    <w:p w14:paraId="1F4E1ADA">
      <w:pPr>
        <w:pStyle w:val="42"/>
        <w:ind w:firstLine="480"/>
      </w:pPr>
      <w:r>
        <w:rPr>
          <w:rFonts w:hint="eastAsia"/>
        </w:rPr>
        <w:t>公告有效期为1个工作日。</w:t>
      </w:r>
    </w:p>
    <w:p w14:paraId="5C9BF4F7">
      <w:pPr>
        <w:pStyle w:val="42"/>
        <w:ind w:firstLine="480"/>
      </w:pPr>
      <w:r>
        <w:rPr>
          <w:rFonts w:hint="eastAsia"/>
        </w:rPr>
        <w:t>招标人、招标代理机构及评审委员会对未中标的投标人不作落标原因解释。</w:t>
      </w:r>
    </w:p>
    <w:p w14:paraId="1AEEFC61">
      <w:pPr>
        <w:pStyle w:val="45"/>
      </w:pPr>
      <w:bookmarkStart w:id="46" w:name="_Toc86216995"/>
      <w:bookmarkEnd w:id="46"/>
      <w:bookmarkStart w:id="47" w:name="_Hlt75236103"/>
      <w:bookmarkEnd w:id="47"/>
      <w:bookmarkStart w:id="48" w:name="_Toc91899910"/>
      <w:r>
        <w:rPr>
          <w:rFonts w:hint="eastAsia"/>
        </w:rPr>
        <w:t>中标通知书</w:t>
      </w:r>
      <w:bookmarkEnd w:id="48"/>
      <w:r>
        <w:rPr>
          <w:rFonts w:hint="eastAsia"/>
        </w:rPr>
        <w:tab/>
      </w:r>
    </w:p>
    <w:p w14:paraId="6615F91A">
      <w:pPr>
        <w:pStyle w:val="42"/>
        <w:ind w:firstLine="480"/>
      </w:pPr>
      <w:r>
        <w:rPr>
          <w:rFonts w:hint="eastAsia"/>
        </w:rPr>
        <w:t>招标代理机构将以书面形式向中标人发出《中标通知书》。</w:t>
      </w:r>
    </w:p>
    <w:p w14:paraId="17BA91DA">
      <w:pPr>
        <w:pStyle w:val="42"/>
        <w:ind w:firstLine="480"/>
      </w:pPr>
    </w:p>
    <w:p w14:paraId="45921156">
      <w:pPr>
        <w:pStyle w:val="44"/>
      </w:pPr>
      <w:bookmarkStart w:id="49" w:name="_Toc15516"/>
      <w:r>
        <w:t>合同签订和履约担保</w:t>
      </w:r>
      <w:bookmarkEnd w:id="49"/>
    </w:p>
    <w:p w14:paraId="154A5C28">
      <w:pPr>
        <w:pStyle w:val="45"/>
      </w:pPr>
      <w:r>
        <w:t>合同</w:t>
      </w:r>
      <w:r>
        <w:rPr>
          <w:rFonts w:hint="eastAsia"/>
          <w:lang w:eastAsia="zh-CN"/>
        </w:rPr>
        <w:t>签订</w:t>
      </w:r>
    </w:p>
    <w:p w14:paraId="046EE38B">
      <w:pPr>
        <w:pStyle w:val="52"/>
        <w:numPr>
          <w:ilvl w:val="0"/>
          <w:numId w:val="44"/>
        </w:numPr>
        <w:bidi w:val="0"/>
      </w:pPr>
      <w:r>
        <w:t>中标人应在《中标通知书》发出后30天内的时间内，通过“政府采购云平台”或线下与招标人签订政府采购合同。所签订的合同不得对招标文件确定的事项和中标供应商投标文件作实质性修改。招标代理机构将根据招标人的委托，对合同内容进行审查，如发现与招标结果和投标承诺内容不一致的，将予以纠正。</w:t>
      </w:r>
    </w:p>
    <w:p w14:paraId="3552C0A7">
      <w:pPr>
        <w:pStyle w:val="52"/>
        <w:numPr>
          <w:ilvl w:val="0"/>
          <w:numId w:val="44"/>
        </w:numPr>
        <w:bidi w:val="0"/>
      </w:pPr>
      <w:r>
        <w:t>招标文件及补充文件、中标人的投标文件及投标修改文件、评标过程中有关澄清文件和中标通知书均作为合同附件。</w:t>
      </w:r>
    </w:p>
    <w:p w14:paraId="218CA9AC">
      <w:pPr>
        <w:pStyle w:val="52"/>
        <w:numPr>
          <w:ilvl w:val="0"/>
          <w:numId w:val="44"/>
        </w:numPr>
        <w:bidi w:val="0"/>
      </w:pPr>
      <w:r>
        <w:t>中标人拒绝与招标人签订合同的，须按项目预算金额的5%进行赔偿（赔偿金额不足叁万的按叁万计），赔偿用于支付采购代理服务费、专家评审费、其他采购组织费用以及因中标人拒绝签订合同给招标人、招标代理机构造成的其他损失，同时招标组织机构将视情对其失信行为上报至同级政府采购监督管理部门对其依法处理。</w:t>
      </w:r>
    </w:p>
    <w:p w14:paraId="31030177">
      <w:pPr>
        <w:pStyle w:val="52"/>
        <w:numPr>
          <w:ilvl w:val="0"/>
          <w:numId w:val="44"/>
        </w:numPr>
        <w:bidi w:val="0"/>
      </w:pPr>
      <w:r>
        <w:t>中标人拒绝与招标人签订合同的，招标人可以按照评审报告推荐的中标或者成交候选人名单排序，确定下一候选人为中标供应商，也可以重新开展政府采购活动。</w:t>
      </w:r>
    </w:p>
    <w:p w14:paraId="3A816B5E">
      <w:pPr>
        <w:pStyle w:val="52"/>
        <w:numPr>
          <w:ilvl w:val="0"/>
          <w:numId w:val="44"/>
        </w:numPr>
        <w:bidi w:val="0"/>
      </w:pPr>
      <w:r>
        <w:t>如中标人为联合体的，由联合体成员各方法定代表人或其授权代表与招标人代表签订合同。</w:t>
      </w:r>
    </w:p>
    <w:p w14:paraId="5B86DAE9">
      <w:pPr>
        <w:pStyle w:val="45"/>
      </w:pPr>
      <w:r>
        <w:t>履约担保（履约保证金）</w:t>
      </w:r>
    </w:p>
    <w:p w14:paraId="216A401C">
      <w:pPr>
        <w:pStyle w:val="52"/>
        <w:numPr>
          <w:ilvl w:val="0"/>
          <w:numId w:val="45"/>
        </w:numPr>
        <w:bidi w:val="0"/>
      </w:pPr>
      <w:r>
        <w:t>履约担保提交要求：见本章“前附表”，中标人应提交而未提交履约担保的，合同款不予支付、合同验收不予通过。</w:t>
      </w:r>
    </w:p>
    <w:p w14:paraId="4BFFDC4C">
      <w:pPr>
        <w:pStyle w:val="52"/>
        <w:numPr>
          <w:ilvl w:val="0"/>
          <w:numId w:val="45"/>
        </w:numPr>
        <w:bidi w:val="0"/>
      </w:pPr>
      <w:r>
        <w:t>采购合同签订后，中标人不按合同约定履约的，招标人可以解除采购合同，并对中标人已缴纳的履约保证金作“不予退还”处理；此外，中标人还须按以下约定向招标人支付违约金、承担违约责任：</w:t>
      </w:r>
    </w:p>
    <w:p w14:paraId="17DB8666">
      <w:pPr>
        <w:pStyle w:val="53"/>
        <w:numPr>
          <w:ilvl w:val="0"/>
          <w:numId w:val="46"/>
        </w:numPr>
        <w:bidi w:val="0"/>
      </w:pPr>
      <w:r>
        <w:rPr>
          <w:rFonts w:hint="eastAsia"/>
        </w:rPr>
        <w:t>招标</w:t>
      </w:r>
      <w:r>
        <w:t>人已向中标</w:t>
      </w:r>
      <w:r>
        <w:rPr>
          <w:rFonts w:hint="eastAsia"/>
        </w:rPr>
        <w:t>人</w:t>
      </w:r>
      <w:r>
        <w:t>支付了合同款的，中标</w:t>
      </w:r>
      <w:r>
        <w:rPr>
          <w:rFonts w:hint="eastAsia"/>
        </w:rPr>
        <w:t>人</w:t>
      </w:r>
      <w:r>
        <w:t>须一次性退还</w:t>
      </w:r>
      <w:r>
        <w:rPr>
          <w:rFonts w:hint="eastAsia"/>
        </w:rPr>
        <w:t>招标人</w:t>
      </w:r>
      <w:r>
        <w:t>已支付的合同款，并向</w:t>
      </w:r>
      <w:r>
        <w:rPr>
          <w:rFonts w:hint="eastAsia"/>
        </w:rPr>
        <w:t>招标人</w:t>
      </w:r>
      <w:r>
        <w:t>支付等额的违约金；</w:t>
      </w:r>
    </w:p>
    <w:p w14:paraId="5620AB1D">
      <w:pPr>
        <w:pStyle w:val="53"/>
        <w:numPr>
          <w:ilvl w:val="0"/>
          <w:numId w:val="46"/>
        </w:numPr>
        <w:bidi w:val="0"/>
      </w:pPr>
      <w:r>
        <w:rPr>
          <w:rFonts w:hint="eastAsia"/>
        </w:rPr>
        <w:t>招标人</w:t>
      </w:r>
      <w:r>
        <w:t>还未向中标</w:t>
      </w:r>
      <w:r>
        <w:rPr>
          <w:rFonts w:hint="eastAsia"/>
        </w:rPr>
        <w:t>人</w:t>
      </w:r>
      <w:r>
        <w:t>支付合同款的，</w:t>
      </w:r>
      <w:r>
        <w:rPr>
          <w:rFonts w:hint="eastAsia"/>
        </w:rPr>
        <w:t>中标人</w:t>
      </w:r>
      <w:r>
        <w:t>须一次性向</w:t>
      </w:r>
      <w:r>
        <w:rPr>
          <w:rFonts w:hint="eastAsia"/>
        </w:rPr>
        <w:t>招标人</w:t>
      </w:r>
      <w:r>
        <w:t>支付合同总额30%的违约金。</w:t>
      </w:r>
    </w:p>
    <w:p w14:paraId="73363B46">
      <w:pPr>
        <w:pStyle w:val="52"/>
        <w:bidi w:val="0"/>
      </w:pPr>
      <w:r>
        <w:t>中标人的违约金用于弥补招标人、招标代理机构的损失，以及支付采购代理服务费、专家评审费等采购组织费用。</w:t>
      </w:r>
    </w:p>
    <w:p w14:paraId="521C980D">
      <w:pPr>
        <w:pStyle w:val="52"/>
        <w:bidi w:val="0"/>
      </w:pPr>
      <w:r>
        <w:t>履约保证金在中标人按约定履约完毕后退还（具体退还方式以合同签订时约定为准）。</w:t>
      </w:r>
    </w:p>
    <w:p w14:paraId="1CFD8369">
      <w:pPr>
        <w:pStyle w:val="52"/>
        <w:bidi w:val="0"/>
      </w:pPr>
      <w:r>
        <w:t>中标人不按合同履约的，招标人将对其行为上报至同级政府采购监督管理部门对其依法处理。</w:t>
      </w:r>
    </w:p>
    <w:p w14:paraId="02B7F298">
      <w:pPr>
        <w:rPr>
          <w:rFonts w:ascii="宋体" w:hAnsi="宋体"/>
        </w:rPr>
      </w:pPr>
      <w:bookmarkStart w:id="50" w:name="_Toc464483851"/>
      <w:bookmarkEnd w:id="50"/>
    </w:p>
    <w:p w14:paraId="4B979911">
      <w:pPr>
        <w:pStyle w:val="44"/>
      </w:pPr>
      <w:bookmarkStart w:id="51" w:name="_Toc464483852"/>
      <w:bookmarkEnd w:id="51"/>
      <w:bookmarkStart w:id="52" w:name="_Toc25235"/>
      <w:r>
        <w:rPr>
          <w:rFonts w:hint="eastAsia"/>
          <w:lang w:eastAsia="zh-CN"/>
        </w:rPr>
        <w:t>招标</w:t>
      </w:r>
      <w:r>
        <w:t>代理服务费</w:t>
      </w:r>
      <w:bookmarkEnd w:id="52"/>
    </w:p>
    <w:p w14:paraId="33E4011C">
      <w:pPr>
        <w:pStyle w:val="52"/>
        <w:numPr>
          <w:ilvl w:val="0"/>
          <w:numId w:val="47"/>
        </w:numPr>
        <w:bidi w:val="0"/>
      </w:pPr>
      <w:r>
        <w:rPr>
          <w:rFonts w:hint="eastAsia"/>
          <w:lang w:eastAsia="zh-CN"/>
        </w:rPr>
        <w:t>招标</w:t>
      </w:r>
      <w:r>
        <w:t>代理服务费的支付方：见</w:t>
      </w:r>
      <w:r>
        <w:rPr>
          <w:rFonts w:hint="eastAsia"/>
          <w:lang w:eastAsia="zh-CN"/>
        </w:rPr>
        <w:t>本章“</w:t>
      </w:r>
      <w:r>
        <w:t>前附表</w:t>
      </w:r>
      <w:r>
        <w:rPr>
          <w:rFonts w:hint="eastAsia"/>
          <w:lang w:eastAsia="zh-CN"/>
        </w:rPr>
        <w:t>”</w:t>
      </w:r>
    </w:p>
    <w:p w14:paraId="65A990BA">
      <w:pPr>
        <w:pStyle w:val="52"/>
        <w:numPr>
          <w:ilvl w:val="0"/>
          <w:numId w:val="47"/>
        </w:numPr>
        <w:bidi w:val="0"/>
      </w:pPr>
      <w:r>
        <w:t>收取标准或金额：见</w:t>
      </w:r>
      <w:r>
        <w:rPr>
          <w:rFonts w:hint="eastAsia"/>
          <w:lang w:eastAsia="zh-CN"/>
        </w:rPr>
        <w:t>本章“</w:t>
      </w:r>
      <w:r>
        <w:t>前附表</w:t>
      </w:r>
      <w:r>
        <w:rPr>
          <w:rFonts w:hint="eastAsia"/>
          <w:lang w:eastAsia="zh-CN"/>
        </w:rPr>
        <w:t>”</w:t>
      </w:r>
      <w:r>
        <w:t>。</w:t>
      </w:r>
    </w:p>
    <w:p w14:paraId="75C611D8">
      <w:pPr>
        <w:pStyle w:val="52"/>
        <w:numPr>
          <w:ilvl w:val="0"/>
          <w:numId w:val="47"/>
        </w:numPr>
        <w:bidi w:val="0"/>
      </w:pPr>
      <w:r>
        <w:t>缴纳时间：见</w:t>
      </w:r>
      <w:r>
        <w:rPr>
          <w:rFonts w:hint="eastAsia"/>
          <w:lang w:eastAsia="zh-CN"/>
        </w:rPr>
        <w:t>本章“</w:t>
      </w:r>
      <w:r>
        <w:t>前附表</w:t>
      </w:r>
      <w:r>
        <w:rPr>
          <w:rFonts w:hint="eastAsia"/>
          <w:lang w:eastAsia="zh-CN"/>
        </w:rPr>
        <w:t>”</w:t>
      </w:r>
      <w:r>
        <w:t>。</w:t>
      </w:r>
    </w:p>
    <w:p w14:paraId="4352E1B7">
      <w:pPr>
        <w:pStyle w:val="52"/>
        <w:numPr>
          <w:ilvl w:val="0"/>
          <w:numId w:val="47"/>
        </w:numPr>
        <w:bidi w:val="0"/>
      </w:pPr>
      <w:r>
        <w:t>缴纳形式：电汇、转账、支票、汇票</w:t>
      </w:r>
    </w:p>
    <w:p w14:paraId="72E23A55">
      <w:pPr>
        <w:pStyle w:val="52"/>
        <w:numPr>
          <w:ilvl w:val="0"/>
          <w:numId w:val="47"/>
        </w:numPr>
        <w:bidi w:val="0"/>
      </w:pPr>
      <w:r>
        <w:rPr>
          <w:rFonts w:hint="eastAsia"/>
        </w:rPr>
        <w:t>招标</w:t>
      </w:r>
      <w:r>
        <w:t>代理服务费缴纳凭证将作为</w:t>
      </w:r>
      <w:r>
        <w:rPr>
          <w:rFonts w:hint="eastAsia"/>
        </w:rPr>
        <w:t>招标</w:t>
      </w:r>
      <w:r>
        <w:t>人合同付款和验收的前提条件，中标</w:t>
      </w:r>
      <w:r>
        <w:rPr>
          <w:rFonts w:hint="eastAsia"/>
        </w:rPr>
        <w:t>人</w:t>
      </w:r>
      <w:r>
        <w:t>未按上述规定和投标承诺缴纳</w:t>
      </w:r>
      <w:r>
        <w:rPr>
          <w:rFonts w:hint="eastAsia"/>
        </w:rPr>
        <w:t>招标</w:t>
      </w:r>
      <w:r>
        <w:t>代理服务费的，合同款不予支付、合同验收不予通过</w:t>
      </w:r>
      <w:r>
        <w:rPr>
          <w:rFonts w:hint="eastAsia"/>
        </w:rPr>
        <w:t>。</w:t>
      </w:r>
    </w:p>
    <w:p w14:paraId="59DA3EAF">
      <w:pPr>
        <w:pStyle w:val="52"/>
        <w:bidi w:val="0"/>
      </w:pPr>
      <w:r>
        <w:t>中标</w:t>
      </w:r>
      <w:r>
        <w:rPr>
          <w:rFonts w:hint="eastAsia"/>
          <w:lang w:eastAsia="zh-CN"/>
        </w:rPr>
        <w:t>人</w:t>
      </w:r>
      <w:r>
        <w:t>确定后，中标</w:t>
      </w:r>
      <w:r>
        <w:rPr>
          <w:rFonts w:hint="eastAsia"/>
          <w:lang w:eastAsia="zh-CN"/>
        </w:rPr>
        <w:t>人</w:t>
      </w:r>
      <w:r>
        <w:t>拒绝签订合同的，或因自身原因被取消中标资格或放弃中标的，已收取的</w:t>
      </w:r>
      <w:r>
        <w:rPr>
          <w:rFonts w:hint="eastAsia"/>
          <w:lang w:eastAsia="zh-CN"/>
        </w:rPr>
        <w:t>招标</w:t>
      </w:r>
      <w:r>
        <w:t>代理服务费不予退还，未支付的采购代理服务费从中标</w:t>
      </w:r>
      <w:r>
        <w:rPr>
          <w:rFonts w:hint="eastAsia"/>
          <w:lang w:eastAsia="zh-CN"/>
        </w:rPr>
        <w:t>人</w:t>
      </w:r>
      <w:r>
        <w:t>的赔偿款中扣缴。</w:t>
      </w:r>
    </w:p>
    <w:p w14:paraId="43BFB5B8">
      <w:pPr>
        <w:widowControl/>
        <w:jc w:val="left"/>
        <w:rPr>
          <w:rFonts w:ascii="黑体" w:hAnsi="黑体" w:eastAsia="黑体" w:cs="黑体"/>
          <w:bCs/>
          <w:sz w:val="36"/>
          <w:szCs w:val="44"/>
          <w:lang w:eastAsia="zh-Hans"/>
        </w:rPr>
      </w:pPr>
      <w:r>
        <w:br w:type="page"/>
      </w:r>
    </w:p>
    <w:p w14:paraId="59ABDB16">
      <w:pPr>
        <w:pStyle w:val="43"/>
        <w:rPr>
          <w:highlight w:val="none"/>
        </w:rPr>
      </w:pPr>
      <w:bookmarkStart w:id="53" w:name="_Toc489"/>
      <w:r>
        <w:rPr>
          <w:rFonts w:hint="eastAsia"/>
          <w:highlight w:val="none"/>
          <w:lang w:eastAsia="zh-CN"/>
        </w:rPr>
        <w:t>项目技术及服务要求</w:t>
      </w:r>
      <w:bookmarkEnd w:id="53"/>
    </w:p>
    <w:p w14:paraId="60117202">
      <w:pPr>
        <w:pStyle w:val="44"/>
        <w:numPr>
          <w:ilvl w:val="1"/>
          <w:numId w:val="48"/>
        </w:numPr>
        <w:rPr>
          <w:lang w:val="zh-TW" w:eastAsia="zh-TW"/>
        </w:rPr>
      </w:pPr>
      <w:bookmarkStart w:id="54" w:name="_Toc20248"/>
      <w:bookmarkStart w:id="55" w:name="_Toc1167"/>
      <w:r>
        <w:rPr>
          <w:rFonts w:hint="eastAsia"/>
          <w:lang w:eastAsia="zh-CN"/>
        </w:rPr>
        <w:t>项目概况</w:t>
      </w:r>
      <w:bookmarkEnd w:id="54"/>
    </w:p>
    <w:p w14:paraId="52A5FFF1">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持续推进浙江省卫星导航定位基准服务系统的应用，浙江省建成了“一网、一中心、一平台”</w:t>
      </w:r>
      <w:r>
        <w:rPr>
          <w:rFonts w:hint="eastAsia" w:cs="宋体"/>
          <w:color w:val="auto"/>
          <w:sz w:val="24"/>
          <w:lang w:val="en-US" w:eastAsia="zh-CN"/>
        </w:rPr>
        <w:t>，</w:t>
      </w:r>
      <w:r>
        <w:rPr>
          <w:rFonts w:hint="eastAsia" w:ascii="宋体" w:hAnsi="宋体" w:eastAsia="宋体" w:cs="宋体"/>
          <w:color w:val="auto"/>
          <w:sz w:val="24"/>
          <w:lang w:val="en-US" w:eastAsia="zh-CN"/>
        </w:rPr>
        <w:t>向社会公众提供导航定位基准信息公共服务，同时满足用户实现跨省漫游的需求。</w:t>
      </w:r>
    </w:p>
    <w:p w14:paraId="61DC067A">
      <w:pPr>
        <w:pStyle w:val="44"/>
        <w:numPr>
          <w:ilvl w:val="1"/>
          <w:numId w:val="48"/>
        </w:numPr>
        <w:rPr>
          <w:lang w:val="zh-TW" w:eastAsia="zh-TW"/>
        </w:rPr>
      </w:pPr>
      <w:bookmarkStart w:id="56" w:name="_Toc416"/>
      <w:r>
        <w:rPr>
          <w:rFonts w:hint="eastAsia"/>
          <w:lang w:eastAsia="zh-CN"/>
        </w:rPr>
        <w:t>主要工作内容</w:t>
      </w:r>
      <w:bookmarkEnd w:id="56"/>
    </w:p>
    <w:p w14:paraId="2BF157E5">
      <w:pPr>
        <w:pStyle w:val="42"/>
        <w:numPr>
          <w:ilvl w:val="0"/>
          <w:numId w:val="0"/>
        </w:numPr>
        <w:ind w:firstLine="480" w:firstLineChars="200"/>
        <w:rPr>
          <w:rFonts w:hint="eastAsia"/>
          <w:color w:val="auto"/>
          <w:lang w:val="zh-TW" w:eastAsia="zh-TW"/>
        </w:rPr>
      </w:pPr>
      <w:r>
        <w:rPr>
          <w:rFonts w:hint="eastAsia"/>
          <w:color w:val="auto"/>
          <w:lang w:val="en-US" w:eastAsia="zh-CN"/>
        </w:rPr>
        <w:t>一是完成跨省北斗定位漫游服务功能升级优化，在浙江省卫星导航定位基准服务平台的基础上，在不改变现有的播发服务系统和用户体系的前提下，协调福建省、江西省星导航定位基准服务中心，实现浙江省卫星导航定位基准服务系统的用户跨省无缝漫游作业，跨省无缝漫游定位精度与现有省级CORS服务相当，将漫游服务扩展至福建、江西周边省份，并完成漫游服务测试；二是开展北斗应用终端标准数据服务，规范终端接入协议、数据格式与服务接口，高效支撑国土调查终端、无人机管理平台“一机一码”等服务。</w:t>
      </w:r>
    </w:p>
    <w:p w14:paraId="12419AF2">
      <w:pPr>
        <w:pStyle w:val="44"/>
        <w:numPr>
          <w:ilvl w:val="1"/>
          <w:numId w:val="48"/>
        </w:numPr>
        <w:rPr>
          <w:color w:val="auto"/>
          <w:lang w:val="zh-TW" w:eastAsia="zh-TW"/>
        </w:rPr>
      </w:pPr>
      <w:bookmarkStart w:id="57" w:name="_Toc26561"/>
      <w:r>
        <w:rPr>
          <w:rFonts w:hint="eastAsia"/>
          <w:color w:val="auto"/>
          <w:lang w:eastAsia="zh-CN"/>
        </w:rPr>
        <w:t>技术要求</w:t>
      </w:r>
      <w:bookmarkEnd w:id="57"/>
    </w:p>
    <w:p w14:paraId="091568F0">
      <w:pPr>
        <w:pStyle w:val="42"/>
        <w:rPr>
          <w:rFonts w:hint="default" w:eastAsia="宋体"/>
          <w:color w:val="auto"/>
          <w:lang w:val="en-US" w:eastAsia="zh-CN"/>
        </w:rPr>
      </w:pPr>
      <w:r>
        <w:rPr>
          <w:rFonts w:hint="eastAsia"/>
          <w:color w:val="auto"/>
          <w:lang w:val="en-US" w:eastAsia="zh-CN"/>
        </w:rPr>
        <w:t>优化提升播发功能，将漫游</w:t>
      </w:r>
      <w:r>
        <w:rPr>
          <w:rFonts w:hint="eastAsia"/>
          <w:color w:val="auto"/>
          <w:lang w:val="zh-TW" w:eastAsia="zh-TW"/>
        </w:rPr>
        <w:t>服务扩展至福建、江西周边省份</w:t>
      </w:r>
      <w:r>
        <w:rPr>
          <w:rFonts w:hint="eastAsia"/>
          <w:color w:val="auto"/>
          <w:lang w:val="zh-TW" w:eastAsia="zh-CN"/>
        </w:rPr>
        <w:t>，</w:t>
      </w:r>
      <w:r>
        <w:rPr>
          <w:rFonts w:hint="eastAsia"/>
          <w:color w:val="auto"/>
          <w:lang w:val="en-US" w:eastAsia="zh-CN"/>
        </w:rPr>
        <w:t>并测试其功能；</w:t>
      </w:r>
      <w:r>
        <w:rPr>
          <w:rFonts w:hint="eastAsia"/>
          <w:color w:val="auto"/>
          <w:lang w:val="zh-TW" w:eastAsia="zh-TW"/>
        </w:rPr>
        <w:t>开展北斗应用终端标准数据服务</w:t>
      </w:r>
      <w:r>
        <w:rPr>
          <w:rFonts w:hint="eastAsia"/>
          <w:color w:val="auto"/>
          <w:lang w:val="zh-TW" w:eastAsia="zh-CN"/>
        </w:rPr>
        <w:t>，</w:t>
      </w:r>
      <w:r>
        <w:rPr>
          <w:rFonts w:hint="eastAsia"/>
          <w:color w:val="auto"/>
          <w:lang w:val="en-US" w:eastAsia="zh-CN"/>
        </w:rPr>
        <w:t>开发</w:t>
      </w:r>
      <w:r>
        <w:rPr>
          <w:rFonts w:hint="eastAsia"/>
          <w:color w:val="auto"/>
          <w:lang w:val="zh-TW" w:eastAsia="zh-TW"/>
        </w:rPr>
        <w:t>接入协议、数据格式与服务接口</w:t>
      </w:r>
      <w:r>
        <w:rPr>
          <w:rFonts w:hint="eastAsia"/>
          <w:color w:val="auto"/>
          <w:lang w:val="zh-TW" w:eastAsia="zh-CN"/>
        </w:rPr>
        <w:t>，</w:t>
      </w:r>
      <w:r>
        <w:rPr>
          <w:rFonts w:hint="eastAsia"/>
          <w:color w:val="auto"/>
          <w:lang w:val="zh-TW" w:eastAsia="zh-TW"/>
        </w:rPr>
        <w:t>支撑国土调查终端、无人机管理平台“一机一码”等服务</w:t>
      </w:r>
      <w:r>
        <w:rPr>
          <w:rFonts w:hint="eastAsia"/>
          <w:color w:val="auto"/>
          <w:lang w:val="zh-TW" w:eastAsia="zh-CN"/>
        </w:rPr>
        <w:t>。</w:t>
      </w:r>
      <w:r>
        <w:rPr>
          <w:rFonts w:hint="eastAsia"/>
          <w:color w:val="auto"/>
          <w:lang w:val="en-US" w:eastAsia="zh-CN"/>
        </w:rPr>
        <w:t>提供项目总结报告。</w:t>
      </w:r>
    </w:p>
    <w:p w14:paraId="5484F2F4">
      <w:pPr>
        <w:pStyle w:val="44"/>
        <w:numPr>
          <w:ilvl w:val="1"/>
          <w:numId w:val="48"/>
        </w:numPr>
        <w:rPr>
          <w:lang w:val="zh-TW" w:eastAsia="zh-TW"/>
        </w:rPr>
      </w:pPr>
      <w:bookmarkStart w:id="58" w:name="_Toc32028"/>
      <w:r>
        <w:rPr>
          <w:rFonts w:hint="eastAsia"/>
          <w:lang w:eastAsia="zh-CN"/>
        </w:rPr>
        <w:t>工期要求</w:t>
      </w:r>
      <w:bookmarkEnd w:id="58"/>
    </w:p>
    <w:p w14:paraId="682F4B7E">
      <w:pPr>
        <w:pStyle w:val="42"/>
        <w:ind w:firstLine="480"/>
        <w:rPr>
          <w:lang w:eastAsia="zh-CN"/>
        </w:rPr>
      </w:pPr>
      <w:r>
        <w:rPr>
          <w:rFonts w:hint="eastAsia"/>
          <w:color w:val="auto"/>
        </w:rPr>
        <w:t>自合同签订</w:t>
      </w:r>
      <w:r>
        <w:rPr>
          <w:rFonts w:hint="eastAsia"/>
          <w:color w:val="auto"/>
          <w:lang w:eastAsia="zh-CN"/>
        </w:rPr>
        <w:t>并生效</w:t>
      </w:r>
      <w:r>
        <w:rPr>
          <w:rFonts w:hint="eastAsia"/>
          <w:color w:val="auto"/>
        </w:rPr>
        <w:t>之日起</w:t>
      </w:r>
      <w:r>
        <w:rPr>
          <w:rFonts w:hint="eastAsia"/>
          <w:color w:val="auto"/>
          <w:lang w:val="en-US" w:eastAsia="zh-CN"/>
        </w:rPr>
        <w:t>至</w:t>
      </w:r>
      <w:r>
        <w:rPr>
          <w:rFonts w:hint="eastAsia"/>
          <w:color w:val="auto"/>
          <w:lang w:eastAsia="zh-CN"/>
        </w:rPr>
        <w:t>2026年</w:t>
      </w:r>
      <w:r>
        <w:rPr>
          <w:rFonts w:hint="eastAsia"/>
          <w:color w:val="auto"/>
          <w:lang w:val="en-US" w:eastAsia="zh-CN"/>
        </w:rPr>
        <w:t>10</w:t>
      </w:r>
      <w:r>
        <w:rPr>
          <w:rFonts w:hint="eastAsia"/>
          <w:color w:val="auto"/>
          <w:lang w:eastAsia="zh-CN"/>
        </w:rPr>
        <w:t>月</w:t>
      </w:r>
      <w:r>
        <w:rPr>
          <w:rFonts w:hint="eastAsia"/>
          <w:color w:val="auto"/>
          <w:lang w:val="en-US" w:eastAsia="zh-CN"/>
        </w:rPr>
        <w:t>底</w:t>
      </w:r>
      <w:r>
        <w:rPr>
          <w:rFonts w:hint="eastAsia"/>
          <w:color w:val="auto"/>
          <w:lang w:eastAsia="zh-CN"/>
        </w:rPr>
        <w:t>前</w:t>
      </w:r>
      <w:r>
        <w:rPr>
          <w:rFonts w:hint="eastAsia"/>
          <w:color w:val="auto"/>
          <w:lang w:val="en-US" w:eastAsia="zh-CN"/>
        </w:rPr>
        <w:t>完成</w:t>
      </w:r>
      <w:r>
        <w:rPr>
          <w:rFonts w:hint="eastAsia"/>
          <w:lang w:eastAsia="zh-CN"/>
        </w:rPr>
        <w:t>。</w:t>
      </w:r>
    </w:p>
    <w:bookmarkEnd w:id="55"/>
    <w:p w14:paraId="3CB426C1">
      <w:pPr>
        <w:pStyle w:val="44"/>
        <w:numPr>
          <w:ilvl w:val="1"/>
          <w:numId w:val="48"/>
        </w:numPr>
        <w:rPr>
          <w:lang w:val="zh-TW" w:eastAsia="zh-TW"/>
        </w:rPr>
      </w:pPr>
      <w:bookmarkStart w:id="59" w:name="_Toc25347"/>
      <w:r>
        <w:rPr>
          <w:rFonts w:hint="eastAsia"/>
          <w:lang w:val="en-US" w:eastAsia="zh-CN"/>
        </w:rPr>
        <w:t>成果提交</w:t>
      </w:r>
    </w:p>
    <w:p w14:paraId="4ADEE04A">
      <w:pPr>
        <w:pStyle w:val="42"/>
        <w:numPr>
          <w:ilvl w:val="0"/>
          <w:numId w:val="49"/>
        </w:numPr>
        <w:rPr>
          <w:rFonts w:hint="eastAsia"/>
          <w:lang w:val="en-US" w:eastAsia="zh-CN"/>
        </w:rPr>
      </w:pPr>
      <w:r>
        <w:rPr>
          <w:rFonts w:hint="eastAsia"/>
          <w:lang w:val="en-US" w:eastAsia="zh-CN"/>
        </w:rPr>
        <w:t>漫游服务测试；</w:t>
      </w:r>
    </w:p>
    <w:p w14:paraId="725971F2">
      <w:pPr>
        <w:pStyle w:val="42"/>
        <w:numPr>
          <w:ilvl w:val="0"/>
          <w:numId w:val="49"/>
        </w:numPr>
        <w:rPr>
          <w:rFonts w:hint="default"/>
          <w:lang w:val="en-US" w:eastAsia="zh-TW"/>
        </w:rPr>
      </w:pPr>
      <w:r>
        <w:rPr>
          <w:rFonts w:hint="eastAsia"/>
          <w:lang w:val="en-US" w:eastAsia="zh-CN"/>
        </w:rPr>
        <w:t>北斗应用终端标准数据接口；</w:t>
      </w:r>
    </w:p>
    <w:p w14:paraId="64CD050A">
      <w:pPr>
        <w:pStyle w:val="42"/>
        <w:numPr>
          <w:ilvl w:val="0"/>
          <w:numId w:val="49"/>
        </w:numPr>
        <w:rPr>
          <w:rFonts w:hint="default"/>
          <w:lang w:val="en-US" w:eastAsia="zh-TW"/>
        </w:rPr>
      </w:pPr>
      <w:r>
        <w:rPr>
          <w:rFonts w:hint="eastAsia"/>
          <w:lang w:val="en-US" w:eastAsia="zh-CN"/>
        </w:rPr>
        <w:t>项目总结。</w:t>
      </w:r>
    </w:p>
    <w:p w14:paraId="27AE2428">
      <w:pPr>
        <w:pStyle w:val="44"/>
        <w:numPr>
          <w:ilvl w:val="1"/>
          <w:numId w:val="48"/>
        </w:numPr>
        <w:rPr>
          <w:lang w:val="zh-TW" w:eastAsia="zh-TW"/>
        </w:rPr>
      </w:pPr>
      <w:r>
        <w:rPr>
          <w:rFonts w:hint="eastAsia"/>
          <w:lang w:eastAsia="zh-CN"/>
        </w:rPr>
        <w:t>其他商务要求</w:t>
      </w:r>
      <w:bookmarkEnd w:id="59"/>
    </w:p>
    <w:p w14:paraId="44AFFEB8">
      <w:pPr>
        <w:pStyle w:val="42"/>
        <w:rPr>
          <w:rFonts w:hint="eastAsia"/>
          <w:color w:val="auto"/>
          <w:lang w:val="en-US" w:eastAsia="zh-CN"/>
        </w:rPr>
      </w:pPr>
      <w:r>
        <w:rPr>
          <w:rFonts w:hint="eastAsia"/>
          <w:color w:val="auto"/>
          <w:lang w:val="en-US" w:eastAsia="zh-CN"/>
        </w:rPr>
        <w:t>付款方式：合同生效并具备实施条件后7个工作日内，甲方向乙方支付合同金额的20%作为预付款，乙方完成全部协作服务工作量并向甲方提交所有成果，经过甲方组织的验收后，甲方根据项目结算单结算支付项目款</w:t>
      </w:r>
      <w:r>
        <w:rPr>
          <w:rFonts w:hint="eastAsia"/>
          <w:color w:val="auto"/>
          <w:lang w:eastAsia="zh-CN"/>
        </w:rPr>
        <w:t>。</w:t>
      </w:r>
    </w:p>
    <w:p w14:paraId="277085D0">
      <w:pPr>
        <w:pStyle w:val="42"/>
        <w:bidi w:val="0"/>
        <w:rPr>
          <w:rFonts w:hint="eastAsia"/>
          <w:color w:val="auto"/>
          <w:lang w:val="en-US" w:eastAsia="zh-CN"/>
        </w:rPr>
      </w:pPr>
      <w:r>
        <w:rPr>
          <w:rFonts w:hint="eastAsia"/>
          <w:color w:val="auto"/>
        </w:rPr>
        <w:t>备注：签订合同时，供应商明确表示无需预付款或者主动要求降低预付款比例的，采购单位可不适用前述规定。</w:t>
      </w:r>
    </w:p>
    <w:p w14:paraId="22D5089C">
      <w:pPr>
        <w:pStyle w:val="42"/>
        <w:ind w:left="0" w:leftChars="0" w:firstLine="0" w:firstLineChars="0"/>
        <w:jc w:val="both"/>
        <w:rPr>
          <w:rFonts w:hint="eastAsia" w:eastAsia="宋体"/>
          <w:lang w:eastAsia="zh-CN"/>
        </w:rPr>
      </w:pPr>
    </w:p>
    <w:p w14:paraId="0E2E5FD5">
      <w:r>
        <w:rPr>
          <w:rFonts w:hint="eastAsia"/>
          <w:lang w:eastAsia="zh-CN"/>
        </w:rPr>
        <w:br w:type="page"/>
      </w:r>
    </w:p>
    <w:p w14:paraId="6161E82A">
      <w:pPr>
        <w:pStyle w:val="43"/>
        <w:rPr>
          <w:highlight w:val="none"/>
        </w:rPr>
      </w:pPr>
      <w:bookmarkStart w:id="60" w:name="_Toc31942"/>
      <w:r>
        <w:rPr>
          <w:rFonts w:hint="eastAsia"/>
          <w:highlight w:val="none"/>
          <w:lang w:eastAsia="zh-CN"/>
        </w:rPr>
        <w:t>合同文本</w:t>
      </w:r>
      <w:bookmarkEnd w:id="60"/>
    </w:p>
    <w:p w14:paraId="621DB8D1">
      <w:pPr>
        <w:pStyle w:val="42"/>
        <w:ind w:firstLine="0" w:firstLineChars="0"/>
        <w:rPr>
          <w:u w:val="single"/>
        </w:rPr>
      </w:pPr>
      <w:r>
        <w:rPr>
          <w:rFonts w:hint="eastAsia"/>
          <w:u w:val="single"/>
        </w:rPr>
        <w:t>说明：本合同文本为招标人与中标人需要签订的正式文本，除将招标结果内容逐项填入外，其他已填写内容不得更改（联合体中标的可针对多方权益适当调整部分描述，但不得调整任何导致对其他投标人产生不公平影响的条款）。各投标人应对本合同文本中的条款全部响应，如有偏离需在商务偏离表中注明。</w:t>
      </w:r>
    </w:p>
    <w:p w14:paraId="5BF86CAC">
      <w:pPr>
        <w:spacing w:line="600" w:lineRule="exact"/>
        <w:jc w:val="left"/>
        <w:rPr>
          <w:rFonts w:hint="eastAsia" w:eastAsia="方正小标宋简体"/>
          <w:color w:val="000000"/>
          <w:sz w:val="30"/>
          <w:szCs w:val="30"/>
        </w:rPr>
      </w:pPr>
    </w:p>
    <w:p w14:paraId="26441227">
      <w:pPr>
        <w:spacing w:line="600" w:lineRule="exact"/>
        <w:jc w:val="left"/>
        <w:rPr>
          <w:rFonts w:eastAsia="方正小标宋简体"/>
          <w:color w:val="000000"/>
          <w:sz w:val="30"/>
          <w:szCs w:val="30"/>
        </w:rPr>
      </w:pPr>
      <w:r>
        <w:rPr>
          <w:rFonts w:hint="eastAsia" w:eastAsia="方正小标宋简体"/>
          <w:color w:val="000000"/>
          <w:sz w:val="30"/>
          <w:szCs w:val="30"/>
        </w:rPr>
        <w:t>合同编号：</w:t>
      </w:r>
    </w:p>
    <w:p w14:paraId="2CA69E41">
      <w:pPr>
        <w:spacing w:after="24" w:afterLines="10"/>
        <w:rPr>
          <w:rFonts w:ascii="宋体" w:hAnsi="宋体"/>
          <w:b/>
          <w:bCs/>
          <w:color w:val="000000"/>
          <w:sz w:val="24"/>
        </w:rPr>
      </w:pPr>
    </w:p>
    <w:p w14:paraId="3924F832">
      <w:pPr>
        <w:spacing w:after="24" w:afterLines="10"/>
        <w:rPr>
          <w:rFonts w:ascii="宋体" w:hAnsi="宋体"/>
          <w:b/>
          <w:bCs/>
          <w:color w:val="000000"/>
          <w:sz w:val="24"/>
        </w:rPr>
      </w:pPr>
    </w:p>
    <w:p w14:paraId="64A80B99">
      <w:pPr>
        <w:spacing w:after="24" w:afterLines="10"/>
        <w:jc w:val="center"/>
        <w:rPr>
          <w:b/>
          <w:bCs/>
          <w:color w:val="000000"/>
          <w:sz w:val="84"/>
          <w:szCs w:val="84"/>
        </w:rPr>
      </w:pPr>
      <w:r>
        <w:rPr>
          <w:rFonts w:hint="eastAsia" w:eastAsia="微软雅黑" w:cs="微软雅黑"/>
          <w:b/>
          <w:bCs/>
          <w:color w:val="000000"/>
          <w:sz w:val="84"/>
          <w:szCs w:val="84"/>
        </w:rPr>
        <w:t>采  购  合  同</w:t>
      </w:r>
    </w:p>
    <w:p w14:paraId="58F36A01">
      <w:pPr>
        <w:spacing w:after="24" w:afterLines="10"/>
        <w:ind w:firstLine="2088" w:firstLineChars="400"/>
        <w:rPr>
          <w:b/>
          <w:bCs/>
          <w:color w:val="000000"/>
          <w:sz w:val="52"/>
        </w:rPr>
      </w:pPr>
    </w:p>
    <w:p w14:paraId="74A53FDB">
      <w:pPr>
        <w:spacing w:after="24" w:afterLines="10"/>
        <w:ind w:firstLine="2088" w:firstLineChars="400"/>
        <w:rPr>
          <w:b/>
          <w:bCs/>
          <w:color w:val="000000"/>
          <w:sz w:val="52"/>
        </w:rPr>
      </w:pPr>
    </w:p>
    <w:p w14:paraId="7049A68F">
      <w:pPr>
        <w:spacing w:after="24" w:afterLines="10"/>
        <w:ind w:firstLine="2088" w:firstLineChars="400"/>
        <w:rPr>
          <w:b/>
          <w:bCs/>
          <w:color w:val="000000"/>
          <w:sz w:val="52"/>
        </w:rPr>
      </w:pPr>
    </w:p>
    <w:tbl>
      <w:tblPr>
        <w:tblStyle w:val="27"/>
        <w:tblW w:w="0" w:type="auto"/>
        <w:jc w:val="center"/>
        <w:tblLayout w:type="fixed"/>
        <w:tblCellMar>
          <w:top w:w="0" w:type="dxa"/>
          <w:left w:w="108" w:type="dxa"/>
          <w:bottom w:w="0" w:type="dxa"/>
          <w:right w:w="108" w:type="dxa"/>
        </w:tblCellMar>
      </w:tblPr>
      <w:tblGrid>
        <w:gridCol w:w="1826"/>
        <w:gridCol w:w="5718"/>
      </w:tblGrid>
      <w:tr w14:paraId="70CA5D22">
        <w:tblPrEx>
          <w:tblCellMar>
            <w:top w:w="0" w:type="dxa"/>
            <w:left w:w="108" w:type="dxa"/>
            <w:bottom w:w="0" w:type="dxa"/>
            <w:right w:w="108" w:type="dxa"/>
          </w:tblCellMar>
        </w:tblPrEx>
        <w:trPr>
          <w:trHeight w:val="1119" w:hRule="atLeast"/>
          <w:jc w:val="center"/>
        </w:trPr>
        <w:tc>
          <w:tcPr>
            <w:tcW w:w="1826" w:type="dxa"/>
            <w:noWrap w:val="0"/>
            <w:vAlign w:val="bottom"/>
          </w:tcPr>
          <w:p w14:paraId="7058DC5A">
            <w:pPr>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项目名称：</w:t>
            </w:r>
          </w:p>
        </w:tc>
        <w:tc>
          <w:tcPr>
            <w:tcW w:w="5718" w:type="dxa"/>
            <w:noWrap w:val="0"/>
            <w:vAlign w:val="bottom"/>
          </w:tcPr>
          <w:p w14:paraId="7067BDDC">
            <w:pPr>
              <w:spacing w:line="580" w:lineRule="exact"/>
              <w:jc w:val="center"/>
              <w:rPr>
                <w:rFonts w:ascii="宋体" w:hAnsi="宋体" w:cs="仿宋_GB2312"/>
                <w:color w:val="000000"/>
                <w:sz w:val="28"/>
                <w:szCs w:val="28"/>
              </w:rPr>
            </w:pPr>
            <w:r>
              <w:rPr>
                <w:rFonts w:hint="eastAsia" w:ascii="宋体" w:hAnsi="宋体" w:cs="仿宋_GB2312"/>
                <w:color w:val="000000"/>
                <w:sz w:val="28"/>
                <w:szCs w:val="28"/>
              </w:rPr>
              <w:t xml:space="preserve">                               </w:t>
            </w:r>
          </w:p>
        </w:tc>
      </w:tr>
      <w:tr w14:paraId="29E293EF">
        <w:tblPrEx>
          <w:tblCellMar>
            <w:top w:w="0" w:type="dxa"/>
            <w:left w:w="108" w:type="dxa"/>
            <w:bottom w:w="0" w:type="dxa"/>
            <w:right w:w="108" w:type="dxa"/>
          </w:tblCellMar>
        </w:tblPrEx>
        <w:trPr>
          <w:trHeight w:val="1134" w:hRule="atLeast"/>
          <w:jc w:val="center"/>
        </w:trPr>
        <w:tc>
          <w:tcPr>
            <w:tcW w:w="1826" w:type="dxa"/>
            <w:noWrap w:val="0"/>
            <w:vAlign w:val="bottom"/>
          </w:tcPr>
          <w:p w14:paraId="41C67F61">
            <w:pPr>
              <w:wordWrap w:val="0"/>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甲    方：</w:t>
            </w:r>
          </w:p>
        </w:tc>
        <w:tc>
          <w:tcPr>
            <w:tcW w:w="5718" w:type="dxa"/>
            <w:noWrap w:val="0"/>
            <w:vAlign w:val="bottom"/>
          </w:tcPr>
          <w:p w14:paraId="57041B85">
            <w:pPr>
              <w:spacing w:line="580" w:lineRule="exact"/>
              <w:jc w:val="center"/>
              <w:rPr>
                <w:rFonts w:ascii="宋体" w:hAnsi="宋体" w:cs="仿宋_GB2312"/>
                <w:color w:val="000000"/>
                <w:sz w:val="28"/>
                <w:szCs w:val="28"/>
              </w:rPr>
            </w:pPr>
            <w:r>
              <w:rPr>
                <w:rFonts w:hint="eastAsia" w:ascii="宋体" w:hAnsi="宋体" w:cs="仿宋_GB2312"/>
                <w:color w:val="000000"/>
                <w:sz w:val="28"/>
                <w:szCs w:val="28"/>
              </w:rPr>
              <w:t>浙江省测绘科学技术研究院</w:t>
            </w:r>
          </w:p>
        </w:tc>
      </w:tr>
      <w:tr w14:paraId="77ABE754">
        <w:tblPrEx>
          <w:tblCellMar>
            <w:top w:w="0" w:type="dxa"/>
            <w:left w:w="108" w:type="dxa"/>
            <w:bottom w:w="0" w:type="dxa"/>
            <w:right w:w="108" w:type="dxa"/>
          </w:tblCellMar>
        </w:tblPrEx>
        <w:trPr>
          <w:trHeight w:val="1134" w:hRule="atLeast"/>
          <w:jc w:val="center"/>
        </w:trPr>
        <w:tc>
          <w:tcPr>
            <w:tcW w:w="1826" w:type="dxa"/>
            <w:noWrap w:val="0"/>
            <w:vAlign w:val="bottom"/>
          </w:tcPr>
          <w:p w14:paraId="04A44F34">
            <w:pPr>
              <w:wordWrap w:val="0"/>
              <w:spacing w:line="580" w:lineRule="exact"/>
              <w:jc w:val="right"/>
              <w:rPr>
                <w:rFonts w:ascii="宋体" w:hAnsi="宋体" w:cs="仿宋_GB2312"/>
                <w:b/>
                <w:bCs/>
                <w:color w:val="000000"/>
                <w:sz w:val="28"/>
                <w:szCs w:val="28"/>
              </w:rPr>
            </w:pPr>
            <w:r>
              <w:rPr>
                <w:rFonts w:hint="eastAsia" w:ascii="宋体" w:hAnsi="宋体" w:cs="仿宋_GB2312"/>
                <w:color w:val="000000"/>
                <w:sz w:val="28"/>
                <w:szCs w:val="28"/>
              </w:rPr>
              <w:t>乙    方：</w:t>
            </w:r>
          </w:p>
        </w:tc>
        <w:tc>
          <w:tcPr>
            <w:tcW w:w="5718" w:type="dxa"/>
            <w:noWrap w:val="0"/>
            <w:vAlign w:val="bottom"/>
          </w:tcPr>
          <w:p w14:paraId="4876A959">
            <w:pPr>
              <w:spacing w:line="580" w:lineRule="exact"/>
              <w:jc w:val="center"/>
              <w:rPr>
                <w:rFonts w:ascii="宋体" w:hAnsi="宋体" w:cs="仿宋_GB2312"/>
                <w:b/>
                <w:color w:val="000000"/>
                <w:sz w:val="28"/>
                <w:szCs w:val="28"/>
              </w:rPr>
            </w:pPr>
          </w:p>
        </w:tc>
      </w:tr>
    </w:tbl>
    <w:p w14:paraId="24FFE208">
      <w:pPr>
        <w:adjustRightInd w:val="0"/>
        <w:spacing w:line="360" w:lineRule="auto"/>
        <w:ind w:firstLine="480" w:firstLineChars="200"/>
        <w:rPr>
          <w:rFonts w:ascii="宋体" w:hAnsi="宋体" w:cs="宋体"/>
          <w:sz w:val="24"/>
          <w:lang w:bidi="ar"/>
        </w:rPr>
      </w:pPr>
    </w:p>
    <w:p w14:paraId="53A364A4">
      <w:pPr>
        <w:adjustRightInd w:val="0"/>
        <w:spacing w:line="360" w:lineRule="auto"/>
        <w:ind w:firstLine="480" w:firstLineChars="200"/>
        <w:rPr>
          <w:rFonts w:ascii="宋体" w:hAnsi="宋体" w:cs="宋体"/>
          <w:sz w:val="24"/>
          <w:lang w:bidi="ar"/>
        </w:rPr>
      </w:pPr>
    </w:p>
    <w:p w14:paraId="13244A6C">
      <w:pPr>
        <w:adjustRightInd w:val="0"/>
        <w:spacing w:line="360" w:lineRule="auto"/>
        <w:ind w:firstLine="480" w:firstLineChars="200"/>
        <w:rPr>
          <w:rFonts w:ascii="宋体" w:hAnsi="宋体" w:cs="宋体"/>
          <w:sz w:val="24"/>
          <w:lang w:bidi="ar"/>
        </w:rPr>
      </w:pPr>
    </w:p>
    <w:p w14:paraId="6736D1DB">
      <w:pPr>
        <w:adjustRightInd w:val="0"/>
        <w:spacing w:line="360" w:lineRule="auto"/>
        <w:ind w:firstLine="480" w:firstLineChars="200"/>
        <w:rPr>
          <w:rFonts w:ascii="宋体" w:hAnsi="宋体" w:cs="宋体"/>
          <w:sz w:val="24"/>
          <w:lang w:bidi="ar"/>
        </w:rPr>
      </w:pPr>
    </w:p>
    <w:p w14:paraId="38A0DD9C">
      <w:pPr>
        <w:adjustRightInd w:val="0"/>
        <w:spacing w:line="360" w:lineRule="auto"/>
        <w:ind w:firstLine="480" w:firstLineChars="200"/>
        <w:rPr>
          <w:rFonts w:hint="eastAsia" w:ascii="宋体" w:hAnsi="宋体" w:cs="宋体"/>
          <w:sz w:val="24"/>
          <w:lang w:bidi="ar"/>
        </w:rPr>
      </w:pPr>
    </w:p>
    <w:p w14:paraId="6E152B04">
      <w:pPr>
        <w:adjustRightInd w:val="0"/>
        <w:spacing w:line="360" w:lineRule="auto"/>
        <w:ind w:firstLine="480" w:firstLineChars="200"/>
        <w:rPr>
          <w:rFonts w:ascii="宋体" w:hAnsi="宋体" w:cs="宋体"/>
          <w:sz w:val="24"/>
          <w:lang w:bidi="ar"/>
        </w:rPr>
      </w:pPr>
    </w:p>
    <w:p w14:paraId="03D9233B">
      <w:pPr>
        <w:adjustRightInd w:val="0"/>
        <w:spacing w:line="360" w:lineRule="auto"/>
        <w:ind w:firstLine="480" w:firstLineChars="200"/>
        <w:rPr>
          <w:rFonts w:ascii="宋体" w:hAnsi="宋体" w:cs="宋体"/>
          <w:sz w:val="24"/>
          <w:lang w:bidi="ar"/>
        </w:rPr>
      </w:pPr>
    </w:p>
    <w:tbl>
      <w:tblPr>
        <w:tblStyle w:val="27"/>
        <w:tblW w:w="9570" w:type="dxa"/>
        <w:tblInd w:w="0" w:type="dxa"/>
        <w:tblLayout w:type="fixed"/>
        <w:tblCellMar>
          <w:top w:w="0" w:type="dxa"/>
          <w:left w:w="108" w:type="dxa"/>
          <w:bottom w:w="0" w:type="dxa"/>
          <w:right w:w="108" w:type="dxa"/>
        </w:tblCellMar>
      </w:tblPr>
      <w:tblGrid>
        <w:gridCol w:w="5917"/>
        <w:gridCol w:w="3653"/>
      </w:tblGrid>
      <w:tr w14:paraId="5C84EB0C">
        <w:tblPrEx>
          <w:tblCellMar>
            <w:top w:w="0" w:type="dxa"/>
            <w:left w:w="108" w:type="dxa"/>
            <w:bottom w:w="0" w:type="dxa"/>
            <w:right w:w="108" w:type="dxa"/>
          </w:tblCellMar>
        </w:tblPrEx>
        <w:trPr>
          <w:trHeight w:val="567" w:hRule="atLeast"/>
        </w:trPr>
        <w:tc>
          <w:tcPr>
            <w:tcW w:w="5917" w:type="dxa"/>
            <w:noWrap w:val="0"/>
            <w:vAlign w:val="center"/>
          </w:tcPr>
          <w:p w14:paraId="48572AED">
            <w:pPr>
              <w:spacing w:line="580" w:lineRule="exact"/>
              <w:rPr>
                <w:rFonts w:ascii="宋体" w:hAnsi="宋体" w:cs="仿宋_GB2312"/>
                <w:color w:val="000000"/>
                <w:sz w:val="24"/>
              </w:rPr>
            </w:pPr>
            <w:r>
              <w:rPr>
                <w:rFonts w:hint="eastAsia" w:ascii="宋体" w:hAnsi="宋体" w:cs="仿宋_GB2312"/>
                <w:color w:val="000000"/>
                <w:sz w:val="24"/>
              </w:rPr>
              <w:t>委托方（甲方）：浙江省测绘科学技术研究院</w:t>
            </w:r>
          </w:p>
        </w:tc>
        <w:tc>
          <w:tcPr>
            <w:tcW w:w="3653" w:type="dxa"/>
            <w:noWrap w:val="0"/>
            <w:vAlign w:val="center"/>
          </w:tcPr>
          <w:p w14:paraId="24145E91">
            <w:pPr>
              <w:spacing w:line="580" w:lineRule="exact"/>
              <w:rPr>
                <w:rFonts w:ascii="宋体" w:hAnsi="宋体" w:cs="仿宋_GB2312"/>
                <w:color w:val="000000"/>
                <w:sz w:val="24"/>
              </w:rPr>
            </w:pPr>
            <w:r>
              <w:rPr>
                <w:rFonts w:hint="eastAsia" w:ascii="宋体" w:hAnsi="宋体" w:cs="仿宋_GB2312"/>
                <w:color w:val="000000"/>
                <w:sz w:val="24"/>
              </w:rPr>
              <w:t>合同编号：</w:t>
            </w:r>
          </w:p>
        </w:tc>
      </w:tr>
      <w:tr w14:paraId="332A3EBD">
        <w:tblPrEx>
          <w:tblCellMar>
            <w:top w:w="0" w:type="dxa"/>
            <w:left w:w="108" w:type="dxa"/>
            <w:bottom w:w="0" w:type="dxa"/>
            <w:right w:w="108" w:type="dxa"/>
          </w:tblCellMar>
        </w:tblPrEx>
        <w:trPr>
          <w:trHeight w:val="567" w:hRule="atLeast"/>
        </w:trPr>
        <w:tc>
          <w:tcPr>
            <w:tcW w:w="5917" w:type="dxa"/>
            <w:noWrap w:val="0"/>
            <w:vAlign w:val="center"/>
          </w:tcPr>
          <w:p w14:paraId="4836A138">
            <w:pPr>
              <w:spacing w:line="580" w:lineRule="exact"/>
              <w:rPr>
                <w:rFonts w:ascii="宋体" w:hAnsi="宋体" w:cs="仿宋_GB2312"/>
                <w:color w:val="000000"/>
                <w:sz w:val="24"/>
              </w:rPr>
            </w:pPr>
            <w:r>
              <w:rPr>
                <w:rFonts w:hint="eastAsia" w:ascii="宋体" w:hAnsi="宋体" w:cs="仿宋_GB2312"/>
                <w:color w:val="000000"/>
                <w:sz w:val="24"/>
              </w:rPr>
              <w:t xml:space="preserve">承揽方（乙方）： </w:t>
            </w:r>
          </w:p>
        </w:tc>
        <w:tc>
          <w:tcPr>
            <w:tcW w:w="3653" w:type="dxa"/>
            <w:noWrap w:val="0"/>
            <w:vAlign w:val="center"/>
          </w:tcPr>
          <w:p w14:paraId="21EBC618">
            <w:pPr>
              <w:spacing w:line="580" w:lineRule="exact"/>
              <w:rPr>
                <w:rFonts w:ascii="宋体" w:hAnsi="宋体" w:cs="仿宋_GB2312"/>
                <w:color w:val="000000"/>
                <w:sz w:val="24"/>
              </w:rPr>
            </w:pPr>
            <w:r>
              <w:rPr>
                <w:rFonts w:hint="eastAsia" w:ascii="宋体" w:hAnsi="宋体" w:cs="仿宋_GB2312"/>
                <w:color w:val="000000"/>
                <w:sz w:val="24"/>
              </w:rPr>
              <w:t xml:space="preserve">签订地点： </w:t>
            </w:r>
          </w:p>
        </w:tc>
      </w:tr>
      <w:tr w14:paraId="38EF1586">
        <w:tblPrEx>
          <w:tblCellMar>
            <w:top w:w="0" w:type="dxa"/>
            <w:left w:w="108" w:type="dxa"/>
            <w:bottom w:w="0" w:type="dxa"/>
            <w:right w:w="108" w:type="dxa"/>
          </w:tblCellMar>
        </w:tblPrEx>
        <w:trPr>
          <w:trHeight w:val="567" w:hRule="atLeast"/>
        </w:trPr>
        <w:tc>
          <w:tcPr>
            <w:tcW w:w="5917" w:type="dxa"/>
            <w:noWrap w:val="0"/>
            <w:vAlign w:val="center"/>
          </w:tcPr>
          <w:p w14:paraId="7B3DB45B">
            <w:pPr>
              <w:spacing w:line="580" w:lineRule="exact"/>
              <w:rPr>
                <w:rFonts w:ascii="宋体" w:hAnsi="宋体" w:cs="仿宋_GB2312"/>
                <w:color w:val="000000"/>
                <w:sz w:val="24"/>
              </w:rPr>
            </w:pPr>
          </w:p>
        </w:tc>
        <w:tc>
          <w:tcPr>
            <w:tcW w:w="3653" w:type="dxa"/>
            <w:noWrap w:val="0"/>
            <w:vAlign w:val="center"/>
          </w:tcPr>
          <w:p w14:paraId="76E20AE0">
            <w:pPr>
              <w:spacing w:line="580" w:lineRule="exact"/>
              <w:rPr>
                <w:rFonts w:ascii="宋体" w:hAnsi="宋体" w:cs="仿宋_GB2312"/>
                <w:color w:val="000000"/>
                <w:sz w:val="24"/>
              </w:rPr>
            </w:pPr>
          </w:p>
        </w:tc>
      </w:tr>
    </w:tbl>
    <w:p w14:paraId="0916FC47">
      <w:pPr>
        <w:spacing w:line="360" w:lineRule="auto"/>
        <w:ind w:firstLine="480" w:firstLineChars="200"/>
        <w:rPr>
          <w:rFonts w:ascii="宋体" w:hAnsi="宋体" w:cs="仿宋_GB2312"/>
          <w:b/>
          <w:color w:val="000000"/>
          <w:sz w:val="24"/>
        </w:rPr>
      </w:pPr>
      <w:r>
        <w:rPr>
          <w:rFonts w:hint="eastAsia" w:ascii="宋体" w:hAnsi="宋体" w:cs="仿宋_GB2312"/>
          <w:color w:val="000000"/>
          <w:sz w:val="24"/>
        </w:rPr>
        <w:t>依照《中华人民共和国民法典》及其他法律、法规的规定，根据</w:t>
      </w:r>
      <w:r>
        <w:rPr>
          <w:rFonts w:hint="eastAsia" w:ascii="宋体" w:hAnsi="宋体" w:cs="仿宋_GB2312"/>
          <w:color w:val="000000"/>
          <w:sz w:val="24"/>
          <w:u w:val="single"/>
        </w:rPr>
        <w:t xml:space="preserve">    </w:t>
      </w:r>
      <w:r>
        <w:rPr>
          <w:rFonts w:hint="eastAsia" w:ascii="宋体" w:hAnsi="宋体" w:cs="仿宋_GB2312"/>
          <w:color w:val="000000"/>
          <w:sz w:val="24"/>
        </w:rPr>
        <w:t>年</w:t>
      </w:r>
      <w:r>
        <w:rPr>
          <w:rFonts w:hint="eastAsia" w:ascii="宋体" w:hAnsi="宋体" w:cs="仿宋_GB2312"/>
          <w:color w:val="000000"/>
          <w:sz w:val="24"/>
          <w:u w:val="single"/>
        </w:rPr>
        <w:t xml:space="preserve">   </w:t>
      </w:r>
      <w:r>
        <w:rPr>
          <w:rFonts w:hint="eastAsia" w:ascii="宋体" w:hAnsi="宋体" w:cs="仿宋_GB2312"/>
          <w:color w:val="000000"/>
          <w:sz w:val="24"/>
        </w:rPr>
        <w:t>月</w:t>
      </w:r>
      <w:r>
        <w:rPr>
          <w:rFonts w:hint="eastAsia" w:ascii="宋体" w:hAnsi="宋体" w:cs="仿宋_GB2312"/>
          <w:color w:val="000000"/>
          <w:sz w:val="24"/>
          <w:u w:val="single"/>
        </w:rPr>
        <w:t xml:space="preserve">   </w:t>
      </w:r>
      <w:r>
        <w:rPr>
          <w:rFonts w:hint="eastAsia" w:ascii="宋体" w:hAnsi="宋体" w:cs="仿宋_GB2312"/>
          <w:color w:val="000000"/>
          <w:sz w:val="24"/>
        </w:rPr>
        <w:t>日政采云的结果，遵循平等、自愿和诚实信用的原则，甲、乙双方就事宜订立如下条款。</w:t>
      </w:r>
    </w:p>
    <w:p w14:paraId="3825BFD3">
      <w:pPr>
        <w:numPr>
          <w:ilvl w:val="0"/>
          <w:numId w:val="50"/>
        </w:numPr>
        <w:spacing w:line="580" w:lineRule="exact"/>
        <w:ind w:firstLine="482" w:firstLineChars="200"/>
        <w:rPr>
          <w:rFonts w:hint="eastAsia" w:ascii="宋体" w:hAnsi="宋体" w:cs="黑体"/>
          <w:b/>
          <w:color w:val="000000"/>
          <w:sz w:val="24"/>
        </w:rPr>
      </w:pPr>
      <w:r>
        <w:rPr>
          <w:rFonts w:hint="eastAsia" w:ascii="宋体" w:hAnsi="宋体" w:cs="黑体"/>
          <w:b/>
          <w:color w:val="000000"/>
          <w:sz w:val="24"/>
        </w:rPr>
        <w:t>工作内容</w:t>
      </w:r>
    </w:p>
    <w:p w14:paraId="68F2DA7A">
      <w:pPr>
        <w:spacing w:line="580" w:lineRule="exact"/>
        <w:rPr>
          <w:rFonts w:hint="eastAsia" w:ascii="宋体" w:hAnsi="宋体" w:cs="黑体"/>
          <w:b/>
          <w:color w:val="000000"/>
          <w:sz w:val="24"/>
        </w:rPr>
      </w:pPr>
    </w:p>
    <w:p w14:paraId="0924D3F8">
      <w:pPr>
        <w:numPr>
          <w:ilvl w:val="0"/>
          <w:numId w:val="50"/>
        </w:num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执行技术标准</w:t>
      </w:r>
    </w:p>
    <w:p w14:paraId="4F5AFAE1">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1、乙方保证本合同中所提供的服务必须符合国际或国家或行业技术规范和质量标准。上述标准不一致的，以严格的标准为准。没有国家标准、行业标准和企业标准的，按照通常标准或者符合本合同目的的特定标准确定。</w:t>
      </w:r>
    </w:p>
    <w:p w14:paraId="54CFC801">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2、乙方所供应的服务还应符合国家和浙江省有关安全、环保、卫生之规定。</w:t>
      </w:r>
    </w:p>
    <w:p w14:paraId="126AB94C">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3、乙方保证提供的服务完全符合本合同和采购文件、响应文件以及承诺中所规定的要求。</w:t>
      </w:r>
    </w:p>
    <w:p w14:paraId="51C03AFA">
      <w:p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第三条 项目工期</w:t>
      </w:r>
    </w:p>
    <w:p w14:paraId="37A63137">
      <w:pPr>
        <w:pStyle w:val="15"/>
        <w:spacing w:line="360" w:lineRule="auto"/>
        <w:rPr>
          <w:rFonts w:hint="eastAsia"/>
        </w:rPr>
      </w:pPr>
    </w:p>
    <w:p w14:paraId="504C52B0">
      <w:pPr>
        <w:spacing w:line="360" w:lineRule="auto"/>
        <w:ind w:firstLine="482" w:firstLineChars="200"/>
        <w:rPr>
          <w:rFonts w:hint="eastAsia" w:ascii="宋体" w:hAnsi="宋体" w:cs="黑体"/>
          <w:b/>
          <w:color w:val="000000"/>
          <w:sz w:val="24"/>
        </w:rPr>
      </w:pPr>
      <w:r>
        <w:rPr>
          <w:rFonts w:hint="eastAsia" w:ascii="宋体" w:hAnsi="宋体" w:cs="黑体"/>
          <w:b/>
          <w:color w:val="000000"/>
          <w:sz w:val="24"/>
        </w:rPr>
        <w:t>第四条 项目款</w:t>
      </w:r>
    </w:p>
    <w:p w14:paraId="5E65AF5B">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本项目合同金额为</w:t>
      </w:r>
      <w:r>
        <w:rPr>
          <w:rFonts w:hint="eastAsia" w:ascii="宋体" w:hAnsi="宋体" w:cs="仿宋_GB2312"/>
          <w:color w:val="000000"/>
          <w:sz w:val="24"/>
          <w:u w:val="single"/>
        </w:rPr>
        <w:t xml:space="preserve">    </w:t>
      </w:r>
      <w:r>
        <w:rPr>
          <w:rFonts w:hint="eastAsia" w:ascii="宋体" w:hAnsi="宋体" w:cs="仿宋_GB2312"/>
          <w:color w:val="000000"/>
          <w:sz w:val="24"/>
        </w:rPr>
        <w:t>元，合同价格包括本项目所有工作内容、成果资料、后续服务、材料费、人员费用</w:t>
      </w:r>
      <w:r>
        <w:rPr>
          <w:rFonts w:hint="eastAsia" w:ascii="宋体" w:hAnsi="宋体" w:cs="仿宋_GB2312"/>
          <w:color w:val="000000"/>
          <w:sz w:val="24"/>
          <w:lang w:val="en-GB"/>
        </w:rPr>
        <w:t>、</w:t>
      </w:r>
      <w:r>
        <w:rPr>
          <w:rFonts w:hint="eastAsia" w:ascii="宋体" w:hAnsi="宋体" w:cs="仿宋_GB2312"/>
          <w:color w:val="000000"/>
          <w:sz w:val="24"/>
        </w:rPr>
        <w:t>管理费用、各种税费及合同实施过程中的不可预见费用等全部费用。</w:t>
      </w:r>
    </w:p>
    <w:p w14:paraId="22D5844C">
      <w:pPr>
        <w:spacing w:line="360" w:lineRule="auto"/>
        <w:ind w:firstLine="482" w:firstLineChars="200"/>
        <w:rPr>
          <w:rFonts w:ascii="宋体" w:hAnsi="宋体" w:cs="黑体"/>
          <w:b/>
          <w:color w:val="000000"/>
          <w:sz w:val="24"/>
        </w:rPr>
      </w:pPr>
      <w:r>
        <w:rPr>
          <w:rFonts w:hint="eastAsia" w:ascii="宋体" w:hAnsi="宋体" w:cs="黑体"/>
          <w:b/>
          <w:color w:val="000000"/>
          <w:sz w:val="24"/>
        </w:rPr>
        <w:t>第五条 甲乙双方权利义务</w:t>
      </w:r>
    </w:p>
    <w:p w14:paraId="312BA7F3">
      <w:pPr>
        <w:spacing w:line="360" w:lineRule="auto"/>
        <w:ind w:firstLine="482" w:firstLineChars="200"/>
        <w:rPr>
          <w:rFonts w:ascii="宋体" w:hAnsi="宋体" w:cs="黑体"/>
          <w:b/>
          <w:color w:val="000000"/>
          <w:sz w:val="24"/>
        </w:rPr>
      </w:pPr>
      <w:r>
        <w:rPr>
          <w:rFonts w:hint="eastAsia" w:ascii="宋体" w:hAnsi="宋体" w:cs="黑体"/>
          <w:b/>
          <w:color w:val="000000"/>
          <w:sz w:val="24"/>
        </w:rPr>
        <w:t>（一）甲方权利义务</w:t>
      </w:r>
    </w:p>
    <w:p w14:paraId="084EE92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1.自合同签订之日起7日内向乙方提出技术要求并提交有关资料。</w:t>
      </w:r>
    </w:p>
    <w:p w14:paraId="71B6B242">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2.甲方应当为乙方提供必要的技术支持及工作联系事宜。</w:t>
      </w:r>
    </w:p>
    <w:p w14:paraId="02559171">
      <w:pPr>
        <w:spacing w:line="360" w:lineRule="auto"/>
        <w:ind w:firstLine="482" w:firstLineChars="200"/>
        <w:rPr>
          <w:rFonts w:ascii="宋体" w:hAnsi="宋体" w:cs="黑体"/>
          <w:b/>
          <w:color w:val="000000"/>
          <w:sz w:val="24"/>
        </w:rPr>
      </w:pPr>
      <w:r>
        <w:rPr>
          <w:rFonts w:hint="eastAsia" w:ascii="宋体" w:hAnsi="宋体" w:cs="黑体"/>
          <w:b/>
          <w:color w:val="000000"/>
          <w:sz w:val="24"/>
        </w:rPr>
        <w:t>（二）乙方权利义务</w:t>
      </w:r>
    </w:p>
    <w:p w14:paraId="4C3CDA7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1.自合同签订之日起7 日内，组织技术力量进场作业。</w:t>
      </w:r>
    </w:p>
    <w:p w14:paraId="2462927E">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2.乙方应当根据合同要求确保项目如期完成。</w:t>
      </w:r>
    </w:p>
    <w:p w14:paraId="297C2523">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3.允许甲方内部使用乙方为执行本合同所提供的属乙方所有成果。</w:t>
      </w:r>
    </w:p>
    <w:p w14:paraId="1A87504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4.乙方不得将本合同标的转包或者分包给第三方，一经发现，甲方有权单方面解除合同。</w:t>
      </w:r>
    </w:p>
    <w:p w14:paraId="2E88CDDA">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5.乙方应当为乙方工作人员购买五险一金，乙方外聘人员应当购买意外伤害保险。</w:t>
      </w:r>
    </w:p>
    <w:p w14:paraId="7B279A86">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6.乙方人员在工作过程中给甲方、乙方自身或者第三方造成人身或者财产损害的，乙方承担全部责任。甲方因此垫付款项或者造成损失的，有权向乙方追偿或者扣除乙方相应金额项目款。</w:t>
      </w:r>
    </w:p>
    <w:p w14:paraId="191E99AF">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7.乙方承担作业现场安全保卫、消防等工作，并承担相应费用。乙方严格执行作业规范、安全操作规范、防火安全规定、环境保护规定，做好各项安全检查记录。因作业过程中违反安全规定，导致发生安全事故或者火灾事故，乙方承担全部责任，工期不予顺延。</w:t>
      </w:r>
    </w:p>
    <w:p w14:paraId="6CD701F8">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8.系统研发类项目，自项目验收合格日起，乙方提供甲方</w:t>
      </w:r>
      <w:r>
        <w:rPr>
          <w:rFonts w:hint="eastAsia" w:ascii="宋体" w:hAnsi="宋体" w:cs="仿宋_GB2312"/>
          <w:color w:val="000000"/>
          <w:sz w:val="24"/>
          <w:u w:val="single"/>
        </w:rPr>
        <w:t xml:space="preserve">    </w:t>
      </w:r>
      <w:r>
        <w:rPr>
          <w:rFonts w:hint="eastAsia" w:ascii="宋体" w:hAnsi="宋体" w:cs="仿宋_GB2312"/>
          <w:color w:val="000000"/>
          <w:sz w:val="24"/>
        </w:rPr>
        <w:t>年运维服务。</w:t>
      </w:r>
    </w:p>
    <w:p w14:paraId="01527E7B">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9.乙方代表如下，未经甲方书面同意，乙方不得擅自变更代表。</w:t>
      </w:r>
    </w:p>
    <w:p w14:paraId="74F059B5">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姓    名：</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3B73B5A0">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身份证号：</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24707FEE">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职    务：</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4577AFC6">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联系电话：</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234A504D">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电子信箱：</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521E6DA1">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送达地址：</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u w:val="single"/>
        </w:rPr>
        <w:t xml:space="preserve"> </w:t>
      </w:r>
      <w:r>
        <w:rPr>
          <w:rFonts w:hint="eastAsia" w:ascii="宋体" w:hAnsi="宋体" w:cs="宋体"/>
          <w:color w:val="000000"/>
          <w:sz w:val="24"/>
          <w:u w:val="single"/>
        </w:rPr>
        <w:t></w:t>
      </w:r>
      <w:r>
        <w:rPr>
          <w:rFonts w:hint="eastAsia" w:ascii="宋体" w:hAnsi="宋体" w:cs="仿宋_GB2312"/>
          <w:color w:val="000000"/>
          <w:sz w:val="24"/>
        </w:rPr>
        <w:t>。</w:t>
      </w:r>
    </w:p>
    <w:p w14:paraId="4A817945">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乙方对乙方代表的授权范围如下：全权代表乙方负责对项目进度、质量、现场变更签证及在各方面进行确认、检查和监督，并协调其他事宜，签署确认往来文件及对账函。</w:t>
      </w:r>
    </w:p>
    <w:p w14:paraId="0FFA02B4">
      <w:pPr>
        <w:spacing w:line="360" w:lineRule="auto"/>
        <w:ind w:firstLine="480" w:firstLineChars="200"/>
        <w:rPr>
          <w:rFonts w:ascii="宋体" w:hAnsi="宋体" w:cs="黑体"/>
          <w:b/>
          <w:color w:val="000000"/>
          <w:sz w:val="24"/>
        </w:rPr>
      </w:pPr>
      <w:r>
        <w:rPr>
          <w:rFonts w:hint="eastAsia" w:ascii="宋体" w:hAnsi="宋体" w:cs="仿宋_GB2312"/>
          <w:color w:val="000000"/>
          <w:sz w:val="24"/>
        </w:rPr>
        <w:t>乙方确认以上送达地址和联系电话，适用于本合同履行、解决本合同争议时接收包括甲方等其他方商业文件信函的送达地址和联系电话。需要变更的，乙方应提前五个工作日向甲方送交书面变更告知书。上述确认的送达地址和联系方式真实有效，如有错误，导致商业文件信函送达不能的法律后果由乙方自己承担。</w:t>
      </w:r>
      <w:r>
        <w:rPr>
          <w:rFonts w:hint="eastAsia" w:ascii="宋体" w:hAnsi="宋体" w:cs="仿宋_GB2312"/>
          <w:color w:val="000000"/>
          <w:sz w:val="24"/>
        </w:rPr>
        <w:br w:type="textWrapping"/>
      </w:r>
      <w:r>
        <w:rPr>
          <w:rFonts w:hint="eastAsia" w:ascii="宋体" w:hAnsi="宋体" w:cs="仿宋_GB2312"/>
          <w:color w:val="000000"/>
          <w:sz w:val="24"/>
        </w:rPr>
        <w:t xml:space="preserve">    </w:t>
      </w:r>
      <w:r>
        <w:rPr>
          <w:rFonts w:hint="eastAsia" w:ascii="宋体" w:hAnsi="宋体" w:cs="黑体"/>
          <w:b/>
          <w:color w:val="000000"/>
          <w:sz w:val="24"/>
        </w:rPr>
        <w:t>第六条 成果验收</w:t>
      </w:r>
    </w:p>
    <w:p w14:paraId="6A438C5C">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1.当发生项目变更、临时现场签证及工作联系函导致乙方工作量增减的，双方依据甲方出具的工作联络函，结算据实调整。</w:t>
      </w:r>
    </w:p>
    <w:p w14:paraId="28DF2197">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乙方项目完成后，应当达到国家及合同约定相关标准。特殊质量标准或者要求详见附件。乙方项目完成后应当在15个工作日内向甲方提交验收申请，并移交工作成果。项目成果应当通过甲方最终检查或质量检验部门质检。</w:t>
      </w:r>
    </w:p>
    <w:p w14:paraId="4069579D">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3.若非乙方原因导致项目暂时无法进行验收的，则乙方在项目完成具备交付条件之日起90个自然日内完成项目收尾移交工作成果。待具备验收条件后，甲方予以验收结算。</w:t>
      </w:r>
    </w:p>
    <w:p w14:paraId="3EE28A41">
      <w:pPr>
        <w:spacing w:line="360" w:lineRule="auto"/>
        <w:ind w:firstLine="482" w:firstLineChars="200"/>
        <w:rPr>
          <w:rFonts w:ascii="宋体" w:hAnsi="宋体" w:cs="黑体"/>
          <w:b/>
          <w:color w:val="000000"/>
          <w:sz w:val="24"/>
        </w:rPr>
      </w:pPr>
      <w:r>
        <w:rPr>
          <w:rFonts w:hint="eastAsia" w:ascii="宋体" w:hAnsi="宋体" w:cs="黑体"/>
          <w:b/>
          <w:color w:val="000000"/>
          <w:sz w:val="24"/>
        </w:rPr>
        <w:t>第七条 知识产权</w:t>
      </w:r>
    </w:p>
    <w:p w14:paraId="064DF74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1.乙方保证提供服务过程中不会侵犯任何第三方的知识产权。</w:t>
      </w:r>
    </w:p>
    <w:p w14:paraId="2638D742">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2.本项目所有成果的版权属甲方所有，乙方不得以任何形式向第三方提供，否则甲方可按有关法律法规规定追究乙方的法律责任。</w:t>
      </w:r>
    </w:p>
    <w:p w14:paraId="6BE928D3">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3.本项目作业过程中提供的或者涉及的所有数据属甲方拥有，乙方无权在技术要求规定之外自行处置数据，不得自行删除、复制、修改、转移数据，不得以任何形式向第三方提供。</w:t>
      </w:r>
    </w:p>
    <w:p w14:paraId="5DFC50EE">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4.允许乙方内部使用本合同生产的成果。</w:t>
      </w:r>
    </w:p>
    <w:p w14:paraId="04DB158D">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5.甲方提供给乙方的技术说明、图纸，乙方为本项目自行编制或者委托编制的技术规范以及反映甲方关于合同要求或者其他类似性质的文件的著作权归属甲方。乙方仅限本项目使用，不得提供给与本项目无关的第三方。</w:t>
      </w:r>
    </w:p>
    <w:p w14:paraId="083A0C2C">
      <w:pPr>
        <w:spacing w:line="360" w:lineRule="auto"/>
        <w:ind w:firstLine="482" w:firstLineChars="200"/>
        <w:rPr>
          <w:rFonts w:ascii="宋体" w:hAnsi="宋体" w:cs="黑体"/>
          <w:b/>
          <w:color w:val="000000"/>
          <w:sz w:val="24"/>
        </w:rPr>
      </w:pPr>
      <w:r>
        <w:rPr>
          <w:rFonts w:hint="eastAsia" w:ascii="宋体" w:hAnsi="宋体" w:cs="黑体"/>
          <w:b/>
          <w:color w:val="000000"/>
          <w:sz w:val="24"/>
        </w:rPr>
        <w:t>第八条 项目款支付日期和方式</w:t>
      </w:r>
    </w:p>
    <w:p w14:paraId="6557C471">
      <w:pPr>
        <w:pStyle w:val="42"/>
        <w:bidi w:val="0"/>
        <w:rPr>
          <w:rFonts w:hint="eastAsia"/>
        </w:rPr>
      </w:pPr>
      <w:r>
        <w:rPr>
          <w:rFonts w:hint="eastAsia"/>
        </w:rPr>
        <w:t>1.</w:t>
      </w:r>
      <w:r>
        <w:rPr>
          <w:rFonts w:hint="eastAsia"/>
          <w:lang w:eastAsia="zh-CN"/>
        </w:rPr>
        <w:t>（</w:t>
      </w:r>
      <w:r>
        <w:rPr>
          <w:rFonts w:hint="eastAsia"/>
        </w:rPr>
        <w:t>市场项目采用</w:t>
      </w:r>
      <w:r>
        <w:rPr>
          <w:rFonts w:hint="eastAsia"/>
          <w:lang w:eastAsia="zh-CN"/>
        </w:rPr>
        <w:t>）</w:t>
      </w:r>
      <w:r>
        <w:rPr>
          <w:rFonts w:hint="eastAsia"/>
        </w:rPr>
        <w:t>乙方完成全部协作服务工作量并向甲方提交所有成果，且项目成果通过甲方最终检查或</w:t>
      </w:r>
      <w:r>
        <w:rPr>
          <w:rFonts w:hint="eastAsia"/>
          <w:lang w:val="en-US" w:eastAsia="zh-CN"/>
        </w:rPr>
        <w:t>者</w:t>
      </w:r>
      <w:r>
        <w:rPr>
          <w:rFonts w:hint="eastAsia"/>
        </w:rPr>
        <w:t>质量检验部门质检合格后，甲方根据项目决算单结算</w:t>
      </w:r>
      <w:r>
        <w:rPr>
          <w:rFonts w:hint="eastAsia"/>
          <w:lang w:eastAsia="zh-CN"/>
        </w:rPr>
        <w:t>项目款</w:t>
      </w:r>
      <w:r>
        <w:rPr>
          <w:rFonts w:hint="eastAsia"/>
        </w:rPr>
        <w:t>。</w:t>
      </w:r>
    </w:p>
    <w:p w14:paraId="0F0667B4">
      <w:pPr>
        <w:pStyle w:val="42"/>
        <w:bidi w:val="0"/>
        <w:rPr>
          <w:rFonts w:hint="eastAsia"/>
        </w:rPr>
      </w:pPr>
      <w:bookmarkStart w:id="61" w:name="_Hlk55993507"/>
      <w:r>
        <w:rPr>
          <w:rFonts w:hint="eastAsia"/>
        </w:rPr>
        <w:t>1.</w:t>
      </w:r>
      <w:r>
        <w:rPr>
          <w:rFonts w:hint="eastAsia"/>
          <w:lang w:eastAsia="zh-CN"/>
        </w:rPr>
        <w:t>（</w:t>
      </w:r>
      <w:r>
        <w:rPr>
          <w:rFonts w:hint="eastAsia"/>
        </w:rPr>
        <w:t>省财政项目采用</w:t>
      </w:r>
      <w:r>
        <w:rPr>
          <w:rFonts w:hint="eastAsia"/>
          <w:lang w:eastAsia="zh-CN"/>
        </w:rPr>
        <w:t>）</w:t>
      </w:r>
      <w:r>
        <w:rPr>
          <w:rFonts w:hint="eastAsia"/>
        </w:rPr>
        <w:t>乙方完成全部协作服务工作量并向甲方提交所有成果，经过甲方组织的预验收，甲方整体项目经过主管部门验收后，甲方根据项目决算单结算支付</w:t>
      </w:r>
      <w:r>
        <w:rPr>
          <w:rFonts w:hint="eastAsia"/>
          <w:lang w:eastAsia="zh-CN"/>
        </w:rPr>
        <w:t>项目款</w:t>
      </w:r>
      <w:r>
        <w:rPr>
          <w:rFonts w:hint="eastAsia"/>
        </w:rPr>
        <w:t>。</w:t>
      </w:r>
    </w:p>
    <w:bookmarkEnd w:id="61"/>
    <w:p w14:paraId="48D6166C">
      <w:pPr>
        <w:pStyle w:val="42"/>
        <w:bidi w:val="0"/>
        <w:rPr>
          <w:rFonts w:hint="eastAsia"/>
        </w:rPr>
      </w:pPr>
      <w:r>
        <w:rPr>
          <w:rFonts w:hint="eastAsia"/>
        </w:rPr>
        <w:t>2.乙方必须开具给甲方增值税专用发票（使用财政经费的，可以开</w:t>
      </w:r>
      <w:r>
        <w:rPr>
          <w:rFonts w:hint="eastAsia"/>
          <w:lang w:eastAsia="zh-CN"/>
        </w:rPr>
        <w:t>具</w:t>
      </w:r>
      <w:r>
        <w:rPr>
          <w:rFonts w:hint="eastAsia"/>
        </w:rPr>
        <w:t>普通发票）。</w:t>
      </w:r>
    </w:p>
    <w:p w14:paraId="76875C7A">
      <w:pPr>
        <w:pStyle w:val="42"/>
        <w:bidi w:val="0"/>
        <w:rPr>
          <w:rFonts w:hint="eastAsia"/>
        </w:rPr>
      </w:pPr>
      <w:r>
        <w:rPr>
          <w:rFonts w:hint="eastAsia"/>
        </w:rPr>
        <w:t>3.款项支付方式</w:t>
      </w:r>
      <w:r>
        <w:rPr>
          <w:rFonts w:hint="eastAsia"/>
          <w:lang w:eastAsia="zh-CN"/>
        </w:rPr>
        <w:t>：</w:t>
      </w:r>
      <w:r>
        <w:rPr>
          <w:rFonts w:hint="eastAsia"/>
        </w:rPr>
        <w:t>所有</w:t>
      </w:r>
      <w:r>
        <w:rPr>
          <w:rFonts w:hint="eastAsia"/>
          <w:lang w:eastAsia="zh-CN"/>
        </w:rPr>
        <w:t>项目</w:t>
      </w:r>
      <w:r>
        <w:rPr>
          <w:rFonts w:hint="eastAsia"/>
        </w:rPr>
        <w:t>款均由甲方开户银行汇至乙方开户银行。</w:t>
      </w:r>
    </w:p>
    <w:p w14:paraId="491FD03E">
      <w:pPr>
        <w:pStyle w:val="42"/>
        <w:bidi w:val="0"/>
        <w:rPr>
          <w:rFonts w:hint="eastAsia"/>
          <w:lang w:val="en-US" w:eastAsia="zh-CN"/>
        </w:rPr>
      </w:pPr>
      <w:r>
        <w:rPr>
          <w:rFonts w:hint="eastAsia"/>
        </w:rPr>
        <w:t>4.若由于客观原因，乙方未能按约定完成全部工作量</w:t>
      </w:r>
      <w:r>
        <w:rPr>
          <w:rFonts w:hint="eastAsia"/>
          <w:lang w:val="en-US" w:eastAsia="zh-CN"/>
        </w:rPr>
        <w:t>的</w:t>
      </w:r>
      <w:r>
        <w:rPr>
          <w:rFonts w:hint="eastAsia"/>
        </w:rPr>
        <w:t>，</w:t>
      </w:r>
      <w:r>
        <w:rPr>
          <w:rFonts w:hint="eastAsia"/>
          <w:lang w:val="en-US" w:eastAsia="zh-CN"/>
        </w:rPr>
        <w:t>甲方放弃追究乙方违约责任的权利，</w:t>
      </w:r>
      <w:r>
        <w:rPr>
          <w:rFonts w:hint="eastAsia"/>
        </w:rPr>
        <w:t>按</w:t>
      </w:r>
      <w:r>
        <w:rPr>
          <w:rFonts w:hint="eastAsia"/>
          <w:lang w:val="en-US" w:eastAsia="zh-CN"/>
        </w:rPr>
        <w:t>乙方</w:t>
      </w:r>
      <w:r>
        <w:rPr>
          <w:rFonts w:hint="eastAsia"/>
        </w:rPr>
        <w:t>实际完成工作量结算最终</w:t>
      </w:r>
      <w:r>
        <w:rPr>
          <w:rFonts w:hint="eastAsia"/>
          <w:lang w:eastAsia="zh-CN"/>
        </w:rPr>
        <w:t>项目</w:t>
      </w:r>
      <w:r>
        <w:rPr>
          <w:rFonts w:hint="eastAsia"/>
        </w:rPr>
        <w:t>款</w:t>
      </w:r>
      <w:r>
        <w:rPr>
          <w:rFonts w:hint="eastAsia"/>
          <w:lang w:eastAsia="zh-CN"/>
        </w:rPr>
        <w:t>；</w:t>
      </w:r>
      <w:r>
        <w:rPr>
          <w:rFonts w:hint="eastAsia"/>
          <w:lang w:val="en-US" w:eastAsia="zh-CN"/>
        </w:rPr>
        <w:t>但由此造成甲方损失的，由甲方据实在结算款中予以扣减。</w:t>
      </w:r>
    </w:p>
    <w:p w14:paraId="1BBCD2CF">
      <w:pPr>
        <w:pStyle w:val="42"/>
        <w:bidi w:val="0"/>
        <w:rPr>
          <w:rFonts w:hint="eastAsia"/>
        </w:rPr>
      </w:pPr>
      <w:r>
        <w:rPr>
          <w:rFonts w:hint="eastAsia"/>
        </w:rPr>
        <w:t>5.因乙方迟延测绘成果提交时间或</w:t>
      </w:r>
      <w:r>
        <w:rPr>
          <w:rFonts w:hint="eastAsia"/>
          <w:lang w:val="en-US" w:eastAsia="zh-CN"/>
        </w:rPr>
        <w:t>者</w:t>
      </w:r>
      <w:r>
        <w:rPr>
          <w:rFonts w:hint="eastAsia"/>
        </w:rPr>
        <w:t>不符合资金支付要求等原因造成不能及时付款的，甲方不承担责任。</w:t>
      </w:r>
    </w:p>
    <w:p w14:paraId="047D1FCD">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第九条  质量保证金</w:t>
      </w:r>
    </w:p>
    <w:p w14:paraId="6624AA5C">
      <w:pPr>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本项目质量保证金：无；</w:t>
      </w:r>
    </w:p>
    <w:p w14:paraId="2D30429B">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第十条 乙方向甲方交付成果（见下表）</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8"/>
        <w:gridCol w:w="2414"/>
        <w:gridCol w:w="1269"/>
        <w:gridCol w:w="1269"/>
        <w:gridCol w:w="1725"/>
      </w:tblGrid>
      <w:tr w14:paraId="2D52B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44596C26">
            <w:pPr>
              <w:pStyle w:val="25"/>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序号</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3D275E24">
            <w:pPr>
              <w:pStyle w:val="25"/>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成 果 名 称</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83A81E4">
            <w:pPr>
              <w:pStyle w:val="25"/>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规 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CD323D2">
            <w:pPr>
              <w:pStyle w:val="25"/>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数 量</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9A6E753">
            <w:pPr>
              <w:pStyle w:val="25"/>
              <w:spacing w:beforeAutospacing="0" w:afterAutospacing="0"/>
              <w:jc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备 注</w:t>
            </w:r>
          </w:p>
        </w:tc>
      </w:tr>
      <w:tr w14:paraId="0B760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4428FA72">
            <w:pPr>
              <w:snapToGrid w:val="0"/>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5CD2338E">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8C4BE03">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BB00CE">
            <w:pPr>
              <w:snapToGrid w:val="0"/>
              <w:jc w:val="center"/>
              <w:rPr>
                <w:rFonts w:hint="eastAsia" w:ascii="宋体" w:hAnsi="宋体" w:eastAsia="宋体" w:cs="宋体"/>
                <w:color w:val="000000"/>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5D022F2">
            <w:pPr>
              <w:snapToGrid w:val="0"/>
              <w:jc w:val="center"/>
              <w:rPr>
                <w:rFonts w:hint="eastAsia" w:ascii="宋体" w:hAnsi="宋体" w:eastAsia="宋体" w:cs="宋体"/>
                <w:color w:val="000000"/>
                <w:sz w:val="24"/>
              </w:rPr>
            </w:pPr>
          </w:p>
        </w:tc>
      </w:tr>
      <w:tr w14:paraId="6DB076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88" w:type="dxa"/>
            <w:tcBorders>
              <w:top w:val="single" w:color="auto" w:sz="4" w:space="0"/>
              <w:left w:val="single" w:color="auto" w:sz="4" w:space="0"/>
              <w:bottom w:val="single" w:color="auto" w:sz="4" w:space="0"/>
              <w:right w:val="single" w:color="auto" w:sz="4" w:space="0"/>
            </w:tcBorders>
            <w:noWrap w:val="0"/>
            <w:vAlign w:val="center"/>
          </w:tcPr>
          <w:p w14:paraId="1F60E0DA">
            <w:pPr>
              <w:snapToGrid w:val="0"/>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0DE517EA">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99AAC62">
            <w:pPr>
              <w:snapToGrid w:val="0"/>
              <w:jc w:val="center"/>
              <w:rPr>
                <w:rFonts w:hint="eastAsia" w:ascii="宋体" w:hAnsi="宋体" w:eastAsia="宋体" w:cs="宋体"/>
                <w:color w:val="000000"/>
                <w:sz w:val="24"/>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BE2AE5B">
            <w:pPr>
              <w:snapToGrid w:val="0"/>
              <w:jc w:val="center"/>
              <w:rPr>
                <w:rFonts w:hint="eastAsia" w:ascii="宋体" w:hAnsi="宋体" w:eastAsia="宋体" w:cs="宋体"/>
                <w:color w:val="000000"/>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3138F20C">
            <w:pPr>
              <w:snapToGrid w:val="0"/>
              <w:jc w:val="center"/>
              <w:rPr>
                <w:rFonts w:hint="eastAsia" w:ascii="宋体" w:hAnsi="宋体" w:eastAsia="宋体" w:cs="宋体"/>
                <w:color w:val="000000"/>
                <w:sz w:val="24"/>
              </w:rPr>
            </w:pPr>
          </w:p>
        </w:tc>
      </w:tr>
    </w:tbl>
    <w:p w14:paraId="3B505739">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第十一条 违约责任</w:t>
      </w:r>
    </w:p>
    <w:p w14:paraId="7385DA38">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（一）甲方违约责任</w:t>
      </w:r>
    </w:p>
    <w:p w14:paraId="5107F142">
      <w:pPr>
        <w:pStyle w:val="42"/>
        <w:bidi w:val="0"/>
        <w:rPr>
          <w:rFonts w:hint="eastAsia"/>
        </w:rPr>
      </w:pPr>
      <w:r>
        <w:rPr>
          <w:rFonts w:hint="eastAsia"/>
        </w:rPr>
        <w:t>合同签订后，乙方未进入现场工作前，由于甲方工程停止而终止合同的，甲方应支付乙方预算</w:t>
      </w:r>
      <w:r>
        <w:rPr>
          <w:rFonts w:hint="eastAsia"/>
          <w:lang w:eastAsia="zh-CN"/>
        </w:rPr>
        <w:t>项目</w:t>
      </w:r>
      <w:r>
        <w:rPr>
          <w:rFonts w:hint="eastAsia"/>
        </w:rPr>
        <w:t>款5%的违约金；乙方已进入现场工作，甲方应按完成的实际工作量支付</w:t>
      </w:r>
      <w:r>
        <w:rPr>
          <w:rFonts w:hint="eastAsia"/>
          <w:lang w:eastAsia="zh-CN"/>
        </w:rPr>
        <w:t>项目</w:t>
      </w:r>
      <w:r>
        <w:rPr>
          <w:rFonts w:hint="eastAsia"/>
        </w:rPr>
        <w:t>款，并按预算</w:t>
      </w:r>
      <w:r>
        <w:rPr>
          <w:rFonts w:hint="eastAsia"/>
          <w:lang w:eastAsia="zh-CN"/>
        </w:rPr>
        <w:t>项目</w:t>
      </w:r>
      <w:r>
        <w:rPr>
          <w:rFonts w:hint="eastAsia"/>
        </w:rPr>
        <w:t>款的10%向乙方支付违约金。</w:t>
      </w:r>
    </w:p>
    <w:p w14:paraId="014FEDFB">
      <w:pPr>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（二） 乙方违约责任</w:t>
      </w:r>
    </w:p>
    <w:p w14:paraId="1BA80F98">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1.合同签订后，如乙方擅自中途停止或者解除合同的，乙方应向甲方支付合同总项目款30%的违约金，并退还甲方已付的全部项目款。</w:t>
      </w:r>
    </w:p>
    <w:p w14:paraId="03BE8D96">
      <w:pPr>
        <w:pStyle w:val="14"/>
        <w:spacing w:line="360" w:lineRule="auto"/>
        <w:ind w:firstLine="480" w:firstLineChars="20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2.乙方未能按合同约定的日期提交项目成果的，每逾期一日，应向甲方支付合同总项目款0.5‰的损失赔偿额。因甲方原因或者不可抗力造成的工程延期的，乙方不承担赔偿责任。</w:t>
      </w:r>
    </w:p>
    <w:p w14:paraId="0F0EE2EF">
      <w:pPr>
        <w:pStyle w:val="14"/>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3.乙方在本合同有效期内，乙方不具有或者丧失相应资质的，甲方有权解除本合同。乙方应向甲方支付合同总项目款30%的违约金，造成甲方损失的，还应当承担赔偿责任，并退还甲方已付的全部项目款。</w:t>
      </w:r>
    </w:p>
    <w:p w14:paraId="6EF23C8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乙方作业过程中应采取必要的安全防护和消防措施，为作业人员购买保险，防止安全事故或者火灾事故的发生。若甲方发现乙方作业存在安全隐患或者乙方没有为作业人员购买保险的，甲方有权解除本合同。乙方应向甲方赔偿已付项目款30%的损失，并退还甲方已付的全部项目款。</w:t>
      </w:r>
    </w:p>
    <w:p w14:paraId="3C418698">
      <w:pPr>
        <w:spacing w:line="360" w:lineRule="auto"/>
        <w:ind w:firstLine="480" w:firstLineChars="200"/>
        <w:rPr>
          <w:rFonts w:ascii="宋体" w:hAnsi="宋体" w:cs="仿宋_GB2312"/>
          <w:color w:val="000000"/>
          <w:sz w:val="24"/>
        </w:rPr>
      </w:pPr>
      <w:r>
        <w:rPr>
          <w:rFonts w:hint="eastAsia" w:ascii="宋体" w:hAnsi="宋体" w:eastAsia="宋体" w:cs="宋体"/>
          <w:color w:val="000000"/>
          <w:sz w:val="24"/>
        </w:rPr>
        <w:t>5.乙方提交的成果侵犯第三方知识产权的</w:t>
      </w:r>
      <w:r>
        <w:rPr>
          <w:rFonts w:hint="eastAsia" w:ascii="宋体" w:hAnsi="宋体" w:cs="仿宋_GB2312"/>
          <w:color w:val="000000"/>
          <w:sz w:val="24"/>
        </w:rPr>
        <w:t>，视为成果质量不合格，甲方有权解除本合同。乙方应向甲方赔偿已付项目款30%的损失，并退还甲方已付的全部项目款。</w:t>
      </w:r>
    </w:p>
    <w:p w14:paraId="7691C773">
      <w:pPr>
        <w:spacing w:line="360" w:lineRule="auto"/>
        <w:ind w:firstLine="482" w:firstLineChars="200"/>
        <w:rPr>
          <w:rFonts w:ascii="宋体" w:hAnsi="宋体" w:cs="黑体"/>
          <w:b/>
          <w:color w:val="000000"/>
          <w:sz w:val="24"/>
        </w:rPr>
      </w:pPr>
      <w:r>
        <w:rPr>
          <w:rFonts w:hint="eastAsia" w:ascii="宋体" w:hAnsi="宋体" w:cs="黑体"/>
          <w:b/>
          <w:color w:val="000000"/>
          <w:sz w:val="24"/>
        </w:rPr>
        <w:t>第十二条 不可抗力</w:t>
      </w:r>
    </w:p>
    <w:p w14:paraId="0B57084A">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1.在合同有效期内，任何一方因不可抗力导致不能履行合同的，应当及时通知对方，以减轻可能给对方造成的损失，并应当在合理期限内提供证明，则合同履行期限可以顺延，顺延期限与不可抗力影响期相同。</w:t>
      </w:r>
    </w:p>
    <w:p w14:paraId="5C42BFC6">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2.不可抗力持续30日以上，任何一方均可以解除合同，双方协商一致的可以继续履行合同。</w:t>
      </w:r>
    </w:p>
    <w:p w14:paraId="4E174411">
      <w:pPr>
        <w:spacing w:line="360" w:lineRule="auto"/>
        <w:ind w:firstLine="482" w:firstLineChars="200"/>
        <w:rPr>
          <w:rFonts w:ascii="宋体" w:hAnsi="宋体" w:cs="黑体"/>
          <w:b/>
          <w:color w:val="000000"/>
          <w:sz w:val="24"/>
        </w:rPr>
      </w:pPr>
      <w:r>
        <w:rPr>
          <w:rFonts w:hint="eastAsia" w:ascii="宋体" w:hAnsi="宋体" w:cs="黑体"/>
          <w:b/>
          <w:color w:val="000000"/>
          <w:sz w:val="24"/>
        </w:rPr>
        <w:t>第十三条 争议解决的方法</w:t>
      </w:r>
    </w:p>
    <w:p w14:paraId="077BB78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若在本合同履行过程中发生争议的，由双方当事人协商解决或者由双方主管部门调解；协商或者调解不成的，可以依法向 杭州市余杭区人民法院 提起诉讼。</w:t>
      </w:r>
    </w:p>
    <w:p w14:paraId="29A77860">
      <w:pPr>
        <w:spacing w:line="360" w:lineRule="auto"/>
        <w:ind w:firstLine="482" w:firstLineChars="200"/>
        <w:rPr>
          <w:rFonts w:ascii="宋体" w:hAnsi="宋体" w:cs="黑体"/>
          <w:b/>
          <w:color w:val="000000"/>
          <w:sz w:val="24"/>
        </w:rPr>
      </w:pPr>
      <w:r>
        <w:rPr>
          <w:rFonts w:hint="eastAsia" w:ascii="宋体" w:hAnsi="宋体" w:cs="黑体"/>
          <w:b/>
          <w:color w:val="000000"/>
          <w:sz w:val="24"/>
        </w:rPr>
        <w:t>第十四条 关于补充协议</w:t>
      </w:r>
    </w:p>
    <w:p w14:paraId="00AF0529">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本合同履行过程中的未尽事宜，双方应本着实事求是友好协商的态度加以解决。协商一致的，签订补充协议。补充协议与本合同具有同等法律效力。</w:t>
      </w:r>
    </w:p>
    <w:p w14:paraId="4319FD02">
      <w:pPr>
        <w:spacing w:line="360" w:lineRule="auto"/>
        <w:ind w:firstLine="482" w:firstLineChars="200"/>
        <w:rPr>
          <w:rFonts w:ascii="宋体" w:hAnsi="宋体" w:cs="黑体"/>
          <w:b/>
          <w:color w:val="000000"/>
          <w:sz w:val="24"/>
        </w:rPr>
      </w:pPr>
      <w:r>
        <w:rPr>
          <w:rFonts w:hint="eastAsia" w:ascii="宋体" w:hAnsi="宋体" w:cs="黑体"/>
          <w:b/>
          <w:color w:val="000000"/>
          <w:sz w:val="24"/>
        </w:rPr>
        <w:t>第十五条 其他约定</w:t>
      </w:r>
    </w:p>
    <w:p w14:paraId="0558D949">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1.乙方必须遵守国家、行业以及省、市各级及单位制订的关于安全管理规定，满足ISO质量管理体系、环境管理体系、职业健康安全管理体系及信息安全管理体系、信息技术服务管理体系等要求。</w:t>
      </w:r>
    </w:p>
    <w:p w14:paraId="7AF0A4EF">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2.作业过程中，乙方应树立“安全第一”的意识，加强安全管理，杜绝安全事故的发生，工程实施期间所引起的安全事故，一切责任和后果均由乙方承担解决。</w:t>
      </w:r>
    </w:p>
    <w:p w14:paraId="2CB5E504">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3.乙方要加强职工对ISO质量管理、环境管理、职业健康及信息安全、信息技术服务方面的教育，同时提供必要的劳动保护用品及相应的保障措施。</w:t>
      </w:r>
    </w:p>
    <w:p w14:paraId="7EA0BA2C">
      <w:pPr>
        <w:spacing w:line="360" w:lineRule="auto"/>
        <w:ind w:firstLine="480" w:firstLineChars="200"/>
        <w:rPr>
          <w:rFonts w:hint="eastAsia" w:ascii="宋体" w:hAnsi="宋体" w:cs="仿宋_GB2312"/>
          <w:color w:val="000000"/>
          <w:sz w:val="24"/>
        </w:rPr>
      </w:pPr>
      <w:r>
        <w:rPr>
          <w:rFonts w:hint="eastAsia" w:ascii="宋体" w:hAnsi="宋体" w:cs="仿宋_GB2312"/>
          <w:color w:val="000000"/>
          <w:sz w:val="24"/>
        </w:rPr>
        <w:t>4.在本合同履行过程中，如上级有关技术标准发生变化，成果可考虑执行新标准，但不影响本合同履行。</w:t>
      </w:r>
    </w:p>
    <w:p w14:paraId="17BEE2BC">
      <w:pPr>
        <w:spacing w:line="360" w:lineRule="auto"/>
        <w:ind w:firstLine="482" w:firstLineChars="200"/>
        <w:rPr>
          <w:rFonts w:ascii="宋体" w:hAnsi="宋体" w:cs="黑体"/>
          <w:b/>
          <w:color w:val="000000"/>
          <w:sz w:val="24"/>
        </w:rPr>
      </w:pPr>
      <w:r>
        <w:rPr>
          <w:rFonts w:hint="eastAsia" w:ascii="宋体" w:hAnsi="宋体" w:cs="黑体"/>
          <w:b/>
          <w:color w:val="000000"/>
          <w:sz w:val="24"/>
        </w:rPr>
        <w:t>第十六条 合同的生效与终止</w:t>
      </w:r>
    </w:p>
    <w:p w14:paraId="166614CB">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本合同经甲、乙双方法定代表人或者其委托代理人签字并加盖双方公章或者合同专用章即生效。全部成果交接完毕和项目款结算完成后，本合同终止。</w:t>
      </w:r>
    </w:p>
    <w:p w14:paraId="3DE6D3EF">
      <w:pPr>
        <w:spacing w:line="360" w:lineRule="auto"/>
        <w:ind w:firstLine="482" w:firstLineChars="200"/>
        <w:rPr>
          <w:rFonts w:ascii="宋体" w:hAnsi="宋体" w:cs="黑体"/>
          <w:b/>
          <w:color w:val="000000"/>
          <w:sz w:val="24"/>
        </w:rPr>
      </w:pPr>
      <w:r>
        <w:rPr>
          <w:rFonts w:hint="eastAsia" w:ascii="宋体" w:hAnsi="宋体" w:cs="黑体"/>
          <w:b/>
          <w:color w:val="000000"/>
          <w:sz w:val="24"/>
        </w:rPr>
        <w:t>第十七条 附则</w:t>
      </w:r>
    </w:p>
    <w:p w14:paraId="49531303">
      <w:pPr>
        <w:spacing w:line="360" w:lineRule="auto"/>
        <w:ind w:firstLine="480" w:firstLineChars="200"/>
        <w:rPr>
          <w:rFonts w:ascii="宋体" w:hAnsi="宋体" w:cs="仿宋_GB2312"/>
          <w:color w:val="000000"/>
          <w:sz w:val="24"/>
        </w:rPr>
      </w:pPr>
      <w:r>
        <w:rPr>
          <w:rFonts w:hint="eastAsia" w:ascii="宋体" w:hAnsi="宋体" w:cs="仿宋_GB2312"/>
          <w:color w:val="000000"/>
          <w:sz w:val="24"/>
        </w:rPr>
        <w:t>本合同壹式</w:t>
      </w:r>
      <w:r>
        <w:rPr>
          <w:rFonts w:hint="eastAsia" w:ascii="宋体" w:hAnsi="宋体" w:cs="仿宋_GB2312"/>
          <w:bCs/>
          <w:color w:val="000000"/>
          <w:sz w:val="24"/>
        </w:rPr>
        <w:t>肆份</w:t>
      </w:r>
      <w:r>
        <w:rPr>
          <w:rFonts w:hint="eastAsia" w:ascii="宋体" w:hAnsi="宋体" w:cs="仿宋_GB2312"/>
          <w:color w:val="000000"/>
          <w:sz w:val="24"/>
        </w:rPr>
        <w:t>，具有同等法律效力，甲、乙方双方各执贰份。</w:t>
      </w:r>
    </w:p>
    <w:p w14:paraId="75B9C0BB">
      <w:pPr>
        <w:spacing w:line="580" w:lineRule="exact"/>
        <w:jc w:val="center"/>
        <w:rPr>
          <w:rFonts w:hint="eastAsia" w:ascii="宋体" w:hAnsi="宋体" w:cs="仿宋_GB2312"/>
          <w:b/>
          <w:color w:val="000000"/>
          <w:spacing w:val="-20"/>
          <w:sz w:val="24"/>
        </w:rPr>
      </w:pPr>
    </w:p>
    <w:p w14:paraId="4FE8E99C">
      <w:pPr>
        <w:spacing w:line="580" w:lineRule="exact"/>
        <w:jc w:val="center"/>
        <w:rPr>
          <w:rFonts w:ascii="宋体" w:hAnsi="宋体" w:cs="仿宋_GB2312"/>
          <w:b/>
          <w:color w:val="000000"/>
          <w:spacing w:val="-20"/>
          <w:sz w:val="24"/>
        </w:rPr>
      </w:pPr>
      <w:r>
        <w:rPr>
          <w:rFonts w:hint="eastAsia" w:ascii="宋体" w:hAnsi="宋体" w:cs="仿宋_GB2312"/>
          <w:b/>
          <w:color w:val="000000"/>
          <w:spacing w:val="-20"/>
          <w:sz w:val="24"/>
        </w:rPr>
        <w:t>（若本页无正文的，须在此处注明“本页为签字盖章页，无正文”字样）</w:t>
      </w:r>
    </w:p>
    <w:p w14:paraId="588571FB">
      <w:pPr>
        <w:spacing w:line="580" w:lineRule="exact"/>
        <w:ind w:firstLine="482" w:firstLineChars="200"/>
        <w:rPr>
          <w:rFonts w:ascii="宋体" w:hAnsi="宋体" w:cs="黑体"/>
          <w:b/>
          <w:color w:val="000000"/>
          <w:sz w:val="24"/>
        </w:rPr>
      </w:pPr>
      <w:r>
        <w:rPr>
          <w:rFonts w:hint="eastAsia" w:ascii="宋体" w:hAnsi="宋体" w:cs="黑体"/>
          <w:b/>
          <w:color w:val="000000"/>
          <w:sz w:val="24"/>
        </w:rPr>
        <w:t>合同签章：</w:t>
      </w:r>
    </w:p>
    <w:tbl>
      <w:tblPr>
        <w:tblStyle w:val="27"/>
        <w:tblW w:w="0" w:type="auto"/>
        <w:tblInd w:w="0" w:type="dxa"/>
        <w:tblLayout w:type="fixed"/>
        <w:tblCellMar>
          <w:top w:w="0" w:type="dxa"/>
          <w:left w:w="108" w:type="dxa"/>
          <w:bottom w:w="0" w:type="dxa"/>
          <w:right w:w="108" w:type="dxa"/>
        </w:tblCellMar>
      </w:tblPr>
      <w:tblGrid>
        <w:gridCol w:w="4786"/>
        <w:gridCol w:w="4331"/>
      </w:tblGrid>
      <w:tr w14:paraId="767B3CD5">
        <w:tblPrEx>
          <w:tblCellMar>
            <w:top w:w="0" w:type="dxa"/>
            <w:left w:w="108" w:type="dxa"/>
            <w:bottom w:w="0" w:type="dxa"/>
            <w:right w:w="108" w:type="dxa"/>
          </w:tblCellMar>
        </w:tblPrEx>
        <w:trPr>
          <w:trHeight w:val="995" w:hRule="atLeast"/>
        </w:trPr>
        <w:tc>
          <w:tcPr>
            <w:tcW w:w="4786" w:type="dxa"/>
            <w:noWrap w:val="0"/>
            <w:vAlign w:val="center"/>
          </w:tcPr>
          <w:p w14:paraId="2E1829F2">
            <w:pPr>
              <w:spacing w:line="400" w:lineRule="exact"/>
              <w:rPr>
                <w:rFonts w:ascii="宋体" w:hAnsi="宋体" w:cs="仿宋_GB2312"/>
                <w:color w:val="000000"/>
                <w:sz w:val="24"/>
              </w:rPr>
            </w:pPr>
            <w:r>
              <w:rPr>
                <w:rFonts w:hint="eastAsia" w:ascii="宋体" w:hAnsi="宋体" w:cs="仿宋_GB2312"/>
                <w:color w:val="000000"/>
                <w:sz w:val="24"/>
              </w:rPr>
              <w:t>甲方（盖章）：浙江省测绘科学技术研究院</w:t>
            </w:r>
          </w:p>
        </w:tc>
        <w:tc>
          <w:tcPr>
            <w:tcW w:w="4331" w:type="dxa"/>
            <w:noWrap w:val="0"/>
            <w:vAlign w:val="center"/>
          </w:tcPr>
          <w:p w14:paraId="2459A094">
            <w:pPr>
              <w:spacing w:line="400" w:lineRule="exact"/>
              <w:rPr>
                <w:rFonts w:ascii="宋体" w:hAnsi="宋体" w:cs="仿宋_GB2312"/>
                <w:color w:val="000000"/>
                <w:sz w:val="24"/>
              </w:rPr>
            </w:pPr>
            <w:r>
              <w:rPr>
                <w:rFonts w:hint="eastAsia" w:ascii="宋体" w:hAnsi="宋体" w:cs="仿宋_GB2312"/>
                <w:color w:val="000000"/>
                <w:sz w:val="24"/>
              </w:rPr>
              <w:t>乙方（盖章）：</w:t>
            </w:r>
          </w:p>
        </w:tc>
      </w:tr>
      <w:tr w14:paraId="149D635E">
        <w:tblPrEx>
          <w:tblCellMar>
            <w:top w:w="0" w:type="dxa"/>
            <w:left w:w="108" w:type="dxa"/>
            <w:bottom w:w="0" w:type="dxa"/>
            <w:right w:w="108" w:type="dxa"/>
          </w:tblCellMar>
        </w:tblPrEx>
        <w:trPr>
          <w:trHeight w:val="935" w:hRule="atLeast"/>
        </w:trPr>
        <w:tc>
          <w:tcPr>
            <w:tcW w:w="4786" w:type="dxa"/>
            <w:noWrap w:val="0"/>
            <w:vAlign w:val="center"/>
          </w:tcPr>
          <w:p w14:paraId="7B2203CD">
            <w:pPr>
              <w:spacing w:line="400" w:lineRule="exact"/>
              <w:rPr>
                <w:rFonts w:ascii="宋体" w:hAnsi="宋体" w:cs="仿宋_GB2312"/>
                <w:color w:val="000000"/>
                <w:sz w:val="24"/>
              </w:rPr>
            </w:pPr>
            <w:r>
              <w:rPr>
                <w:rFonts w:hint="eastAsia" w:ascii="宋体" w:hAnsi="宋体" w:cs="仿宋_GB2312"/>
                <w:color w:val="000000"/>
                <w:sz w:val="24"/>
              </w:rPr>
              <w:t>地    址：浙江省杭州市余杭区地信路2号</w:t>
            </w:r>
          </w:p>
        </w:tc>
        <w:tc>
          <w:tcPr>
            <w:tcW w:w="4331" w:type="dxa"/>
            <w:noWrap w:val="0"/>
            <w:vAlign w:val="center"/>
          </w:tcPr>
          <w:p w14:paraId="2908A025">
            <w:pPr>
              <w:spacing w:line="400" w:lineRule="exact"/>
              <w:rPr>
                <w:rFonts w:ascii="宋体" w:hAnsi="宋体" w:cs="仿宋_GB2312"/>
                <w:color w:val="000000"/>
                <w:sz w:val="24"/>
              </w:rPr>
            </w:pPr>
            <w:r>
              <w:rPr>
                <w:rFonts w:hint="eastAsia" w:ascii="宋体" w:hAnsi="宋体" w:cs="仿宋_GB2312"/>
                <w:color w:val="000000"/>
                <w:sz w:val="24"/>
              </w:rPr>
              <w:t>地    址：</w:t>
            </w:r>
          </w:p>
        </w:tc>
      </w:tr>
      <w:tr w14:paraId="737F76BF">
        <w:tblPrEx>
          <w:tblCellMar>
            <w:top w:w="0" w:type="dxa"/>
            <w:left w:w="108" w:type="dxa"/>
            <w:bottom w:w="0" w:type="dxa"/>
            <w:right w:w="108" w:type="dxa"/>
          </w:tblCellMar>
        </w:tblPrEx>
        <w:trPr>
          <w:trHeight w:val="567" w:hRule="atLeast"/>
        </w:trPr>
        <w:tc>
          <w:tcPr>
            <w:tcW w:w="4786" w:type="dxa"/>
            <w:noWrap w:val="0"/>
            <w:vAlign w:val="center"/>
          </w:tcPr>
          <w:p w14:paraId="682B9AE9">
            <w:pPr>
              <w:spacing w:line="400" w:lineRule="exact"/>
              <w:rPr>
                <w:rFonts w:ascii="宋体" w:hAnsi="宋体" w:cs="仿宋_GB2312"/>
                <w:color w:val="000000"/>
                <w:sz w:val="24"/>
              </w:rPr>
            </w:pPr>
            <w:r>
              <w:rPr>
                <w:rFonts w:hint="eastAsia" w:ascii="宋体" w:hAnsi="宋体" w:cs="仿宋_GB2312"/>
                <w:color w:val="000000"/>
                <w:sz w:val="24"/>
              </w:rPr>
              <w:t>法定代表人（委托代理人）</w:t>
            </w:r>
          </w:p>
        </w:tc>
        <w:tc>
          <w:tcPr>
            <w:tcW w:w="4331" w:type="dxa"/>
            <w:noWrap w:val="0"/>
            <w:vAlign w:val="center"/>
          </w:tcPr>
          <w:p w14:paraId="5BB5C790">
            <w:pPr>
              <w:spacing w:line="400" w:lineRule="exact"/>
              <w:rPr>
                <w:rFonts w:ascii="宋体" w:hAnsi="宋体" w:cs="仿宋_GB2312"/>
                <w:color w:val="000000"/>
                <w:sz w:val="24"/>
              </w:rPr>
            </w:pPr>
            <w:r>
              <w:rPr>
                <w:rFonts w:hint="eastAsia" w:ascii="宋体" w:hAnsi="宋体" w:cs="仿宋_GB2312"/>
                <w:color w:val="000000"/>
                <w:sz w:val="24"/>
              </w:rPr>
              <w:t>法定代表人（委托代理人）</w:t>
            </w:r>
          </w:p>
        </w:tc>
      </w:tr>
      <w:tr w14:paraId="0C6FCC3D">
        <w:tblPrEx>
          <w:tblCellMar>
            <w:top w:w="0" w:type="dxa"/>
            <w:left w:w="108" w:type="dxa"/>
            <w:bottom w:w="0" w:type="dxa"/>
            <w:right w:w="108" w:type="dxa"/>
          </w:tblCellMar>
        </w:tblPrEx>
        <w:trPr>
          <w:trHeight w:val="567" w:hRule="atLeast"/>
        </w:trPr>
        <w:tc>
          <w:tcPr>
            <w:tcW w:w="4786" w:type="dxa"/>
            <w:noWrap w:val="0"/>
            <w:vAlign w:val="center"/>
          </w:tcPr>
          <w:p w14:paraId="03B0FFC9">
            <w:pPr>
              <w:spacing w:line="400" w:lineRule="exact"/>
              <w:rPr>
                <w:rFonts w:ascii="宋体" w:hAnsi="宋体" w:cs="仿宋_GB2312"/>
                <w:color w:val="000000"/>
                <w:sz w:val="24"/>
              </w:rPr>
            </w:pPr>
            <w:r>
              <w:rPr>
                <w:rFonts w:hint="eastAsia" w:ascii="宋体" w:hAnsi="宋体" w:cs="仿宋_GB2312"/>
                <w:color w:val="000000"/>
                <w:sz w:val="24"/>
              </w:rPr>
              <w:t>签    字：</w:t>
            </w:r>
          </w:p>
        </w:tc>
        <w:tc>
          <w:tcPr>
            <w:tcW w:w="4331" w:type="dxa"/>
            <w:noWrap w:val="0"/>
            <w:vAlign w:val="center"/>
          </w:tcPr>
          <w:p w14:paraId="5D799F71">
            <w:pPr>
              <w:spacing w:line="400" w:lineRule="exact"/>
              <w:rPr>
                <w:rFonts w:ascii="宋体" w:hAnsi="宋体" w:cs="仿宋_GB2312"/>
                <w:color w:val="000000"/>
                <w:sz w:val="24"/>
              </w:rPr>
            </w:pPr>
            <w:r>
              <w:rPr>
                <w:rFonts w:hint="eastAsia" w:ascii="宋体" w:hAnsi="宋体" w:cs="仿宋_GB2312"/>
                <w:color w:val="000000"/>
                <w:sz w:val="24"/>
              </w:rPr>
              <w:t>签    字：</w:t>
            </w:r>
          </w:p>
        </w:tc>
      </w:tr>
      <w:tr w14:paraId="4A956E03">
        <w:tblPrEx>
          <w:tblCellMar>
            <w:top w:w="0" w:type="dxa"/>
            <w:left w:w="108" w:type="dxa"/>
            <w:bottom w:w="0" w:type="dxa"/>
            <w:right w:w="108" w:type="dxa"/>
          </w:tblCellMar>
        </w:tblPrEx>
        <w:trPr>
          <w:trHeight w:val="567" w:hRule="atLeast"/>
        </w:trPr>
        <w:tc>
          <w:tcPr>
            <w:tcW w:w="4786" w:type="dxa"/>
            <w:noWrap w:val="0"/>
            <w:vAlign w:val="center"/>
          </w:tcPr>
          <w:p w14:paraId="14CF2AF2">
            <w:pPr>
              <w:spacing w:line="400" w:lineRule="exact"/>
              <w:rPr>
                <w:rFonts w:ascii="宋体" w:hAnsi="宋体" w:cs="仿宋_GB2312"/>
                <w:color w:val="000000"/>
                <w:sz w:val="24"/>
              </w:rPr>
            </w:pPr>
            <w:r>
              <w:rPr>
                <w:rFonts w:hint="eastAsia" w:ascii="宋体" w:hAnsi="宋体" w:cs="仿宋_GB2312"/>
                <w:color w:val="000000"/>
                <w:sz w:val="24"/>
              </w:rPr>
              <w:t>开户银行：</w:t>
            </w:r>
            <w:r>
              <w:rPr>
                <w:rFonts w:ascii="宋体" w:hAnsi="宋体"/>
                <w:sz w:val="24"/>
                <w:szCs w:val="21"/>
              </w:rPr>
              <w:t>中国工商银行杭州高新支行</w:t>
            </w:r>
          </w:p>
        </w:tc>
        <w:tc>
          <w:tcPr>
            <w:tcW w:w="4331" w:type="dxa"/>
            <w:noWrap w:val="0"/>
            <w:vAlign w:val="center"/>
          </w:tcPr>
          <w:p w14:paraId="4C7C1251">
            <w:pPr>
              <w:spacing w:line="400" w:lineRule="exact"/>
              <w:rPr>
                <w:rFonts w:ascii="宋体" w:hAnsi="宋体" w:cs="仿宋_GB2312"/>
                <w:color w:val="000000"/>
                <w:sz w:val="24"/>
              </w:rPr>
            </w:pPr>
            <w:r>
              <w:rPr>
                <w:rFonts w:hint="eastAsia" w:ascii="宋体" w:hAnsi="宋体" w:cs="仿宋_GB2312"/>
                <w:color w:val="000000"/>
                <w:sz w:val="24"/>
              </w:rPr>
              <w:t>开户银行：</w:t>
            </w:r>
          </w:p>
        </w:tc>
      </w:tr>
      <w:tr w14:paraId="41260617">
        <w:tblPrEx>
          <w:tblCellMar>
            <w:top w:w="0" w:type="dxa"/>
            <w:left w:w="108" w:type="dxa"/>
            <w:bottom w:w="0" w:type="dxa"/>
            <w:right w:w="108" w:type="dxa"/>
          </w:tblCellMar>
        </w:tblPrEx>
        <w:trPr>
          <w:trHeight w:val="567" w:hRule="atLeast"/>
        </w:trPr>
        <w:tc>
          <w:tcPr>
            <w:tcW w:w="4786" w:type="dxa"/>
            <w:noWrap w:val="0"/>
            <w:vAlign w:val="center"/>
          </w:tcPr>
          <w:p w14:paraId="773FD7AF">
            <w:pPr>
              <w:spacing w:line="400" w:lineRule="exact"/>
              <w:rPr>
                <w:rFonts w:ascii="宋体" w:hAnsi="宋体" w:cs="仿宋_GB2312"/>
                <w:color w:val="000000"/>
                <w:sz w:val="24"/>
              </w:rPr>
            </w:pPr>
            <w:r>
              <w:rPr>
                <w:rFonts w:hint="eastAsia" w:ascii="宋体" w:hAnsi="宋体" w:cs="仿宋_GB2312"/>
                <w:color w:val="000000"/>
                <w:sz w:val="24"/>
              </w:rPr>
              <w:t>账    号：</w:t>
            </w:r>
            <w:r>
              <w:rPr>
                <w:rFonts w:ascii="宋体" w:hAnsi="宋体"/>
                <w:sz w:val="24"/>
                <w:szCs w:val="21"/>
              </w:rPr>
              <w:t>1202026209900379675</w:t>
            </w:r>
          </w:p>
        </w:tc>
        <w:tc>
          <w:tcPr>
            <w:tcW w:w="4331" w:type="dxa"/>
            <w:noWrap w:val="0"/>
            <w:vAlign w:val="center"/>
          </w:tcPr>
          <w:p w14:paraId="161130AE">
            <w:pPr>
              <w:spacing w:line="400" w:lineRule="exact"/>
              <w:rPr>
                <w:rFonts w:ascii="宋体" w:hAnsi="宋体" w:cs="仿宋_GB2312"/>
                <w:color w:val="000000"/>
                <w:sz w:val="24"/>
              </w:rPr>
            </w:pPr>
            <w:r>
              <w:rPr>
                <w:rFonts w:hint="eastAsia" w:ascii="宋体" w:hAnsi="宋体" w:cs="仿宋_GB2312"/>
                <w:color w:val="000000"/>
                <w:sz w:val="24"/>
              </w:rPr>
              <w:t>账    号：</w:t>
            </w:r>
          </w:p>
        </w:tc>
      </w:tr>
      <w:tr w14:paraId="3A4E3865">
        <w:tblPrEx>
          <w:tblCellMar>
            <w:top w:w="0" w:type="dxa"/>
            <w:left w:w="108" w:type="dxa"/>
            <w:bottom w:w="0" w:type="dxa"/>
            <w:right w:w="108" w:type="dxa"/>
          </w:tblCellMar>
        </w:tblPrEx>
        <w:trPr>
          <w:trHeight w:val="567" w:hRule="atLeast"/>
        </w:trPr>
        <w:tc>
          <w:tcPr>
            <w:tcW w:w="4786" w:type="dxa"/>
            <w:noWrap w:val="0"/>
            <w:vAlign w:val="center"/>
          </w:tcPr>
          <w:p w14:paraId="531B30F9">
            <w:pPr>
              <w:spacing w:line="400" w:lineRule="exact"/>
              <w:rPr>
                <w:rFonts w:ascii="宋体" w:hAnsi="宋体" w:cs="仿宋_GB2312"/>
                <w:color w:val="000000"/>
                <w:sz w:val="24"/>
              </w:rPr>
            </w:pPr>
            <w:r>
              <w:rPr>
                <w:rFonts w:hint="eastAsia" w:ascii="宋体" w:hAnsi="宋体" w:cs="仿宋_GB2312"/>
                <w:color w:val="000000"/>
                <w:sz w:val="24"/>
              </w:rPr>
              <w:t>联 系 人：</w:t>
            </w:r>
          </w:p>
        </w:tc>
        <w:tc>
          <w:tcPr>
            <w:tcW w:w="4331" w:type="dxa"/>
            <w:noWrap w:val="0"/>
            <w:vAlign w:val="center"/>
          </w:tcPr>
          <w:p w14:paraId="40EEBD29">
            <w:pPr>
              <w:spacing w:line="400" w:lineRule="exact"/>
              <w:rPr>
                <w:rFonts w:ascii="宋体" w:hAnsi="宋体" w:cs="仿宋_GB2312"/>
                <w:color w:val="000000"/>
                <w:sz w:val="24"/>
              </w:rPr>
            </w:pPr>
            <w:r>
              <w:rPr>
                <w:rFonts w:hint="eastAsia" w:ascii="宋体" w:hAnsi="宋体" w:cs="仿宋_GB2312"/>
                <w:color w:val="000000"/>
                <w:sz w:val="24"/>
              </w:rPr>
              <w:t>联 系 人：</w:t>
            </w:r>
          </w:p>
        </w:tc>
      </w:tr>
      <w:tr w14:paraId="210F52D3">
        <w:tblPrEx>
          <w:tblCellMar>
            <w:top w:w="0" w:type="dxa"/>
            <w:left w:w="108" w:type="dxa"/>
            <w:bottom w:w="0" w:type="dxa"/>
            <w:right w:w="108" w:type="dxa"/>
          </w:tblCellMar>
        </w:tblPrEx>
        <w:trPr>
          <w:trHeight w:val="567" w:hRule="atLeast"/>
        </w:trPr>
        <w:tc>
          <w:tcPr>
            <w:tcW w:w="4786" w:type="dxa"/>
            <w:noWrap w:val="0"/>
            <w:vAlign w:val="center"/>
          </w:tcPr>
          <w:p w14:paraId="425A0DE6">
            <w:pPr>
              <w:spacing w:line="400" w:lineRule="exact"/>
              <w:rPr>
                <w:rFonts w:ascii="宋体" w:hAnsi="宋体" w:cs="仿宋_GB2312"/>
                <w:color w:val="000000"/>
                <w:sz w:val="24"/>
              </w:rPr>
            </w:pPr>
            <w:r>
              <w:rPr>
                <w:rFonts w:hint="eastAsia" w:ascii="宋体" w:hAnsi="宋体" w:cs="仿宋_GB2312"/>
                <w:color w:val="000000"/>
                <w:sz w:val="24"/>
              </w:rPr>
              <w:t>电    话：</w:t>
            </w:r>
          </w:p>
        </w:tc>
        <w:tc>
          <w:tcPr>
            <w:tcW w:w="4331" w:type="dxa"/>
            <w:noWrap w:val="0"/>
            <w:vAlign w:val="center"/>
          </w:tcPr>
          <w:p w14:paraId="72B7FE14">
            <w:pPr>
              <w:spacing w:line="400" w:lineRule="exact"/>
              <w:rPr>
                <w:rFonts w:ascii="宋体" w:hAnsi="宋体" w:cs="仿宋_GB2312"/>
                <w:color w:val="000000"/>
                <w:sz w:val="24"/>
              </w:rPr>
            </w:pPr>
            <w:r>
              <w:rPr>
                <w:rFonts w:hint="eastAsia" w:ascii="宋体" w:hAnsi="宋体" w:cs="仿宋_GB2312"/>
                <w:color w:val="000000"/>
                <w:sz w:val="24"/>
              </w:rPr>
              <w:t>电    话：</w:t>
            </w:r>
          </w:p>
        </w:tc>
      </w:tr>
      <w:tr w14:paraId="205CE9E7">
        <w:tblPrEx>
          <w:tblCellMar>
            <w:top w:w="0" w:type="dxa"/>
            <w:left w:w="108" w:type="dxa"/>
            <w:bottom w:w="0" w:type="dxa"/>
            <w:right w:w="108" w:type="dxa"/>
          </w:tblCellMar>
        </w:tblPrEx>
        <w:trPr>
          <w:trHeight w:val="711" w:hRule="atLeast"/>
        </w:trPr>
        <w:tc>
          <w:tcPr>
            <w:tcW w:w="9117" w:type="dxa"/>
            <w:gridSpan w:val="2"/>
            <w:noWrap w:val="0"/>
            <w:vAlign w:val="center"/>
          </w:tcPr>
          <w:p w14:paraId="6F0030A3">
            <w:pPr>
              <w:spacing w:line="400" w:lineRule="exact"/>
              <w:jc w:val="center"/>
              <w:rPr>
                <w:rFonts w:ascii="宋体" w:hAnsi="宋体" w:cs="仿宋_GB2312"/>
                <w:color w:val="000000"/>
                <w:sz w:val="24"/>
              </w:rPr>
            </w:pPr>
            <w:r>
              <w:rPr>
                <w:rFonts w:hint="eastAsia" w:ascii="宋体" w:hAnsi="宋体" w:cs="仿宋_GB2312"/>
                <w:color w:val="000000"/>
                <w:sz w:val="24"/>
              </w:rPr>
              <w:t xml:space="preserve">                                </w:t>
            </w:r>
          </w:p>
          <w:p w14:paraId="708EB421">
            <w:pPr>
              <w:spacing w:line="400" w:lineRule="exact"/>
              <w:jc w:val="center"/>
              <w:rPr>
                <w:rFonts w:ascii="宋体" w:hAnsi="宋体" w:cs="仿宋_GB2312"/>
                <w:color w:val="000000"/>
                <w:sz w:val="24"/>
              </w:rPr>
            </w:pPr>
            <w:r>
              <w:rPr>
                <w:rFonts w:ascii="宋体" w:hAnsi="宋体" w:cs="仿宋_GB2312"/>
                <w:color w:val="000000"/>
                <w:sz w:val="24"/>
              </w:rPr>
              <w:t xml:space="preserve">                           </w:t>
            </w:r>
            <w:r>
              <w:rPr>
                <w:rFonts w:hint="eastAsia" w:ascii="宋体" w:hAnsi="宋体" w:cs="仿宋_GB2312"/>
                <w:color w:val="000000"/>
                <w:sz w:val="24"/>
              </w:rPr>
              <w:t xml:space="preserve">  签订时间：    年    月    日</w:t>
            </w:r>
          </w:p>
        </w:tc>
      </w:tr>
    </w:tbl>
    <w:p w14:paraId="61CE9F56">
      <w:pPr>
        <w:pStyle w:val="42"/>
        <w:ind w:firstLine="0" w:firstLineChars="0"/>
      </w:pPr>
    </w:p>
    <w:p w14:paraId="6CA35042">
      <w:pPr>
        <w:pStyle w:val="42"/>
        <w:ind w:firstLine="480"/>
      </w:pPr>
      <w:r>
        <w:br w:type="page"/>
      </w:r>
    </w:p>
    <w:p w14:paraId="466CD03D">
      <w:pPr>
        <w:pStyle w:val="43"/>
      </w:pPr>
      <w:bookmarkStart w:id="62" w:name="_Toc5930"/>
      <w:r>
        <w:rPr>
          <w:rFonts w:hint="eastAsia"/>
        </w:rPr>
        <w:t>评审方法和标准</w:t>
      </w:r>
      <w:bookmarkEnd w:id="62"/>
    </w:p>
    <w:p w14:paraId="37341B6B">
      <w:pPr>
        <w:pStyle w:val="44"/>
        <w:numPr>
          <w:ilvl w:val="1"/>
          <w:numId w:val="51"/>
        </w:numPr>
      </w:pPr>
      <w:bookmarkStart w:id="63" w:name="_Toc5044"/>
      <w:r>
        <w:rPr>
          <w:rFonts w:hint="eastAsia"/>
        </w:rPr>
        <w:t>评审方法</w:t>
      </w:r>
      <w:bookmarkEnd w:id="63"/>
    </w:p>
    <w:p w14:paraId="41F121F8">
      <w:pPr>
        <w:pStyle w:val="42"/>
        <w:ind w:firstLine="480"/>
        <w:rPr>
          <w:lang w:eastAsia="zh-CN"/>
        </w:rPr>
      </w:pPr>
      <w:r>
        <w:rPr>
          <w:rFonts w:hint="eastAsia"/>
        </w:rPr>
        <w:t>本项目采用</w:t>
      </w:r>
      <w:r>
        <w:rPr>
          <w:rFonts w:hint="eastAsia"/>
          <w:b/>
          <w:bCs/>
        </w:rPr>
        <w:t>综合评分法</w:t>
      </w:r>
      <w:r>
        <w:rPr>
          <w:rFonts w:hint="eastAsia"/>
          <w:lang w:eastAsia="zh-CN"/>
        </w:rPr>
        <w:t>。</w:t>
      </w:r>
    </w:p>
    <w:p w14:paraId="40C852EB">
      <w:pPr>
        <w:pStyle w:val="42"/>
        <w:ind w:firstLine="480"/>
      </w:pPr>
      <w:r>
        <w:rPr>
          <w:rFonts w:hint="eastAsia"/>
        </w:rPr>
        <w:t>评审委员会将按照本章规定的评审方法、评分标准，对符合性审查合格的投标文件进行商务和技术的评估、综合评价。评标时，评审委员会各成员将独立对每个投标人的投标文件进行评价，并汇总每个投标人的得分。评分过程中采用四舍五入法，保留小数二位。</w:t>
      </w:r>
      <w:r>
        <w:rPr>
          <w:rFonts w:hint="eastAsia"/>
          <w:u w:val="single"/>
        </w:rPr>
        <w:t>综合得分=商务技术得分+报价得分</w:t>
      </w:r>
    </w:p>
    <w:p w14:paraId="10F1BFD6">
      <w:pPr>
        <w:pStyle w:val="42"/>
        <w:ind w:firstLine="480"/>
        <w:rPr>
          <w:rFonts w:hint="default"/>
          <w:b w:val="0"/>
          <w:bCs w:val="0"/>
          <w:color w:val="auto"/>
          <w:u w:val="none"/>
          <w:lang w:val="en-US" w:eastAsia="zh-Hans"/>
        </w:rPr>
      </w:pPr>
    </w:p>
    <w:p w14:paraId="3A3504BE">
      <w:pPr>
        <w:pStyle w:val="44"/>
        <w:numPr>
          <w:ilvl w:val="1"/>
          <w:numId w:val="51"/>
        </w:numPr>
        <w:rPr>
          <w:color w:val="000000"/>
        </w:rPr>
      </w:pPr>
      <w:bookmarkStart w:id="64" w:name="_Toc6824"/>
      <w:r>
        <w:rPr>
          <w:rFonts w:hint="eastAsia"/>
        </w:rPr>
        <w:t>评审流程及内容</w:t>
      </w:r>
      <w:bookmarkEnd w:id="64"/>
    </w:p>
    <w:p w14:paraId="3B00D934">
      <w:pPr>
        <w:pStyle w:val="42"/>
        <w:ind w:firstLine="480"/>
      </w:pPr>
      <w:r>
        <w:rPr>
          <w:rFonts w:hint="eastAsia"/>
        </w:rPr>
        <w:t>本项目具体的评审事务由评审委员会负责，评审流程及内容如下：</w:t>
      </w:r>
    </w:p>
    <w:p w14:paraId="3010D23E">
      <w:pPr>
        <w:pStyle w:val="45"/>
        <w:numPr>
          <w:ilvl w:val="2"/>
          <w:numId w:val="52"/>
        </w:numPr>
        <w:rPr>
          <w:color w:val="000000"/>
        </w:rPr>
      </w:pPr>
      <w:r>
        <w:rPr>
          <w:rFonts w:hint="eastAsia"/>
        </w:rPr>
        <w:t>评审前准备</w:t>
      </w:r>
    </w:p>
    <w:p w14:paraId="2F9586C8">
      <w:pPr>
        <w:pStyle w:val="52"/>
        <w:numPr>
          <w:ilvl w:val="0"/>
          <w:numId w:val="53"/>
        </w:numPr>
        <w:bidi w:val="0"/>
      </w:pPr>
      <w:r>
        <w:t>由评审专家推选评审小组组长，采购人代表不得担任评审小组组长。</w:t>
      </w:r>
    </w:p>
    <w:p w14:paraId="03A36C06">
      <w:pPr>
        <w:pStyle w:val="52"/>
        <w:numPr>
          <w:ilvl w:val="0"/>
          <w:numId w:val="53"/>
        </w:numPr>
        <w:bidi w:val="0"/>
      </w:pPr>
      <w:r>
        <w:t>由评审小组组长召集所有评委成员阅读采购文件及相关补充、质疑、答复文件、项目书面说明等材料，熟悉采购项目基本情况、采购需求、合同主要条款、投标文件无效情形、评审办法、评审标准，以及其他与评审有关的内容。</w:t>
      </w:r>
    </w:p>
    <w:p w14:paraId="3A22F937">
      <w:pPr>
        <w:pStyle w:val="44"/>
        <w:numPr>
          <w:ilvl w:val="1"/>
          <w:numId w:val="51"/>
        </w:numPr>
        <w:rPr>
          <w:rFonts w:hint="eastAsia"/>
          <w:u w:val="single"/>
        </w:rPr>
      </w:pPr>
      <w:bookmarkStart w:id="65" w:name="_Toc12547"/>
      <w:r>
        <w:rPr>
          <w:rFonts w:hint="eastAsia"/>
          <w:lang w:val="en-US" w:eastAsia="zh-CN"/>
        </w:rPr>
        <w:t>评分标准</w:t>
      </w:r>
      <w:bookmarkEnd w:id="65"/>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6778"/>
        <w:gridCol w:w="964"/>
      </w:tblGrid>
      <w:tr w14:paraId="53C7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7" w:type="dxa"/>
            <w:tcBorders>
              <w:top w:val="single" w:color="auto" w:sz="4" w:space="0"/>
              <w:left w:val="single" w:color="auto"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3C3492CC">
            <w:pPr>
              <w:pStyle w:val="42"/>
              <w:ind w:left="0" w:leftChars="0" w:firstLine="0" w:firstLineChars="0"/>
              <w:jc w:val="center"/>
              <w:rPr>
                <w:rFonts w:cs="宋体" w:eastAsiaTheme="minorEastAsia"/>
                <w:b/>
                <w:bCs/>
                <w:i w:val="0"/>
                <w:kern w:val="0"/>
                <w:szCs w:val="24"/>
              </w:rPr>
            </w:pPr>
            <w:r>
              <w:rPr>
                <w:rFonts w:hint="eastAsia" w:cs="宋体" w:eastAsiaTheme="minorEastAsia"/>
                <w:b/>
                <w:bCs/>
                <w:i w:val="0"/>
                <w:kern w:val="0"/>
                <w:szCs w:val="24"/>
                <w:lang w:eastAsia="zh-CN"/>
              </w:rPr>
              <w:t>序号</w:t>
            </w:r>
          </w:p>
        </w:tc>
        <w:tc>
          <w:tcPr>
            <w:tcW w:w="6778" w:type="dxa"/>
            <w:tcBorders>
              <w:top w:val="single" w:color="auto" w:sz="4" w:space="0"/>
              <w:left w:val="single" w:color="000000"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7FDB796B">
            <w:pPr>
              <w:pStyle w:val="42"/>
              <w:ind w:firstLine="0" w:firstLineChars="0"/>
              <w:jc w:val="center"/>
              <w:rPr>
                <w:rFonts w:cs="宋体" w:eastAsiaTheme="minorEastAsia"/>
                <w:b/>
                <w:bCs/>
                <w:i w:val="0"/>
                <w:kern w:val="0"/>
                <w:szCs w:val="24"/>
              </w:rPr>
            </w:pPr>
            <w:r>
              <w:rPr>
                <w:rFonts w:hint="eastAsia" w:cs="宋体" w:eastAsiaTheme="minorEastAsia"/>
                <w:b/>
                <w:bCs/>
                <w:i w:val="0"/>
                <w:kern w:val="0"/>
                <w:szCs w:val="24"/>
              </w:rPr>
              <w:t>评分项</w:t>
            </w:r>
          </w:p>
        </w:tc>
        <w:tc>
          <w:tcPr>
            <w:tcW w:w="964" w:type="dxa"/>
            <w:tcBorders>
              <w:top w:val="single" w:color="auto" w:sz="4" w:space="0"/>
              <w:left w:val="single" w:color="000000" w:sz="4" w:space="0"/>
              <w:bottom w:val="single" w:color="auto" w:sz="4" w:space="0"/>
              <w:right w:val="single" w:color="auto" w:sz="4" w:space="0"/>
              <w:insideH w:val="single" w:sz="4" w:space="0"/>
              <w:insideV w:val="single" w:sz="4" w:space="0"/>
            </w:tcBorders>
            <w:shd w:val="clear" w:color="auto" w:fill="D7D7D7" w:themeFill="background1" w:themeFillShade="D8"/>
            <w:vAlign w:val="center"/>
          </w:tcPr>
          <w:p w14:paraId="057F96A0">
            <w:pPr>
              <w:pStyle w:val="42"/>
              <w:ind w:firstLine="0" w:firstLineChars="0"/>
              <w:jc w:val="center"/>
              <w:rPr>
                <w:rFonts w:cs="宋体" w:eastAsiaTheme="minorEastAsia"/>
                <w:b/>
                <w:bCs/>
                <w:i w:val="0"/>
                <w:kern w:val="0"/>
                <w:szCs w:val="24"/>
              </w:rPr>
            </w:pPr>
            <w:r>
              <w:rPr>
                <w:rFonts w:hint="eastAsia" w:cs="宋体" w:eastAsiaTheme="minorEastAsia"/>
                <w:b/>
                <w:bCs/>
                <w:i w:val="0"/>
                <w:kern w:val="0"/>
                <w:szCs w:val="24"/>
              </w:rPr>
              <w:t>分值</w:t>
            </w:r>
          </w:p>
        </w:tc>
      </w:tr>
      <w:tr w14:paraId="5F6E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F9DD988">
            <w:pPr>
              <w:pStyle w:val="42"/>
              <w:numPr>
                <w:ilvl w:val="0"/>
                <w:numId w:val="54"/>
              </w:numPr>
              <w:ind w:left="-415" w:leftChars="0" w:firstLine="480"/>
              <w:jc w:val="center"/>
              <w:rPr>
                <w:rFonts w:cs="宋体"/>
                <w:kern w:val="0"/>
                <w:szCs w:val="24"/>
                <w:lang w:eastAsia="zh-CN"/>
              </w:rPr>
            </w:pPr>
          </w:p>
        </w:tc>
        <w:tc>
          <w:tcPr>
            <w:tcW w:w="6778" w:type="dxa"/>
            <w:vAlign w:val="center"/>
          </w:tcPr>
          <w:p w14:paraId="5D5BDAED">
            <w:pPr>
              <w:pStyle w:val="42"/>
              <w:ind w:firstLine="0" w:firstLineChars="0"/>
              <w:rPr>
                <w:rFonts w:cs="宋体"/>
                <w:b/>
                <w:bCs/>
                <w:szCs w:val="24"/>
              </w:rPr>
            </w:pPr>
            <w:r>
              <w:rPr>
                <w:rFonts w:hint="eastAsia" w:cs="宋体"/>
                <w:b/>
                <w:bCs/>
                <w:szCs w:val="24"/>
              </w:rPr>
              <w:t>项目需求分析评价</w:t>
            </w:r>
          </w:p>
          <w:p w14:paraId="5DF63881">
            <w:pPr>
              <w:pStyle w:val="42"/>
              <w:ind w:firstLine="0" w:firstLineChars="0"/>
              <w:rPr>
                <w:rFonts w:cs="宋体"/>
                <w:szCs w:val="24"/>
                <w:lang w:eastAsia="zh-CN"/>
              </w:rPr>
            </w:pPr>
            <w:r>
              <w:rPr>
                <w:rFonts w:hint="eastAsia" w:cs="宋体"/>
                <w:szCs w:val="24"/>
                <w:lang w:eastAsia="zh-CN"/>
              </w:rPr>
              <w:t>供应商</w:t>
            </w:r>
            <w:r>
              <w:rPr>
                <w:rFonts w:hint="eastAsia" w:cs="宋体"/>
                <w:szCs w:val="24"/>
              </w:rPr>
              <w:t>对项目</w:t>
            </w:r>
            <w:r>
              <w:rPr>
                <w:rFonts w:hint="eastAsia" w:cs="宋体"/>
                <w:szCs w:val="24"/>
                <w:lang w:eastAsia="zh-CN"/>
              </w:rPr>
              <w:t>需求</w:t>
            </w:r>
            <w:r>
              <w:rPr>
                <w:rFonts w:hint="eastAsia" w:cs="宋体"/>
                <w:szCs w:val="24"/>
              </w:rPr>
              <w:t>的理解</w:t>
            </w:r>
            <w:r>
              <w:rPr>
                <w:rFonts w:hint="eastAsia" w:cs="宋体"/>
                <w:szCs w:val="24"/>
                <w:lang w:eastAsia="zh-CN"/>
              </w:rPr>
              <w:t>,</w:t>
            </w:r>
            <w:r>
              <w:rPr>
                <w:rFonts w:hint="eastAsia" w:cs="宋体"/>
                <w:szCs w:val="24"/>
              </w:rPr>
              <w:t>对本项目背景和现状、相关标准及规范的了解程度，项目目标和总体技术路线与</w:t>
            </w:r>
            <w:r>
              <w:rPr>
                <w:rFonts w:hint="eastAsia" w:cs="宋体"/>
                <w:szCs w:val="24"/>
                <w:lang w:eastAsia="zh-CN"/>
              </w:rPr>
              <w:t>采购人</w:t>
            </w:r>
            <w:r>
              <w:rPr>
                <w:rFonts w:hint="eastAsia" w:cs="宋体"/>
                <w:szCs w:val="24"/>
              </w:rPr>
              <w:t>需求吻合程度。</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3D0F174">
            <w:pPr>
              <w:pStyle w:val="42"/>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3DE24FFE">
            <w:pPr>
              <w:pStyle w:val="42"/>
              <w:ind w:firstLine="0" w:firstLineChars="0"/>
              <w:jc w:val="center"/>
              <w:rPr>
                <w:rFonts w:cs="宋体"/>
                <w:kern w:val="0"/>
                <w:szCs w:val="24"/>
                <w:lang w:eastAsia="zh-CN"/>
              </w:rPr>
            </w:pPr>
            <w:r>
              <w:rPr>
                <w:rFonts w:hint="eastAsia" w:cs="宋体"/>
                <w:kern w:val="0"/>
                <w:szCs w:val="24"/>
                <w:lang w:eastAsia="zh-CN"/>
              </w:rPr>
              <w:t>5</w:t>
            </w:r>
          </w:p>
        </w:tc>
      </w:tr>
      <w:tr w14:paraId="3353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7FAFE8BB">
            <w:pPr>
              <w:pStyle w:val="42"/>
              <w:numPr>
                <w:ilvl w:val="0"/>
                <w:numId w:val="54"/>
              </w:numPr>
              <w:ind w:left="-415" w:leftChars="0" w:firstLine="480"/>
              <w:jc w:val="center"/>
              <w:rPr>
                <w:rFonts w:cs="宋体"/>
                <w:kern w:val="0"/>
                <w:szCs w:val="24"/>
                <w:lang w:eastAsia="zh-CN"/>
              </w:rPr>
            </w:pPr>
          </w:p>
        </w:tc>
        <w:tc>
          <w:tcPr>
            <w:tcW w:w="6778" w:type="dxa"/>
            <w:vAlign w:val="center"/>
          </w:tcPr>
          <w:p w14:paraId="1A650B96">
            <w:pPr>
              <w:pStyle w:val="42"/>
              <w:ind w:firstLine="0" w:firstLineChars="0"/>
              <w:rPr>
                <w:rFonts w:hint="default" w:cs="宋体"/>
                <w:b/>
                <w:bCs/>
                <w:szCs w:val="24"/>
                <w:lang w:val="en-US" w:eastAsia="zh-CN"/>
              </w:rPr>
            </w:pPr>
            <w:r>
              <w:rPr>
                <w:rFonts w:hint="eastAsia" w:cs="宋体"/>
                <w:b/>
                <w:bCs/>
                <w:szCs w:val="24"/>
                <w:lang w:val="en-US" w:eastAsia="zh-CN"/>
              </w:rPr>
              <w:t>跨省北斗定位漫游服务功能升级优化方案评价</w:t>
            </w:r>
          </w:p>
          <w:p w14:paraId="743AEFA7">
            <w:pPr>
              <w:pStyle w:val="42"/>
              <w:ind w:firstLine="0" w:firstLineChars="0"/>
              <w:rPr>
                <w:rFonts w:cs="宋体"/>
                <w:szCs w:val="24"/>
                <w:lang w:eastAsia="zh-CN"/>
              </w:rPr>
            </w:pPr>
            <w:r>
              <w:rPr>
                <w:rFonts w:hint="eastAsia" w:cs="宋体"/>
                <w:szCs w:val="24"/>
                <w:lang w:eastAsia="zh-CN"/>
              </w:rPr>
              <w:t>供应商</w:t>
            </w:r>
            <w:r>
              <w:rPr>
                <w:rFonts w:hint="eastAsia" w:cs="宋体"/>
                <w:szCs w:val="24"/>
              </w:rPr>
              <w:t>对</w:t>
            </w:r>
            <w:r>
              <w:rPr>
                <w:rFonts w:hint="eastAsia" w:cs="宋体"/>
                <w:b w:val="0"/>
                <w:bCs w:val="0"/>
                <w:szCs w:val="24"/>
                <w:lang w:val="en-US" w:eastAsia="zh-CN"/>
              </w:rPr>
              <w:t>跨省北斗定位漫游服务功能升级优化方案，</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1E04EFF9">
            <w:pPr>
              <w:pStyle w:val="42"/>
              <w:ind w:firstLine="0" w:firstLineChars="0"/>
              <w:rPr>
                <w:rFonts w:hint="eastAsia" w:eastAsia="宋体" w:cs="宋体"/>
                <w:b/>
                <w:bCs/>
                <w:szCs w:val="24"/>
                <w:lang w:val="en-US"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3F93636C">
            <w:pPr>
              <w:pStyle w:val="42"/>
              <w:ind w:firstLine="0" w:firstLineChars="0"/>
              <w:jc w:val="center"/>
              <w:rPr>
                <w:rFonts w:hint="default" w:cs="宋体"/>
                <w:kern w:val="0"/>
                <w:szCs w:val="24"/>
                <w:lang w:val="en-US" w:eastAsia="zh-CN"/>
              </w:rPr>
            </w:pPr>
            <w:r>
              <w:rPr>
                <w:rFonts w:hint="eastAsia" w:cs="宋体"/>
                <w:kern w:val="0"/>
                <w:szCs w:val="24"/>
                <w:lang w:val="en-US" w:eastAsia="zh-CN"/>
              </w:rPr>
              <w:t>5</w:t>
            </w:r>
          </w:p>
        </w:tc>
      </w:tr>
      <w:tr w14:paraId="4326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3379633">
            <w:pPr>
              <w:pStyle w:val="42"/>
              <w:numPr>
                <w:ilvl w:val="0"/>
                <w:numId w:val="54"/>
              </w:numPr>
              <w:ind w:left="-415" w:leftChars="0" w:firstLine="480"/>
              <w:jc w:val="center"/>
              <w:rPr>
                <w:rFonts w:cs="宋体"/>
                <w:kern w:val="0"/>
                <w:szCs w:val="24"/>
                <w:lang w:eastAsia="zh-CN"/>
              </w:rPr>
            </w:pPr>
          </w:p>
        </w:tc>
        <w:tc>
          <w:tcPr>
            <w:tcW w:w="6778" w:type="dxa"/>
            <w:vAlign w:val="center"/>
          </w:tcPr>
          <w:p w14:paraId="3A6A4211">
            <w:pPr>
              <w:pStyle w:val="42"/>
              <w:ind w:firstLine="0" w:firstLineChars="0"/>
              <w:rPr>
                <w:rFonts w:hint="default" w:cs="宋体"/>
                <w:b/>
                <w:bCs/>
                <w:szCs w:val="24"/>
                <w:lang w:val="en-US" w:eastAsia="zh-CN"/>
              </w:rPr>
            </w:pPr>
            <w:r>
              <w:rPr>
                <w:rFonts w:hint="eastAsia" w:cs="宋体"/>
                <w:b/>
                <w:bCs/>
                <w:szCs w:val="24"/>
                <w:lang w:val="en-US" w:eastAsia="zh-CN"/>
              </w:rPr>
              <w:t>开展北斗应用终端标准数据服务方案评价</w:t>
            </w:r>
          </w:p>
          <w:p w14:paraId="5396DD88">
            <w:pPr>
              <w:pStyle w:val="42"/>
              <w:ind w:firstLine="0" w:firstLineChars="0"/>
              <w:rPr>
                <w:rFonts w:cs="宋体"/>
                <w:szCs w:val="24"/>
                <w:lang w:eastAsia="zh-CN"/>
              </w:rPr>
            </w:pPr>
            <w:r>
              <w:rPr>
                <w:rFonts w:hint="eastAsia" w:cs="宋体"/>
                <w:szCs w:val="24"/>
                <w:lang w:eastAsia="zh-CN"/>
              </w:rPr>
              <w:t>供应商</w:t>
            </w:r>
            <w:r>
              <w:rPr>
                <w:rFonts w:hint="eastAsia" w:cs="宋体"/>
                <w:szCs w:val="24"/>
              </w:rPr>
              <w:t>对</w:t>
            </w:r>
            <w:r>
              <w:rPr>
                <w:rFonts w:hint="eastAsia" w:cs="宋体"/>
                <w:b w:val="0"/>
                <w:bCs w:val="0"/>
                <w:szCs w:val="24"/>
                <w:lang w:val="en-US" w:eastAsia="zh-CN"/>
              </w:rPr>
              <w:t>开展北斗应用终端标准数据服务方案</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7FA665E">
            <w:pPr>
              <w:pStyle w:val="42"/>
              <w:ind w:firstLine="0" w:firstLineChars="0"/>
              <w:rPr>
                <w:rFonts w:hint="eastAsia" w:cs="宋体"/>
                <w:b/>
                <w:bCs/>
                <w:szCs w:val="24"/>
                <w:lang w:val="en-US"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2E301345">
            <w:pPr>
              <w:pStyle w:val="42"/>
              <w:ind w:firstLine="0" w:firstLineChars="0"/>
              <w:jc w:val="center"/>
              <w:rPr>
                <w:rFonts w:hint="default" w:cs="宋体"/>
                <w:kern w:val="0"/>
                <w:szCs w:val="24"/>
                <w:lang w:val="en-US" w:eastAsia="zh-CN"/>
              </w:rPr>
            </w:pPr>
            <w:r>
              <w:rPr>
                <w:rFonts w:hint="eastAsia" w:cs="宋体"/>
                <w:kern w:val="0"/>
                <w:szCs w:val="24"/>
                <w:lang w:val="en-US" w:eastAsia="zh-CN"/>
              </w:rPr>
              <w:t>5</w:t>
            </w:r>
          </w:p>
        </w:tc>
      </w:tr>
      <w:tr w14:paraId="56D0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D4066C9">
            <w:pPr>
              <w:pStyle w:val="42"/>
              <w:numPr>
                <w:ilvl w:val="0"/>
                <w:numId w:val="54"/>
              </w:numPr>
              <w:ind w:left="-415" w:leftChars="0" w:firstLine="480"/>
              <w:jc w:val="center"/>
              <w:rPr>
                <w:rFonts w:cs="宋体"/>
                <w:kern w:val="0"/>
                <w:szCs w:val="24"/>
                <w:lang w:eastAsia="zh-CN"/>
              </w:rPr>
            </w:pPr>
          </w:p>
        </w:tc>
        <w:tc>
          <w:tcPr>
            <w:tcW w:w="6778" w:type="dxa"/>
            <w:vAlign w:val="center"/>
          </w:tcPr>
          <w:p w14:paraId="6E4CEE97">
            <w:pPr>
              <w:pStyle w:val="42"/>
              <w:ind w:firstLine="0" w:firstLineChars="0"/>
              <w:rPr>
                <w:rFonts w:cs="宋体"/>
                <w:b/>
                <w:bCs/>
                <w:szCs w:val="24"/>
              </w:rPr>
            </w:pPr>
            <w:r>
              <w:rPr>
                <w:rFonts w:hint="eastAsia" w:cs="宋体"/>
                <w:b/>
                <w:bCs/>
                <w:szCs w:val="24"/>
              </w:rPr>
              <w:t>重难点分析评价</w:t>
            </w:r>
          </w:p>
          <w:p w14:paraId="18C615C7">
            <w:pPr>
              <w:pStyle w:val="42"/>
              <w:ind w:firstLine="0" w:firstLineChars="0"/>
              <w:rPr>
                <w:rFonts w:cs="宋体"/>
                <w:szCs w:val="24"/>
                <w:lang w:eastAsia="zh-CN"/>
              </w:rPr>
            </w:pPr>
            <w:r>
              <w:rPr>
                <w:rFonts w:hint="eastAsia" w:cs="宋体"/>
                <w:szCs w:val="24"/>
                <w:lang w:eastAsia="zh-CN"/>
              </w:rPr>
              <w:t>供应商对本项目</w:t>
            </w:r>
            <w:r>
              <w:rPr>
                <w:rFonts w:hint="eastAsia" w:cs="宋体"/>
                <w:szCs w:val="24"/>
              </w:rPr>
              <w:t>重难点分析清楚准确到位，符合项目实际情况，对应的解决方法与措施合理可行，针对性强，具有可操作性的得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3E277F36">
            <w:pPr>
              <w:pStyle w:val="42"/>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51CA98CA">
            <w:pPr>
              <w:pStyle w:val="42"/>
              <w:ind w:firstLine="0" w:firstLineChars="0"/>
              <w:jc w:val="center"/>
              <w:rPr>
                <w:rFonts w:cs="宋体"/>
                <w:kern w:val="0"/>
                <w:szCs w:val="24"/>
                <w:lang w:eastAsia="zh-CN"/>
              </w:rPr>
            </w:pPr>
            <w:r>
              <w:rPr>
                <w:rFonts w:hint="eastAsia" w:cs="宋体"/>
                <w:kern w:val="0"/>
                <w:szCs w:val="24"/>
                <w:lang w:eastAsia="zh-CN"/>
              </w:rPr>
              <w:t>5</w:t>
            </w:r>
          </w:p>
        </w:tc>
      </w:tr>
      <w:tr w14:paraId="6FE3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7F493651">
            <w:pPr>
              <w:pStyle w:val="42"/>
              <w:numPr>
                <w:ilvl w:val="0"/>
                <w:numId w:val="54"/>
              </w:numPr>
              <w:ind w:left="-415" w:leftChars="0" w:firstLine="480"/>
              <w:jc w:val="center"/>
              <w:rPr>
                <w:rFonts w:cs="宋体"/>
                <w:kern w:val="0"/>
                <w:szCs w:val="24"/>
                <w:lang w:eastAsia="zh-CN"/>
              </w:rPr>
            </w:pPr>
          </w:p>
        </w:tc>
        <w:tc>
          <w:tcPr>
            <w:tcW w:w="6778" w:type="dxa"/>
            <w:vAlign w:val="center"/>
          </w:tcPr>
          <w:p w14:paraId="744CDF40">
            <w:pPr>
              <w:pStyle w:val="42"/>
              <w:ind w:firstLine="0" w:firstLineChars="0"/>
              <w:rPr>
                <w:rFonts w:cs="宋体"/>
                <w:b/>
                <w:bCs/>
                <w:szCs w:val="24"/>
              </w:rPr>
            </w:pPr>
            <w:r>
              <w:rPr>
                <w:rFonts w:hint="eastAsia" w:cs="宋体"/>
                <w:b/>
                <w:bCs/>
                <w:szCs w:val="24"/>
              </w:rPr>
              <w:t>总体实施</w:t>
            </w:r>
            <w:r>
              <w:rPr>
                <w:rFonts w:hint="eastAsia" w:cs="宋体"/>
                <w:b/>
                <w:bCs/>
                <w:szCs w:val="24"/>
                <w:lang w:eastAsia="zh-CN"/>
              </w:rPr>
              <w:t>方案评价</w:t>
            </w:r>
          </w:p>
          <w:p w14:paraId="100B5AF7">
            <w:pPr>
              <w:pStyle w:val="42"/>
              <w:ind w:firstLine="0" w:firstLineChars="0"/>
              <w:rPr>
                <w:rFonts w:cs="宋体"/>
                <w:szCs w:val="24"/>
                <w:lang w:eastAsia="zh-CN"/>
              </w:rPr>
            </w:pPr>
            <w:r>
              <w:rPr>
                <w:rFonts w:hint="eastAsia" w:cs="宋体"/>
                <w:bCs/>
                <w:szCs w:val="24"/>
              </w:rPr>
              <w:t>实施方案应包含目标成果、</w:t>
            </w:r>
            <w:r>
              <w:rPr>
                <w:rFonts w:hint="eastAsia" w:cs="宋体"/>
                <w:bCs/>
                <w:szCs w:val="24"/>
                <w:lang w:eastAsia="zh-CN"/>
              </w:rPr>
              <w:t>工作</w:t>
            </w:r>
            <w:r>
              <w:rPr>
                <w:rFonts w:hint="eastAsia" w:cs="宋体"/>
              </w:rPr>
              <w:t>过程中的重要时间节点及相应举措</w:t>
            </w:r>
            <w:r>
              <w:rPr>
                <w:rFonts w:hint="eastAsia" w:cs="宋体"/>
                <w:bCs/>
                <w:szCs w:val="24"/>
              </w:rPr>
              <w:t>等要素且与上述需求分析和技术方案匹配度高，关联性强</w:t>
            </w:r>
            <w:r>
              <w:rPr>
                <w:rFonts w:hint="eastAsia" w:cs="宋体"/>
                <w:szCs w:val="24"/>
                <w:lang w:eastAsia="zh-CN"/>
              </w:rPr>
              <w:t>；</w:t>
            </w:r>
            <w:r>
              <w:rPr>
                <w:rFonts w:hint="eastAsia" w:cs="宋体"/>
                <w:bCs/>
                <w:szCs w:val="24"/>
              </w:rPr>
              <w:t>目标成果与采购需求完全匹配；各阶段实施措施能有效支撑采购需求，最大限度的保证成果质量</w:t>
            </w:r>
            <w:r>
              <w:rPr>
                <w:rFonts w:hint="eastAsia" w:cs="宋体"/>
                <w:bCs/>
                <w:szCs w:val="24"/>
                <w:lang w:eastAsia="zh-CN"/>
              </w:rPr>
              <w:t>，</w:t>
            </w:r>
            <w:r>
              <w:rPr>
                <w:rFonts w:hint="eastAsia" w:cs="宋体"/>
                <w:szCs w:val="24"/>
                <w:lang w:eastAsia="zh-CN"/>
              </w:rPr>
              <w:t>方案内容完整、针对性强</w:t>
            </w:r>
            <w:r>
              <w:rPr>
                <w:rFonts w:hint="eastAsia" w:cs="宋体"/>
                <w:szCs w:val="24"/>
              </w:rPr>
              <w:t>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5CBD3B97">
            <w:pPr>
              <w:pStyle w:val="42"/>
              <w:ind w:firstLine="0" w:firstLineChars="0"/>
              <w:rPr>
                <w:rFonts w:cs="Times New Roman (正文 CS 字体)"/>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7113A27E">
            <w:pPr>
              <w:pStyle w:val="42"/>
              <w:ind w:firstLine="0" w:firstLineChars="0"/>
              <w:jc w:val="center"/>
              <w:rPr>
                <w:rFonts w:cs="宋体"/>
                <w:kern w:val="0"/>
                <w:szCs w:val="24"/>
                <w:lang w:eastAsia="zh-CN"/>
              </w:rPr>
            </w:pPr>
            <w:r>
              <w:rPr>
                <w:rFonts w:cs="宋体"/>
                <w:kern w:val="0"/>
                <w:szCs w:val="24"/>
              </w:rPr>
              <w:t>5</w:t>
            </w:r>
          </w:p>
        </w:tc>
      </w:tr>
      <w:tr w14:paraId="5786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7DF8396">
            <w:pPr>
              <w:pStyle w:val="42"/>
              <w:numPr>
                <w:ilvl w:val="0"/>
                <w:numId w:val="54"/>
              </w:numPr>
              <w:ind w:left="-415" w:leftChars="0" w:firstLine="480"/>
              <w:jc w:val="center"/>
              <w:rPr>
                <w:rFonts w:cs="宋体"/>
                <w:kern w:val="0"/>
                <w:szCs w:val="24"/>
                <w:lang w:eastAsia="zh-CN"/>
              </w:rPr>
            </w:pPr>
          </w:p>
        </w:tc>
        <w:tc>
          <w:tcPr>
            <w:tcW w:w="6778" w:type="dxa"/>
            <w:vAlign w:val="center"/>
          </w:tcPr>
          <w:p w14:paraId="730D839E">
            <w:pPr>
              <w:pStyle w:val="42"/>
              <w:ind w:firstLine="0" w:firstLineChars="0"/>
              <w:rPr>
                <w:rFonts w:cs="宋体"/>
                <w:b/>
                <w:bCs/>
                <w:szCs w:val="24"/>
                <w:lang w:eastAsia="zh-CN"/>
              </w:rPr>
            </w:pPr>
            <w:r>
              <w:rPr>
                <w:rFonts w:hint="eastAsia" w:cs="宋体"/>
                <w:b/>
                <w:bCs/>
                <w:szCs w:val="24"/>
                <w:lang w:eastAsia="zh-CN"/>
              </w:rPr>
              <w:t>针对项目软硬件投入情况评价</w:t>
            </w:r>
          </w:p>
          <w:p w14:paraId="7DB33287">
            <w:pPr>
              <w:pStyle w:val="42"/>
              <w:ind w:firstLine="0" w:firstLineChars="0"/>
              <w:rPr>
                <w:rFonts w:cs="宋体"/>
                <w:szCs w:val="24"/>
                <w:lang w:eastAsia="zh-CN"/>
              </w:rPr>
            </w:pPr>
            <w:r>
              <w:rPr>
                <w:rFonts w:hint="eastAsia" w:cs="宋体"/>
                <w:szCs w:val="24"/>
                <w:lang w:eastAsia="zh-CN"/>
              </w:rPr>
              <w:t>根据本项目需求投入的软硬件设备数量、种类等情况进行综合评分，设备数量能完全满足项目实施且各设备种类齐全</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525EE403">
            <w:pPr>
              <w:pStyle w:val="42"/>
              <w:ind w:firstLine="0" w:firstLineChars="0"/>
              <w:rPr>
                <w:rFonts w:cs="宋体"/>
                <w:szCs w:val="24"/>
                <w:lang w:eastAsia="zh-CN"/>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7E1EE86A">
            <w:pPr>
              <w:pStyle w:val="42"/>
              <w:ind w:firstLine="0" w:firstLineChars="0"/>
              <w:jc w:val="center"/>
              <w:rPr>
                <w:rFonts w:cs="宋体"/>
                <w:kern w:val="0"/>
                <w:szCs w:val="24"/>
                <w:lang w:eastAsia="zh-CN"/>
              </w:rPr>
            </w:pPr>
            <w:r>
              <w:rPr>
                <w:rFonts w:hint="eastAsia" w:cs="宋体"/>
                <w:kern w:val="0"/>
                <w:szCs w:val="24"/>
                <w:lang w:eastAsia="zh-CN"/>
              </w:rPr>
              <w:t>5</w:t>
            </w:r>
          </w:p>
        </w:tc>
      </w:tr>
      <w:tr w14:paraId="0534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544564D">
            <w:pPr>
              <w:pStyle w:val="42"/>
              <w:numPr>
                <w:ilvl w:val="0"/>
                <w:numId w:val="54"/>
              </w:numPr>
              <w:ind w:left="-415" w:leftChars="0" w:firstLine="480"/>
              <w:jc w:val="center"/>
              <w:rPr>
                <w:rFonts w:cs="宋体"/>
                <w:kern w:val="0"/>
                <w:szCs w:val="24"/>
                <w:lang w:eastAsia="zh-CN"/>
              </w:rPr>
            </w:pPr>
          </w:p>
        </w:tc>
        <w:tc>
          <w:tcPr>
            <w:tcW w:w="6778" w:type="dxa"/>
            <w:vAlign w:val="center"/>
          </w:tcPr>
          <w:p w14:paraId="4D07416F">
            <w:pPr>
              <w:pStyle w:val="42"/>
              <w:ind w:firstLine="0" w:firstLineChars="0"/>
              <w:rPr>
                <w:rFonts w:cs="宋体"/>
                <w:b/>
                <w:bCs/>
                <w:szCs w:val="24"/>
                <w:lang w:eastAsia="zh-CN"/>
              </w:rPr>
            </w:pPr>
            <w:r>
              <w:rPr>
                <w:rFonts w:hint="eastAsia" w:cs="宋体"/>
                <w:b/>
                <w:bCs/>
                <w:szCs w:val="24"/>
                <w:lang w:eastAsia="zh-CN"/>
              </w:rPr>
              <w:t>售后服务方案评价</w:t>
            </w:r>
          </w:p>
          <w:p w14:paraId="384C89FE">
            <w:pPr>
              <w:pStyle w:val="42"/>
              <w:ind w:firstLine="0" w:firstLineChars="0"/>
              <w:rPr>
                <w:rFonts w:cs="宋体"/>
                <w:szCs w:val="24"/>
                <w:lang w:eastAsia="zh-CN"/>
              </w:rPr>
            </w:pPr>
            <w:r>
              <w:rPr>
                <w:rFonts w:hint="eastAsia" w:cs="宋体"/>
                <w:szCs w:val="24"/>
              </w:rPr>
              <w:t>根据投标供应商对服务期限及后续服务承诺等由评委进行综合评分，承诺包括售后服务措施、售后服务承诺、响应时间等内容，针对性强且满足需求的得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6A092EF">
            <w:pPr>
              <w:pStyle w:val="42"/>
              <w:ind w:firstLine="0" w:firstLineChars="0"/>
              <w:rPr>
                <w:rFonts w:cs="宋体"/>
                <w:szCs w:val="24"/>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5E428F04">
            <w:pPr>
              <w:pStyle w:val="42"/>
              <w:ind w:firstLine="0" w:firstLineChars="0"/>
              <w:jc w:val="center"/>
              <w:rPr>
                <w:rFonts w:cs="宋体"/>
                <w:color w:val="FF0000"/>
                <w:kern w:val="0"/>
                <w:szCs w:val="24"/>
                <w:lang w:eastAsia="zh-CN"/>
              </w:rPr>
            </w:pPr>
            <w:r>
              <w:rPr>
                <w:rFonts w:hint="eastAsia" w:cs="宋体"/>
                <w:kern w:val="0"/>
                <w:szCs w:val="24"/>
                <w:lang w:eastAsia="zh-CN"/>
              </w:rPr>
              <w:t>5</w:t>
            </w:r>
          </w:p>
        </w:tc>
      </w:tr>
      <w:tr w14:paraId="4A661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0BEC407A">
            <w:pPr>
              <w:pStyle w:val="42"/>
              <w:numPr>
                <w:ilvl w:val="0"/>
                <w:numId w:val="54"/>
              </w:numPr>
              <w:ind w:left="-415" w:leftChars="0" w:firstLine="480"/>
              <w:jc w:val="center"/>
              <w:rPr>
                <w:rFonts w:cs="宋体"/>
                <w:kern w:val="0"/>
                <w:szCs w:val="24"/>
                <w:lang w:eastAsia="zh-CN"/>
              </w:rPr>
            </w:pPr>
          </w:p>
        </w:tc>
        <w:tc>
          <w:tcPr>
            <w:tcW w:w="6778" w:type="dxa"/>
            <w:vAlign w:val="center"/>
          </w:tcPr>
          <w:p w14:paraId="58B1C519">
            <w:pPr>
              <w:pStyle w:val="42"/>
              <w:ind w:firstLine="0" w:firstLineChars="0"/>
              <w:rPr>
                <w:rFonts w:cs="宋体"/>
                <w:b/>
                <w:bCs/>
                <w:szCs w:val="24"/>
                <w:lang w:eastAsia="zh-CN"/>
              </w:rPr>
            </w:pPr>
            <w:r>
              <w:rPr>
                <w:rFonts w:hint="eastAsia" w:cs="宋体"/>
                <w:b/>
                <w:bCs/>
                <w:szCs w:val="24"/>
                <w:lang w:val="en-US" w:eastAsia="zh-CN"/>
              </w:rPr>
              <w:t>资料分析</w:t>
            </w:r>
            <w:r>
              <w:rPr>
                <w:rFonts w:hint="eastAsia" w:cs="宋体"/>
                <w:b/>
                <w:bCs/>
                <w:szCs w:val="24"/>
                <w:lang w:eastAsia="zh-CN"/>
              </w:rPr>
              <w:t>方案评价</w:t>
            </w:r>
          </w:p>
          <w:p w14:paraId="0C64C609">
            <w:pPr>
              <w:pStyle w:val="42"/>
              <w:ind w:firstLine="0" w:firstLineChars="0"/>
              <w:rPr>
                <w:rFonts w:cs="宋体"/>
                <w:szCs w:val="24"/>
                <w:lang w:eastAsia="zh-CN"/>
              </w:rPr>
            </w:pPr>
            <w:r>
              <w:rPr>
                <w:rFonts w:hint="eastAsia" w:cs="宋体"/>
                <w:szCs w:val="24"/>
              </w:rPr>
              <w:t>根据投标供应商对</w:t>
            </w:r>
            <w:r>
              <w:rPr>
                <w:rFonts w:hint="eastAsia" w:cs="宋体"/>
                <w:szCs w:val="24"/>
                <w:lang w:val="en-US" w:eastAsia="zh-CN"/>
              </w:rPr>
              <w:t>本项目已有资料的分析利用情况</w:t>
            </w:r>
            <w:r>
              <w:rPr>
                <w:rFonts w:hint="eastAsia" w:cs="宋体"/>
                <w:szCs w:val="24"/>
              </w:rPr>
              <w:t>等由评委进行综合评分，</w:t>
            </w:r>
            <w:r>
              <w:rPr>
                <w:rFonts w:hint="eastAsia" w:cs="宋体"/>
                <w:b w:val="0"/>
                <w:bCs w:val="0"/>
                <w:szCs w:val="24"/>
                <w:lang w:val="en-US" w:eastAsia="zh-CN"/>
              </w:rPr>
              <w:t>方案</w:t>
            </w:r>
            <w:r>
              <w:rPr>
                <w:rFonts w:hint="eastAsia" w:cs="宋体"/>
                <w:szCs w:val="24"/>
                <w:lang w:eastAsia="zh-CN"/>
              </w:rPr>
              <w:t>分析</w:t>
            </w:r>
            <w:r>
              <w:rPr>
                <w:rFonts w:hint="eastAsia" w:cs="宋体"/>
                <w:szCs w:val="24"/>
              </w:rPr>
              <w:t>明确、详尽、业务熟悉、针对性强且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7BD98362">
            <w:pPr>
              <w:pStyle w:val="42"/>
              <w:ind w:firstLine="0" w:firstLineChars="0"/>
              <w:rPr>
                <w:rFonts w:hint="eastAsia" w:cs="Times New Roman (正文 CS 字体)"/>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21D92E15">
            <w:pPr>
              <w:pStyle w:val="42"/>
              <w:ind w:firstLine="0" w:firstLineChars="0"/>
              <w:jc w:val="center"/>
              <w:rPr>
                <w:rFonts w:hint="default" w:cs="宋体"/>
                <w:kern w:val="0"/>
                <w:szCs w:val="24"/>
                <w:lang w:val="en-US" w:eastAsia="zh-CN"/>
              </w:rPr>
            </w:pPr>
            <w:r>
              <w:rPr>
                <w:rFonts w:hint="eastAsia" w:cs="宋体"/>
                <w:kern w:val="0"/>
                <w:szCs w:val="24"/>
                <w:lang w:val="en-US" w:eastAsia="zh-CN"/>
              </w:rPr>
              <w:t>5</w:t>
            </w:r>
          </w:p>
        </w:tc>
      </w:tr>
      <w:tr w14:paraId="664C1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115F7D9">
            <w:pPr>
              <w:pStyle w:val="42"/>
              <w:numPr>
                <w:ilvl w:val="0"/>
                <w:numId w:val="54"/>
              </w:numPr>
              <w:ind w:left="-415" w:leftChars="0" w:firstLine="480"/>
              <w:jc w:val="center"/>
              <w:rPr>
                <w:rFonts w:cs="宋体"/>
                <w:kern w:val="0"/>
                <w:szCs w:val="24"/>
                <w:lang w:eastAsia="zh-CN"/>
              </w:rPr>
            </w:pPr>
          </w:p>
        </w:tc>
        <w:tc>
          <w:tcPr>
            <w:tcW w:w="6778" w:type="dxa"/>
            <w:vAlign w:val="center"/>
          </w:tcPr>
          <w:p w14:paraId="1C8AEBBB">
            <w:pPr>
              <w:pStyle w:val="42"/>
              <w:ind w:firstLine="0" w:firstLineChars="0"/>
              <w:rPr>
                <w:rFonts w:cs="宋体"/>
                <w:b/>
                <w:bCs/>
                <w:szCs w:val="24"/>
                <w:lang w:eastAsia="zh-CN"/>
              </w:rPr>
            </w:pPr>
            <w:r>
              <w:rPr>
                <w:rFonts w:hint="eastAsia" w:cs="宋体"/>
                <w:b/>
                <w:bCs/>
                <w:szCs w:val="24"/>
                <w:lang w:val="en-US" w:eastAsia="zh-CN"/>
              </w:rPr>
              <w:t>保密</w:t>
            </w:r>
            <w:r>
              <w:rPr>
                <w:rFonts w:hint="eastAsia" w:cs="宋体"/>
                <w:b/>
                <w:bCs/>
                <w:szCs w:val="24"/>
                <w:lang w:eastAsia="zh-CN"/>
              </w:rPr>
              <w:t>方案评价</w:t>
            </w:r>
          </w:p>
          <w:p w14:paraId="6E34B028">
            <w:pPr>
              <w:pStyle w:val="42"/>
              <w:ind w:firstLine="0" w:firstLineChars="0"/>
              <w:rPr>
                <w:rFonts w:cs="宋体"/>
                <w:szCs w:val="24"/>
                <w:lang w:eastAsia="zh-CN"/>
              </w:rPr>
            </w:pPr>
            <w:r>
              <w:rPr>
                <w:rFonts w:hint="eastAsia" w:cs="宋体"/>
                <w:szCs w:val="24"/>
              </w:rPr>
              <w:t>根据投标供应商对</w:t>
            </w:r>
            <w:r>
              <w:rPr>
                <w:rFonts w:hint="eastAsia" w:cs="宋体"/>
                <w:szCs w:val="24"/>
                <w:lang w:val="en-US" w:eastAsia="zh-CN"/>
              </w:rPr>
              <w:t>项目数据传输、数据成果等安全保密的方案</w:t>
            </w:r>
            <w:r>
              <w:rPr>
                <w:rFonts w:hint="eastAsia" w:cs="宋体"/>
                <w:szCs w:val="24"/>
              </w:rPr>
              <w:t>由评委进行综合评分，</w:t>
            </w:r>
            <w:r>
              <w:rPr>
                <w:rFonts w:hint="eastAsia" w:cs="宋体"/>
                <w:b w:val="0"/>
                <w:bCs w:val="0"/>
                <w:szCs w:val="24"/>
                <w:lang w:val="en-US" w:eastAsia="zh-CN"/>
              </w:rPr>
              <w:t>方案</w:t>
            </w:r>
            <w:r>
              <w:rPr>
                <w:rFonts w:hint="eastAsia" w:cs="宋体"/>
                <w:szCs w:val="24"/>
                <w:lang w:eastAsia="zh-CN"/>
              </w:rPr>
              <w:t>分析</w:t>
            </w:r>
            <w:r>
              <w:rPr>
                <w:rFonts w:hint="eastAsia" w:cs="宋体"/>
                <w:szCs w:val="24"/>
              </w:rPr>
              <w:t>明确、详尽、</w:t>
            </w:r>
            <w:r>
              <w:rPr>
                <w:rFonts w:hint="eastAsia" w:cs="宋体"/>
                <w:szCs w:val="24"/>
                <w:lang w:val="en-US" w:eastAsia="zh-CN"/>
              </w:rPr>
              <w:t>全面</w:t>
            </w:r>
            <w:r>
              <w:rPr>
                <w:rFonts w:hint="eastAsia" w:cs="宋体"/>
                <w:szCs w:val="24"/>
              </w:rPr>
              <w:t>、针对性强且</w:t>
            </w:r>
            <w:r>
              <w:rPr>
                <w:rFonts w:hint="eastAsia" w:cs="宋体"/>
                <w:szCs w:val="24"/>
                <w:lang w:eastAsia="zh-CN"/>
              </w:rPr>
              <w:t>可行性高</w:t>
            </w:r>
            <w:r>
              <w:rPr>
                <w:rFonts w:hint="eastAsia" w:cs="宋体"/>
                <w:szCs w:val="24"/>
              </w:rPr>
              <w:t>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43B7F79C">
            <w:pPr>
              <w:pStyle w:val="42"/>
              <w:ind w:firstLine="0" w:firstLineChars="0"/>
              <w:rPr>
                <w:rFonts w:hint="eastAsia" w:cs="Times New Roman (正文 CS 字体)"/>
                <w:lang w:eastAsia="zh-CN"/>
              </w:rPr>
            </w:pPr>
            <w:r>
              <w:rPr>
                <w:rFonts w:hint="eastAsia" w:cs="Times New Roman (正文 CS 字体)"/>
                <w:lang w:eastAsia="zh-CN"/>
              </w:rPr>
              <w:t>说明：</w:t>
            </w:r>
            <w:r>
              <w:rPr>
                <w:rFonts w:hint="eastAsia" w:cs="Times New Roman (正文 CS 字体)"/>
              </w:rPr>
              <w:t>内容有欠缺</w:t>
            </w:r>
            <w:r>
              <w:rPr>
                <w:rFonts w:hint="eastAsia" w:cs="Times New Roman (正文 CS 字体)"/>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162A72D5">
            <w:pPr>
              <w:pStyle w:val="42"/>
              <w:ind w:firstLine="0" w:firstLineChars="0"/>
              <w:jc w:val="center"/>
              <w:rPr>
                <w:rFonts w:hint="default" w:cs="宋体"/>
                <w:kern w:val="0"/>
                <w:szCs w:val="24"/>
                <w:lang w:val="en-US" w:eastAsia="zh-CN"/>
              </w:rPr>
            </w:pPr>
            <w:r>
              <w:rPr>
                <w:rFonts w:hint="eastAsia" w:cs="宋体"/>
                <w:kern w:val="0"/>
                <w:szCs w:val="24"/>
                <w:lang w:val="en-US" w:eastAsia="zh-CN"/>
              </w:rPr>
              <w:t>5</w:t>
            </w:r>
          </w:p>
        </w:tc>
      </w:tr>
      <w:tr w14:paraId="5806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2789EE4C">
            <w:pPr>
              <w:pStyle w:val="42"/>
              <w:numPr>
                <w:ilvl w:val="0"/>
                <w:numId w:val="54"/>
              </w:numPr>
              <w:ind w:left="-415" w:leftChars="0" w:firstLine="480"/>
              <w:jc w:val="center"/>
              <w:rPr>
                <w:rFonts w:cs="宋体"/>
                <w:kern w:val="0"/>
                <w:szCs w:val="24"/>
                <w:lang w:eastAsia="zh-CN"/>
              </w:rPr>
            </w:pPr>
          </w:p>
        </w:tc>
        <w:tc>
          <w:tcPr>
            <w:tcW w:w="6778" w:type="dxa"/>
            <w:vAlign w:val="center"/>
          </w:tcPr>
          <w:p w14:paraId="27004C08">
            <w:pPr>
              <w:spacing w:line="360" w:lineRule="auto"/>
              <w:rPr>
                <w:rFonts w:ascii="宋体" w:hAnsi="宋体" w:cs="宋体"/>
                <w:b/>
                <w:bCs/>
                <w:sz w:val="24"/>
                <w:szCs w:val="24"/>
                <w:lang w:eastAsia="zh-Hans"/>
              </w:rPr>
            </w:pPr>
            <w:r>
              <w:rPr>
                <w:rFonts w:hint="eastAsia" w:ascii="宋体" w:hAnsi="宋体" w:cs="宋体"/>
                <w:b/>
                <w:bCs/>
                <w:sz w:val="24"/>
                <w:szCs w:val="24"/>
                <w:lang w:eastAsia="zh-Hans"/>
              </w:rPr>
              <w:t>服务</w:t>
            </w:r>
            <w:r>
              <w:rPr>
                <w:rFonts w:hint="eastAsia" w:ascii="宋体" w:hAnsi="宋体" w:cs="宋体"/>
                <w:b/>
                <w:bCs/>
                <w:sz w:val="24"/>
                <w:szCs w:val="24"/>
                <w:lang w:val="zh-CN"/>
              </w:rPr>
              <w:t>质量保证措施</w:t>
            </w:r>
            <w:r>
              <w:rPr>
                <w:rFonts w:hint="eastAsia" w:ascii="宋体" w:hAnsi="宋体" w:cs="宋体"/>
                <w:b/>
                <w:bCs/>
                <w:sz w:val="24"/>
                <w:szCs w:val="24"/>
                <w:lang w:eastAsia="zh-Hans"/>
              </w:rPr>
              <w:t>评价</w:t>
            </w:r>
          </w:p>
          <w:p w14:paraId="1B957025">
            <w:pPr>
              <w:pStyle w:val="42"/>
              <w:ind w:firstLine="0" w:firstLineChars="0"/>
              <w:rPr>
                <w:rFonts w:cs="宋体"/>
                <w:szCs w:val="24"/>
                <w:lang w:eastAsia="zh-CN"/>
              </w:rPr>
            </w:pPr>
            <w:r>
              <w:rPr>
                <w:rFonts w:hint="eastAsia" w:cs="宋体"/>
                <w:szCs w:val="24"/>
                <w:lang w:eastAsia="zh-CN"/>
              </w:rPr>
              <w:t>根据采购需求提供相关服务质量保证措施，措施全面、有效规范、</w:t>
            </w:r>
            <w:r>
              <w:rPr>
                <w:rFonts w:hint="eastAsia" w:cs="宋体"/>
                <w:szCs w:val="24"/>
              </w:rPr>
              <w:t>可行性强的得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07E62FD4">
            <w:pPr>
              <w:pStyle w:val="42"/>
              <w:ind w:firstLine="0" w:firstLineChars="0"/>
              <w:rPr>
                <w:rStyle w:val="98"/>
                <w:rFonts w:cs="Times New Roman (正文 CS 字体)"/>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5A51C9B9">
            <w:pPr>
              <w:pStyle w:val="42"/>
              <w:ind w:firstLine="0" w:firstLineChars="0"/>
              <w:jc w:val="center"/>
              <w:rPr>
                <w:rFonts w:cs="宋体"/>
                <w:kern w:val="0"/>
                <w:szCs w:val="24"/>
                <w:lang w:eastAsia="zh-CN"/>
              </w:rPr>
            </w:pPr>
            <w:r>
              <w:rPr>
                <w:rFonts w:hint="eastAsia" w:cs="宋体"/>
                <w:kern w:val="0"/>
                <w:szCs w:val="24"/>
                <w:lang w:eastAsia="zh-CN"/>
              </w:rPr>
              <w:t>5</w:t>
            </w:r>
          </w:p>
        </w:tc>
      </w:tr>
      <w:tr w14:paraId="3203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68011140">
            <w:pPr>
              <w:pStyle w:val="42"/>
              <w:numPr>
                <w:ilvl w:val="0"/>
                <w:numId w:val="54"/>
              </w:numPr>
              <w:ind w:left="-415" w:leftChars="0" w:firstLine="480"/>
              <w:jc w:val="center"/>
              <w:rPr>
                <w:rFonts w:cs="宋体"/>
                <w:kern w:val="0"/>
                <w:szCs w:val="24"/>
                <w:lang w:eastAsia="zh-CN"/>
              </w:rPr>
            </w:pPr>
          </w:p>
        </w:tc>
        <w:tc>
          <w:tcPr>
            <w:tcW w:w="6778" w:type="dxa"/>
            <w:vAlign w:val="center"/>
          </w:tcPr>
          <w:p w14:paraId="0ACA2A99">
            <w:pPr>
              <w:spacing w:line="360" w:lineRule="auto"/>
              <w:rPr>
                <w:rFonts w:ascii="宋体" w:hAnsi="宋体" w:cs="宋体"/>
                <w:b/>
                <w:bCs/>
                <w:sz w:val="24"/>
                <w:szCs w:val="24"/>
                <w:lang w:eastAsia="zh-Hans"/>
              </w:rPr>
            </w:pPr>
            <w:r>
              <w:rPr>
                <w:rFonts w:hint="eastAsia" w:ascii="宋体" w:hAnsi="宋体" w:cs="宋体"/>
                <w:b/>
                <w:bCs/>
                <w:sz w:val="24"/>
                <w:szCs w:val="24"/>
              </w:rPr>
              <w:t>项目实施计划及进度保证措施方案</w:t>
            </w:r>
            <w:r>
              <w:rPr>
                <w:rFonts w:hint="eastAsia" w:ascii="宋体" w:hAnsi="宋体" w:cs="宋体"/>
                <w:b/>
                <w:bCs/>
                <w:sz w:val="24"/>
                <w:szCs w:val="24"/>
                <w:lang w:eastAsia="zh-Hans"/>
              </w:rPr>
              <w:t>评价</w:t>
            </w:r>
          </w:p>
          <w:p w14:paraId="67FE6291">
            <w:pPr>
              <w:pStyle w:val="42"/>
              <w:ind w:firstLine="0" w:firstLineChars="0"/>
              <w:rPr>
                <w:rFonts w:cs="宋体"/>
                <w:szCs w:val="24"/>
                <w:lang w:eastAsia="zh-CN"/>
              </w:rPr>
            </w:pPr>
            <w:r>
              <w:rPr>
                <w:rFonts w:hint="eastAsia" w:cs="宋体"/>
                <w:snapToGrid w:val="0"/>
                <w:color w:val="000000"/>
                <w:kern w:val="0"/>
                <w:szCs w:val="24"/>
              </w:rPr>
              <w:t>项目整体工作阶段及任务划分、进度控制</w:t>
            </w:r>
            <w:r>
              <w:rPr>
                <w:rFonts w:hint="eastAsia" w:cs="宋体"/>
                <w:snapToGrid w:val="0"/>
                <w:color w:val="000000"/>
                <w:kern w:val="0"/>
                <w:szCs w:val="24"/>
                <w:lang w:eastAsia="zh-CN"/>
              </w:rPr>
              <w:t>针对性强</w:t>
            </w:r>
            <w:r>
              <w:rPr>
                <w:rFonts w:hint="eastAsia" w:cs="宋体"/>
                <w:snapToGrid w:val="0"/>
                <w:color w:val="000000"/>
                <w:kern w:val="0"/>
                <w:szCs w:val="24"/>
              </w:rPr>
              <w:t>，关键时间节点</w:t>
            </w:r>
            <w:r>
              <w:rPr>
                <w:rFonts w:hint="eastAsia" w:cs="宋体"/>
                <w:szCs w:val="24"/>
              </w:rPr>
              <w:t>把握科学准确得</w:t>
            </w:r>
            <w:r>
              <w:rPr>
                <w:rFonts w:hint="eastAsia" w:cs="宋体"/>
                <w:szCs w:val="24"/>
                <w:lang w:eastAsia="zh-CN"/>
              </w:rPr>
              <w:t>5</w:t>
            </w:r>
            <w:r>
              <w:rPr>
                <w:rFonts w:hint="eastAsia" w:cs="宋体"/>
                <w:szCs w:val="24"/>
              </w:rPr>
              <w:t>分</w:t>
            </w:r>
            <w:r>
              <w:rPr>
                <w:rFonts w:hint="eastAsia" w:cs="宋体"/>
                <w:szCs w:val="24"/>
                <w:lang w:eastAsia="zh-CN"/>
              </w:rPr>
              <w:t>；</w:t>
            </w:r>
            <w:r>
              <w:rPr>
                <w:rFonts w:hint="eastAsia" w:cs="宋体"/>
                <w:szCs w:val="24"/>
              </w:rPr>
              <w:t>内容有欠缺</w:t>
            </w:r>
            <w:r>
              <w:rPr>
                <w:rFonts w:hint="eastAsia" w:cs="宋体"/>
                <w:szCs w:val="24"/>
                <w:lang w:eastAsia="zh-CN"/>
              </w:rPr>
              <w:t>或没有针对性但不影响项目实施</w:t>
            </w:r>
            <w:r>
              <w:rPr>
                <w:rFonts w:hint="eastAsia" w:cs="宋体"/>
                <w:szCs w:val="24"/>
              </w:rPr>
              <w:t>的得</w:t>
            </w:r>
            <w:r>
              <w:rPr>
                <w:rFonts w:hint="eastAsia" w:cs="宋体"/>
                <w:szCs w:val="24"/>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35E3E8C1">
            <w:pPr>
              <w:pStyle w:val="42"/>
              <w:ind w:firstLine="0" w:firstLineChars="0"/>
              <w:rPr>
                <w:rFonts w:cs="宋体"/>
                <w:color w:val="000000"/>
                <w:lang w:eastAsia="zh-CN"/>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68D7E9E8">
            <w:pPr>
              <w:pStyle w:val="42"/>
              <w:ind w:firstLine="0" w:firstLineChars="0"/>
              <w:jc w:val="center"/>
              <w:rPr>
                <w:rFonts w:cs="宋体"/>
                <w:kern w:val="0"/>
                <w:szCs w:val="24"/>
                <w:lang w:eastAsia="zh-CN"/>
              </w:rPr>
            </w:pPr>
            <w:r>
              <w:rPr>
                <w:rFonts w:hint="eastAsia" w:cs="宋体"/>
                <w:kern w:val="0"/>
                <w:szCs w:val="24"/>
                <w:lang w:eastAsia="zh-CN"/>
              </w:rPr>
              <w:t>5</w:t>
            </w:r>
          </w:p>
        </w:tc>
      </w:tr>
      <w:tr w14:paraId="242D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76F10E05">
            <w:pPr>
              <w:pStyle w:val="42"/>
              <w:numPr>
                <w:ilvl w:val="0"/>
                <w:numId w:val="54"/>
              </w:numPr>
              <w:ind w:left="-415" w:leftChars="0" w:firstLine="480"/>
              <w:jc w:val="center"/>
              <w:rPr>
                <w:rFonts w:cs="宋体"/>
                <w:kern w:val="0"/>
                <w:szCs w:val="24"/>
                <w:lang w:eastAsia="zh-CN"/>
              </w:rPr>
            </w:pPr>
          </w:p>
        </w:tc>
        <w:tc>
          <w:tcPr>
            <w:tcW w:w="6778" w:type="dxa"/>
            <w:vAlign w:val="center"/>
          </w:tcPr>
          <w:p w14:paraId="2693A1E4">
            <w:pPr>
              <w:spacing w:line="360" w:lineRule="auto"/>
              <w:rPr>
                <w:rFonts w:ascii="宋体" w:hAnsi="宋体" w:cs="宋体"/>
                <w:b/>
                <w:bCs/>
                <w:sz w:val="24"/>
                <w:szCs w:val="24"/>
              </w:rPr>
            </w:pPr>
            <w:r>
              <w:rPr>
                <w:rFonts w:hint="eastAsia" w:ascii="宋体" w:hAnsi="宋体" w:cs="宋体"/>
                <w:b/>
                <w:bCs/>
                <w:sz w:val="24"/>
                <w:szCs w:val="24"/>
              </w:rPr>
              <w:t>应急处理方案</w:t>
            </w:r>
            <w:r>
              <w:rPr>
                <w:rFonts w:hint="eastAsia" w:ascii="宋体" w:hAnsi="宋体" w:cs="宋体"/>
                <w:b/>
                <w:bCs/>
                <w:sz w:val="24"/>
                <w:szCs w:val="24"/>
                <w:lang w:eastAsia="zh-Hans"/>
              </w:rPr>
              <w:t>评价</w:t>
            </w:r>
          </w:p>
          <w:p w14:paraId="2E405FF4">
            <w:pPr>
              <w:pStyle w:val="42"/>
              <w:ind w:firstLine="0" w:firstLineChars="0"/>
              <w:rPr>
                <w:rFonts w:cs="宋体"/>
                <w:szCs w:val="24"/>
                <w:lang w:eastAsia="zh-CN"/>
              </w:rPr>
            </w:pPr>
            <w:r>
              <w:rPr>
                <w:rFonts w:hint="eastAsia" w:cs="宋体"/>
                <w:szCs w:val="24"/>
              </w:rPr>
              <w:t>根据投标人针对本项目特点提供对应的应急方案和应对措施，方案内容全面、可行性程度高，针对性强的得</w:t>
            </w:r>
            <w:r>
              <w:rPr>
                <w:rFonts w:hint="eastAsia" w:cs="宋体"/>
                <w:szCs w:val="24"/>
                <w:lang w:eastAsia="zh-CN"/>
              </w:rPr>
              <w:t>5</w:t>
            </w:r>
            <w:r>
              <w:rPr>
                <w:rFonts w:hint="eastAsia" w:cs="宋体"/>
                <w:szCs w:val="24"/>
              </w:rPr>
              <w:t>分；内容有欠缺</w:t>
            </w:r>
            <w:r>
              <w:rPr>
                <w:rFonts w:hint="eastAsia" w:cs="宋体"/>
                <w:szCs w:val="24"/>
                <w:lang w:eastAsia="zh-CN"/>
              </w:rPr>
              <w:t>或没有针对性但不影响项目实施</w:t>
            </w:r>
            <w:r>
              <w:rPr>
                <w:rFonts w:hint="eastAsia" w:cs="宋体"/>
                <w:szCs w:val="24"/>
              </w:rPr>
              <w:t>的得</w:t>
            </w:r>
            <w:r>
              <w:rPr>
                <w:rFonts w:hint="eastAsia" w:cs="Times New Roman (正文 CS 字体)"/>
                <w:lang w:eastAsia="zh-CN"/>
              </w:rPr>
              <w:t>3</w:t>
            </w:r>
            <w:r>
              <w:rPr>
                <w:rFonts w:hint="eastAsia" w:cs="宋体"/>
                <w:szCs w:val="24"/>
              </w:rPr>
              <w:t>分</w:t>
            </w:r>
            <w:r>
              <w:rPr>
                <w:rFonts w:hint="eastAsia" w:cs="宋体"/>
                <w:szCs w:val="24"/>
                <w:lang w:eastAsia="zh-CN"/>
              </w:rPr>
              <w:t>；缺陷明显且可能会影响到具体项目实施的得1分，内容完全不符或未提供不得分。</w:t>
            </w:r>
          </w:p>
          <w:p w14:paraId="5D3290DC">
            <w:pPr>
              <w:pStyle w:val="42"/>
              <w:ind w:firstLine="0" w:firstLineChars="0"/>
              <w:rPr>
                <w:rFonts w:cs="宋体"/>
                <w:szCs w:val="24"/>
              </w:rPr>
            </w:pPr>
            <w:r>
              <w:rPr>
                <w:rFonts w:hint="eastAsia" w:cs="宋体"/>
                <w:szCs w:val="24"/>
                <w:lang w:eastAsia="zh-CN"/>
              </w:rPr>
              <w:t>说明：</w:t>
            </w:r>
            <w:r>
              <w:rPr>
                <w:rFonts w:hint="eastAsia" w:cs="宋体"/>
                <w:szCs w:val="24"/>
              </w:rPr>
              <w:t>内容有欠缺</w:t>
            </w:r>
            <w:r>
              <w:rPr>
                <w:rFonts w:hint="eastAsia" w:cs="宋体"/>
                <w:szCs w:val="24"/>
                <w:lang w:eastAsia="zh-CN"/>
              </w:rPr>
              <w:t>或没有针对性是指：非专门针对本项目或不适用项目特性的情形、内容不完整或缺少关键节点、套用其他项目方案、内容前后矛盾、涉及的规范及标准错误、不利于项目实施的情形等任意一种情形。</w:t>
            </w:r>
          </w:p>
        </w:tc>
        <w:tc>
          <w:tcPr>
            <w:tcW w:w="964" w:type="dxa"/>
            <w:vAlign w:val="center"/>
          </w:tcPr>
          <w:p w14:paraId="5B8EF970">
            <w:pPr>
              <w:pStyle w:val="42"/>
              <w:ind w:firstLine="0" w:firstLineChars="0"/>
              <w:jc w:val="center"/>
              <w:rPr>
                <w:rFonts w:cs="宋体"/>
                <w:kern w:val="0"/>
                <w:szCs w:val="24"/>
                <w:lang w:eastAsia="zh-CN"/>
              </w:rPr>
            </w:pPr>
            <w:r>
              <w:rPr>
                <w:rFonts w:hint="eastAsia" w:cs="宋体"/>
                <w:kern w:val="0"/>
                <w:szCs w:val="24"/>
                <w:lang w:eastAsia="zh-CN"/>
              </w:rPr>
              <w:t>5</w:t>
            </w:r>
          </w:p>
        </w:tc>
      </w:tr>
      <w:tr w14:paraId="4F0F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1CD086EF">
            <w:pPr>
              <w:pStyle w:val="42"/>
              <w:numPr>
                <w:ilvl w:val="0"/>
                <w:numId w:val="54"/>
              </w:numPr>
              <w:ind w:left="-415" w:leftChars="0" w:firstLine="480"/>
              <w:jc w:val="center"/>
              <w:rPr>
                <w:rFonts w:cs="宋体"/>
                <w:kern w:val="0"/>
                <w:szCs w:val="24"/>
                <w:lang w:eastAsia="zh-CN"/>
              </w:rPr>
            </w:pPr>
          </w:p>
        </w:tc>
        <w:tc>
          <w:tcPr>
            <w:tcW w:w="6778" w:type="dxa"/>
            <w:vAlign w:val="center"/>
          </w:tcPr>
          <w:p w14:paraId="72FF4A6C">
            <w:pPr>
              <w:pStyle w:val="42"/>
              <w:ind w:firstLine="0" w:firstLineChars="0"/>
              <w:rPr>
                <w:rFonts w:cs="宋体"/>
                <w:color w:val="auto"/>
                <w:szCs w:val="24"/>
                <w:lang w:eastAsia="zh-CN"/>
              </w:rPr>
            </w:pPr>
            <w:r>
              <w:rPr>
                <w:rFonts w:hint="eastAsia" w:cs="宋体"/>
                <w:b/>
                <w:bCs/>
                <w:szCs w:val="24"/>
                <w:lang w:eastAsia="zh-CN"/>
              </w:rPr>
              <w:t>项目负责人情况评价</w:t>
            </w:r>
          </w:p>
          <w:p w14:paraId="7B856901">
            <w:pPr>
              <w:pStyle w:val="42"/>
              <w:numPr>
                <w:ilvl w:val="0"/>
                <w:numId w:val="55"/>
              </w:numPr>
              <w:ind w:firstLine="0" w:firstLineChars="0"/>
              <w:rPr>
                <w:rFonts w:cs="Times New Roman (正文 CS 字体)"/>
                <w:color w:val="auto"/>
                <w:lang w:eastAsia="zh-CN"/>
              </w:rPr>
            </w:pPr>
            <w:r>
              <w:rPr>
                <w:rStyle w:val="99"/>
                <w:rFonts w:hint="default"/>
                <w:color w:val="auto"/>
                <w:lang w:eastAsia="zh-CN" w:bidi="ar"/>
              </w:rPr>
              <w:t>拟委派项目负责人</w:t>
            </w:r>
            <w:r>
              <w:rPr>
                <w:rFonts w:hint="eastAsia" w:cs="宋体"/>
                <w:color w:val="auto"/>
                <w:kern w:val="0"/>
                <w:szCs w:val="24"/>
              </w:rPr>
              <w:t>具有</w:t>
            </w:r>
            <w:r>
              <w:rPr>
                <w:rFonts w:hint="eastAsia" w:cs="宋体"/>
                <w:color w:val="auto"/>
                <w:kern w:val="0"/>
                <w:szCs w:val="24"/>
                <w:lang w:eastAsia="zh-CN"/>
              </w:rPr>
              <w:t>测绘相关的专业高级及以上职称的得5分，</w:t>
            </w:r>
            <w:r>
              <w:rPr>
                <w:rFonts w:hint="eastAsia" w:cs="宋体"/>
                <w:color w:val="auto"/>
                <w:kern w:val="0"/>
                <w:szCs w:val="24"/>
              </w:rPr>
              <w:t>具有</w:t>
            </w:r>
            <w:r>
              <w:rPr>
                <w:rFonts w:hint="eastAsia" w:cs="宋体"/>
                <w:color w:val="auto"/>
                <w:kern w:val="0"/>
                <w:szCs w:val="24"/>
                <w:lang w:eastAsia="zh-CN"/>
              </w:rPr>
              <w:t>测绘相关的</w:t>
            </w:r>
            <w:r>
              <w:rPr>
                <w:rFonts w:hint="eastAsia" w:cs="宋体"/>
                <w:color w:val="auto"/>
                <w:kern w:val="0"/>
                <w:szCs w:val="24"/>
                <w:lang w:val="en-US" w:eastAsia="zh-CN"/>
              </w:rPr>
              <w:t>中级</w:t>
            </w:r>
            <w:r>
              <w:rPr>
                <w:rFonts w:hint="eastAsia" w:cs="宋体"/>
                <w:color w:val="auto"/>
                <w:kern w:val="0"/>
                <w:szCs w:val="24"/>
                <w:lang w:eastAsia="zh-CN"/>
              </w:rPr>
              <w:t>职称的得</w:t>
            </w:r>
            <w:r>
              <w:rPr>
                <w:rFonts w:hint="eastAsia" w:cs="宋体"/>
                <w:color w:val="auto"/>
                <w:kern w:val="0"/>
                <w:szCs w:val="24"/>
                <w:lang w:val="en-US" w:eastAsia="zh-CN"/>
              </w:rPr>
              <w:t>2</w:t>
            </w:r>
            <w:r>
              <w:rPr>
                <w:rFonts w:hint="eastAsia" w:cs="宋体"/>
                <w:color w:val="auto"/>
                <w:kern w:val="0"/>
                <w:szCs w:val="24"/>
                <w:lang w:eastAsia="zh-CN"/>
              </w:rPr>
              <w:t>分，</w:t>
            </w:r>
            <w:r>
              <w:rPr>
                <w:rFonts w:hint="eastAsia" w:cs="宋体"/>
                <w:color w:val="auto"/>
                <w:kern w:val="0"/>
                <w:szCs w:val="24"/>
                <w:lang w:val="en-US" w:eastAsia="zh-CN"/>
              </w:rPr>
              <w:t>其余不得分</w:t>
            </w:r>
            <w:r>
              <w:rPr>
                <w:rFonts w:hint="eastAsia" w:cs="宋体"/>
                <w:color w:val="auto"/>
                <w:kern w:val="0"/>
                <w:szCs w:val="24"/>
              </w:rPr>
              <w:t>。</w:t>
            </w:r>
          </w:p>
          <w:p w14:paraId="1E11D92B">
            <w:pPr>
              <w:pStyle w:val="42"/>
              <w:numPr>
                <w:ilvl w:val="0"/>
                <w:numId w:val="55"/>
              </w:numPr>
              <w:ind w:firstLine="0" w:firstLineChars="0"/>
              <w:rPr>
                <w:rFonts w:cs="Times New Roman (正文 CS 字体)"/>
                <w:color w:val="auto"/>
                <w:lang w:eastAsia="zh-CN"/>
              </w:rPr>
            </w:pPr>
            <w:r>
              <w:rPr>
                <w:rFonts w:hint="eastAsia" w:cs="宋体"/>
                <w:color w:val="auto"/>
                <w:kern w:val="0"/>
                <w:szCs w:val="24"/>
                <w:lang w:eastAsia="zh-CN"/>
              </w:rPr>
              <w:t>拟派</w:t>
            </w:r>
            <w:r>
              <w:rPr>
                <w:rFonts w:hint="eastAsia" w:cs="宋体"/>
                <w:color w:val="auto"/>
                <w:kern w:val="0"/>
                <w:szCs w:val="24"/>
              </w:rPr>
              <w:t>项目负责人</w:t>
            </w:r>
            <w:r>
              <w:rPr>
                <w:rFonts w:hint="eastAsia" w:cs="宋体"/>
                <w:color w:val="auto"/>
                <w:kern w:val="0"/>
                <w:szCs w:val="24"/>
                <w:lang w:eastAsia="zh-CN"/>
              </w:rPr>
              <w:t>具有与本项目服务内容测绘相关的</w:t>
            </w:r>
            <w:r>
              <w:rPr>
                <w:rFonts w:hint="eastAsia" w:cs="宋体"/>
                <w:color w:val="auto"/>
                <w:kern w:val="0"/>
                <w:szCs w:val="24"/>
              </w:rPr>
              <w:t>从业经验</w:t>
            </w:r>
            <w:r>
              <w:rPr>
                <w:rFonts w:hint="eastAsia" w:cs="宋体"/>
                <w:color w:val="auto"/>
                <w:kern w:val="0"/>
                <w:szCs w:val="24"/>
                <w:lang w:eastAsia="zh-CN"/>
              </w:rPr>
              <w:t>3</w:t>
            </w:r>
            <w:r>
              <w:rPr>
                <w:rFonts w:hint="eastAsia" w:cs="宋体"/>
                <w:color w:val="auto"/>
                <w:kern w:val="0"/>
                <w:szCs w:val="24"/>
              </w:rPr>
              <w:t>年及以上的得</w:t>
            </w:r>
            <w:r>
              <w:rPr>
                <w:rFonts w:hint="eastAsia" w:cs="宋体"/>
                <w:color w:val="auto"/>
                <w:kern w:val="0"/>
                <w:szCs w:val="24"/>
                <w:lang w:val="en-US" w:eastAsia="zh-CN"/>
              </w:rPr>
              <w:t>3</w:t>
            </w:r>
            <w:r>
              <w:rPr>
                <w:rFonts w:hint="eastAsia" w:cs="宋体"/>
                <w:color w:val="auto"/>
                <w:kern w:val="0"/>
                <w:szCs w:val="24"/>
              </w:rPr>
              <w:t>分；具有</w:t>
            </w:r>
            <w:r>
              <w:rPr>
                <w:rFonts w:hint="eastAsia" w:cs="宋体"/>
                <w:color w:val="auto"/>
                <w:kern w:val="0"/>
                <w:szCs w:val="24"/>
                <w:lang w:eastAsia="zh-CN"/>
              </w:rPr>
              <w:t>1</w:t>
            </w:r>
            <w:r>
              <w:rPr>
                <w:rFonts w:hint="eastAsia" w:cs="宋体"/>
                <w:color w:val="auto"/>
                <w:kern w:val="0"/>
                <w:szCs w:val="24"/>
              </w:rPr>
              <w:t>年及以上</w:t>
            </w:r>
            <w:r>
              <w:rPr>
                <w:rFonts w:hint="eastAsia" w:cs="宋体"/>
                <w:color w:val="auto"/>
                <w:kern w:val="0"/>
                <w:szCs w:val="24"/>
                <w:lang w:eastAsia="zh-CN"/>
              </w:rPr>
              <w:t>不足3年</w:t>
            </w:r>
            <w:r>
              <w:rPr>
                <w:rFonts w:hint="eastAsia" w:cs="宋体"/>
                <w:color w:val="auto"/>
                <w:kern w:val="0"/>
                <w:szCs w:val="24"/>
              </w:rPr>
              <w:t>的得1分</w:t>
            </w:r>
            <w:r>
              <w:rPr>
                <w:rFonts w:hint="eastAsia" w:cs="宋体"/>
                <w:color w:val="auto"/>
                <w:kern w:val="0"/>
                <w:szCs w:val="24"/>
                <w:lang w:eastAsia="zh-CN"/>
              </w:rPr>
              <w:t>，</w:t>
            </w:r>
            <w:r>
              <w:rPr>
                <w:rFonts w:hint="eastAsia" w:cs="宋体"/>
                <w:color w:val="auto"/>
                <w:kern w:val="0"/>
                <w:szCs w:val="24"/>
                <w:lang w:val="en-US" w:eastAsia="zh-CN"/>
              </w:rPr>
              <w:t>其余的不得分</w:t>
            </w:r>
            <w:r>
              <w:rPr>
                <w:rFonts w:hint="eastAsia" w:cs="宋体"/>
                <w:color w:val="auto"/>
                <w:kern w:val="0"/>
                <w:szCs w:val="24"/>
              </w:rPr>
              <w:t>。</w:t>
            </w:r>
          </w:p>
          <w:p w14:paraId="7A9D2204">
            <w:pPr>
              <w:pStyle w:val="42"/>
              <w:numPr>
                <w:ilvl w:val="0"/>
                <w:numId w:val="0"/>
              </w:numPr>
              <w:rPr>
                <w:rFonts w:cs="宋体"/>
                <w:b/>
                <w:bCs/>
                <w:szCs w:val="24"/>
                <w:lang w:eastAsia="zh-CN"/>
              </w:rPr>
            </w:pPr>
            <w:r>
              <w:rPr>
                <w:rFonts w:hint="eastAsia" w:cs="宋体"/>
                <w:b/>
                <w:bCs/>
                <w:color w:val="auto"/>
                <w:szCs w:val="24"/>
              </w:rPr>
              <w:t>有效证明文件</w:t>
            </w:r>
            <w:r>
              <w:rPr>
                <w:rFonts w:hint="eastAsia" w:cs="宋体"/>
                <w:color w:val="auto"/>
                <w:szCs w:val="24"/>
              </w:rPr>
              <w:t>：</w:t>
            </w:r>
            <w:r>
              <w:rPr>
                <w:rFonts w:hint="eastAsia" w:cs="宋体"/>
                <w:color w:val="auto"/>
                <w:szCs w:val="24"/>
                <w:lang w:val="en-US" w:eastAsia="zh-CN"/>
              </w:rPr>
              <w:t>提供相关有效证书复制件和</w:t>
            </w:r>
            <w:r>
              <w:rPr>
                <w:rFonts w:hint="eastAsia" w:cs="宋体"/>
                <w:color w:val="auto"/>
                <w:szCs w:val="24"/>
                <w:lang w:eastAsia="zh-CN"/>
              </w:rPr>
              <w:t>劳动合同或在本单位的社保缴纳记录等证明其为投标人在职员工的证明材料（社保机构网上打印件与社保机构出具的具有同等效力，“退休返聘”、“劳务派遣”视为非在职员工。）；</w:t>
            </w:r>
            <w:r>
              <w:rPr>
                <w:rFonts w:hint="eastAsia" w:cs="宋体"/>
                <w:szCs w:val="24"/>
                <w:lang w:eastAsia="zh-CN"/>
              </w:rPr>
              <w:t>项目负责人</w:t>
            </w:r>
            <w:r>
              <w:rPr>
                <w:rFonts w:hint="eastAsia" w:cs="宋体"/>
                <w:szCs w:val="24"/>
                <w:lang w:val="en-US" w:eastAsia="zh-CN"/>
              </w:rPr>
              <w:t>相关从业经验证明</w:t>
            </w:r>
            <w:r>
              <w:rPr>
                <w:rFonts w:cs="宋体"/>
                <w:szCs w:val="24"/>
              </w:rPr>
              <w:t>（</w:t>
            </w:r>
            <w:r>
              <w:rPr>
                <w:rFonts w:hint="eastAsia" w:cs="宋体"/>
                <w:szCs w:val="24"/>
                <w:lang w:eastAsia="zh-CN"/>
              </w:rPr>
              <w:t>工作</w:t>
            </w:r>
            <w:r>
              <w:rPr>
                <w:rFonts w:cs="宋体"/>
                <w:szCs w:val="24"/>
              </w:rPr>
              <w:t>经验在投标人在职年限不够可合并累计原单位证明）</w:t>
            </w:r>
            <w:r>
              <w:rPr>
                <w:rFonts w:hint="eastAsia" w:cs="宋体"/>
                <w:szCs w:val="24"/>
                <w:lang w:eastAsia="zh-CN"/>
              </w:rPr>
              <w:t>。</w:t>
            </w:r>
          </w:p>
        </w:tc>
        <w:tc>
          <w:tcPr>
            <w:tcW w:w="964" w:type="dxa"/>
            <w:vAlign w:val="center"/>
          </w:tcPr>
          <w:p w14:paraId="25A2FD9A">
            <w:pPr>
              <w:pStyle w:val="42"/>
              <w:ind w:firstLine="0" w:firstLineChars="0"/>
              <w:jc w:val="center"/>
              <w:rPr>
                <w:rFonts w:cs="宋体"/>
                <w:kern w:val="0"/>
                <w:szCs w:val="24"/>
                <w:lang w:eastAsia="zh-CN"/>
              </w:rPr>
            </w:pPr>
            <w:r>
              <w:rPr>
                <w:rFonts w:hint="eastAsia" w:cs="宋体"/>
                <w:kern w:val="0"/>
                <w:szCs w:val="24"/>
                <w:lang w:val="en-US" w:eastAsia="zh-CN"/>
              </w:rPr>
              <w:t>8</w:t>
            </w:r>
          </w:p>
        </w:tc>
      </w:tr>
      <w:tr w14:paraId="73EF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66747BA7">
            <w:pPr>
              <w:pStyle w:val="42"/>
              <w:numPr>
                <w:ilvl w:val="0"/>
                <w:numId w:val="54"/>
              </w:numPr>
              <w:ind w:left="-415" w:leftChars="0" w:firstLine="480"/>
              <w:jc w:val="center"/>
              <w:rPr>
                <w:rFonts w:cs="宋体"/>
                <w:kern w:val="0"/>
                <w:szCs w:val="24"/>
                <w:lang w:eastAsia="zh-CN"/>
              </w:rPr>
            </w:pPr>
          </w:p>
        </w:tc>
        <w:tc>
          <w:tcPr>
            <w:tcW w:w="6778" w:type="dxa"/>
            <w:vAlign w:val="center"/>
          </w:tcPr>
          <w:p w14:paraId="25CE87A6">
            <w:pPr>
              <w:pStyle w:val="42"/>
              <w:ind w:firstLine="0" w:firstLineChars="0"/>
              <w:rPr>
                <w:rFonts w:cs="宋体"/>
                <w:b/>
                <w:bCs/>
                <w:color w:val="auto"/>
                <w:kern w:val="0"/>
                <w:szCs w:val="24"/>
                <w:lang w:eastAsia="zh-CN"/>
              </w:rPr>
            </w:pPr>
            <w:r>
              <w:rPr>
                <w:rFonts w:hint="eastAsia" w:cs="宋体"/>
                <w:b/>
                <w:bCs/>
                <w:kern w:val="0"/>
                <w:szCs w:val="24"/>
                <w:lang w:eastAsia="zh-CN"/>
              </w:rPr>
              <w:t>项目团队人员情况评价</w:t>
            </w:r>
          </w:p>
          <w:p w14:paraId="7305C709">
            <w:pPr>
              <w:pStyle w:val="42"/>
              <w:ind w:firstLine="0" w:firstLineChars="0"/>
              <w:rPr>
                <w:rFonts w:cs="Times New Roman (正文 CS 字体)"/>
                <w:color w:val="auto"/>
                <w:kern w:val="0"/>
              </w:rPr>
            </w:pPr>
            <w:r>
              <w:rPr>
                <w:rFonts w:cs="宋体"/>
                <w:color w:val="auto"/>
                <w:kern w:val="0"/>
                <w:szCs w:val="24"/>
                <w:lang w:eastAsia="zh-CN"/>
              </w:rPr>
              <w:t>拟委派</w:t>
            </w:r>
            <w:r>
              <w:rPr>
                <w:rFonts w:hint="eastAsia" w:cs="宋体"/>
                <w:color w:val="auto"/>
                <w:kern w:val="0"/>
                <w:szCs w:val="24"/>
                <w:lang w:eastAsia="zh-CN"/>
              </w:rPr>
              <w:t>项目团队成员</w:t>
            </w:r>
            <w:r>
              <w:rPr>
                <w:rFonts w:cs="宋体"/>
                <w:color w:val="auto"/>
                <w:kern w:val="0"/>
                <w:szCs w:val="24"/>
                <w:lang w:eastAsia="zh-CN"/>
              </w:rPr>
              <w:t>具有与本项目相关</w:t>
            </w:r>
            <w:r>
              <w:rPr>
                <w:rFonts w:hint="eastAsia" w:cs="宋体"/>
                <w:color w:val="auto"/>
                <w:kern w:val="0"/>
                <w:szCs w:val="24"/>
                <w:lang w:eastAsia="zh-CN"/>
              </w:rPr>
              <w:t>测绘</w:t>
            </w:r>
            <w:r>
              <w:rPr>
                <w:rFonts w:cs="宋体"/>
                <w:color w:val="auto"/>
                <w:kern w:val="0"/>
                <w:szCs w:val="24"/>
                <w:lang w:eastAsia="zh-CN"/>
              </w:rPr>
              <w:t>专业</w:t>
            </w:r>
            <w:r>
              <w:rPr>
                <w:rFonts w:hint="eastAsia" w:cs="宋体"/>
                <w:color w:val="auto"/>
                <w:kern w:val="0"/>
                <w:szCs w:val="24"/>
                <w:lang w:val="en-US" w:eastAsia="zh-CN"/>
              </w:rPr>
              <w:t>高</w:t>
            </w:r>
            <w:r>
              <w:rPr>
                <w:rFonts w:hint="eastAsia" w:cs="宋体"/>
                <w:color w:val="auto"/>
                <w:kern w:val="0"/>
                <w:szCs w:val="24"/>
                <w:lang w:eastAsia="zh-CN"/>
              </w:rPr>
              <w:t>级</w:t>
            </w:r>
            <w:r>
              <w:rPr>
                <w:rFonts w:cs="宋体"/>
                <w:color w:val="auto"/>
                <w:kern w:val="0"/>
                <w:szCs w:val="24"/>
                <w:lang w:eastAsia="zh-CN"/>
              </w:rPr>
              <w:t>职称的</w:t>
            </w:r>
            <w:r>
              <w:rPr>
                <w:rFonts w:hint="eastAsia" w:cs="宋体"/>
                <w:color w:val="auto"/>
                <w:kern w:val="0"/>
                <w:szCs w:val="24"/>
                <w:lang w:eastAsia="zh-CN"/>
              </w:rPr>
              <w:t>，</w:t>
            </w:r>
            <w:r>
              <w:rPr>
                <w:rFonts w:hint="eastAsia" w:cs="宋体"/>
                <w:color w:val="auto"/>
                <w:kern w:val="0"/>
                <w:szCs w:val="24"/>
                <w:lang w:val="en-US" w:eastAsia="zh-CN"/>
              </w:rPr>
              <w:t>每有一个得3分，</w:t>
            </w:r>
            <w:r>
              <w:rPr>
                <w:rFonts w:cs="宋体"/>
                <w:color w:val="auto"/>
                <w:kern w:val="0"/>
                <w:szCs w:val="24"/>
                <w:lang w:eastAsia="zh-CN"/>
              </w:rPr>
              <w:t>具有与本项目相关</w:t>
            </w:r>
            <w:r>
              <w:rPr>
                <w:rFonts w:hint="eastAsia" w:cs="宋体"/>
                <w:color w:val="auto"/>
                <w:kern w:val="0"/>
                <w:szCs w:val="24"/>
                <w:lang w:eastAsia="zh-CN"/>
              </w:rPr>
              <w:t>测绘</w:t>
            </w:r>
            <w:r>
              <w:rPr>
                <w:rFonts w:cs="宋体"/>
                <w:color w:val="auto"/>
                <w:kern w:val="0"/>
                <w:szCs w:val="24"/>
                <w:lang w:eastAsia="zh-CN"/>
              </w:rPr>
              <w:t>专业</w:t>
            </w:r>
            <w:r>
              <w:rPr>
                <w:rFonts w:hint="eastAsia" w:cs="宋体"/>
                <w:color w:val="auto"/>
                <w:kern w:val="0"/>
                <w:szCs w:val="24"/>
                <w:lang w:eastAsia="zh-CN"/>
              </w:rPr>
              <w:t>中级</w:t>
            </w:r>
            <w:r>
              <w:rPr>
                <w:rFonts w:cs="宋体"/>
                <w:color w:val="auto"/>
                <w:kern w:val="0"/>
                <w:szCs w:val="24"/>
                <w:lang w:eastAsia="zh-CN"/>
              </w:rPr>
              <w:t>职称的</w:t>
            </w:r>
            <w:r>
              <w:rPr>
                <w:rFonts w:hint="eastAsia" w:cs="宋体"/>
                <w:color w:val="auto"/>
                <w:kern w:val="0"/>
                <w:szCs w:val="24"/>
                <w:lang w:eastAsia="zh-CN"/>
              </w:rPr>
              <w:t>，</w:t>
            </w:r>
            <w:r>
              <w:rPr>
                <w:rFonts w:hint="eastAsia" w:cs="Times New Roman (正文 CS 字体)"/>
                <w:color w:val="auto"/>
                <w:kern w:val="0"/>
              </w:rPr>
              <w:t>每</w:t>
            </w:r>
            <w:r>
              <w:rPr>
                <w:rFonts w:hint="eastAsia" w:cs="Times New Roman (正文 CS 字体)"/>
                <w:color w:val="auto"/>
                <w:kern w:val="0"/>
                <w:lang w:eastAsia="zh-CN"/>
              </w:rPr>
              <w:t>有</w:t>
            </w:r>
            <w:r>
              <w:rPr>
                <w:rFonts w:hint="eastAsia" w:cs="Times New Roman (正文 CS 字体)"/>
                <w:color w:val="auto"/>
                <w:kern w:val="0"/>
              </w:rPr>
              <w:t>一</w:t>
            </w:r>
            <w:r>
              <w:rPr>
                <w:rFonts w:hint="eastAsia" w:cs="Times New Roman (正文 CS 字体)"/>
                <w:color w:val="auto"/>
                <w:kern w:val="0"/>
                <w:lang w:eastAsia="zh-CN"/>
              </w:rPr>
              <w:t>人</w:t>
            </w:r>
            <w:r>
              <w:rPr>
                <w:rFonts w:hint="eastAsia" w:cs="Times New Roman (正文 CS 字体)"/>
                <w:color w:val="auto"/>
                <w:kern w:val="0"/>
              </w:rPr>
              <w:t>得</w:t>
            </w:r>
            <w:r>
              <w:rPr>
                <w:rFonts w:hint="eastAsia" w:cs="Times New Roman (正文 CS 字体)"/>
                <w:color w:val="auto"/>
                <w:kern w:val="0"/>
                <w:lang w:val="en-US" w:eastAsia="zh-CN"/>
              </w:rPr>
              <w:t>1</w:t>
            </w:r>
            <w:r>
              <w:rPr>
                <w:rFonts w:hint="eastAsia" w:cs="Times New Roman (正文 CS 字体)"/>
                <w:color w:val="auto"/>
                <w:kern w:val="0"/>
              </w:rPr>
              <w:t>分，最高得</w:t>
            </w:r>
            <w:r>
              <w:rPr>
                <w:rFonts w:hint="eastAsia" w:cs="Times New Roman (正文 CS 字体)"/>
                <w:color w:val="auto"/>
                <w:kern w:val="0"/>
                <w:lang w:val="en-US" w:eastAsia="zh-CN"/>
              </w:rPr>
              <w:t>21</w:t>
            </w:r>
            <w:r>
              <w:rPr>
                <w:rFonts w:hint="eastAsia" w:cs="Times New Roman (正文 CS 字体)"/>
                <w:color w:val="auto"/>
                <w:kern w:val="0"/>
              </w:rPr>
              <w:t>分（一个人员只计一个证书）。</w:t>
            </w:r>
          </w:p>
          <w:p w14:paraId="4A367F01">
            <w:pPr>
              <w:pStyle w:val="42"/>
              <w:numPr>
                <w:ilvl w:val="255"/>
                <w:numId w:val="0"/>
              </w:numPr>
              <w:ind w:left="0" w:leftChars="0" w:firstLine="0" w:firstLineChars="0"/>
              <w:rPr>
                <w:rFonts w:cs="Times New Roman (正文 CS 字体)"/>
                <w:kern w:val="0"/>
                <w:lang w:eastAsia="zh-CN"/>
              </w:rPr>
            </w:pPr>
            <w:r>
              <w:rPr>
                <w:rFonts w:hint="eastAsia" w:cs="宋体"/>
                <w:b/>
                <w:bCs/>
                <w:color w:val="auto"/>
                <w:szCs w:val="24"/>
              </w:rPr>
              <w:t>有效证明文件</w:t>
            </w:r>
            <w:r>
              <w:rPr>
                <w:rFonts w:hint="eastAsia" w:cs="宋体"/>
                <w:color w:val="auto"/>
                <w:szCs w:val="24"/>
              </w:rPr>
              <w:t>：</w:t>
            </w:r>
            <w:r>
              <w:rPr>
                <w:rFonts w:hint="eastAsia" w:cs="宋体"/>
                <w:color w:val="auto"/>
                <w:szCs w:val="24"/>
                <w:lang w:val="en-US" w:eastAsia="zh-CN"/>
              </w:rPr>
              <w:t>提供相关有效证书复制件和</w:t>
            </w:r>
            <w:r>
              <w:rPr>
                <w:rFonts w:hint="eastAsia" w:cs="宋体"/>
                <w:color w:val="auto"/>
                <w:szCs w:val="24"/>
                <w:lang w:eastAsia="zh-CN"/>
              </w:rPr>
              <w:t>劳动合同或在本单位的社保缴纳记录等证明其为投标人在职员工的证明材料（社保机构网上打印件与社保机构出具的具有同等效力，“退休返聘”、“劳务派遣”视为非在职员工）</w:t>
            </w:r>
            <w:r>
              <w:rPr>
                <w:rFonts w:hint="eastAsia" w:cs="宋体"/>
                <w:color w:val="auto"/>
                <w:kern w:val="0"/>
                <w:szCs w:val="24"/>
                <w:lang w:eastAsia="zh-CN"/>
              </w:rPr>
              <w:t>。</w:t>
            </w:r>
          </w:p>
        </w:tc>
        <w:tc>
          <w:tcPr>
            <w:tcW w:w="964" w:type="dxa"/>
            <w:vAlign w:val="center"/>
          </w:tcPr>
          <w:p w14:paraId="39DB6BF1">
            <w:pPr>
              <w:pStyle w:val="42"/>
              <w:ind w:firstLine="0" w:firstLineChars="0"/>
              <w:jc w:val="center"/>
              <w:rPr>
                <w:rFonts w:hint="default" w:cs="宋体"/>
                <w:kern w:val="0"/>
                <w:szCs w:val="24"/>
                <w:lang w:val="en-US" w:eastAsia="zh-CN"/>
              </w:rPr>
            </w:pPr>
            <w:r>
              <w:rPr>
                <w:rFonts w:hint="eastAsia" w:cs="宋体"/>
                <w:kern w:val="0"/>
                <w:szCs w:val="24"/>
                <w:lang w:val="en-US" w:eastAsia="zh-CN"/>
              </w:rPr>
              <w:t>21</w:t>
            </w:r>
          </w:p>
        </w:tc>
      </w:tr>
      <w:tr w14:paraId="74B7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39FED0C1">
            <w:pPr>
              <w:pStyle w:val="42"/>
              <w:numPr>
                <w:ilvl w:val="0"/>
                <w:numId w:val="54"/>
              </w:numPr>
              <w:ind w:left="-415" w:leftChars="0" w:firstLine="480"/>
              <w:jc w:val="center"/>
              <w:rPr>
                <w:rFonts w:cs="宋体"/>
                <w:kern w:val="0"/>
                <w:szCs w:val="24"/>
                <w:lang w:eastAsia="zh-CN"/>
              </w:rPr>
            </w:pPr>
          </w:p>
        </w:tc>
        <w:tc>
          <w:tcPr>
            <w:tcW w:w="6778" w:type="dxa"/>
            <w:vAlign w:val="center"/>
          </w:tcPr>
          <w:p w14:paraId="6F4E95C9">
            <w:pPr>
              <w:pStyle w:val="42"/>
              <w:ind w:firstLine="0" w:firstLineChars="0"/>
              <w:rPr>
                <w:rFonts w:cs="宋体"/>
                <w:b/>
                <w:bCs/>
                <w:szCs w:val="24"/>
              </w:rPr>
            </w:pPr>
            <w:r>
              <w:rPr>
                <w:rFonts w:hint="eastAsia" w:cs="宋体"/>
                <w:b/>
                <w:bCs/>
                <w:szCs w:val="24"/>
              </w:rPr>
              <w:t>以往业绩评价</w:t>
            </w:r>
          </w:p>
          <w:p w14:paraId="1BC8172F">
            <w:pPr>
              <w:pStyle w:val="42"/>
              <w:ind w:firstLine="0" w:firstLineChars="0"/>
              <w:rPr>
                <w:rFonts w:cs="宋体"/>
                <w:color w:val="000000"/>
              </w:rPr>
            </w:pPr>
            <w:r>
              <w:rPr>
                <w:rFonts w:hint="eastAsia" w:cs="宋体"/>
                <w:color w:val="000000"/>
              </w:rPr>
              <w:t>20</w:t>
            </w:r>
            <w:r>
              <w:rPr>
                <w:rFonts w:hint="eastAsia" w:cs="宋体"/>
                <w:color w:val="000000"/>
                <w:lang w:eastAsia="zh-CN"/>
              </w:rPr>
              <w:t>2</w:t>
            </w:r>
            <w:r>
              <w:rPr>
                <w:rFonts w:hint="eastAsia" w:cs="宋体"/>
                <w:color w:val="000000"/>
                <w:lang w:val="en-US" w:eastAsia="zh-CN"/>
              </w:rPr>
              <w:t>3</w:t>
            </w:r>
            <w:r>
              <w:rPr>
                <w:rFonts w:hint="eastAsia" w:cs="宋体"/>
                <w:color w:val="000000"/>
              </w:rPr>
              <w:t>年1月1日（以合同签订时间为准）以来供应商</w:t>
            </w:r>
            <w:r>
              <w:rPr>
                <w:rFonts w:hint="eastAsia" w:cs="宋体"/>
                <w:color w:val="000000"/>
                <w:lang w:eastAsia="zh-CN"/>
              </w:rPr>
              <w:t>具有类似项目</w:t>
            </w:r>
            <w:r>
              <w:rPr>
                <w:rFonts w:hint="eastAsia" w:cs="宋体"/>
                <w:color w:val="000000"/>
              </w:rPr>
              <w:t>业绩，每提供一个有效合同得</w:t>
            </w:r>
            <w:r>
              <w:rPr>
                <w:rFonts w:hint="eastAsia" w:cs="宋体"/>
                <w:color w:val="000000"/>
                <w:lang w:val="en-US" w:eastAsia="zh-CN"/>
              </w:rPr>
              <w:t>0.5</w:t>
            </w:r>
            <w:r>
              <w:rPr>
                <w:rFonts w:hint="eastAsia" w:cs="宋体"/>
                <w:color w:val="000000"/>
              </w:rPr>
              <w:t>分，最高</w:t>
            </w:r>
            <w:r>
              <w:rPr>
                <w:rFonts w:hint="eastAsia" w:cs="宋体"/>
                <w:color w:val="000000"/>
                <w:lang w:val="en-US" w:eastAsia="zh-CN"/>
              </w:rPr>
              <w:t>1</w:t>
            </w:r>
            <w:r>
              <w:rPr>
                <w:rFonts w:hint="eastAsia" w:cs="宋体"/>
                <w:color w:val="000000"/>
              </w:rPr>
              <w:t>分</w:t>
            </w:r>
          </w:p>
          <w:p w14:paraId="327B2D9F">
            <w:pPr>
              <w:pStyle w:val="42"/>
              <w:ind w:firstLine="0" w:firstLineChars="0"/>
              <w:rPr>
                <w:rFonts w:cs="宋体"/>
                <w:szCs w:val="24"/>
              </w:rPr>
            </w:pPr>
            <w:r>
              <w:rPr>
                <w:rFonts w:hint="eastAsia" w:cs="Times New Roman (正文 CS 字体)"/>
                <w:b/>
                <w:bCs/>
                <w:lang w:eastAsia="zh-CN"/>
              </w:rPr>
              <w:t>有效证明文件</w:t>
            </w:r>
            <w:r>
              <w:rPr>
                <w:rFonts w:hint="eastAsia" w:cs="Times New Roman (正文 CS 字体)"/>
                <w:lang w:eastAsia="zh-CN"/>
              </w:rPr>
              <w:t>：合同复制件</w:t>
            </w:r>
          </w:p>
        </w:tc>
        <w:tc>
          <w:tcPr>
            <w:tcW w:w="964" w:type="dxa"/>
            <w:vAlign w:val="center"/>
          </w:tcPr>
          <w:p w14:paraId="4224C31A">
            <w:pPr>
              <w:pStyle w:val="42"/>
              <w:ind w:firstLine="0" w:firstLineChars="0"/>
              <w:jc w:val="center"/>
              <w:rPr>
                <w:rFonts w:cs="宋体"/>
                <w:kern w:val="0"/>
                <w:szCs w:val="24"/>
                <w:lang w:eastAsia="zh-CN"/>
              </w:rPr>
            </w:pPr>
            <w:r>
              <w:rPr>
                <w:rFonts w:hint="eastAsia" w:cs="宋体"/>
                <w:kern w:val="0"/>
                <w:szCs w:val="24"/>
                <w:lang w:val="en-US" w:eastAsia="zh-CN"/>
              </w:rPr>
              <w:t>1</w:t>
            </w:r>
          </w:p>
        </w:tc>
      </w:tr>
      <w:tr w14:paraId="1CE8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vAlign w:val="center"/>
          </w:tcPr>
          <w:p w14:paraId="51348027">
            <w:pPr>
              <w:pStyle w:val="42"/>
              <w:numPr>
                <w:ilvl w:val="0"/>
                <w:numId w:val="54"/>
              </w:numPr>
              <w:ind w:left="-415" w:leftChars="0" w:firstLine="480"/>
              <w:jc w:val="center"/>
              <w:rPr>
                <w:rFonts w:cs="宋体"/>
                <w:kern w:val="0"/>
                <w:szCs w:val="24"/>
                <w:lang w:eastAsia="zh-CN"/>
              </w:rPr>
            </w:pPr>
          </w:p>
        </w:tc>
        <w:tc>
          <w:tcPr>
            <w:tcW w:w="6778" w:type="dxa"/>
            <w:vAlign w:val="center"/>
          </w:tcPr>
          <w:p w14:paraId="2A3B1870">
            <w:pPr>
              <w:pStyle w:val="42"/>
              <w:ind w:firstLine="0" w:firstLineChars="0"/>
              <w:rPr>
                <w:rFonts w:cs="宋体"/>
                <w:b/>
                <w:bCs/>
                <w:szCs w:val="24"/>
                <w:lang w:eastAsia="zh-CN"/>
              </w:rPr>
            </w:pPr>
            <w:r>
              <w:rPr>
                <w:rFonts w:hint="eastAsia" w:cs="宋体"/>
                <w:b/>
                <w:bCs/>
                <w:szCs w:val="24"/>
                <w:lang w:eastAsia="zh-CN"/>
              </w:rPr>
              <w:t>报价评价</w:t>
            </w:r>
          </w:p>
          <w:p w14:paraId="4CE36B0D">
            <w:pPr>
              <w:pStyle w:val="42"/>
              <w:ind w:firstLine="0" w:firstLineChars="0"/>
              <w:rPr>
                <w:rFonts w:cs="宋体"/>
                <w:szCs w:val="24"/>
                <w:lang w:eastAsia="zh-CN"/>
              </w:rPr>
            </w:pPr>
            <w:r>
              <w:rPr>
                <w:rFonts w:hint="eastAsia" w:cs="宋体"/>
                <w:szCs w:val="24"/>
                <w:lang w:eastAsia="zh-CN"/>
              </w:rPr>
              <w:t>（1）满足招标文件要求的最低评标价为评标基准价，价格满分为</w:t>
            </w:r>
            <w:r>
              <w:rPr>
                <w:rFonts w:hint="eastAsia" w:cs="宋体"/>
                <w:szCs w:val="24"/>
                <w:lang w:val="en-US" w:eastAsia="zh-CN"/>
              </w:rPr>
              <w:t>1</w:t>
            </w:r>
            <w:r>
              <w:rPr>
                <w:rFonts w:hint="eastAsia" w:cs="宋体"/>
                <w:szCs w:val="24"/>
                <w:lang w:eastAsia="zh-CN"/>
              </w:rPr>
              <w:t>0；</w:t>
            </w:r>
          </w:p>
          <w:p w14:paraId="44011718">
            <w:pPr>
              <w:pStyle w:val="42"/>
              <w:ind w:firstLine="0" w:firstLineChars="0"/>
              <w:rPr>
                <w:rFonts w:cs="宋体"/>
                <w:color w:val="FF0000"/>
                <w:szCs w:val="24"/>
              </w:rPr>
            </w:pPr>
            <w:r>
              <w:rPr>
                <w:rFonts w:hint="eastAsia" w:cs="宋体"/>
                <w:szCs w:val="24"/>
                <w:lang w:eastAsia="zh-CN"/>
              </w:rPr>
              <w:t>（2）报价分统一按照下列公式计算（四舍五入，精确到小数点后二位）：报价得分=（评标基准价／供应商评标价）×</w:t>
            </w:r>
            <w:r>
              <w:rPr>
                <w:rFonts w:hint="eastAsia" w:cs="宋体"/>
                <w:szCs w:val="24"/>
                <w:lang w:val="en-US" w:eastAsia="zh-CN"/>
              </w:rPr>
              <w:t>1</w:t>
            </w:r>
            <w:r>
              <w:rPr>
                <w:rFonts w:hint="eastAsia" w:cs="宋体"/>
                <w:szCs w:val="24"/>
                <w:lang w:eastAsia="zh-CN"/>
              </w:rPr>
              <w:t>0；</w:t>
            </w:r>
          </w:p>
        </w:tc>
        <w:tc>
          <w:tcPr>
            <w:tcW w:w="964" w:type="dxa"/>
            <w:vAlign w:val="center"/>
          </w:tcPr>
          <w:p w14:paraId="46F9B342">
            <w:pPr>
              <w:pStyle w:val="42"/>
              <w:ind w:firstLine="0" w:firstLineChars="0"/>
              <w:jc w:val="center"/>
              <w:rPr>
                <w:rFonts w:cs="宋体"/>
                <w:color w:val="FF0000"/>
                <w:kern w:val="0"/>
                <w:szCs w:val="24"/>
                <w:lang w:eastAsia="zh-CN"/>
              </w:rPr>
            </w:pPr>
            <w:r>
              <w:rPr>
                <w:rFonts w:hint="eastAsia" w:cs="宋体"/>
                <w:kern w:val="0"/>
                <w:szCs w:val="24"/>
                <w:lang w:val="en-US" w:eastAsia="zh-CN"/>
              </w:rPr>
              <w:t>1</w:t>
            </w:r>
            <w:r>
              <w:rPr>
                <w:rFonts w:hint="eastAsia" w:cs="宋体"/>
                <w:kern w:val="0"/>
                <w:szCs w:val="24"/>
                <w:lang w:eastAsia="zh-CN"/>
              </w:rPr>
              <w:t>0</w:t>
            </w:r>
          </w:p>
        </w:tc>
      </w:tr>
      <w:tr w14:paraId="02CD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55" w:type="dxa"/>
            <w:gridSpan w:val="2"/>
            <w:vAlign w:val="center"/>
          </w:tcPr>
          <w:p w14:paraId="7B66B157">
            <w:pPr>
              <w:pStyle w:val="42"/>
              <w:ind w:left="0" w:leftChars="0" w:firstLine="0" w:firstLineChars="0"/>
              <w:jc w:val="center"/>
              <w:rPr>
                <w:rFonts w:cs="宋体"/>
                <w:szCs w:val="24"/>
              </w:rPr>
            </w:pPr>
            <w:r>
              <w:rPr>
                <w:rFonts w:hint="eastAsia" w:cs="宋体"/>
                <w:szCs w:val="24"/>
              </w:rPr>
              <w:t>合计</w:t>
            </w:r>
          </w:p>
        </w:tc>
        <w:tc>
          <w:tcPr>
            <w:tcW w:w="964" w:type="dxa"/>
            <w:vAlign w:val="center"/>
          </w:tcPr>
          <w:p w14:paraId="50CBA291">
            <w:pPr>
              <w:pStyle w:val="42"/>
              <w:ind w:firstLine="0" w:firstLineChars="0"/>
              <w:jc w:val="center"/>
              <w:rPr>
                <w:rFonts w:cs="宋体"/>
                <w:kern w:val="0"/>
                <w:szCs w:val="24"/>
              </w:rPr>
            </w:pPr>
            <w:r>
              <w:rPr>
                <w:rFonts w:cs="宋体"/>
                <w:kern w:val="0"/>
                <w:szCs w:val="24"/>
              </w:rPr>
              <w:fldChar w:fldCharType="begin"/>
            </w:r>
            <w:r>
              <w:rPr>
                <w:rFonts w:cs="宋体"/>
                <w:kern w:val="0"/>
                <w:szCs w:val="24"/>
              </w:rPr>
              <w:instrText xml:space="preserve"> = SUM(ABOVE) \* MERGEFORMAT </w:instrText>
            </w:r>
            <w:r>
              <w:rPr>
                <w:rFonts w:cs="宋体"/>
                <w:kern w:val="0"/>
                <w:szCs w:val="24"/>
              </w:rPr>
              <w:fldChar w:fldCharType="separate"/>
            </w:r>
            <w:r>
              <w:rPr>
                <w:rFonts w:cs="宋体"/>
                <w:kern w:val="0"/>
                <w:szCs w:val="24"/>
              </w:rPr>
              <w:t>100</w:t>
            </w:r>
            <w:r>
              <w:rPr>
                <w:rFonts w:cs="宋体"/>
                <w:kern w:val="0"/>
                <w:szCs w:val="24"/>
              </w:rPr>
              <w:fldChar w:fldCharType="end"/>
            </w:r>
          </w:p>
        </w:tc>
      </w:tr>
    </w:tbl>
    <w:p w14:paraId="2F62E656">
      <w:pPr>
        <w:pStyle w:val="42"/>
        <w:ind w:left="0" w:leftChars="0" w:firstLine="0" w:firstLineChars="0"/>
        <w:rPr>
          <w:rFonts w:hint="default"/>
          <w:b w:val="0"/>
          <w:bCs w:val="0"/>
          <w:color w:val="auto"/>
          <w:u w:val="none"/>
          <w:lang w:val="en-US" w:eastAsia="zh-Hans"/>
        </w:rPr>
      </w:pPr>
    </w:p>
    <w:p w14:paraId="61CE077D">
      <w:pPr>
        <w:pStyle w:val="45"/>
        <w:numPr>
          <w:ilvl w:val="2"/>
          <w:numId w:val="52"/>
        </w:numPr>
      </w:pPr>
      <w:r>
        <w:rPr>
          <w:rFonts w:hint="eastAsia"/>
        </w:rPr>
        <w:t>商务技术文件符合性审查</w:t>
      </w:r>
    </w:p>
    <w:p w14:paraId="4A5E3BDC">
      <w:pPr>
        <w:pStyle w:val="52"/>
        <w:numPr>
          <w:ilvl w:val="0"/>
          <w:numId w:val="56"/>
        </w:numPr>
        <w:bidi w:val="0"/>
      </w:pPr>
      <w:r>
        <w:t>评审委员会首先对通过资格审查的投标人的商务技术文件进行符合性审查，以确定其是否满足招标文件的实质性要求。</w:t>
      </w:r>
    </w:p>
    <w:p w14:paraId="55D2EC0E">
      <w:pPr>
        <w:pStyle w:val="52"/>
        <w:numPr>
          <w:ilvl w:val="0"/>
          <w:numId w:val="56"/>
        </w:numPr>
        <w:bidi w:val="0"/>
      </w:pPr>
      <w:r>
        <w:t>商务技术文件存在下列情形之一的，经评审委员会认定后作无效标处理：</w:t>
      </w:r>
    </w:p>
    <w:p w14:paraId="5E8CE4D5">
      <w:pPr>
        <w:pStyle w:val="53"/>
        <w:numPr>
          <w:ilvl w:val="0"/>
          <w:numId w:val="57"/>
        </w:numPr>
        <w:bidi w:val="0"/>
        <w:rPr>
          <w:u w:val="single"/>
        </w:rPr>
      </w:pPr>
      <w:r>
        <w:rPr>
          <w:rFonts w:hint="eastAsia"/>
          <w:u w:val="single"/>
        </w:rPr>
        <w:t>投标文件没有对本采购文件作出实质性响应的，或不满足（不响应）本采购文件中标注“▲”的实质性要求条款的；</w:t>
      </w:r>
    </w:p>
    <w:p w14:paraId="1023A642">
      <w:pPr>
        <w:pStyle w:val="53"/>
        <w:numPr>
          <w:ilvl w:val="0"/>
          <w:numId w:val="57"/>
        </w:numPr>
        <w:bidi w:val="0"/>
        <w:rPr>
          <w:u w:val="single"/>
        </w:rPr>
      </w:pPr>
      <w:r>
        <w:rPr>
          <w:rFonts w:hint="eastAsia"/>
          <w:u w:val="single"/>
        </w:rPr>
        <w:t>投标文件存在一个或一个以上备选（替代）</w:t>
      </w:r>
      <w:r>
        <w:rPr>
          <w:rFonts w:hint="eastAsia"/>
          <w:u w:val="single"/>
          <w:lang w:eastAsia="zh-CN"/>
        </w:rPr>
        <w:t>方</w:t>
      </w:r>
      <w:r>
        <w:rPr>
          <w:rFonts w:hint="eastAsia"/>
          <w:u w:val="single"/>
        </w:rPr>
        <w:t>案的；</w:t>
      </w:r>
    </w:p>
    <w:p w14:paraId="42CC87A8">
      <w:pPr>
        <w:pStyle w:val="53"/>
        <w:numPr>
          <w:ilvl w:val="0"/>
          <w:numId w:val="57"/>
        </w:numPr>
        <w:bidi w:val="0"/>
        <w:rPr>
          <w:u w:val="single"/>
        </w:rPr>
      </w:pPr>
      <w:r>
        <w:rPr>
          <w:rFonts w:hint="eastAsia"/>
          <w:u w:val="single"/>
        </w:rPr>
        <w:t>仅提交“备份投标文件”的；</w:t>
      </w:r>
    </w:p>
    <w:p w14:paraId="76EF9C11">
      <w:pPr>
        <w:pStyle w:val="53"/>
        <w:numPr>
          <w:ilvl w:val="0"/>
          <w:numId w:val="57"/>
        </w:numPr>
        <w:bidi w:val="0"/>
        <w:rPr>
          <w:u w:val="single"/>
          <w:lang w:eastAsia="zh-CN"/>
        </w:rPr>
      </w:pPr>
      <w:r>
        <w:rPr>
          <w:rFonts w:hint="eastAsia"/>
          <w:u w:val="single"/>
        </w:rPr>
        <w:t>投标文件未按本</w:t>
      </w:r>
      <w:r>
        <w:rPr>
          <w:rFonts w:hint="eastAsia"/>
          <w:u w:val="single"/>
          <w:lang w:eastAsia="zh-CN"/>
        </w:rPr>
        <w:t>招标文件</w:t>
      </w:r>
      <w:r>
        <w:rPr>
          <w:rFonts w:hint="eastAsia"/>
          <w:u w:val="single"/>
          <w:lang w:eastAsia="zh-Hans"/>
        </w:rPr>
        <w:t>“</w:t>
      </w:r>
      <w:r>
        <w:rPr>
          <w:rFonts w:hint="eastAsia"/>
          <w:u w:val="single"/>
          <w:lang w:val="en-US" w:eastAsia="zh-Hans"/>
        </w:rPr>
        <w:t>第六章</w:t>
      </w:r>
      <w:r>
        <w:rPr>
          <w:rFonts w:hint="default"/>
          <w:u w:val="single"/>
          <w:lang w:eastAsia="zh-Hans"/>
        </w:rPr>
        <w:t xml:space="preserve"> </w:t>
      </w:r>
      <w:r>
        <w:rPr>
          <w:rFonts w:hint="eastAsia"/>
          <w:u w:val="single"/>
          <w:lang w:val="en-US" w:eastAsia="zh-Hans"/>
        </w:rPr>
        <w:t>投标文件部分</w:t>
      </w:r>
      <w:r>
        <w:rPr>
          <w:rFonts w:hint="eastAsia"/>
          <w:u w:val="single"/>
          <w:lang w:eastAsia="zh-CN"/>
        </w:rPr>
        <w:t>格式文本</w:t>
      </w:r>
      <w:r>
        <w:rPr>
          <w:rFonts w:hint="eastAsia"/>
          <w:u w:val="single"/>
          <w:lang w:eastAsia="zh-Hans"/>
        </w:rPr>
        <w:t>”</w:t>
      </w:r>
      <w:r>
        <w:rPr>
          <w:rFonts w:hint="eastAsia"/>
          <w:u w:val="single"/>
        </w:rPr>
        <w:t>要求进行盖章或签署的；</w:t>
      </w:r>
    </w:p>
    <w:p w14:paraId="7ECF75DE">
      <w:pPr>
        <w:pStyle w:val="53"/>
        <w:numPr>
          <w:ilvl w:val="0"/>
          <w:numId w:val="57"/>
        </w:numPr>
        <w:bidi w:val="0"/>
        <w:rPr>
          <w:u w:val="single"/>
        </w:rPr>
      </w:pPr>
      <w:r>
        <w:rPr>
          <w:rFonts w:hint="eastAsia"/>
          <w:u w:val="single"/>
        </w:rPr>
        <w:t>投标文件组成内容不齐全，本</w:t>
      </w:r>
      <w:r>
        <w:rPr>
          <w:rFonts w:hint="eastAsia"/>
          <w:u w:val="single"/>
          <w:lang w:eastAsia="zh-CN"/>
        </w:rPr>
        <w:t>招标</w:t>
      </w:r>
      <w:r>
        <w:rPr>
          <w:rFonts w:hint="eastAsia"/>
          <w:u w:val="single"/>
        </w:rPr>
        <w:t>文件规定必须提供而未提供的；</w:t>
      </w:r>
    </w:p>
    <w:p w14:paraId="54A16579">
      <w:pPr>
        <w:pStyle w:val="53"/>
        <w:numPr>
          <w:ilvl w:val="0"/>
          <w:numId w:val="57"/>
        </w:numPr>
        <w:bidi w:val="0"/>
        <w:rPr>
          <w:u w:val="single"/>
        </w:rPr>
      </w:pPr>
      <w:r>
        <w:rPr>
          <w:rFonts w:hint="eastAsia"/>
          <w:u w:val="single"/>
        </w:rPr>
        <w:t>投标文件标注的响应或偏离情况与事实不符，或提供了虚假材料的；</w:t>
      </w:r>
    </w:p>
    <w:p w14:paraId="7293CF3A">
      <w:pPr>
        <w:pStyle w:val="53"/>
        <w:numPr>
          <w:ilvl w:val="0"/>
          <w:numId w:val="57"/>
        </w:numPr>
        <w:bidi w:val="0"/>
        <w:rPr>
          <w:u w:val="single"/>
        </w:rPr>
      </w:pPr>
      <w:r>
        <w:rPr>
          <w:rFonts w:hint="eastAsia"/>
          <w:u w:val="single"/>
        </w:rPr>
        <w:t>投标文件有效期不符合本采购文件要求的；</w:t>
      </w:r>
    </w:p>
    <w:p w14:paraId="3FA48F82">
      <w:pPr>
        <w:pStyle w:val="53"/>
        <w:numPr>
          <w:ilvl w:val="0"/>
          <w:numId w:val="57"/>
        </w:numPr>
        <w:bidi w:val="0"/>
        <w:rPr>
          <w:u w:val="single"/>
        </w:rPr>
      </w:pPr>
      <w:r>
        <w:rPr>
          <w:rFonts w:hint="eastAsia"/>
          <w:u w:val="single"/>
        </w:rPr>
        <w:t>不响应或擅自改变本采购文件要求或投标文件含有</w:t>
      </w:r>
      <w:r>
        <w:rPr>
          <w:rFonts w:hint="eastAsia"/>
          <w:u w:val="single"/>
          <w:lang w:eastAsia="zh-CN"/>
        </w:rPr>
        <w:t>招标</w:t>
      </w:r>
      <w:r>
        <w:rPr>
          <w:rFonts w:hint="eastAsia"/>
          <w:u w:val="single"/>
        </w:rPr>
        <w:t>人不能接受的附加条件的；</w:t>
      </w:r>
    </w:p>
    <w:p w14:paraId="424474B8">
      <w:pPr>
        <w:pStyle w:val="53"/>
        <w:numPr>
          <w:ilvl w:val="0"/>
          <w:numId w:val="57"/>
        </w:numPr>
        <w:bidi w:val="0"/>
        <w:rPr>
          <w:u w:val="single"/>
        </w:rPr>
      </w:pPr>
      <w:r>
        <w:rPr>
          <w:rFonts w:hint="eastAsia"/>
          <w:u w:val="single"/>
        </w:rPr>
        <w:t>属于本招标文件明确限制投标的供应商提供的投标文件；</w:t>
      </w:r>
    </w:p>
    <w:p w14:paraId="4A2D5A64">
      <w:pPr>
        <w:pStyle w:val="53"/>
        <w:numPr>
          <w:ilvl w:val="0"/>
          <w:numId w:val="57"/>
        </w:numPr>
        <w:bidi w:val="0"/>
      </w:pPr>
      <w:r>
        <w:rPr>
          <w:rFonts w:hint="eastAsia"/>
          <w:u w:val="single"/>
        </w:rPr>
        <w:t>未提供有效投标函及投标代表人身份证明的投标文件；</w:t>
      </w:r>
    </w:p>
    <w:p w14:paraId="7C54880A">
      <w:pPr>
        <w:pStyle w:val="53"/>
        <w:numPr>
          <w:ilvl w:val="0"/>
          <w:numId w:val="57"/>
        </w:numPr>
        <w:bidi w:val="0"/>
        <w:rPr>
          <w:u w:val="single"/>
        </w:rPr>
      </w:pPr>
      <w:r>
        <w:rPr>
          <w:rFonts w:hint="eastAsia"/>
          <w:u w:val="single"/>
        </w:rPr>
        <w:t>存在法律、法规和采购文件规定的其他无效情形的。</w:t>
      </w:r>
    </w:p>
    <w:p w14:paraId="7E6B345F">
      <w:pPr>
        <w:pStyle w:val="52"/>
        <w:bidi w:val="0"/>
        <w:rPr>
          <w:rFonts w:hint="default"/>
          <w:color w:val="auto"/>
          <w:lang w:val="en-US" w:eastAsia="zh-CN"/>
        </w:rPr>
      </w:pPr>
      <w:r>
        <w:rPr>
          <w:rFonts w:hint="eastAsia"/>
          <w:color w:val="auto"/>
          <w:lang w:val="en-US" w:eastAsia="zh-CN"/>
        </w:rPr>
        <w:t>电子交易活动中，出现以下情形之一的，相关方均作无效投标处理：</w:t>
      </w:r>
    </w:p>
    <w:p w14:paraId="7D0C1E52">
      <w:pPr>
        <w:pStyle w:val="53"/>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电子交易平台提示不同投标人IP地址重复的（包括下载IP、上传IP）；</w:t>
      </w:r>
    </w:p>
    <w:p w14:paraId="45568C0B">
      <w:pPr>
        <w:pStyle w:val="53"/>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电子交易平台提示不同投标人MAC地址重复的；</w:t>
      </w:r>
    </w:p>
    <w:p w14:paraId="60055045">
      <w:pPr>
        <w:pStyle w:val="53"/>
        <w:numPr>
          <w:ilvl w:val="0"/>
          <w:numId w:val="58"/>
        </w:numPr>
        <w:bidi w:val="0"/>
        <w:rPr>
          <w:rFonts w:hint="eastAsia"/>
          <w:color w:val="auto"/>
          <w:u w:val="single"/>
          <w:lang w:val="en-US" w:eastAsia="zh-CN"/>
        </w:rPr>
      </w:pPr>
      <w:r>
        <w:rPr>
          <w:rFonts w:hint="eastAsia"/>
          <w:color w:val="auto"/>
          <w:u w:val="single"/>
          <w:lang w:val="en-US" w:eastAsia="zh-CN"/>
        </w:rPr>
        <w:t>电子交易平台提示不同投标人硬件号重复的（包括硬盘号、主板号）；</w:t>
      </w:r>
    </w:p>
    <w:p w14:paraId="0B2C2F9D">
      <w:pPr>
        <w:pStyle w:val="53"/>
        <w:numPr>
          <w:ilvl w:val="0"/>
          <w:numId w:val="58"/>
        </w:numPr>
        <w:bidi w:val="0"/>
        <w:rPr>
          <w:rFonts w:hint="default"/>
          <w:color w:val="auto"/>
          <w:u w:val="single"/>
          <w:lang w:val="en-US" w:eastAsia="zh-CN"/>
        </w:rPr>
      </w:pPr>
      <w:r>
        <w:rPr>
          <w:rFonts w:hint="eastAsia"/>
          <w:color w:val="auto"/>
          <w:u w:val="single"/>
          <w:lang w:val="en-US" w:eastAsia="zh-CN"/>
        </w:rPr>
        <w:t>电子交易平台提示不同投标人其他设备或电子文档属性信息重复的。</w:t>
      </w:r>
    </w:p>
    <w:p w14:paraId="6D51AAA0">
      <w:pPr>
        <w:pStyle w:val="45"/>
        <w:numPr>
          <w:ilvl w:val="2"/>
          <w:numId w:val="52"/>
        </w:numPr>
      </w:pPr>
      <w:r>
        <w:rPr>
          <w:rFonts w:hint="eastAsia"/>
        </w:rPr>
        <w:t>商务技术文件评分</w:t>
      </w:r>
    </w:p>
    <w:p w14:paraId="187B1637">
      <w:pPr>
        <w:pStyle w:val="42"/>
        <w:ind w:firstLine="480"/>
        <w:rPr>
          <w:rFonts w:cs="Arial"/>
          <w:kern w:val="0"/>
        </w:rPr>
      </w:pPr>
      <w:r>
        <w:rPr>
          <w:rFonts w:hint="eastAsia"/>
        </w:rPr>
        <w:t>评审委员会首先对</w:t>
      </w:r>
      <w:r>
        <w:rPr>
          <w:rFonts w:hint="eastAsia"/>
          <w:lang w:eastAsia="zh-CN"/>
        </w:rPr>
        <w:t>通过资格审查且通过商务技术文件符合性审查</w:t>
      </w:r>
      <w:r>
        <w:rPr>
          <w:rFonts w:hint="eastAsia"/>
        </w:rPr>
        <w:t>的投标</w:t>
      </w:r>
      <w:r>
        <w:rPr>
          <w:rFonts w:hint="eastAsia"/>
          <w:lang w:eastAsia="zh-CN"/>
        </w:rPr>
        <w:t>人</w:t>
      </w:r>
      <w:r>
        <w:rPr>
          <w:rFonts w:hint="eastAsia"/>
        </w:rPr>
        <w:t>的</w:t>
      </w:r>
      <w:r>
        <w:rPr>
          <w:rFonts w:hint="eastAsia"/>
          <w:lang w:eastAsia="zh-CN"/>
        </w:rPr>
        <w:t>商务技术</w:t>
      </w:r>
      <w:r>
        <w:rPr>
          <w:rFonts w:hint="eastAsia"/>
        </w:rPr>
        <w:t>文件</w:t>
      </w:r>
      <w:r>
        <w:rPr>
          <w:rFonts w:hint="eastAsia"/>
          <w:lang w:val="en-US" w:eastAsia="zh-CN"/>
        </w:rPr>
        <w:t>依照“评分标准”</w:t>
      </w:r>
      <w:r>
        <w:rPr>
          <w:rFonts w:hint="eastAsia"/>
        </w:rPr>
        <w:t>进行</w:t>
      </w:r>
      <w:r>
        <w:rPr>
          <w:rFonts w:hint="eastAsia"/>
          <w:lang w:eastAsia="zh-CN"/>
        </w:rPr>
        <w:t>详细</w:t>
      </w:r>
      <w:r>
        <w:rPr>
          <w:rFonts w:hint="eastAsia"/>
          <w:lang w:val="en-US" w:eastAsia="zh-CN"/>
        </w:rPr>
        <w:t>评价。</w:t>
      </w:r>
    </w:p>
    <w:p w14:paraId="2D4A74F3">
      <w:pPr>
        <w:pStyle w:val="45"/>
        <w:numPr>
          <w:ilvl w:val="2"/>
          <w:numId w:val="52"/>
        </w:numPr>
        <w:rPr>
          <w:rFonts w:ascii="华文中宋" w:hAnsi="华文中宋" w:eastAsia="华文中宋" w:cs="Times New Roman"/>
          <w:b/>
          <w:color w:val="000000"/>
          <w:kern w:val="0"/>
          <w:sz w:val="30"/>
          <w:szCs w:val="30"/>
        </w:rPr>
      </w:pPr>
      <w:r>
        <w:rPr>
          <w:rFonts w:hint="eastAsia"/>
          <w:lang w:eastAsia="zh-CN"/>
        </w:rPr>
        <w:t>报价文件</w:t>
      </w:r>
      <w:r>
        <w:rPr>
          <w:rFonts w:hint="eastAsia"/>
        </w:rPr>
        <w:t>符合性审查</w:t>
      </w:r>
    </w:p>
    <w:p w14:paraId="448925A4">
      <w:pPr>
        <w:pStyle w:val="52"/>
        <w:numPr>
          <w:ilvl w:val="0"/>
          <w:numId w:val="59"/>
        </w:numPr>
        <w:bidi w:val="0"/>
      </w:pPr>
      <w:r>
        <w:t>评审委员会对通过资格审查且通过商务技术符合性审查的投标人的报价文件进行符合性审查，以确定其是否满足招标文件的实质性要求。</w:t>
      </w:r>
    </w:p>
    <w:p w14:paraId="6A76A8F9">
      <w:pPr>
        <w:pStyle w:val="52"/>
        <w:numPr>
          <w:ilvl w:val="0"/>
          <w:numId w:val="59"/>
        </w:numPr>
        <w:bidi w:val="0"/>
        <w:rPr>
          <w:rFonts w:cs="Arial"/>
          <w:kern w:val="0"/>
        </w:rPr>
      </w:pPr>
      <w:r>
        <w:t>报价文件存在下列情形之一的，经评审委员会认定后作无效标处理：</w:t>
      </w:r>
    </w:p>
    <w:p w14:paraId="5B3A6621">
      <w:pPr>
        <w:pStyle w:val="53"/>
        <w:numPr>
          <w:ilvl w:val="0"/>
          <w:numId w:val="60"/>
        </w:numPr>
        <w:bidi w:val="0"/>
        <w:rPr>
          <w:u w:val="single"/>
        </w:rPr>
      </w:pPr>
      <w:r>
        <w:rPr>
          <w:rFonts w:hint="eastAsia"/>
          <w:u w:val="single"/>
        </w:rPr>
        <w:t>投标文件没有对本采购文件作出实质性响应的，或不满足（不响应）本采购文件中标注“▲”的实质性要求条款的；</w:t>
      </w:r>
    </w:p>
    <w:p w14:paraId="704C0E24">
      <w:pPr>
        <w:pStyle w:val="53"/>
        <w:numPr>
          <w:ilvl w:val="0"/>
          <w:numId w:val="60"/>
        </w:numPr>
        <w:bidi w:val="0"/>
        <w:rPr>
          <w:u w:val="single"/>
        </w:rPr>
      </w:pPr>
      <w:r>
        <w:rPr>
          <w:rFonts w:hint="eastAsia"/>
          <w:u w:val="single"/>
        </w:rPr>
        <w:t>投标文件存在一个或一个以上备选（替代）</w:t>
      </w:r>
      <w:r>
        <w:rPr>
          <w:rFonts w:hint="eastAsia"/>
          <w:u w:val="single"/>
          <w:lang w:eastAsia="zh-CN"/>
        </w:rPr>
        <w:t>方</w:t>
      </w:r>
      <w:r>
        <w:rPr>
          <w:rFonts w:hint="eastAsia"/>
          <w:u w:val="single"/>
        </w:rPr>
        <w:t>案的；</w:t>
      </w:r>
    </w:p>
    <w:p w14:paraId="041BA239">
      <w:pPr>
        <w:pStyle w:val="53"/>
        <w:numPr>
          <w:ilvl w:val="0"/>
          <w:numId w:val="60"/>
        </w:numPr>
        <w:bidi w:val="0"/>
        <w:rPr>
          <w:u w:val="single"/>
        </w:rPr>
      </w:pPr>
      <w:r>
        <w:rPr>
          <w:rFonts w:hint="eastAsia"/>
          <w:u w:val="single"/>
        </w:rPr>
        <w:t>未按照采购文件标明的币种报价的，或者投标报价涵盖的内容不符合</w:t>
      </w:r>
      <w:r>
        <w:rPr>
          <w:rFonts w:hint="eastAsia"/>
          <w:u w:val="single"/>
          <w:lang w:eastAsia="zh-CN"/>
        </w:rPr>
        <w:t>招标</w:t>
      </w:r>
      <w:r>
        <w:rPr>
          <w:rFonts w:hint="eastAsia"/>
          <w:u w:val="single"/>
        </w:rPr>
        <w:t>文件要求的；</w:t>
      </w:r>
    </w:p>
    <w:p w14:paraId="1573CBC9">
      <w:pPr>
        <w:pStyle w:val="53"/>
        <w:numPr>
          <w:ilvl w:val="0"/>
          <w:numId w:val="60"/>
        </w:numPr>
        <w:bidi w:val="0"/>
        <w:rPr>
          <w:u w:val="single"/>
        </w:rPr>
      </w:pPr>
      <w:r>
        <w:rPr>
          <w:rFonts w:hint="eastAsia"/>
          <w:u w:val="single"/>
        </w:rPr>
        <w:t>报价出现前后不一致时拒绝按照</w:t>
      </w:r>
      <w:r>
        <w:rPr>
          <w:rFonts w:hint="eastAsia"/>
          <w:u w:val="single"/>
          <w:lang w:eastAsia="zh-CN"/>
        </w:rPr>
        <w:t>招标</w:t>
      </w:r>
      <w:r>
        <w:rPr>
          <w:rFonts w:hint="eastAsia"/>
          <w:u w:val="single"/>
        </w:rPr>
        <w:t>文件规定的错误修正原则进行修正的；</w:t>
      </w:r>
    </w:p>
    <w:p w14:paraId="1C48224B">
      <w:pPr>
        <w:pStyle w:val="53"/>
        <w:numPr>
          <w:ilvl w:val="0"/>
          <w:numId w:val="60"/>
        </w:numPr>
        <w:bidi w:val="0"/>
        <w:rPr>
          <w:u w:val="single"/>
        </w:rPr>
      </w:pPr>
      <w:r>
        <w:rPr>
          <w:rFonts w:hint="eastAsia"/>
          <w:u w:val="single"/>
        </w:rPr>
        <w:t>投标报价具有选择性，开标记录载明的报价与投标文件承诺价格不一致且拒绝按照采购文件规定的原则进行修订的；</w:t>
      </w:r>
    </w:p>
    <w:p w14:paraId="3C24EE0A">
      <w:pPr>
        <w:pStyle w:val="53"/>
        <w:numPr>
          <w:ilvl w:val="0"/>
          <w:numId w:val="60"/>
        </w:numPr>
        <w:bidi w:val="0"/>
        <w:rPr>
          <w:u w:val="single"/>
        </w:rPr>
      </w:pPr>
      <w:r>
        <w:rPr>
          <w:rFonts w:hint="eastAsia"/>
          <w:u w:val="single"/>
        </w:rPr>
        <w:t>报价超过采购文件中规定的预算金额或者最高限价的；</w:t>
      </w:r>
    </w:p>
    <w:p w14:paraId="10B0B93D">
      <w:pPr>
        <w:pStyle w:val="53"/>
        <w:numPr>
          <w:ilvl w:val="0"/>
          <w:numId w:val="60"/>
        </w:numPr>
        <w:bidi w:val="0"/>
        <w:rPr>
          <w:u w:val="single"/>
        </w:rPr>
      </w:pPr>
      <w:r>
        <w:rPr>
          <w:rFonts w:hint="eastAsia"/>
          <w:u w:val="single"/>
        </w:rPr>
        <w:t>投标文件未按本</w:t>
      </w:r>
      <w:r>
        <w:rPr>
          <w:rFonts w:hint="eastAsia"/>
          <w:u w:val="single"/>
          <w:lang w:eastAsia="zh-CN"/>
        </w:rPr>
        <w:t>招标文件格式文本要求</w:t>
      </w:r>
      <w:r>
        <w:rPr>
          <w:rFonts w:hint="eastAsia"/>
          <w:u w:val="single"/>
        </w:rPr>
        <w:t>要求进行盖章或签署的；</w:t>
      </w:r>
    </w:p>
    <w:p w14:paraId="069E0D25">
      <w:pPr>
        <w:pStyle w:val="53"/>
        <w:numPr>
          <w:ilvl w:val="0"/>
          <w:numId w:val="60"/>
        </w:numPr>
        <w:bidi w:val="0"/>
        <w:rPr>
          <w:u w:val="single"/>
        </w:rPr>
      </w:pPr>
      <w:r>
        <w:rPr>
          <w:rFonts w:hint="eastAsia"/>
          <w:u w:val="single"/>
        </w:rPr>
        <w:t>投标文件组成内容不齐全，本</w:t>
      </w:r>
      <w:r>
        <w:rPr>
          <w:rFonts w:hint="eastAsia"/>
          <w:u w:val="single"/>
          <w:lang w:eastAsia="zh-CN"/>
        </w:rPr>
        <w:t>招标</w:t>
      </w:r>
      <w:r>
        <w:rPr>
          <w:rFonts w:hint="eastAsia"/>
          <w:u w:val="single"/>
        </w:rPr>
        <w:t>文件规定必须提供而未提供的；</w:t>
      </w:r>
    </w:p>
    <w:p w14:paraId="15BC8101">
      <w:pPr>
        <w:pStyle w:val="53"/>
        <w:numPr>
          <w:ilvl w:val="0"/>
          <w:numId w:val="60"/>
        </w:numPr>
        <w:bidi w:val="0"/>
        <w:rPr>
          <w:u w:val="single"/>
        </w:rPr>
      </w:pPr>
      <w:r>
        <w:rPr>
          <w:rFonts w:hint="eastAsia"/>
          <w:u w:val="single"/>
        </w:rPr>
        <w:t>评审委员会认为投标</w:t>
      </w:r>
      <w:r>
        <w:rPr>
          <w:rFonts w:hint="eastAsia"/>
          <w:u w:val="single"/>
          <w:lang w:eastAsia="zh-CN"/>
        </w:rPr>
        <w:t>人</w:t>
      </w:r>
      <w:r>
        <w:rPr>
          <w:rFonts w:hint="eastAsia"/>
          <w:u w:val="single"/>
        </w:rPr>
        <w:t>的报价明显低于其他通过符合性审查的投标人的报价有可能影响产品质量或者不能诚信履约时，投标人不能在规定的时间证明其报价合理性的；</w:t>
      </w:r>
    </w:p>
    <w:p w14:paraId="095D9B6D">
      <w:pPr>
        <w:pStyle w:val="53"/>
        <w:numPr>
          <w:ilvl w:val="0"/>
          <w:numId w:val="60"/>
        </w:numPr>
        <w:bidi w:val="0"/>
        <w:rPr>
          <w:u w:val="single"/>
        </w:rPr>
      </w:pPr>
      <w:r>
        <w:rPr>
          <w:rFonts w:hint="eastAsia"/>
          <w:u w:val="single"/>
        </w:rPr>
        <w:t>不响应或擅自改变本采购文件要求或投标文件含有</w:t>
      </w:r>
      <w:r>
        <w:rPr>
          <w:rFonts w:hint="eastAsia"/>
          <w:u w:val="single"/>
          <w:lang w:eastAsia="zh-CN"/>
        </w:rPr>
        <w:t>招标</w:t>
      </w:r>
      <w:r>
        <w:rPr>
          <w:rFonts w:hint="eastAsia"/>
          <w:u w:val="single"/>
        </w:rPr>
        <w:t>人不能接受的附加条件的；</w:t>
      </w:r>
    </w:p>
    <w:p w14:paraId="3D00152C">
      <w:pPr>
        <w:pStyle w:val="53"/>
        <w:numPr>
          <w:ilvl w:val="0"/>
          <w:numId w:val="60"/>
        </w:numPr>
        <w:bidi w:val="0"/>
      </w:pPr>
      <w:r>
        <w:rPr>
          <w:rFonts w:hint="eastAsia"/>
          <w:u w:val="single"/>
        </w:rPr>
        <w:t>存在法律、法规和采购文件规定的其他无效情形的。</w:t>
      </w:r>
    </w:p>
    <w:p w14:paraId="491F83AC">
      <w:pPr>
        <w:pStyle w:val="52"/>
        <w:bidi w:val="0"/>
        <w:rPr>
          <w:rFonts w:hint="default"/>
          <w:color w:val="auto"/>
          <w:lang w:val="en-US" w:eastAsia="zh-CN"/>
        </w:rPr>
      </w:pPr>
      <w:r>
        <w:rPr>
          <w:rFonts w:hint="eastAsia"/>
          <w:color w:val="auto"/>
          <w:lang w:val="en-US" w:eastAsia="zh-CN"/>
        </w:rPr>
        <w:t>电子交易活动中，出现以下情形之一的，相关方均作无效投标处理：</w:t>
      </w:r>
    </w:p>
    <w:p w14:paraId="13EA4193">
      <w:pPr>
        <w:pStyle w:val="53"/>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电子交易平台提示不同投标人IP地址重复的（包括下载IP、上传IP）；</w:t>
      </w:r>
    </w:p>
    <w:p w14:paraId="033AC22E">
      <w:pPr>
        <w:pStyle w:val="53"/>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电子交易平台提示不同投标人MAC地址重复的；</w:t>
      </w:r>
    </w:p>
    <w:p w14:paraId="7C17FF24">
      <w:pPr>
        <w:pStyle w:val="53"/>
        <w:numPr>
          <w:ilvl w:val="0"/>
          <w:numId w:val="61"/>
        </w:numPr>
        <w:bidi w:val="0"/>
        <w:rPr>
          <w:rFonts w:hint="eastAsia"/>
          <w:color w:val="auto"/>
          <w:u w:val="single"/>
          <w:lang w:val="en-US" w:eastAsia="zh-CN"/>
        </w:rPr>
      </w:pPr>
      <w:r>
        <w:rPr>
          <w:rFonts w:hint="eastAsia"/>
          <w:color w:val="auto"/>
          <w:u w:val="single"/>
          <w:lang w:val="en-US" w:eastAsia="zh-CN"/>
        </w:rPr>
        <w:t>电子交易平台提示不同投标人硬件号重复的（包括硬盘号、主板号）；</w:t>
      </w:r>
    </w:p>
    <w:p w14:paraId="573B1EEE">
      <w:pPr>
        <w:pStyle w:val="53"/>
        <w:numPr>
          <w:ilvl w:val="0"/>
          <w:numId w:val="61"/>
        </w:numPr>
        <w:bidi w:val="0"/>
        <w:rPr>
          <w:color w:val="auto"/>
        </w:rPr>
      </w:pPr>
      <w:r>
        <w:rPr>
          <w:rFonts w:hint="eastAsia"/>
          <w:color w:val="auto"/>
          <w:u w:val="single"/>
          <w:lang w:val="en-US" w:eastAsia="zh-CN"/>
        </w:rPr>
        <w:t>电子交易平台提示不同投标人其他设备或电子文档属性信息重复的。</w:t>
      </w:r>
    </w:p>
    <w:p w14:paraId="4F89030C">
      <w:pPr>
        <w:pStyle w:val="45"/>
        <w:numPr>
          <w:ilvl w:val="2"/>
          <w:numId w:val="52"/>
        </w:numPr>
      </w:pPr>
      <w:r>
        <w:rPr>
          <w:rFonts w:hint="eastAsia"/>
          <w:lang w:eastAsia="zh-CN"/>
        </w:rPr>
        <w:t>报价</w:t>
      </w:r>
      <w:r>
        <w:rPr>
          <w:rFonts w:hint="eastAsia"/>
        </w:rPr>
        <w:t>文件评分</w:t>
      </w:r>
    </w:p>
    <w:p w14:paraId="0570439F">
      <w:pPr>
        <w:pStyle w:val="42"/>
        <w:ind w:firstLine="480"/>
        <w:rPr>
          <w:rFonts w:cs="Arial"/>
          <w:kern w:val="0"/>
        </w:rPr>
      </w:pPr>
      <w:r>
        <w:rPr>
          <w:rFonts w:hint="eastAsia"/>
        </w:rPr>
        <w:t>评审委员会首先对</w:t>
      </w:r>
      <w:r>
        <w:rPr>
          <w:rFonts w:hint="eastAsia"/>
          <w:lang w:eastAsia="zh-CN"/>
        </w:rPr>
        <w:t>通过资格审查且通过符合性审查</w:t>
      </w:r>
      <w:r>
        <w:rPr>
          <w:rFonts w:hint="eastAsia"/>
        </w:rPr>
        <w:t>的投标</w:t>
      </w:r>
      <w:r>
        <w:rPr>
          <w:rFonts w:hint="eastAsia"/>
          <w:lang w:eastAsia="zh-CN"/>
        </w:rPr>
        <w:t>人</w:t>
      </w:r>
      <w:r>
        <w:rPr>
          <w:rFonts w:hint="eastAsia"/>
        </w:rPr>
        <w:t>的</w:t>
      </w:r>
      <w:r>
        <w:rPr>
          <w:rFonts w:hint="eastAsia"/>
          <w:lang w:eastAsia="zh-CN"/>
        </w:rPr>
        <w:t>报价</w:t>
      </w:r>
      <w:r>
        <w:rPr>
          <w:rFonts w:hint="eastAsia"/>
        </w:rPr>
        <w:t>文件</w:t>
      </w:r>
      <w:r>
        <w:rPr>
          <w:rFonts w:hint="eastAsia"/>
          <w:lang w:val="en-US" w:eastAsia="zh-CN"/>
        </w:rPr>
        <w:t>依照“评分标准”</w:t>
      </w:r>
      <w:r>
        <w:rPr>
          <w:rFonts w:hint="eastAsia"/>
        </w:rPr>
        <w:t>进行</w:t>
      </w:r>
      <w:r>
        <w:rPr>
          <w:rFonts w:hint="eastAsia"/>
          <w:lang w:eastAsia="zh-CN"/>
        </w:rPr>
        <w:t>详细</w:t>
      </w:r>
      <w:r>
        <w:rPr>
          <w:rFonts w:hint="eastAsia"/>
          <w:lang w:val="en-US" w:eastAsia="zh-CN"/>
        </w:rPr>
        <w:t>评价。</w:t>
      </w:r>
    </w:p>
    <w:p w14:paraId="0F718C4F">
      <w:pPr>
        <w:pStyle w:val="41"/>
        <w:numPr>
          <w:ilvl w:val="3"/>
          <w:numId w:val="52"/>
        </w:numPr>
        <w:ind w:firstLine="482"/>
      </w:pPr>
      <w:r>
        <w:t>投标价格的合理性审查</w:t>
      </w:r>
    </w:p>
    <w:p w14:paraId="14898170">
      <w:pPr>
        <w:pStyle w:val="52"/>
        <w:numPr>
          <w:ilvl w:val="0"/>
          <w:numId w:val="62"/>
        </w:numPr>
        <w:bidi w:val="0"/>
      </w:pPr>
      <w:r>
        <w:t>分析投标价格是否合理，投标价格范围是否完整，有否重大错漏项；</w:t>
      </w:r>
    </w:p>
    <w:p w14:paraId="5CD1979C">
      <w:pPr>
        <w:pStyle w:val="42"/>
        <w:rPr>
          <w:rFonts w:hint="eastAsia"/>
        </w:rPr>
      </w:pPr>
      <w:r>
        <w:rPr>
          <w:rFonts w:hint="eastAsia"/>
          <w:lang w:eastAsia="zh-CN"/>
        </w:rPr>
        <w:t>（</w:t>
      </w:r>
      <w:r>
        <w:rPr>
          <w:rFonts w:hint="eastAsia"/>
          <w:lang w:val="en-US" w:eastAsia="zh-CN"/>
        </w:rPr>
        <w:t>2</w:t>
      </w:r>
      <w:r>
        <w:rPr>
          <w:rFonts w:hint="eastAsia"/>
          <w:lang w:eastAsia="zh-CN"/>
        </w:rPr>
        <w:t>）</w:t>
      </w:r>
      <w:r>
        <w:rPr>
          <w:rFonts w:hint="eastAsia"/>
        </w:rPr>
        <w:t>为防止恶意竞标的行为，根据《关于推动解决政府采购异常低价问题的通知》（财库〔2026〕2号）规定，评审中出现下列情形之一的，评审委员会应当启动异常低价投标（响应）审查程序：</w:t>
      </w:r>
    </w:p>
    <w:p w14:paraId="65AFCA80">
      <w:pPr>
        <w:pStyle w:val="52"/>
        <w:numPr>
          <w:ilvl w:val="-1"/>
          <w:numId w:val="0"/>
        </w:numPr>
        <w:snapToGrid w:val="0"/>
        <w:ind w:leftChars="200" w:firstLine="480" w:firstLineChars="200"/>
        <w:rPr>
          <w:rFonts w:hint="eastAsia" w:ascii="宋体" w:hAnsi="宋体" w:eastAsia="宋体" w:cs="Times New Roman"/>
          <w:b w:val="0"/>
          <w:sz w:val="24"/>
        </w:rPr>
      </w:pPr>
      <w:r>
        <w:rPr>
          <w:rFonts w:hint="eastAsia" w:ascii="宋体" w:hAnsi="宋体" w:eastAsia="宋体" w:cs="Times New Roman"/>
          <w:b w:val="0"/>
          <w:sz w:val="24"/>
        </w:rPr>
        <w:t>1）投标（响应）报价低于全部通过符合性审查供应商投标（响应）报价平均值50%的，即投标（响应）报价&lt;全部通过符合性审查供应商投标（响应）报价平均值×50%；</w:t>
      </w:r>
    </w:p>
    <w:p w14:paraId="103DB93D">
      <w:pPr>
        <w:pStyle w:val="52"/>
        <w:numPr>
          <w:ilvl w:val="-1"/>
          <w:numId w:val="0"/>
        </w:numPr>
        <w:snapToGrid w:val="0"/>
        <w:ind w:leftChars="200" w:firstLine="480" w:firstLineChars="200"/>
        <w:rPr>
          <w:rFonts w:hint="eastAsia" w:ascii="宋体" w:hAnsi="宋体" w:eastAsia="宋体" w:cs="Times New Roman"/>
          <w:b w:val="0"/>
          <w:sz w:val="24"/>
        </w:rPr>
      </w:pPr>
      <w:r>
        <w:rPr>
          <w:rFonts w:hint="eastAsia" w:ascii="宋体" w:hAnsi="宋体" w:eastAsia="宋体" w:cs="Times New Roman"/>
          <w:b w:val="0"/>
          <w:sz w:val="24"/>
        </w:rPr>
        <w:t>2）投标（响应）报价低于通过符合性审查的次低报价供应商投标（响应）报价50%的，即投标（响应）报价&lt;通过符合性审查的次低报价供应商投标（响应）报价×50%；</w:t>
      </w:r>
    </w:p>
    <w:p w14:paraId="32C19950">
      <w:pPr>
        <w:pStyle w:val="52"/>
        <w:numPr>
          <w:ilvl w:val="-1"/>
          <w:numId w:val="0"/>
        </w:numPr>
        <w:snapToGrid w:val="0"/>
        <w:ind w:leftChars="200" w:firstLine="480" w:firstLineChars="200"/>
        <w:rPr>
          <w:rFonts w:hint="eastAsia" w:ascii="宋体" w:hAnsi="宋体" w:eastAsia="宋体" w:cs="Times New Roman"/>
          <w:color w:val="0000FF"/>
        </w:rPr>
      </w:pPr>
      <w:r>
        <w:rPr>
          <w:rFonts w:hint="eastAsia" w:ascii="宋体" w:hAnsi="宋体" w:eastAsia="宋体" w:cs="Times New Roman"/>
          <w:b w:val="0"/>
          <w:sz w:val="24"/>
        </w:rPr>
        <w:t>3）投标（响应）报价低于采购项目最高限价45%的，即投标（响应）报价&lt;采购项目最高限价×45%；</w:t>
      </w:r>
    </w:p>
    <w:p w14:paraId="5A780EB6">
      <w:pPr>
        <w:pStyle w:val="52"/>
        <w:numPr>
          <w:ilvl w:val="-1"/>
          <w:numId w:val="0"/>
        </w:numPr>
        <w:snapToGrid w:val="0"/>
        <w:ind w:leftChars="200" w:firstLine="480"/>
        <w:rPr>
          <w:rFonts w:hint="eastAsia"/>
        </w:rPr>
      </w:pPr>
      <w:r>
        <w:rPr>
          <w:rFonts w:hint="eastAsia" w:ascii="宋体" w:hAnsi="宋体" w:cs="Times New Roman"/>
          <w:b w:val="0"/>
          <w:bCs w:val="0"/>
          <w:sz w:val="24"/>
          <w:szCs w:val="21"/>
        </w:rPr>
        <w:t>4）评审委员会基于专业判断，认为供应商报价过低，有可能影响产品质量或者不能诚信履约的其他情形。</w:t>
      </w:r>
      <w:r>
        <w:rPr>
          <w:rFonts w:hint="eastAsia"/>
        </w:rPr>
        <w:t>将要求</w:t>
      </w:r>
      <w:r>
        <w:rPr>
          <w:rFonts w:hint="eastAsia"/>
          <w:lang w:val="en-US" w:eastAsia="zh-CN"/>
        </w:rPr>
        <w:t>投标</w:t>
      </w:r>
      <w:r>
        <w:rPr>
          <w:rFonts w:hint="eastAsia"/>
        </w:rPr>
        <w:t>人30分钟内提供书面说明，内容应当按照国家财务会计制度的规定要求，逐项就供应商提供的货物、工程和服务的主营业务成本（应根据供应商企业类型予以区别）、税金及附加、销售费用、管理费用、财务费用等成本构成事项详细陈述，必要时提交相关证明材料；</w:t>
      </w:r>
      <w:r>
        <w:rPr>
          <w:rFonts w:hint="eastAsia"/>
          <w:lang w:val="en-US" w:eastAsia="zh-CN"/>
        </w:rPr>
        <w:t>投标人</w:t>
      </w:r>
      <w:r>
        <w:rPr>
          <w:rFonts w:hint="eastAsia"/>
        </w:rPr>
        <w:t>不能证明其报价合理性的，</w:t>
      </w:r>
      <w:r>
        <w:rPr>
          <w:rFonts w:hint="eastAsia"/>
          <w:lang w:val="en-US" w:eastAsia="zh-CN"/>
        </w:rPr>
        <w:t>评审</w:t>
      </w:r>
      <w:r>
        <w:rPr>
          <w:rFonts w:hint="eastAsia"/>
        </w:rPr>
        <w:t>小组将对其作为无效</w:t>
      </w:r>
      <w:r>
        <w:rPr>
          <w:rFonts w:hint="eastAsia"/>
          <w:lang w:val="en-US" w:eastAsia="zh-CN"/>
        </w:rPr>
        <w:t>投标</w:t>
      </w:r>
      <w:r>
        <w:rPr>
          <w:rFonts w:hint="eastAsia"/>
        </w:rPr>
        <w:t>处理</w:t>
      </w:r>
      <w:r>
        <w:rPr>
          <w:rFonts w:hint="eastAsia"/>
          <w:color w:val="auto"/>
        </w:rPr>
        <w:t>。</w:t>
      </w:r>
    </w:p>
    <w:p w14:paraId="6E272A54">
      <w:pPr>
        <w:pStyle w:val="41"/>
        <w:numPr>
          <w:ilvl w:val="3"/>
          <w:numId w:val="52"/>
        </w:numPr>
        <w:ind w:firstLine="482"/>
      </w:pPr>
      <w:r>
        <w:t>报价分计算方法</w:t>
      </w:r>
    </w:p>
    <w:p w14:paraId="2BB1F2DA">
      <w:pPr>
        <w:pStyle w:val="52"/>
        <w:numPr>
          <w:ilvl w:val="0"/>
          <w:numId w:val="63"/>
        </w:numPr>
        <w:bidi w:val="0"/>
        <w:rPr>
          <w:rFonts w:hint="eastAsia"/>
          <w:lang w:eastAsia="zh-Hans"/>
        </w:rPr>
      </w:pPr>
      <w:r>
        <w:t>满足采购文件要求的最低评标价为评标基准价，价格权值</w:t>
      </w:r>
      <w:r>
        <w:rPr>
          <w:rFonts w:hint="eastAsia"/>
          <w:lang w:val="en-US" w:eastAsia="zh-CN"/>
        </w:rPr>
        <w:t>见“评分标准”</w:t>
      </w:r>
      <w:r>
        <w:rPr>
          <w:rFonts w:hint="eastAsia"/>
          <w:lang w:eastAsia="zh-Hans"/>
        </w:rPr>
        <w:t>；</w:t>
      </w:r>
    </w:p>
    <w:p w14:paraId="6B164FEF">
      <w:pPr>
        <w:pStyle w:val="52"/>
        <w:numPr>
          <w:ilvl w:val="0"/>
          <w:numId w:val="63"/>
        </w:numPr>
        <w:bidi w:val="0"/>
        <w:rPr>
          <w:rFonts w:hint="eastAsia"/>
          <w:lang w:eastAsia="zh-Hans"/>
        </w:rPr>
      </w:pPr>
      <w:r>
        <w:t>投标人的报价分</w:t>
      </w:r>
      <w:r>
        <w:rPr>
          <w:rFonts w:hint="eastAsia"/>
          <w:lang w:val="en-US" w:eastAsia="zh-CN"/>
        </w:rPr>
        <w:t>计分方式见“评分标准”</w:t>
      </w:r>
      <w:r>
        <w:rPr>
          <w:rFonts w:hint="eastAsia"/>
          <w:lang w:eastAsia="zh-Hans"/>
        </w:rPr>
        <w:t>；</w:t>
      </w:r>
    </w:p>
    <w:p w14:paraId="6DC948B8">
      <w:pPr>
        <w:pStyle w:val="52"/>
        <w:numPr>
          <w:ilvl w:val="0"/>
          <w:numId w:val="4"/>
        </w:numPr>
        <w:bidi w:val="0"/>
      </w:pPr>
      <w:r>
        <w:t>小微企业价格扣除政策</w:t>
      </w:r>
    </w:p>
    <w:p w14:paraId="0349DFC4">
      <w:pPr>
        <w:pStyle w:val="53"/>
        <w:numPr>
          <w:ilvl w:val="0"/>
          <w:numId w:val="64"/>
        </w:numPr>
        <w:bidi w:val="0"/>
      </w:pPr>
      <w:r>
        <w:t>预留份额专门面向中小企业的项目不再执行小微企业价格扣除政策；</w:t>
      </w:r>
    </w:p>
    <w:p w14:paraId="3E4DE68F">
      <w:pPr>
        <w:pStyle w:val="53"/>
        <w:numPr>
          <w:ilvl w:val="0"/>
          <w:numId w:val="64"/>
        </w:numPr>
        <w:bidi w:val="0"/>
      </w:pPr>
      <w:r>
        <w:t>对于未预留份额专门面向中小企业的政府采购货物或服务项目，以及预留份额政府采购货物或服务项目中的非预留部分标项，对小型和微型企业的投标报价给予【</w:t>
      </w:r>
      <w:r>
        <w:rPr>
          <w:rFonts w:hint="eastAsia"/>
          <w:lang w:val="en-US" w:eastAsia="zh-CN"/>
        </w:rPr>
        <w:t>10</w:t>
      </w:r>
      <w: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lang w:val="en-US" w:eastAsia="zh-CN"/>
        </w:rPr>
        <w:t>4</w:t>
      </w:r>
      <w:r>
        <w:t>%】的扣除，用扣除后的价格参加评审。组成联合体或者接受分包的小微企业与联合体内其他企业、分包企业之间存在直接控股、管理关系的，不享受价格扣除优惠政策。</w:t>
      </w:r>
    </w:p>
    <w:p w14:paraId="4CAB1BDE">
      <w:pPr>
        <w:pStyle w:val="41"/>
        <w:numPr>
          <w:ilvl w:val="3"/>
          <w:numId w:val="52"/>
        </w:numPr>
        <w:ind w:firstLine="482"/>
      </w:pPr>
      <w:r>
        <w:rPr>
          <w:rFonts w:hint="eastAsia"/>
        </w:rPr>
        <w:t>报价文件的错误修正</w:t>
      </w:r>
    </w:p>
    <w:p w14:paraId="3BB3A8AC">
      <w:pPr>
        <w:pStyle w:val="42"/>
        <w:ind w:firstLine="480"/>
        <w:rPr>
          <w:rFonts w:cs="Arial"/>
          <w:kern w:val="0"/>
          <w:u w:val="single"/>
        </w:rPr>
      </w:pPr>
      <w:r>
        <w:rPr>
          <w:rFonts w:hint="eastAsia" w:cs="Arial"/>
          <w:kern w:val="0"/>
          <w:u w:val="single"/>
        </w:rPr>
        <w:t>投标文件报价出现前后不一致的，按照下列规定修正</w:t>
      </w:r>
      <w:r>
        <w:rPr>
          <w:rFonts w:hint="eastAsia" w:cs="Arial"/>
          <w:kern w:val="0"/>
        </w:rPr>
        <w:t>：</w:t>
      </w:r>
    </w:p>
    <w:p w14:paraId="2EE33A1E">
      <w:pPr>
        <w:pStyle w:val="52"/>
        <w:numPr>
          <w:ilvl w:val="0"/>
          <w:numId w:val="65"/>
        </w:numPr>
        <w:bidi w:val="0"/>
      </w:pPr>
      <w:r>
        <w:rPr>
          <w:rFonts w:hint="eastAsia"/>
        </w:rPr>
        <w:t>投标文件中开标一览表内容与投标文件中相应内容不一致的，以开标一览表为准（完工期/交货期/服务期/质保期除外，开标一览表中所列的完工期/交货期/服务期/质保期与商务技术文件中商务响应表所列的对应内容不一致时，以商务技术文件中商务响应表所列内容为准进行修正）；</w:t>
      </w:r>
    </w:p>
    <w:p w14:paraId="2F1873C9">
      <w:pPr>
        <w:pStyle w:val="52"/>
        <w:numPr>
          <w:ilvl w:val="0"/>
          <w:numId w:val="65"/>
        </w:numPr>
        <w:bidi w:val="0"/>
      </w:pPr>
      <w:r>
        <w:rPr>
          <w:rFonts w:hint="eastAsia"/>
        </w:rPr>
        <w:t>大写金额和小写金额不一致的，以大写金额为准；</w:t>
      </w:r>
    </w:p>
    <w:p w14:paraId="52461150">
      <w:pPr>
        <w:pStyle w:val="52"/>
        <w:numPr>
          <w:ilvl w:val="0"/>
          <w:numId w:val="65"/>
        </w:numPr>
        <w:bidi w:val="0"/>
      </w:pPr>
      <w:r>
        <w:rPr>
          <w:rFonts w:hint="eastAsia"/>
        </w:rPr>
        <w:t>单价金额小数点或者百分比有明显错位的，应以开标一览表（报价表）的总价为准，并修改单价；</w:t>
      </w:r>
    </w:p>
    <w:p w14:paraId="5B5DF77B">
      <w:pPr>
        <w:pStyle w:val="52"/>
        <w:numPr>
          <w:ilvl w:val="0"/>
          <w:numId w:val="65"/>
        </w:numPr>
        <w:bidi w:val="0"/>
      </w:pPr>
      <w:r>
        <w:rPr>
          <w:rFonts w:hint="eastAsia"/>
        </w:rPr>
        <w:t>总价金额与按单价汇总金额不一致的，以单价金额计算结果为准。</w:t>
      </w:r>
    </w:p>
    <w:p w14:paraId="614C6373">
      <w:pPr>
        <w:pStyle w:val="52"/>
        <w:numPr>
          <w:ilvl w:val="0"/>
          <w:numId w:val="65"/>
        </w:numPr>
        <w:bidi w:val="0"/>
        <w:rPr>
          <w:rFonts w:cs="Arial"/>
          <w:kern w:val="0"/>
          <w:lang w:eastAsia="zh-CN"/>
        </w:rPr>
      </w:pPr>
      <w:r>
        <w:rPr>
          <w:rFonts w:hint="eastAsia"/>
        </w:rPr>
        <w:t>供应商在“政府采购云平台”进行标书关联时，在“政府采购云平台”上单独填报的开标一览表内容与加密的报价文件中提交的开标一览表内容不一致时，以加密的报价文件中提交的开标一览表为准进行修正</w:t>
      </w:r>
      <w:r>
        <w:rPr>
          <w:rFonts w:hint="eastAsia"/>
          <w:lang w:eastAsia="zh-CN"/>
        </w:rPr>
        <w:t>。</w:t>
      </w:r>
    </w:p>
    <w:p w14:paraId="7DB41188">
      <w:pPr>
        <w:pStyle w:val="42"/>
        <w:ind w:firstLine="480"/>
        <w:rPr>
          <w:rFonts w:cs="Arial"/>
          <w:kern w:val="0"/>
        </w:rPr>
      </w:pPr>
      <w:r>
        <w:rPr>
          <w:rFonts w:hint="eastAsia" w:cs="Arial"/>
          <w:b/>
          <w:bCs/>
          <w:kern w:val="0"/>
        </w:rPr>
        <w:t>同时出现两种以上不一致的，按照前款规定的顺序修正。修正后的报价经投标人确认后产生约束力，投标人不确认的，其投标无效。</w:t>
      </w:r>
    </w:p>
    <w:p w14:paraId="04CE9415">
      <w:pPr>
        <w:pStyle w:val="45"/>
        <w:numPr>
          <w:ilvl w:val="2"/>
          <w:numId w:val="52"/>
        </w:numPr>
      </w:pPr>
      <w:r>
        <w:rPr>
          <w:rFonts w:hint="eastAsia"/>
        </w:rPr>
        <w:t>推荐中标候选供应商</w:t>
      </w:r>
    </w:p>
    <w:p w14:paraId="1B6F5AD3">
      <w:pPr>
        <w:pStyle w:val="42"/>
        <w:ind w:firstLine="480"/>
      </w:pPr>
      <w:r>
        <w:rPr>
          <w:rFonts w:hint="eastAsia"/>
        </w:rPr>
        <w:t>评标委员会各成员独立对每个投标供应商的投标文件进行评价，并汇总每个投标供应商的得分</w:t>
      </w:r>
      <w:r>
        <w:rPr>
          <w:rFonts w:hint="eastAsia"/>
          <w:lang w:eastAsia="zh-CN"/>
        </w:rPr>
        <w:t>，最后</w:t>
      </w:r>
      <w:r>
        <w:rPr>
          <w:rFonts w:hint="eastAsia"/>
        </w:rPr>
        <w:t>对</w:t>
      </w:r>
      <w:r>
        <w:rPr>
          <w:rFonts w:hint="eastAsia"/>
          <w:lang w:eastAsia="zh-CN"/>
        </w:rPr>
        <w:t>招标</w:t>
      </w:r>
      <w:r>
        <w:rPr>
          <w:rFonts w:hint="eastAsia"/>
        </w:rPr>
        <w:t>组织机构工作人员汇总的评审结果进行确认。</w:t>
      </w:r>
    </w:p>
    <w:p w14:paraId="1923FEE8">
      <w:pPr>
        <w:pStyle w:val="42"/>
        <w:ind w:firstLine="480"/>
      </w:pPr>
      <w:r>
        <w:rPr>
          <w:rFonts w:hint="eastAsia"/>
        </w:rPr>
        <w:t>如发现分值汇总计算错误、分项评分超出评分标准范围、客观评分不一致以及存在畸高、畸低</w:t>
      </w:r>
      <w:r>
        <w:rPr>
          <w:rFonts w:hint="eastAsia"/>
          <w:color w:val="auto"/>
        </w:rPr>
        <w:t>（</w:t>
      </w:r>
      <w:r>
        <w:rPr>
          <w:rFonts w:hint="eastAsia"/>
          <w:color w:val="auto"/>
          <w:lang w:val="en-US" w:eastAsia="zh-CN"/>
        </w:rPr>
        <w:t>评标委员会</w:t>
      </w:r>
      <w:r>
        <w:rPr>
          <w:rFonts w:hint="eastAsia"/>
          <w:color w:val="auto"/>
        </w:rPr>
        <w:t>成员个人主观打分偏离所有</w:t>
      </w:r>
      <w:r>
        <w:rPr>
          <w:rFonts w:hint="eastAsia"/>
          <w:color w:val="auto"/>
          <w:lang w:val="en-US" w:eastAsia="zh-CN"/>
        </w:rPr>
        <w:t>评标委员会</w:t>
      </w:r>
      <w:r>
        <w:rPr>
          <w:rFonts w:hint="eastAsia"/>
          <w:color w:val="auto"/>
        </w:rPr>
        <w:t>成员主观打分平均值30%以上的）</w:t>
      </w:r>
      <w:r>
        <w:rPr>
          <w:rFonts w:hint="eastAsia"/>
        </w:rPr>
        <w:t>情形的，</w:t>
      </w:r>
      <w:r>
        <w:rPr>
          <w:rFonts w:hint="eastAsia"/>
          <w:lang w:val="en-US" w:eastAsia="zh-CN"/>
        </w:rPr>
        <w:t>评标委员会</w:t>
      </w:r>
      <w:r>
        <w:rPr>
          <w:rFonts w:hint="eastAsia"/>
        </w:rPr>
        <w:t>组长应提醒相关评审人员当场改正或书面说明理由，拒不改正又不作书面说明的，由现场监督员如实记载后存入项目档案资料。</w:t>
      </w:r>
    </w:p>
    <w:p w14:paraId="4497CDF5">
      <w:pPr>
        <w:pStyle w:val="42"/>
        <w:ind w:firstLine="480"/>
      </w:pPr>
      <w:r>
        <w:rPr>
          <w:rFonts w:hint="eastAsia" w:cs="Arial"/>
        </w:rPr>
        <w:t>评标结果汇总完毕后，</w:t>
      </w:r>
      <w:r>
        <w:t>评</w:t>
      </w:r>
      <w:r>
        <w:rPr>
          <w:rFonts w:hint="eastAsia"/>
          <w:lang w:eastAsia="zh-CN"/>
        </w:rPr>
        <w:t>审</w:t>
      </w:r>
      <w:r>
        <w:t>委员会将</w:t>
      </w:r>
      <w:r>
        <w:rPr>
          <w:rFonts w:hint="eastAsia"/>
          <w:lang w:eastAsia="zh-CN"/>
        </w:rPr>
        <w:t>按</w:t>
      </w:r>
      <w:r>
        <w:t>投标文件满足</w:t>
      </w:r>
      <w:r>
        <w:rPr>
          <w:rFonts w:hint="eastAsia"/>
          <w:lang w:eastAsia="zh-CN"/>
        </w:rPr>
        <w:t>招标</w:t>
      </w:r>
      <w:r>
        <w:t>文件全部实质性要求且按照评审因素的量化指标评审得分</w:t>
      </w:r>
      <w:r>
        <w:rPr>
          <w:rFonts w:hint="eastAsia"/>
          <w:lang w:eastAsia="zh-CN"/>
        </w:rPr>
        <w:t>从高到低</w:t>
      </w:r>
      <w:r>
        <w:t>的</w:t>
      </w:r>
      <w:r>
        <w:rPr>
          <w:rFonts w:hint="eastAsia"/>
          <w:lang w:eastAsia="zh-CN"/>
        </w:rPr>
        <w:t>顺序向招标人推荐投标人为</w:t>
      </w:r>
      <w:r>
        <w:t>中标候选</w:t>
      </w:r>
      <w:r>
        <w:rPr>
          <w:rFonts w:hint="eastAsia"/>
          <w:lang w:eastAsia="zh-CN"/>
        </w:rPr>
        <w:t>人</w:t>
      </w:r>
      <w:r>
        <w:t>。</w:t>
      </w:r>
    </w:p>
    <w:p w14:paraId="230271EF">
      <w:pPr>
        <w:pStyle w:val="42"/>
        <w:ind w:firstLine="480"/>
        <w:rPr>
          <w:rFonts w:hint="eastAsia"/>
          <w:b/>
          <w:bCs/>
          <w:color w:val="auto"/>
          <w:u w:val="single"/>
          <w:lang w:val="en-US" w:eastAsia="zh-Hans"/>
        </w:rPr>
      </w:pPr>
      <w:r>
        <w:rPr>
          <w:rFonts w:hint="eastAsia"/>
          <w:b/>
          <w:bCs/>
          <w:color w:val="auto"/>
          <w:u w:val="single"/>
          <w:lang w:val="en-US" w:eastAsia="zh-Hans"/>
        </w:rPr>
        <w:t>本项目如存在多个标项且招标文件“第二章</w:t>
      </w:r>
      <w:r>
        <w:rPr>
          <w:rFonts w:hint="default"/>
          <w:b/>
          <w:bCs/>
          <w:color w:val="auto"/>
          <w:u w:val="single"/>
          <w:lang w:eastAsia="zh-Hans"/>
        </w:rPr>
        <w:t xml:space="preserve"> </w:t>
      </w:r>
      <w:r>
        <w:rPr>
          <w:rFonts w:hint="eastAsia"/>
          <w:b/>
          <w:bCs/>
          <w:color w:val="auto"/>
          <w:u w:val="single"/>
          <w:lang w:val="en-US" w:eastAsia="zh-Hans"/>
        </w:rPr>
        <w:t>投标人须知</w:t>
      </w:r>
      <w:r>
        <w:rPr>
          <w:rFonts w:hint="default"/>
          <w:b/>
          <w:bCs/>
          <w:color w:val="auto"/>
          <w:u w:val="single"/>
          <w:lang w:eastAsia="zh-Hans"/>
        </w:rPr>
        <w:t xml:space="preserve"> </w:t>
      </w:r>
      <w:r>
        <w:rPr>
          <w:rFonts w:hint="eastAsia"/>
          <w:b/>
          <w:bCs/>
          <w:color w:val="auto"/>
          <w:u w:val="single"/>
          <w:lang w:val="en-US" w:eastAsia="zh-Hans"/>
        </w:rPr>
        <w:t>前附表”规定“兼投不兼中”的，表明本项目因实施时间较长，实施团队人员配置要求较高，服务内容较多且程序复杂等原因，单个供应商无法按时保质保量完成本项目的服务工作，故投标人可以选择一个或者多个标项投报，但仅能获得一个标项的中标候选人资格，评审顺序按标项序号顺序进行，即标项一排名第一的中标候选人，将不再作为后续标项的中标候选人，后续标项同此操作。</w:t>
      </w:r>
    </w:p>
    <w:p w14:paraId="755B09F1">
      <w:pPr>
        <w:pStyle w:val="45"/>
        <w:numPr>
          <w:ilvl w:val="2"/>
          <w:numId w:val="52"/>
        </w:numPr>
      </w:pPr>
      <w:r>
        <w:rPr>
          <w:rFonts w:hint="eastAsia"/>
        </w:rPr>
        <w:t>评标结果修改</w:t>
      </w:r>
    </w:p>
    <w:p w14:paraId="624CFBE2">
      <w:pPr>
        <w:pStyle w:val="42"/>
        <w:ind w:firstLine="480"/>
      </w:pPr>
      <w:r>
        <w:rPr>
          <w:rFonts w:hint="eastAsia"/>
        </w:rPr>
        <w:t>评标报告签署前，评标结果经复核发现存在以下情形之一的，评审委员会将当场修改评标结果，并在评标报告中记载：</w:t>
      </w:r>
    </w:p>
    <w:p w14:paraId="6B87BB2F">
      <w:pPr>
        <w:pStyle w:val="52"/>
        <w:numPr>
          <w:ilvl w:val="0"/>
          <w:numId w:val="66"/>
        </w:numPr>
        <w:bidi w:val="0"/>
      </w:pPr>
      <w:r>
        <w:rPr>
          <w:rFonts w:hint="eastAsia"/>
        </w:rPr>
        <w:t>分值汇总计算错误的；</w:t>
      </w:r>
    </w:p>
    <w:p w14:paraId="61F7E07F">
      <w:pPr>
        <w:pStyle w:val="52"/>
        <w:numPr>
          <w:ilvl w:val="0"/>
          <w:numId w:val="66"/>
        </w:numPr>
        <w:bidi w:val="0"/>
      </w:pPr>
      <w:r>
        <w:rPr>
          <w:rFonts w:hint="eastAsia"/>
        </w:rPr>
        <w:t>分项评分超出评分标准范围的；</w:t>
      </w:r>
    </w:p>
    <w:p w14:paraId="1E863412">
      <w:pPr>
        <w:pStyle w:val="52"/>
        <w:numPr>
          <w:ilvl w:val="0"/>
          <w:numId w:val="66"/>
        </w:numPr>
        <w:bidi w:val="0"/>
      </w:pPr>
      <w:r>
        <w:rPr>
          <w:rFonts w:hint="eastAsia"/>
        </w:rPr>
        <w:t>评审委员会成员对客观评审因素评分不一致的；</w:t>
      </w:r>
    </w:p>
    <w:p w14:paraId="5A884981">
      <w:pPr>
        <w:pStyle w:val="52"/>
        <w:numPr>
          <w:ilvl w:val="0"/>
          <w:numId w:val="66"/>
        </w:numPr>
        <w:bidi w:val="0"/>
      </w:pPr>
      <w:r>
        <w:rPr>
          <w:rFonts w:hint="eastAsia"/>
        </w:rPr>
        <w:t>经评审委员会认定评分畸高、畸低的。</w:t>
      </w:r>
    </w:p>
    <w:p w14:paraId="44459CE9">
      <w:pPr>
        <w:pStyle w:val="42"/>
        <w:ind w:firstLine="480"/>
      </w:pPr>
      <w:r>
        <w:rPr>
          <w:rFonts w:hint="eastAsia"/>
        </w:rPr>
        <w:t>除上述情形外，任何人不得修改评标结果。</w:t>
      </w:r>
    </w:p>
    <w:p w14:paraId="606F31FB">
      <w:pPr>
        <w:pStyle w:val="45"/>
        <w:numPr>
          <w:ilvl w:val="2"/>
          <w:numId w:val="52"/>
        </w:numPr>
      </w:pPr>
      <w:r>
        <w:rPr>
          <w:rFonts w:hint="eastAsia"/>
        </w:rPr>
        <w:t>起草、签署评标报告</w:t>
      </w:r>
    </w:p>
    <w:p w14:paraId="6EA6184E">
      <w:pPr>
        <w:pStyle w:val="42"/>
        <w:ind w:firstLine="480"/>
      </w:pPr>
      <w:r>
        <w:rPr>
          <w:rFonts w:hint="eastAsia" w:cs="Arial"/>
        </w:rPr>
        <w:t>评审结束后，评审委员会将通过“政府采购云平台”起草评标报告，</w:t>
      </w:r>
      <w:r>
        <w:rPr>
          <w:rFonts w:hint="eastAsia"/>
        </w:rPr>
        <w:t>评审委员会成员应当在评标报告上签字（或加注电子签章），对自己的评审意见承担法律责任。对评标报告有异议的，应当在评标报告上签署不同意见，并说明理由，否则视为同意评标报告。</w:t>
      </w:r>
    </w:p>
    <w:p w14:paraId="6F836BBD">
      <w:pPr>
        <w:pStyle w:val="42"/>
        <w:ind w:firstLine="0" w:firstLineChars="0"/>
      </w:pPr>
    </w:p>
    <w:p w14:paraId="759F7EA2">
      <w:pPr>
        <w:pStyle w:val="44"/>
        <w:numPr>
          <w:ilvl w:val="1"/>
          <w:numId w:val="51"/>
        </w:numPr>
        <w:rPr>
          <w:rFonts w:ascii="华文中宋" w:hAnsi="华文中宋" w:eastAsia="华文中宋"/>
          <w:kern w:val="0"/>
          <w:sz w:val="30"/>
          <w:szCs w:val="30"/>
        </w:rPr>
      </w:pPr>
      <w:bookmarkStart w:id="66" w:name="_Toc18816"/>
      <w:r>
        <w:rPr>
          <w:rFonts w:hint="eastAsia"/>
        </w:rPr>
        <w:t>投标文件的澄清、说明</w:t>
      </w:r>
      <w:bookmarkEnd w:id="66"/>
    </w:p>
    <w:p w14:paraId="553F5EE1">
      <w:pPr>
        <w:pStyle w:val="52"/>
        <w:numPr>
          <w:ilvl w:val="0"/>
          <w:numId w:val="67"/>
        </w:numPr>
        <w:bidi w:val="0"/>
      </w:pPr>
      <w:r>
        <w:rPr>
          <w:rFonts w:hint="eastAsia"/>
        </w:rPr>
        <w:t>对于投标文件中含义不明确、同类问题表述不一致或者有明显文字和计算错误的内容，评审委员会将通过“政府采购云平台”在线询标的方式要求投标人在规定的时间内作出必要的澄清、说明，投标人澄清、说明时间</w:t>
      </w:r>
      <w:r>
        <w:rPr>
          <w:rFonts w:hint="eastAsia"/>
          <w:lang w:eastAsia="zh-CN"/>
        </w:rPr>
        <w:t>不超过</w:t>
      </w:r>
      <w:r>
        <w:rPr>
          <w:rFonts w:hint="eastAsia"/>
        </w:rPr>
        <w:t>30分钟。</w:t>
      </w:r>
    </w:p>
    <w:p w14:paraId="474BEE44">
      <w:pPr>
        <w:pStyle w:val="52"/>
        <w:numPr>
          <w:ilvl w:val="0"/>
          <w:numId w:val="67"/>
        </w:numPr>
        <w:bidi w:val="0"/>
      </w:pPr>
      <w:r>
        <w:rPr>
          <w:rFonts w:hint="eastAsia"/>
        </w:rPr>
        <w:t>投标人的澄清、说明应当通过“政府采购云平台”在线答复的方式提交，并加盖公章</w:t>
      </w:r>
      <w:r>
        <w:rPr>
          <w:rFonts w:hint="eastAsia"/>
          <w:lang w:eastAsia="zh-Hans"/>
        </w:rPr>
        <w:t>（</w:t>
      </w:r>
      <w:r>
        <w:rPr>
          <w:rFonts w:hint="eastAsia"/>
          <w:lang w:val="en-US" w:eastAsia="zh-Hans"/>
        </w:rPr>
        <w:t>或电子签章</w:t>
      </w:r>
      <w:r>
        <w:rPr>
          <w:rFonts w:hint="eastAsia"/>
          <w:lang w:eastAsia="zh-Hans"/>
        </w:rPr>
        <w:t>）</w:t>
      </w:r>
      <w:r>
        <w:rPr>
          <w:rFonts w:hint="eastAsia"/>
        </w:rPr>
        <w:t>，或者由法定代表人或其授权的代表签字。投标人的澄清、说明不得超出投标文件的范围或者改变投标文件的实质性内容。</w:t>
      </w:r>
    </w:p>
    <w:p w14:paraId="5EBF1907">
      <w:pPr>
        <w:pStyle w:val="52"/>
        <w:numPr>
          <w:ilvl w:val="0"/>
          <w:numId w:val="67"/>
        </w:numPr>
        <w:bidi w:val="0"/>
      </w:pPr>
      <w:r>
        <w:t>对不同文字文本投标文件的解释发生异议的，以中文文本为准。</w:t>
      </w:r>
    </w:p>
    <w:p w14:paraId="4095B951">
      <w:pPr>
        <w:pStyle w:val="52"/>
        <w:numPr>
          <w:ilvl w:val="0"/>
          <w:numId w:val="67"/>
        </w:numPr>
        <w:bidi w:val="0"/>
      </w:pPr>
      <w:r>
        <w:t>投标文件要求提供正、副本时，正、副本内容不一致的，以正本为准。</w:t>
      </w:r>
    </w:p>
    <w:p w14:paraId="43991B61">
      <w:pPr>
        <w:pStyle w:val="52"/>
        <w:numPr>
          <w:ilvl w:val="0"/>
          <w:numId w:val="67"/>
        </w:numPr>
        <w:bidi w:val="0"/>
        <w:rPr>
          <w:rFonts w:cs="Arial"/>
          <w:kern w:val="0"/>
        </w:rPr>
      </w:pPr>
      <w:r>
        <w:rPr>
          <w:rFonts w:hint="eastAsia"/>
        </w:rPr>
        <w:t>上述询标、澄清、说明工作如因客观原因无法通过“政府采购云平台”在线进行的，将采用书面（含邮件）形式进行。</w:t>
      </w:r>
    </w:p>
    <w:p w14:paraId="03A51073">
      <w:pPr>
        <w:pStyle w:val="42"/>
        <w:ind w:firstLine="480"/>
      </w:pPr>
    </w:p>
    <w:p w14:paraId="3B8E1B3E">
      <w:pPr>
        <w:pStyle w:val="44"/>
        <w:numPr>
          <w:ilvl w:val="1"/>
          <w:numId w:val="51"/>
        </w:numPr>
      </w:pPr>
      <w:bookmarkStart w:id="67" w:name="_Toc5579"/>
      <w:r>
        <w:rPr>
          <w:rFonts w:hint="eastAsia"/>
        </w:rPr>
        <w:t>重新评审</w:t>
      </w:r>
      <w:bookmarkEnd w:id="67"/>
    </w:p>
    <w:p w14:paraId="70757F46">
      <w:pPr>
        <w:pStyle w:val="42"/>
        <w:ind w:firstLine="480"/>
      </w:pPr>
      <w:r>
        <w:rPr>
          <w:rFonts w:hint="eastAsia"/>
        </w:rPr>
        <w:t>评标报告签署后，</w:t>
      </w:r>
      <w:r>
        <w:rPr>
          <w:rFonts w:hint="eastAsia"/>
          <w:lang w:eastAsia="zh-CN"/>
        </w:rPr>
        <w:t>招标</w:t>
      </w:r>
      <w:r>
        <w:rPr>
          <w:rFonts w:hint="eastAsia"/>
        </w:rPr>
        <w:t>人或者</w:t>
      </w:r>
      <w:r>
        <w:rPr>
          <w:rFonts w:hint="eastAsia"/>
          <w:lang w:eastAsia="zh-CN"/>
        </w:rPr>
        <w:t>招标</w:t>
      </w:r>
      <w:r>
        <w:rPr>
          <w:rFonts w:hint="eastAsia"/>
        </w:rPr>
        <w:t>代理机构发现存在下列情形之一的，将组织原评审委员会进行重新评审，重新评审改变评标结果的，将书面报告同级财政监督管理部门：</w:t>
      </w:r>
    </w:p>
    <w:p w14:paraId="26ABEECD">
      <w:pPr>
        <w:pStyle w:val="52"/>
        <w:numPr>
          <w:ilvl w:val="0"/>
          <w:numId w:val="68"/>
        </w:numPr>
        <w:bidi w:val="0"/>
      </w:pPr>
      <w:r>
        <w:rPr>
          <w:rFonts w:hint="eastAsia"/>
        </w:rPr>
        <w:t>分值汇总计算错误的；</w:t>
      </w:r>
    </w:p>
    <w:p w14:paraId="7265D48E">
      <w:pPr>
        <w:pStyle w:val="52"/>
        <w:numPr>
          <w:ilvl w:val="0"/>
          <w:numId w:val="68"/>
        </w:numPr>
        <w:bidi w:val="0"/>
      </w:pPr>
      <w:r>
        <w:rPr>
          <w:rFonts w:hint="eastAsia"/>
        </w:rPr>
        <w:t>分项评分超出评分标准范围的；</w:t>
      </w:r>
    </w:p>
    <w:p w14:paraId="79DEA7E9">
      <w:pPr>
        <w:pStyle w:val="52"/>
        <w:numPr>
          <w:ilvl w:val="0"/>
          <w:numId w:val="68"/>
        </w:numPr>
        <w:bidi w:val="0"/>
      </w:pPr>
      <w:r>
        <w:rPr>
          <w:rFonts w:hint="eastAsia"/>
        </w:rPr>
        <w:t>评审委员会成员对客观评审因素评分不一致的；</w:t>
      </w:r>
    </w:p>
    <w:p w14:paraId="4FD0BFA7">
      <w:pPr>
        <w:pStyle w:val="52"/>
        <w:numPr>
          <w:ilvl w:val="0"/>
          <w:numId w:val="68"/>
        </w:numPr>
        <w:bidi w:val="0"/>
      </w:pPr>
      <w:r>
        <w:rPr>
          <w:rFonts w:hint="eastAsia"/>
        </w:rPr>
        <w:t>经评审委员会认定评分畸高、畸低的。</w:t>
      </w:r>
    </w:p>
    <w:p w14:paraId="082C417D">
      <w:pPr>
        <w:pStyle w:val="42"/>
        <w:ind w:firstLine="480"/>
      </w:pPr>
    </w:p>
    <w:p w14:paraId="75C3C05C">
      <w:pPr>
        <w:pStyle w:val="44"/>
        <w:numPr>
          <w:ilvl w:val="1"/>
          <w:numId w:val="51"/>
        </w:numPr>
      </w:pPr>
      <w:bookmarkStart w:id="68" w:name="_Toc13907"/>
      <w:r>
        <w:rPr>
          <w:rFonts w:hint="eastAsia"/>
        </w:rPr>
        <w:t>评审</w:t>
      </w:r>
      <w:r>
        <w:rPr>
          <w:rFonts w:hint="eastAsia"/>
          <w:lang w:val="en-US" w:eastAsia="zh-Hans"/>
        </w:rPr>
        <w:t>过程中的特别</w:t>
      </w:r>
      <w:r>
        <w:rPr>
          <w:rFonts w:hint="eastAsia"/>
        </w:rPr>
        <w:t>规定</w:t>
      </w:r>
      <w:bookmarkEnd w:id="68"/>
    </w:p>
    <w:p w14:paraId="6A682D36">
      <w:pPr>
        <w:pStyle w:val="45"/>
        <w:keepNext w:val="0"/>
        <w:keepLines w:val="0"/>
        <w:pageBreakBefore w:val="0"/>
        <w:widowControl w:val="0"/>
        <w:numPr>
          <w:ilvl w:val="2"/>
          <w:numId w:val="69"/>
        </w:numPr>
        <w:kinsoku/>
        <w:wordWrap/>
        <w:overflowPunct/>
        <w:topLinePunct w:val="0"/>
        <w:autoSpaceDE/>
        <w:autoSpaceDN/>
        <w:bidi w:val="0"/>
        <w:adjustRightInd w:val="0"/>
        <w:snapToGrid/>
        <w:ind w:left="0"/>
        <w:textAlignment w:val="auto"/>
      </w:pPr>
      <w:r>
        <w:rPr>
          <w:rFonts w:hint="eastAsia"/>
        </w:rPr>
        <w:t>串通投标的认定</w:t>
      </w:r>
    </w:p>
    <w:p w14:paraId="55513136">
      <w:pPr>
        <w:pStyle w:val="42"/>
        <w:ind w:firstLine="480"/>
      </w:pPr>
      <w:r>
        <w:rPr>
          <w:rFonts w:hint="eastAsia"/>
        </w:rPr>
        <w:t>在评审过程中发现以下情形，被视为串通投标的：</w:t>
      </w:r>
    </w:p>
    <w:p w14:paraId="14693E1F">
      <w:pPr>
        <w:pStyle w:val="52"/>
        <w:numPr>
          <w:ilvl w:val="0"/>
          <w:numId w:val="70"/>
        </w:numPr>
        <w:bidi w:val="0"/>
      </w:pPr>
      <w:r>
        <w:rPr>
          <w:rFonts w:hint="eastAsia"/>
        </w:rPr>
        <w:t>不同投标人的投标文件由同一单位或个人编制；</w:t>
      </w:r>
    </w:p>
    <w:p w14:paraId="706948EC">
      <w:pPr>
        <w:pStyle w:val="52"/>
        <w:numPr>
          <w:ilvl w:val="0"/>
          <w:numId w:val="70"/>
        </w:numPr>
        <w:bidi w:val="0"/>
      </w:pPr>
      <w:r>
        <w:rPr>
          <w:rFonts w:hint="eastAsia"/>
        </w:rPr>
        <w:t>不同投标人委托同一单位或个人办理投标事宜；</w:t>
      </w:r>
    </w:p>
    <w:p w14:paraId="540F74DA">
      <w:pPr>
        <w:pStyle w:val="52"/>
        <w:numPr>
          <w:ilvl w:val="0"/>
          <w:numId w:val="70"/>
        </w:numPr>
        <w:bidi w:val="0"/>
      </w:pPr>
      <w:r>
        <w:rPr>
          <w:rFonts w:hint="eastAsia"/>
        </w:rPr>
        <w:t>不同投标人的投标文件载明的项目管理成员或联系人员为同一人；</w:t>
      </w:r>
    </w:p>
    <w:p w14:paraId="6931B76C">
      <w:pPr>
        <w:pStyle w:val="52"/>
        <w:numPr>
          <w:ilvl w:val="0"/>
          <w:numId w:val="70"/>
        </w:numPr>
        <w:bidi w:val="0"/>
      </w:pPr>
      <w:r>
        <w:rPr>
          <w:rFonts w:hint="eastAsia"/>
        </w:rPr>
        <w:t>不同投标人的投标文件异常一致或者投标报价呈规律性差异；</w:t>
      </w:r>
    </w:p>
    <w:p w14:paraId="55141D0C">
      <w:pPr>
        <w:pStyle w:val="52"/>
        <w:numPr>
          <w:ilvl w:val="0"/>
          <w:numId w:val="70"/>
        </w:numPr>
        <w:bidi w:val="0"/>
      </w:pPr>
      <w:r>
        <w:rPr>
          <w:rFonts w:hint="eastAsia"/>
        </w:rPr>
        <w:t>不同投标人的投标文件互相混装。</w:t>
      </w:r>
    </w:p>
    <w:p w14:paraId="744E372D">
      <w:pPr>
        <w:pStyle w:val="42"/>
        <w:ind w:firstLine="480"/>
      </w:pPr>
      <w:r>
        <w:rPr>
          <w:rFonts w:hint="eastAsia"/>
        </w:rPr>
        <w:t>投标人应当遵循公平竞争的原则，不得恶意串通，不得妨碍其他投标人的竞争行为，不得损害采购人或者其他投标人的合法权益。在评审过程中，发现投标人有上述串通投标情形的，投标无效，并书面报告本级财政部门。</w:t>
      </w:r>
    </w:p>
    <w:p w14:paraId="2DB174CF">
      <w:pPr>
        <w:pStyle w:val="45"/>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pPr>
      <w:r>
        <w:rPr>
          <w:rFonts w:hint="eastAsia"/>
        </w:rPr>
        <w:t>投标人违法等重大事项的处理</w:t>
      </w:r>
    </w:p>
    <w:p w14:paraId="3825024F">
      <w:pPr>
        <w:pStyle w:val="42"/>
        <w:ind w:firstLine="480"/>
      </w:pPr>
      <w:r>
        <w:rPr>
          <w:rFonts w:hint="eastAsia"/>
        </w:rPr>
        <w:t>投标人有下列情形之一的，投标无效且将投标文件、询标记录等报同级政府采购监管部门或有关职能部门查处：</w:t>
      </w:r>
    </w:p>
    <w:p w14:paraId="4B451ADD">
      <w:pPr>
        <w:pStyle w:val="52"/>
        <w:numPr>
          <w:ilvl w:val="0"/>
          <w:numId w:val="71"/>
        </w:numPr>
        <w:bidi w:val="0"/>
      </w:pPr>
      <w:r>
        <w:rPr>
          <w:rFonts w:hint="eastAsia"/>
        </w:rPr>
        <w:t>未如实提供债权债务、重大违法记录、利害关系等信息，影响或者可能影响中标结果的；</w:t>
      </w:r>
    </w:p>
    <w:p w14:paraId="2CBED299">
      <w:pPr>
        <w:pStyle w:val="52"/>
        <w:numPr>
          <w:ilvl w:val="0"/>
          <w:numId w:val="71"/>
        </w:numPr>
        <w:bidi w:val="0"/>
      </w:pPr>
      <w:r>
        <w:rPr>
          <w:rFonts w:hint="eastAsia"/>
        </w:rPr>
        <w:t>不遵循公平竞争原则、恶意串通、妨碍其他投标人的竞争、损害采购人或其他投标人合法权益的；</w:t>
      </w:r>
    </w:p>
    <w:p w14:paraId="3D48C156">
      <w:pPr>
        <w:pStyle w:val="52"/>
        <w:numPr>
          <w:ilvl w:val="0"/>
          <w:numId w:val="71"/>
        </w:numPr>
        <w:bidi w:val="0"/>
      </w:pPr>
      <w:r>
        <w:rPr>
          <w:rFonts w:hint="eastAsia"/>
        </w:rPr>
        <w:t>政府采购活动中存在违法行为的；</w:t>
      </w:r>
    </w:p>
    <w:p w14:paraId="2CBE4249">
      <w:pPr>
        <w:pStyle w:val="52"/>
        <w:numPr>
          <w:ilvl w:val="0"/>
          <w:numId w:val="71"/>
        </w:numPr>
        <w:bidi w:val="0"/>
      </w:pPr>
      <w:r>
        <w:rPr>
          <w:rFonts w:hint="eastAsia"/>
        </w:rPr>
        <w:t>其他严重干扰招投标秩序的行为的。</w:t>
      </w:r>
    </w:p>
    <w:p w14:paraId="38701951">
      <w:pPr>
        <w:pStyle w:val="45"/>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rPr>
          <w:rFonts w:ascii="华文中宋" w:hAnsi="华文中宋" w:eastAsia="华文中宋"/>
          <w:color w:val="000000"/>
          <w:kern w:val="0"/>
          <w:sz w:val="30"/>
          <w:szCs w:val="30"/>
        </w:rPr>
      </w:pPr>
      <w:r>
        <w:rPr>
          <w:rFonts w:hint="eastAsia"/>
        </w:rPr>
        <w:t>评审中合格投标人不足法定数量的处理</w:t>
      </w:r>
    </w:p>
    <w:p w14:paraId="4ACB85D4">
      <w:pPr>
        <w:pStyle w:val="42"/>
        <w:ind w:firstLine="480"/>
      </w:pPr>
      <w:r>
        <w:rPr>
          <w:rFonts w:hint="eastAsia"/>
        </w:rPr>
        <w:t>若在评审过程中出现有效投标人不足三家的情况，除采购任务取消情形外，招标人有权选择以下方式之一处理：</w:t>
      </w:r>
    </w:p>
    <w:p w14:paraId="220378E6">
      <w:pPr>
        <w:pStyle w:val="52"/>
        <w:numPr>
          <w:ilvl w:val="0"/>
          <w:numId w:val="72"/>
        </w:numPr>
        <w:bidi w:val="0"/>
      </w:pPr>
      <w:r>
        <w:rPr>
          <w:rFonts w:hint="eastAsia"/>
        </w:rPr>
        <w:t>将本标项作废标处理，重新组织采购；</w:t>
      </w:r>
    </w:p>
    <w:p w14:paraId="624AC6B9">
      <w:pPr>
        <w:pStyle w:val="52"/>
        <w:numPr>
          <w:ilvl w:val="0"/>
          <w:numId w:val="72"/>
        </w:numPr>
        <w:bidi w:val="0"/>
      </w:pPr>
      <w:r>
        <w:rPr>
          <w:rFonts w:hint="eastAsia"/>
        </w:rPr>
        <w:t>按同级政府采购监督管理部门的审批意见采用其他采购方式组织采购。</w:t>
      </w:r>
    </w:p>
    <w:p w14:paraId="17299CC7">
      <w:pPr>
        <w:pStyle w:val="45"/>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rPr>
          <w:rFonts w:ascii="华文中宋" w:hAnsi="华文中宋" w:eastAsia="华文中宋"/>
          <w:color w:val="000000"/>
          <w:sz w:val="30"/>
          <w:szCs w:val="30"/>
        </w:rPr>
      </w:pPr>
      <w:r>
        <w:rPr>
          <w:rFonts w:hint="eastAsia"/>
        </w:rPr>
        <w:t>废标适用情形</w:t>
      </w:r>
    </w:p>
    <w:p w14:paraId="19307E80">
      <w:pPr>
        <w:pStyle w:val="42"/>
        <w:ind w:firstLine="480"/>
      </w:pPr>
      <w:r>
        <w:rPr>
          <w:rFonts w:hint="eastAsia"/>
        </w:rPr>
        <w:t>在招标采购中，出现下列情形之一的，项目将予以废标：</w:t>
      </w:r>
    </w:p>
    <w:p w14:paraId="02FF40FD">
      <w:pPr>
        <w:pStyle w:val="42"/>
        <w:ind w:firstLine="480"/>
        <w:rPr>
          <w:kern w:val="0"/>
        </w:rPr>
      </w:pPr>
      <w:r>
        <w:rPr>
          <w:rFonts w:hint="eastAsia"/>
          <w:kern w:val="0"/>
        </w:rPr>
        <w:t>（1）符合专业条件的供应商或者对招标文件作实质响应的供应商不足三家的；</w:t>
      </w:r>
    </w:p>
    <w:p w14:paraId="467EE024">
      <w:pPr>
        <w:pStyle w:val="42"/>
        <w:ind w:firstLine="480"/>
        <w:rPr>
          <w:kern w:val="0"/>
        </w:rPr>
      </w:pPr>
      <w:r>
        <w:rPr>
          <w:rFonts w:hint="eastAsia"/>
          <w:kern w:val="0"/>
        </w:rPr>
        <w:t>（2）出现影响采购公正的违法、违规行为的；</w:t>
      </w:r>
    </w:p>
    <w:p w14:paraId="0DC592CE">
      <w:pPr>
        <w:pStyle w:val="42"/>
        <w:ind w:firstLine="480"/>
        <w:rPr>
          <w:kern w:val="0"/>
        </w:rPr>
      </w:pPr>
      <w:r>
        <w:rPr>
          <w:rFonts w:hint="eastAsia"/>
          <w:kern w:val="0"/>
        </w:rPr>
        <w:t>（3）投标人的报价均超过了采购预算，采购人不能支付的；</w:t>
      </w:r>
    </w:p>
    <w:p w14:paraId="08E9B806">
      <w:pPr>
        <w:pStyle w:val="42"/>
        <w:ind w:firstLine="480"/>
        <w:rPr>
          <w:kern w:val="0"/>
          <w:sz w:val="28"/>
          <w:szCs w:val="28"/>
        </w:rPr>
      </w:pPr>
      <w:r>
        <w:rPr>
          <w:rFonts w:hint="eastAsia"/>
          <w:kern w:val="0"/>
        </w:rPr>
        <w:t>（4）因重大变故，采购任务取消的。</w:t>
      </w:r>
    </w:p>
    <w:p w14:paraId="470B806A">
      <w:pPr>
        <w:pStyle w:val="45"/>
        <w:keepNext w:val="0"/>
        <w:keepLines w:val="0"/>
        <w:pageBreakBefore w:val="0"/>
        <w:widowControl w:val="0"/>
        <w:numPr>
          <w:ilvl w:val="2"/>
          <w:numId w:val="52"/>
        </w:numPr>
        <w:kinsoku/>
        <w:wordWrap/>
        <w:overflowPunct/>
        <w:topLinePunct w:val="0"/>
        <w:autoSpaceDE/>
        <w:autoSpaceDN/>
        <w:bidi w:val="0"/>
        <w:adjustRightInd w:val="0"/>
        <w:snapToGrid/>
        <w:ind w:left="0"/>
        <w:textAlignment w:val="auto"/>
      </w:pPr>
      <w:r>
        <w:rPr>
          <w:rFonts w:hint="eastAsia"/>
        </w:rPr>
        <w:t>可中止电子交易活动的情形</w:t>
      </w:r>
    </w:p>
    <w:p w14:paraId="311E9395">
      <w:pPr>
        <w:pStyle w:val="42"/>
        <w:ind w:firstLine="480"/>
      </w:pPr>
      <w:r>
        <w:rPr>
          <w:rFonts w:hint="eastAsia"/>
        </w:rPr>
        <w:t>采购过程中出现以下情形，导致电子交易平台无法正常运行，或者无法保证电子交易的公平、公正和安全时，采购组织机构可中止电子交易活动：</w:t>
      </w:r>
    </w:p>
    <w:p w14:paraId="5BCE05FC">
      <w:pPr>
        <w:pStyle w:val="52"/>
        <w:numPr>
          <w:ilvl w:val="0"/>
          <w:numId w:val="73"/>
        </w:numPr>
        <w:bidi w:val="0"/>
      </w:pPr>
      <w:r>
        <w:rPr>
          <w:rFonts w:hint="eastAsia"/>
        </w:rPr>
        <w:t>电子交易平台发生故障而无法登录访问的；</w:t>
      </w:r>
    </w:p>
    <w:p w14:paraId="666B657B">
      <w:pPr>
        <w:pStyle w:val="52"/>
        <w:numPr>
          <w:ilvl w:val="0"/>
          <w:numId w:val="73"/>
        </w:numPr>
        <w:bidi w:val="0"/>
      </w:pPr>
      <w:r>
        <w:rPr>
          <w:rFonts w:hint="eastAsia"/>
        </w:rPr>
        <w:t>电子交易平台应用或数据库出现错误，不能进行正常操作的；</w:t>
      </w:r>
    </w:p>
    <w:p w14:paraId="5F3ABEE1">
      <w:pPr>
        <w:pStyle w:val="52"/>
        <w:numPr>
          <w:ilvl w:val="0"/>
          <w:numId w:val="73"/>
        </w:numPr>
        <w:bidi w:val="0"/>
      </w:pPr>
      <w:r>
        <w:rPr>
          <w:rFonts w:hint="eastAsia"/>
        </w:rPr>
        <w:t>电子交易平台发现严重安全漏洞，有潜在泄密危险的；</w:t>
      </w:r>
    </w:p>
    <w:p w14:paraId="1D433F43">
      <w:pPr>
        <w:pStyle w:val="52"/>
        <w:numPr>
          <w:ilvl w:val="0"/>
          <w:numId w:val="73"/>
        </w:numPr>
        <w:bidi w:val="0"/>
      </w:pPr>
      <w:r>
        <w:rPr>
          <w:rFonts w:hint="eastAsia"/>
        </w:rPr>
        <w:t>病毒发作导致不能进行正常操作的；</w:t>
      </w:r>
    </w:p>
    <w:p w14:paraId="74767238">
      <w:pPr>
        <w:pStyle w:val="52"/>
        <w:numPr>
          <w:ilvl w:val="0"/>
          <w:numId w:val="73"/>
        </w:numPr>
        <w:bidi w:val="0"/>
      </w:pPr>
      <w:r>
        <w:rPr>
          <w:rFonts w:hint="eastAsia"/>
        </w:rPr>
        <w:t>其他无法保证电子交易的公平、公正和安全的情况。</w:t>
      </w:r>
    </w:p>
    <w:p w14:paraId="20C0744E">
      <w:pPr>
        <w:pStyle w:val="42"/>
        <w:bidi w:val="0"/>
      </w:pPr>
      <w:r>
        <w:rPr>
          <w:rFonts w:hint="eastAsia"/>
        </w:rPr>
        <w:t>出现前款规定情形，不影响采购公平、公正性的，采购组织机构可以待上述情形消除后继续组织电子交易活动，也可以决定某些环节以纸质形式进行；影响或可能影响采购公平、公正性的，将重新采购。</w:t>
      </w:r>
    </w:p>
    <w:p w14:paraId="1DA488ED">
      <w:pPr>
        <w:widowControl/>
        <w:adjustRightInd/>
        <w:jc w:val="left"/>
        <w:rPr>
          <w:rFonts w:ascii="黑体" w:hAnsi="黑体" w:eastAsia="黑体" w:cs="黑体"/>
          <w:bCs/>
          <w:sz w:val="36"/>
          <w:szCs w:val="44"/>
          <w:lang w:eastAsia="zh-Hans"/>
        </w:rPr>
      </w:pPr>
      <w:r>
        <w:br w:type="page"/>
      </w:r>
    </w:p>
    <w:p w14:paraId="0507E907">
      <w:pPr>
        <w:pStyle w:val="43"/>
      </w:pPr>
      <w:bookmarkStart w:id="69" w:name="_Toc119296595"/>
      <w:bookmarkStart w:id="70" w:name="_Toc12397"/>
      <w:r>
        <w:rPr>
          <w:rFonts w:hint="eastAsia"/>
          <w:lang w:eastAsia="zh-CN"/>
        </w:rPr>
        <w:t>投标文件部分格式文本</w:t>
      </w:r>
      <w:bookmarkEnd w:id="69"/>
      <w:bookmarkEnd w:id="70"/>
    </w:p>
    <w:p w14:paraId="78F45024">
      <w:pPr>
        <w:pStyle w:val="44"/>
        <w:numPr>
          <w:ilvl w:val="1"/>
          <w:numId w:val="74"/>
        </w:numPr>
        <w:adjustRightInd/>
      </w:pPr>
      <w:bookmarkStart w:id="71" w:name="_Toc11067"/>
      <w:r>
        <w:rPr>
          <w:rFonts w:hint="eastAsia"/>
        </w:rPr>
        <w:t>格式文本使用说明</w:t>
      </w:r>
      <w:bookmarkEnd w:id="71"/>
    </w:p>
    <w:p w14:paraId="06541444">
      <w:pPr>
        <w:pStyle w:val="52"/>
        <w:numPr>
          <w:ilvl w:val="0"/>
          <w:numId w:val="75"/>
        </w:numPr>
        <w:bidi w:val="0"/>
        <w:rPr>
          <w:lang w:eastAsia="zh-CN"/>
        </w:rPr>
      </w:pPr>
      <w:r>
        <w:rPr>
          <w:rFonts w:hint="eastAsia"/>
          <w:lang w:eastAsia="zh-CN"/>
        </w:rPr>
        <w:t>投标人应当认真阅读格式文本的所有内容，因误读、漏读等投标人原因导致填写错误影响资格或符合性审查结果的，视为投标人弄虚作假谋取中标；</w:t>
      </w:r>
    </w:p>
    <w:p w14:paraId="5C3AC24A">
      <w:pPr>
        <w:pStyle w:val="52"/>
        <w:numPr>
          <w:ilvl w:val="0"/>
          <w:numId w:val="75"/>
        </w:numPr>
        <w:bidi w:val="0"/>
      </w:pPr>
      <w:r>
        <w:rPr>
          <w:rFonts w:hint="eastAsia"/>
        </w:rPr>
        <w:t>本章有提供格式文本的，投标人编制投标文件应按格式编制和签署，除另有说明外不得改变格式文本内容，否则该项文件视为无效文件；</w:t>
      </w:r>
    </w:p>
    <w:p w14:paraId="23D8CBA4">
      <w:pPr>
        <w:pStyle w:val="52"/>
        <w:numPr>
          <w:ilvl w:val="0"/>
          <w:numId w:val="75"/>
        </w:numPr>
        <w:bidi w:val="0"/>
      </w:pPr>
      <w:r>
        <w:rPr>
          <w:rFonts w:hint="eastAsia"/>
        </w:rPr>
        <w:t>本章未提供格式文本的，投标人可自行拟定格式，并参照格式文本签署；</w:t>
      </w:r>
    </w:p>
    <w:p w14:paraId="3EB9521E">
      <w:pPr>
        <w:pStyle w:val="52"/>
        <w:numPr>
          <w:ilvl w:val="0"/>
          <w:numId w:val="75"/>
        </w:numPr>
        <w:bidi w:val="0"/>
      </w:pPr>
      <w:r>
        <w:rPr>
          <w:rFonts w:hint="eastAsia"/>
        </w:rPr>
        <w:t>格式文本要求提供材料证明的，投标人应当随文本附上响应证明材料并加盖公章或者电子签章</w:t>
      </w:r>
      <w:r>
        <w:rPr>
          <w:rFonts w:hint="eastAsia"/>
          <w:lang w:eastAsia="zh-Hans"/>
        </w:rPr>
        <w:t>；</w:t>
      </w:r>
    </w:p>
    <w:p w14:paraId="73AA2BBF">
      <w:pPr>
        <w:pStyle w:val="52"/>
        <w:numPr>
          <w:ilvl w:val="0"/>
          <w:numId w:val="75"/>
        </w:numPr>
        <w:bidi w:val="0"/>
      </w:pPr>
      <w:r>
        <w:rPr>
          <w:rFonts w:hint="eastAsia"/>
          <w:lang w:eastAsia="zh-CN"/>
        </w:rPr>
        <w:t>本章格式文本标题前的序号仅代表其在本章</w:t>
      </w:r>
      <w:r>
        <w:rPr>
          <w:rFonts w:hint="eastAsia"/>
          <w:lang w:val="en-US" w:eastAsia="zh-CN"/>
        </w:rPr>
        <w:t>节</w:t>
      </w:r>
      <w:r>
        <w:rPr>
          <w:rFonts w:hint="eastAsia"/>
          <w:lang w:eastAsia="zh-CN"/>
        </w:rPr>
        <w:t>的序号，投标人编制时应替换为投标文件中的序号</w:t>
      </w:r>
      <w:r>
        <w:rPr>
          <w:rFonts w:hint="eastAsia"/>
          <w:lang w:eastAsia="zh-Hans"/>
        </w:rPr>
        <w:t>；</w:t>
      </w:r>
    </w:p>
    <w:p w14:paraId="52D1C5F2">
      <w:pPr>
        <w:pStyle w:val="52"/>
        <w:numPr>
          <w:ilvl w:val="0"/>
          <w:numId w:val="75"/>
        </w:numPr>
        <w:bidi w:val="0"/>
      </w:pPr>
      <w:r>
        <w:rPr>
          <w:rFonts w:hint="eastAsia"/>
        </w:rPr>
        <w:t>“【</w:t>
      </w:r>
      <w:r>
        <w:t>】”</w:t>
      </w:r>
      <w:r>
        <w:rPr>
          <w:rFonts w:hint="eastAsia"/>
        </w:rPr>
        <w:t>符号内容属于说明内容，编制时应当删除（连同符号</w:t>
      </w:r>
      <w:r>
        <w:rPr>
          <w:rFonts w:hint="eastAsia"/>
          <w:lang w:eastAsia="zh-Hans"/>
        </w:rPr>
        <w:t>“</w:t>
      </w:r>
      <w:r>
        <w:rPr>
          <w:rFonts w:hint="eastAsia"/>
        </w:rPr>
        <w:t>【】</w:t>
      </w:r>
      <w:r>
        <w:rPr>
          <w:rFonts w:hint="eastAsia"/>
          <w:lang w:eastAsia="zh-Hans"/>
        </w:rPr>
        <w:t>”</w:t>
      </w:r>
      <w:r>
        <w:rPr>
          <w:rFonts w:hint="eastAsia"/>
        </w:rPr>
        <w:t>）</w:t>
      </w:r>
      <w:r>
        <w:rPr>
          <w:rFonts w:hint="eastAsia"/>
          <w:lang w:eastAsia="zh-Hans"/>
        </w:rPr>
        <w:t>；</w:t>
      </w:r>
    </w:p>
    <w:p w14:paraId="430BB6A4">
      <w:pPr>
        <w:pStyle w:val="52"/>
        <w:numPr>
          <w:ilvl w:val="0"/>
          <w:numId w:val="75"/>
        </w:numPr>
        <w:bidi w:val="0"/>
        <w:rPr>
          <w:rFonts w:hint="eastAsia" w:eastAsia="宋体"/>
          <w:lang w:val="en-US" w:eastAsia="zh-Hans"/>
        </w:rPr>
      </w:pPr>
      <w:r>
        <w:rPr>
          <w:rFonts w:hint="eastAsia"/>
        </w:rPr>
        <w:t>斜体字部分属于提醒或示例内容，编制时应当删除，</w:t>
      </w:r>
      <w:r>
        <w:rPr>
          <w:rFonts w:hint="eastAsia"/>
          <w:lang w:eastAsia="zh-CN"/>
        </w:rPr>
        <w:t>斜体字外如有“（）”应当一并删除，</w:t>
      </w:r>
      <w:r>
        <w:rPr>
          <w:rFonts w:hint="eastAsia"/>
        </w:rPr>
        <w:t>投标人填写应当使用正体填写实际内容</w:t>
      </w:r>
      <w:r>
        <w:rPr>
          <w:rFonts w:hint="eastAsia"/>
          <w:lang w:eastAsia="zh-Hans"/>
        </w:rPr>
        <w:t>；</w:t>
      </w:r>
    </w:p>
    <w:p w14:paraId="43E69423">
      <w:pPr>
        <w:pStyle w:val="52"/>
        <w:numPr>
          <w:ilvl w:val="0"/>
          <w:numId w:val="75"/>
        </w:numPr>
        <w:bidi w:val="0"/>
        <w:rPr>
          <w:rFonts w:hint="eastAsia" w:eastAsia="宋体"/>
          <w:lang w:val="en-US" w:eastAsia="zh-Hans"/>
        </w:rPr>
      </w:pPr>
      <w:r>
        <w:rPr>
          <w:rFonts w:hint="eastAsia"/>
          <w:lang w:val="en-US" w:eastAsia="zh-Hans"/>
        </w:rPr>
        <w:t>项目若有多个标项的，投标人应当在项目名称后标注具体标项序号及标项名称。单一标项项目“标项序号：”及“标项名称：”可删除。</w:t>
      </w:r>
    </w:p>
    <w:p w14:paraId="245F4E35">
      <w:pPr>
        <w:pStyle w:val="42"/>
        <w:ind w:firstLine="480"/>
        <w:rPr>
          <w:rFonts w:hint="eastAsia"/>
        </w:rPr>
      </w:pPr>
    </w:p>
    <w:p w14:paraId="46D2DAB8">
      <w:pPr>
        <w:widowControl/>
        <w:jc w:val="left"/>
        <w:rPr>
          <w:rFonts w:ascii="黑体" w:hAnsi="黑体" w:eastAsia="黑体" w:cs="黑体"/>
          <w:bCs/>
          <w:sz w:val="36"/>
          <w:szCs w:val="44"/>
          <w:lang w:eastAsia="zh-Hans"/>
        </w:rPr>
      </w:pPr>
      <w:r>
        <w:br w:type="page"/>
      </w:r>
    </w:p>
    <w:p w14:paraId="7447B3A4">
      <w:pPr>
        <w:pStyle w:val="44"/>
        <w:numPr>
          <w:ilvl w:val="1"/>
          <w:numId w:val="74"/>
        </w:numPr>
        <w:adjustRightInd/>
      </w:pPr>
      <w:bookmarkStart w:id="72" w:name="_Toc19181"/>
      <w:bookmarkStart w:id="73" w:name="_Toc119296596"/>
      <w:r>
        <w:rPr>
          <w:rFonts w:hint="eastAsia"/>
        </w:rPr>
        <w:t>符合参加政府采购活动应当具备的一般条件的承诺函</w:t>
      </w:r>
      <w:bookmarkEnd w:id="72"/>
    </w:p>
    <w:p w14:paraId="1F8A075C">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1D1A669D">
      <w:pPr>
        <w:pStyle w:val="42"/>
        <w:ind w:firstLine="480"/>
        <w:rPr>
          <w:color w:val="auto"/>
        </w:rPr>
      </w:pPr>
      <w:r>
        <w:rPr>
          <w:rFonts w:hint="eastAsia"/>
          <w:color w:val="auto"/>
        </w:rPr>
        <w:t>我方参与</w:t>
      </w:r>
      <w:r>
        <w:rPr>
          <w:rFonts w:hint="eastAsia"/>
          <w:color w:val="auto"/>
          <w:u w:val="single"/>
          <w:lang w:eastAsia="zh-CN"/>
        </w:rPr>
        <w:t>2026年跨省北斗定位漫游服务和北斗应用终端标准数据服务项目</w:t>
      </w:r>
      <w:r>
        <w:rPr>
          <w:rFonts w:hint="eastAsia"/>
          <w:color w:val="auto"/>
          <w:u w:val="single"/>
        </w:rPr>
        <w:t>（项目编号：</w:t>
      </w:r>
      <w:r>
        <w:rPr>
          <w:rFonts w:hint="eastAsia"/>
          <w:color w:val="auto"/>
          <w:u w:val="single"/>
          <w:lang w:eastAsia="zh-CN"/>
        </w:rPr>
        <w:t>330000263130150000171-ZQ260319ZG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政府采购活动，郑重承诺：</w:t>
      </w:r>
    </w:p>
    <w:p w14:paraId="1B67506A">
      <w:pPr>
        <w:pStyle w:val="42"/>
        <w:ind w:firstLine="480"/>
        <w:rPr>
          <w:color w:val="auto"/>
        </w:rPr>
      </w:pPr>
      <w:r>
        <w:rPr>
          <w:rFonts w:hint="eastAsia"/>
          <w:color w:val="auto"/>
        </w:rPr>
        <w:t>（一）具备《中华人民共和国政府采购法》第二十二条第一款规定的条件：</w:t>
      </w:r>
    </w:p>
    <w:p w14:paraId="2C2FC259">
      <w:pPr>
        <w:pStyle w:val="42"/>
        <w:ind w:firstLine="480"/>
        <w:rPr>
          <w:color w:val="auto"/>
        </w:rPr>
      </w:pPr>
      <w:r>
        <w:rPr>
          <w:rFonts w:hint="eastAsia"/>
          <w:color w:val="auto"/>
        </w:rPr>
        <w:t>1、具有独立承担民事责任的能力；</w:t>
      </w:r>
    </w:p>
    <w:p w14:paraId="5FCC48B4">
      <w:pPr>
        <w:pStyle w:val="42"/>
        <w:ind w:firstLine="480"/>
        <w:rPr>
          <w:color w:val="auto"/>
        </w:rPr>
      </w:pPr>
      <w:r>
        <w:rPr>
          <w:rFonts w:hint="eastAsia"/>
          <w:color w:val="auto"/>
        </w:rPr>
        <w:t xml:space="preserve">2、具有良好的商业信誉和健全的财务会计制度； </w:t>
      </w:r>
    </w:p>
    <w:p w14:paraId="355DD59D">
      <w:pPr>
        <w:pStyle w:val="42"/>
        <w:ind w:firstLine="480"/>
        <w:rPr>
          <w:color w:val="auto"/>
        </w:rPr>
      </w:pPr>
      <w:r>
        <w:rPr>
          <w:rFonts w:hint="eastAsia"/>
          <w:color w:val="auto"/>
        </w:rPr>
        <w:t>3、具有履行合同所必需的设备和专业技术能力；</w:t>
      </w:r>
    </w:p>
    <w:p w14:paraId="4A8A1418">
      <w:pPr>
        <w:pStyle w:val="42"/>
        <w:ind w:firstLine="480"/>
        <w:rPr>
          <w:color w:val="auto"/>
        </w:rPr>
      </w:pPr>
      <w:r>
        <w:rPr>
          <w:rFonts w:hint="eastAsia"/>
          <w:color w:val="auto"/>
        </w:rPr>
        <w:t>4、有依法缴纳税收和社会保障资金的良好记录；</w:t>
      </w:r>
    </w:p>
    <w:p w14:paraId="6A117CF0">
      <w:pPr>
        <w:pStyle w:val="42"/>
        <w:ind w:firstLine="480"/>
        <w:rPr>
          <w:color w:val="auto"/>
        </w:rPr>
      </w:pPr>
      <w:r>
        <w:rPr>
          <w:rFonts w:hint="eastAsia"/>
          <w:color w:val="auto"/>
        </w:rPr>
        <w:t>5、参加政府采购活动前三年内，在经营活动中没有重大违法记录；</w:t>
      </w:r>
    </w:p>
    <w:p w14:paraId="2CDACCA6">
      <w:pPr>
        <w:pStyle w:val="42"/>
        <w:ind w:firstLine="480"/>
        <w:rPr>
          <w:color w:val="auto"/>
        </w:rPr>
      </w:pPr>
      <w:r>
        <w:rPr>
          <w:rFonts w:hint="eastAsia"/>
          <w:color w:val="auto"/>
        </w:rPr>
        <w:t>6、具有法律、行政法规规定的其他条件。</w:t>
      </w:r>
    </w:p>
    <w:p w14:paraId="74D5FF69">
      <w:pPr>
        <w:pStyle w:val="42"/>
        <w:ind w:firstLine="480"/>
        <w:rPr>
          <w:color w:val="auto"/>
        </w:rPr>
      </w:pPr>
      <w:r>
        <w:rPr>
          <w:rFonts w:hint="eastAsia"/>
          <w:color w:val="auto"/>
        </w:rPr>
        <w:t>（二）未被信用中国（www.creditchina.gov.cn)、中国政府采购网（www.ccgp.gov.cn）列入失信被执行人、</w:t>
      </w:r>
      <w:r>
        <w:rPr>
          <w:rFonts w:hint="eastAsia"/>
          <w:color w:val="auto"/>
          <w:lang w:eastAsia="zh-CN"/>
        </w:rPr>
        <w:t>重大税收违法失信主体</w:t>
      </w:r>
      <w:r>
        <w:rPr>
          <w:rFonts w:hint="eastAsia"/>
          <w:color w:val="auto"/>
          <w:lang w:val="en-US" w:eastAsia="zh-CN"/>
        </w:rPr>
        <w:t>名单</w:t>
      </w:r>
      <w:r>
        <w:rPr>
          <w:rFonts w:hint="eastAsia"/>
          <w:color w:val="auto"/>
        </w:rPr>
        <w:t>、政府采购严重违法失信行为记录名单。</w:t>
      </w:r>
    </w:p>
    <w:p w14:paraId="06B8B167">
      <w:pPr>
        <w:pStyle w:val="42"/>
        <w:ind w:firstLine="480"/>
        <w:rPr>
          <w:color w:val="auto"/>
        </w:rPr>
      </w:pPr>
    </w:p>
    <w:p w14:paraId="6BB051A5">
      <w:pPr>
        <w:pStyle w:val="42"/>
        <w:ind w:firstLine="480"/>
        <w:rPr>
          <w:color w:val="auto"/>
        </w:rPr>
      </w:pPr>
    </w:p>
    <w:p w14:paraId="2CEE4682">
      <w:pPr>
        <w:pStyle w:val="42"/>
        <w:ind w:firstLine="480"/>
        <w:rPr>
          <w:color w:val="auto"/>
          <w:kern w:val="0"/>
        </w:rPr>
      </w:pPr>
      <w:r>
        <w:rPr>
          <w:rFonts w:hint="eastAsia"/>
          <w:color w:val="auto"/>
          <w:kern w:val="0"/>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kern w:val="0"/>
        </w:rPr>
        <w:t>)：</w:t>
      </w:r>
    </w:p>
    <w:p w14:paraId="60AB6D9F">
      <w:pPr>
        <w:pStyle w:val="42"/>
        <w:ind w:firstLine="480"/>
        <w:rPr>
          <w:color w:val="auto"/>
          <w:kern w:val="0"/>
        </w:rPr>
      </w:pPr>
      <w:r>
        <w:rPr>
          <w:rFonts w:hint="eastAsia"/>
          <w:color w:val="auto"/>
          <w:kern w:val="0"/>
        </w:rPr>
        <w:t>日期：  年  月   日</w:t>
      </w:r>
    </w:p>
    <w:p w14:paraId="78F67B58">
      <w:pPr>
        <w:pStyle w:val="42"/>
        <w:ind w:firstLine="480"/>
        <w:rPr>
          <w:color w:val="auto"/>
          <w:kern w:val="0"/>
        </w:rPr>
      </w:pPr>
    </w:p>
    <w:p w14:paraId="12E56477">
      <w:pPr>
        <w:pStyle w:val="42"/>
        <w:ind w:firstLine="0" w:firstLineChars="0"/>
        <w:rPr>
          <w:color w:val="auto"/>
          <w:kern w:val="0"/>
          <w:lang w:eastAsia="zh-CN"/>
        </w:rPr>
      </w:pPr>
      <w:r>
        <w:rPr>
          <w:rFonts w:hint="eastAsia"/>
          <w:color w:val="auto"/>
          <w:kern w:val="0"/>
          <w:lang w:eastAsia="zh-CN"/>
        </w:rPr>
        <w:t>【说明：如为联合体投标，联合体双方均应具备参加政府采购活动的一般资格条件，文首“我方”应改为“我方与（供应商全称）”】</w:t>
      </w:r>
    </w:p>
    <w:p w14:paraId="0EB10DDD">
      <w:pPr>
        <w:widowControl/>
        <w:jc w:val="left"/>
        <w:rPr>
          <w:color w:val="auto"/>
        </w:rPr>
      </w:pPr>
      <w:r>
        <w:rPr>
          <w:color w:val="auto"/>
        </w:rPr>
        <w:br w:type="page"/>
      </w:r>
    </w:p>
    <w:p w14:paraId="41F1BC7D">
      <w:pPr>
        <w:pStyle w:val="44"/>
        <w:numPr>
          <w:ilvl w:val="1"/>
          <w:numId w:val="74"/>
        </w:numPr>
        <w:adjustRightInd/>
        <w:rPr>
          <w:rFonts w:eastAsia="宋体"/>
          <w:color w:val="auto"/>
        </w:rPr>
      </w:pPr>
      <w:bookmarkStart w:id="74" w:name="_Toc6454"/>
      <w:r>
        <w:rPr>
          <w:rFonts w:hint="eastAsia"/>
          <w:color w:val="auto"/>
        </w:rPr>
        <w:t>投标函</w:t>
      </w:r>
      <w:bookmarkEnd w:id="74"/>
    </w:p>
    <w:p w14:paraId="73F85A1E">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6CC0B2D2">
      <w:pPr>
        <w:pStyle w:val="42"/>
        <w:ind w:firstLine="480"/>
        <w:rPr>
          <w:color w:val="auto"/>
        </w:rPr>
      </w:pPr>
      <w:r>
        <w:rPr>
          <w:rFonts w:hint="eastAsia"/>
          <w:color w:val="auto"/>
        </w:rPr>
        <w:t>我方参与</w:t>
      </w:r>
      <w:r>
        <w:rPr>
          <w:rFonts w:hint="eastAsia"/>
          <w:color w:val="auto"/>
          <w:u w:val="single"/>
          <w:lang w:eastAsia="zh-CN"/>
        </w:rPr>
        <w:t>2026年跨省北斗定位漫游服务和北斗应用终端标准数据服务项目</w:t>
      </w:r>
      <w:r>
        <w:rPr>
          <w:rFonts w:hint="eastAsia"/>
          <w:color w:val="auto"/>
          <w:u w:val="single"/>
        </w:rPr>
        <w:t>（项目编号：</w:t>
      </w:r>
      <w:r>
        <w:rPr>
          <w:rFonts w:hint="eastAsia"/>
          <w:color w:val="auto"/>
          <w:u w:val="single"/>
          <w:lang w:eastAsia="zh-CN"/>
        </w:rPr>
        <w:t>330000263130150000171-ZQ260319ZG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政府采购活动，为此：</w:t>
      </w:r>
    </w:p>
    <w:p w14:paraId="1D9C3B84">
      <w:pPr>
        <w:pStyle w:val="42"/>
        <w:ind w:firstLine="480"/>
        <w:rPr>
          <w:color w:val="auto"/>
        </w:rPr>
      </w:pPr>
      <w:r>
        <w:rPr>
          <w:color w:val="auto"/>
        </w:rPr>
        <w:t>1.</w:t>
      </w:r>
      <w:r>
        <w:rPr>
          <w:rFonts w:hint="eastAsia"/>
          <w:color w:val="auto"/>
        </w:rPr>
        <w:t>我方承诺投标有效期从提交投标文件的截止之日起</w:t>
      </w:r>
      <w:r>
        <w:rPr>
          <w:rFonts w:hint="eastAsia"/>
          <w:color w:val="auto"/>
          <w:u w:val="single"/>
        </w:rPr>
        <w:t xml:space="preserve"> </w:t>
      </w:r>
      <w:r>
        <w:rPr>
          <w:rFonts w:hint="eastAsia"/>
          <w:i/>
          <w:iCs/>
          <w:color w:val="auto"/>
          <w:u w:val="single"/>
        </w:rPr>
        <w:t>不少于9</w:t>
      </w:r>
      <w:r>
        <w:rPr>
          <w:i/>
          <w:iCs/>
          <w:color w:val="auto"/>
          <w:u w:val="single"/>
        </w:rPr>
        <w:t>0</w:t>
      </w:r>
      <w:r>
        <w:rPr>
          <w:rFonts w:hint="eastAsia"/>
          <w:i/>
          <w:iCs/>
          <w:color w:val="auto"/>
          <w:u w:val="single"/>
        </w:rPr>
        <w:t>，填确切数字</w:t>
      </w:r>
      <w:r>
        <w:rPr>
          <w:rFonts w:hint="eastAsia"/>
          <w:color w:val="auto"/>
          <w:u w:val="single"/>
        </w:rPr>
        <w:t xml:space="preserve"> </w:t>
      </w:r>
      <w:r>
        <w:rPr>
          <w:rFonts w:hint="eastAsia"/>
          <w:color w:val="auto"/>
        </w:rPr>
        <w:t>天，本投标文件在投标有效期满之前均具有约束力。</w:t>
      </w:r>
    </w:p>
    <w:p w14:paraId="1E296FE6">
      <w:pPr>
        <w:pStyle w:val="42"/>
        <w:ind w:firstLine="480"/>
        <w:rPr>
          <w:color w:val="auto"/>
        </w:rPr>
      </w:pPr>
      <w:r>
        <w:rPr>
          <w:color w:val="auto"/>
        </w:rPr>
        <w:t>2.</w:t>
      </w:r>
      <w:r>
        <w:rPr>
          <w:rFonts w:hint="eastAsia"/>
          <w:color w:val="auto"/>
        </w:rPr>
        <w:t>我方的投标文件包括以下内容：</w:t>
      </w:r>
    </w:p>
    <w:p w14:paraId="43939D4D">
      <w:pPr>
        <w:pStyle w:val="42"/>
        <w:ind w:firstLine="480"/>
        <w:rPr>
          <w:color w:val="auto"/>
        </w:rPr>
      </w:pPr>
      <w:r>
        <w:rPr>
          <w:rFonts w:hint="eastAsia"/>
          <w:color w:val="auto"/>
        </w:rPr>
        <w:t>2.1资格文件：</w:t>
      </w:r>
    </w:p>
    <w:p w14:paraId="1FCE3D4C">
      <w:pPr>
        <w:pStyle w:val="42"/>
        <w:ind w:firstLine="480"/>
        <w:rPr>
          <w:i/>
          <w:iCs/>
          <w:color w:val="auto"/>
          <w:lang w:eastAsia="zh-CN"/>
        </w:rPr>
      </w:pPr>
    </w:p>
    <w:p w14:paraId="754A35FF">
      <w:pPr>
        <w:pStyle w:val="42"/>
        <w:ind w:firstLine="480"/>
        <w:rPr>
          <w:i/>
          <w:iCs/>
          <w:color w:val="auto"/>
          <w:u w:val="single"/>
        </w:rPr>
      </w:pPr>
      <w:r>
        <w:rPr>
          <w:rFonts w:hint="eastAsia"/>
          <w:i/>
          <w:iCs/>
          <w:color w:val="auto"/>
          <w:u w:val="single"/>
          <w:lang w:eastAsia="zh-CN"/>
        </w:rPr>
        <w:t>根据资格文件目录内容如实填写</w:t>
      </w:r>
    </w:p>
    <w:p w14:paraId="298183B6">
      <w:pPr>
        <w:pStyle w:val="42"/>
        <w:ind w:firstLine="480"/>
        <w:rPr>
          <w:color w:val="auto"/>
        </w:rPr>
      </w:pPr>
    </w:p>
    <w:p w14:paraId="4E533C55">
      <w:pPr>
        <w:pStyle w:val="42"/>
        <w:ind w:firstLine="480"/>
        <w:rPr>
          <w:color w:val="auto"/>
        </w:rPr>
      </w:pPr>
      <w:r>
        <w:rPr>
          <w:rFonts w:hint="eastAsia"/>
          <w:color w:val="auto"/>
        </w:rPr>
        <w:t>2.2 商务技术文件：</w:t>
      </w:r>
    </w:p>
    <w:p w14:paraId="3C465063">
      <w:pPr>
        <w:pStyle w:val="42"/>
        <w:ind w:firstLine="480"/>
        <w:rPr>
          <w:i/>
          <w:iCs/>
          <w:color w:val="auto"/>
          <w:lang w:eastAsia="zh-CN"/>
        </w:rPr>
      </w:pPr>
    </w:p>
    <w:p w14:paraId="0F71160D">
      <w:pPr>
        <w:pStyle w:val="42"/>
        <w:ind w:firstLine="480"/>
        <w:rPr>
          <w:i/>
          <w:iCs/>
          <w:color w:val="auto"/>
          <w:u w:val="single"/>
        </w:rPr>
      </w:pPr>
      <w:r>
        <w:rPr>
          <w:rFonts w:hint="eastAsia"/>
          <w:i/>
          <w:iCs/>
          <w:color w:val="auto"/>
          <w:u w:val="single"/>
          <w:lang w:eastAsia="zh-CN"/>
        </w:rPr>
        <w:t>根据商务技术文件目录内容如实填写</w:t>
      </w:r>
    </w:p>
    <w:p w14:paraId="1E56EBCD">
      <w:pPr>
        <w:pStyle w:val="42"/>
        <w:ind w:firstLine="480"/>
        <w:rPr>
          <w:color w:val="auto"/>
        </w:rPr>
      </w:pPr>
    </w:p>
    <w:p w14:paraId="1B587702">
      <w:pPr>
        <w:pStyle w:val="42"/>
        <w:ind w:firstLine="480"/>
        <w:rPr>
          <w:color w:val="auto"/>
        </w:rPr>
      </w:pPr>
      <w:r>
        <w:rPr>
          <w:rFonts w:hint="eastAsia"/>
          <w:color w:val="auto"/>
        </w:rPr>
        <w:t>2.3报价文件</w:t>
      </w:r>
    </w:p>
    <w:p w14:paraId="36258DBF">
      <w:pPr>
        <w:pStyle w:val="42"/>
        <w:ind w:firstLine="480"/>
        <w:rPr>
          <w:i/>
          <w:iCs/>
          <w:color w:val="auto"/>
          <w:lang w:eastAsia="zh-CN"/>
        </w:rPr>
      </w:pPr>
    </w:p>
    <w:p w14:paraId="3C7F716F">
      <w:pPr>
        <w:pStyle w:val="42"/>
        <w:ind w:firstLine="480"/>
        <w:rPr>
          <w:i/>
          <w:iCs/>
          <w:color w:val="auto"/>
          <w:u w:val="single"/>
        </w:rPr>
      </w:pPr>
      <w:r>
        <w:rPr>
          <w:rFonts w:hint="eastAsia"/>
          <w:i/>
          <w:iCs/>
          <w:color w:val="auto"/>
          <w:u w:val="single"/>
          <w:lang w:eastAsia="zh-CN"/>
        </w:rPr>
        <w:t>根据报价文件目录内容如实填写</w:t>
      </w:r>
    </w:p>
    <w:p w14:paraId="5239A174">
      <w:pPr>
        <w:pStyle w:val="42"/>
        <w:numPr>
          <w:ilvl w:val="0"/>
          <w:numId w:val="0"/>
        </w:numPr>
        <w:bidi w:val="0"/>
        <w:rPr>
          <w:rFonts w:hint="eastAsia"/>
          <w:color w:val="auto"/>
          <w:lang w:val="en-US" w:eastAsia="zh-CN"/>
        </w:rPr>
      </w:pPr>
    </w:p>
    <w:p w14:paraId="56D925F4">
      <w:pPr>
        <w:pStyle w:val="42"/>
        <w:keepNext w:val="0"/>
        <w:keepLines w:val="0"/>
        <w:pageBreakBefore w:val="0"/>
        <w:widowControl w:val="0"/>
        <w:numPr>
          <w:ilvl w:val="0"/>
          <w:numId w:val="0"/>
        </w:numPr>
        <w:kinsoku/>
        <w:wordWrap/>
        <w:overflowPunct/>
        <w:topLinePunct w:val="0"/>
        <w:autoSpaceDE/>
        <w:autoSpaceDN/>
        <w:bidi w:val="0"/>
        <w:adjustRightInd w:val="0"/>
        <w:snapToGrid/>
        <w:ind w:firstLine="480" w:firstLineChars="200"/>
        <w:textAlignment w:val="auto"/>
        <w:rPr>
          <w:rFonts w:hint="eastAsia"/>
          <w:color w:val="auto"/>
          <w:lang w:eastAsia="zh-Hans"/>
        </w:rPr>
      </w:pPr>
      <w:r>
        <w:rPr>
          <w:rFonts w:hint="eastAsia"/>
          <w:color w:val="auto"/>
          <w:lang w:val="en-US" w:eastAsia="zh-CN"/>
        </w:rPr>
        <w:t>3.</w:t>
      </w:r>
      <w:r>
        <w:rPr>
          <w:rFonts w:hint="eastAsia"/>
          <w:color w:val="auto"/>
        </w:rPr>
        <w:t>我方承诺除商务技术偏离表列出的偏离外，我方响应招标文件的全部要求</w:t>
      </w:r>
      <w:r>
        <w:rPr>
          <w:rFonts w:hint="eastAsia"/>
          <w:color w:val="auto"/>
          <w:lang w:eastAsia="zh-Hans"/>
        </w:rPr>
        <w:t>；</w:t>
      </w:r>
    </w:p>
    <w:p w14:paraId="711475B5">
      <w:pPr>
        <w:pStyle w:val="42"/>
        <w:ind w:firstLine="480"/>
        <w:rPr>
          <w:color w:val="auto"/>
        </w:rPr>
      </w:pPr>
      <w:r>
        <w:rPr>
          <w:rFonts w:hint="eastAsia"/>
          <w:color w:val="auto"/>
          <w:lang w:val="en-US" w:eastAsia="zh-CN"/>
        </w:rPr>
        <w:t>4</w:t>
      </w:r>
      <w:r>
        <w:rPr>
          <w:color w:val="auto"/>
        </w:rPr>
        <w:t>.</w:t>
      </w:r>
      <w:r>
        <w:rPr>
          <w:rFonts w:hint="eastAsia"/>
          <w:color w:val="auto"/>
        </w:rPr>
        <w:t>如我方中标，我方承诺：</w:t>
      </w:r>
    </w:p>
    <w:p w14:paraId="5C93DFA5">
      <w:pPr>
        <w:pStyle w:val="42"/>
        <w:ind w:firstLine="480"/>
        <w:rPr>
          <w:color w:val="auto"/>
        </w:rPr>
      </w:pPr>
      <w:r>
        <w:rPr>
          <w:rFonts w:hint="eastAsia"/>
          <w:color w:val="auto"/>
          <w:lang w:val="en-US" w:eastAsia="zh-CN"/>
        </w:rPr>
        <w:t>4</w:t>
      </w:r>
      <w:r>
        <w:rPr>
          <w:rFonts w:hint="eastAsia"/>
          <w:color w:val="auto"/>
        </w:rPr>
        <w:t>.1在收到中标通知书后，</w:t>
      </w:r>
      <w:r>
        <w:rPr>
          <w:rFonts w:hint="eastAsia"/>
          <w:color w:val="auto"/>
          <w:lang w:eastAsia="zh-CN"/>
        </w:rPr>
        <w:t>及时与招标代理机构办理采购代理服务费结算手续，并</w:t>
      </w:r>
      <w:r>
        <w:rPr>
          <w:rFonts w:hint="eastAsia"/>
          <w:color w:val="auto"/>
        </w:rPr>
        <w:t>在中标通知书规定的期限内与</w:t>
      </w:r>
      <w:r>
        <w:rPr>
          <w:rFonts w:hint="eastAsia"/>
          <w:color w:val="auto"/>
          <w:lang w:eastAsia="zh-CN"/>
        </w:rPr>
        <w:t>招标人</w:t>
      </w:r>
      <w:r>
        <w:rPr>
          <w:rFonts w:hint="eastAsia"/>
          <w:color w:val="auto"/>
        </w:rPr>
        <w:t xml:space="preserve">签订合同； </w:t>
      </w:r>
    </w:p>
    <w:p w14:paraId="59E66A63">
      <w:pPr>
        <w:pStyle w:val="42"/>
        <w:ind w:firstLine="480"/>
        <w:rPr>
          <w:color w:val="auto"/>
        </w:rPr>
      </w:pPr>
      <w:r>
        <w:rPr>
          <w:rFonts w:hint="eastAsia"/>
          <w:color w:val="auto"/>
          <w:lang w:val="en-US" w:eastAsia="zh-CN"/>
        </w:rPr>
        <w:t>4</w:t>
      </w:r>
      <w:r>
        <w:rPr>
          <w:rFonts w:hint="eastAsia"/>
          <w:color w:val="auto"/>
        </w:rPr>
        <w:t>.2在签订合同时不向</w:t>
      </w:r>
      <w:r>
        <w:rPr>
          <w:rFonts w:hint="eastAsia"/>
          <w:color w:val="auto"/>
          <w:lang w:eastAsia="zh-CN"/>
        </w:rPr>
        <w:t>招标人</w:t>
      </w:r>
      <w:r>
        <w:rPr>
          <w:rFonts w:hint="eastAsia"/>
          <w:color w:val="auto"/>
        </w:rPr>
        <w:t xml:space="preserve">提出附加条件； </w:t>
      </w:r>
    </w:p>
    <w:p w14:paraId="0A081848">
      <w:pPr>
        <w:pStyle w:val="42"/>
        <w:ind w:firstLine="480"/>
        <w:rPr>
          <w:color w:val="auto"/>
        </w:rPr>
      </w:pPr>
      <w:r>
        <w:rPr>
          <w:rFonts w:hint="eastAsia"/>
          <w:color w:val="auto"/>
          <w:lang w:val="en-US" w:eastAsia="zh-CN"/>
        </w:rPr>
        <w:t>4</w:t>
      </w:r>
      <w:r>
        <w:rPr>
          <w:rFonts w:hint="eastAsia"/>
          <w:color w:val="auto"/>
        </w:rPr>
        <w:t xml:space="preserve">.3按照招标文件要求提交履约保证金； </w:t>
      </w:r>
    </w:p>
    <w:p w14:paraId="0D08A44D">
      <w:pPr>
        <w:pStyle w:val="42"/>
        <w:ind w:firstLine="480"/>
        <w:rPr>
          <w:color w:val="auto"/>
        </w:rPr>
      </w:pPr>
      <w:r>
        <w:rPr>
          <w:rFonts w:hint="eastAsia"/>
          <w:color w:val="auto"/>
          <w:lang w:val="en-US" w:eastAsia="zh-CN"/>
        </w:rPr>
        <w:t>4</w:t>
      </w:r>
      <w:r>
        <w:rPr>
          <w:rFonts w:hint="eastAsia"/>
          <w:color w:val="auto"/>
        </w:rPr>
        <w:t xml:space="preserve">.4在合同约定的期限内完成合同规定的全部义务。 </w:t>
      </w:r>
    </w:p>
    <w:p w14:paraId="57E070CB">
      <w:pPr>
        <w:pStyle w:val="42"/>
        <w:ind w:firstLine="480"/>
        <w:rPr>
          <w:rFonts w:hint="eastAsia"/>
          <w:color w:val="auto"/>
        </w:rPr>
      </w:pPr>
      <w:r>
        <w:rPr>
          <w:rFonts w:hint="eastAsia"/>
          <w:color w:val="auto"/>
          <w:lang w:val="en-US" w:eastAsia="zh-CN"/>
        </w:rPr>
        <w:t>5</w:t>
      </w:r>
      <w:r>
        <w:rPr>
          <w:color w:val="auto"/>
          <w:lang w:eastAsia="zh-CN"/>
        </w:rPr>
        <w:t>.</w:t>
      </w:r>
      <w:r>
        <w:rPr>
          <w:rFonts w:hint="eastAsia"/>
          <w:color w:val="auto"/>
          <w:lang w:val="en-US" w:eastAsia="zh-Hans"/>
        </w:rPr>
        <w:t>与</w:t>
      </w:r>
      <w:r>
        <w:rPr>
          <w:rFonts w:hint="eastAsia"/>
          <w:color w:val="auto"/>
          <w:lang w:eastAsia="zh-CN"/>
        </w:rPr>
        <w:t>我方存在</w:t>
      </w:r>
      <w:r>
        <w:rPr>
          <w:rFonts w:hint="eastAsia"/>
          <w:color w:val="auto"/>
        </w:rPr>
        <w:t>单位负责人为同一人或者存在直接控股、管理关系的</w:t>
      </w:r>
      <w:r>
        <w:rPr>
          <w:rFonts w:hint="eastAsia"/>
          <w:color w:val="auto"/>
          <w:lang w:eastAsia="zh-CN"/>
        </w:rPr>
        <w:t>其他</w:t>
      </w:r>
      <w:r>
        <w:rPr>
          <w:rFonts w:hint="eastAsia"/>
          <w:color w:val="auto"/>
          <w:lang w:val="en-US" w:eastAsia="zh-Hans"/>
        </w:rPr>
        <w:t>企业有：</w:t>
      </w:r>
      <w:r>
        <w:rPr>
          <w:rFonts w:hint="eastAsia"/>
          <w:i/>
          <w:iCs/>
          <w:color w:val="auto"/>
          <w:u w:val="single"/>
          <w:lang w:val="en-US" w:eastAsia="zh-Hans"/>
        </w:rPr>
        <w:t>如存在上述关联关系的企业在此处逐一罗列填写（不论是否知晓其参与本项目），否则填“无”</w:t>
      </w:r>
      <w:r>
        <w:rPr>
          <w:rFonts w:hint="default"/>
          <w:i/>
          <w:iCs/>
          <w:color w:val="auto"/>
          <w:u w:val="single"/>
          <w:lang w:eastAsia="zh-Hans"/>
        </w:rPr>
        <w:t xml:space="preserve">                                                   </w:t>
      </w:r>
      <w:r>
        <w:rPr>
          <w:rFonts w:hint="eastAsia"/>
          <w:color w:val="auto"/>
        </w:rPr>
        <w:t>；</w:t>
      </w:r>
    </w:p>
    <w:p w14:paraId="5FE5AFB0">
      <w:pPr>
        <w:pStyle w:val="42"/>
        <w:ind w:firstLine="480"/>
        <w:rPr>
          <w:color w:val="auto"/>
          <w:lang w:eastAsia="zh-CN"/>
        </w:rPr>
      </w:pPr>
      <w:r>
        <w:rPr>
          <w:rFonts w:hint="eastAsia"/>
          <w:color w:val="auto"/>
          <w:lang w:val="en-US" w:eastAsia="zh-CN"/>
        </w:rPr>
        <w:t>6</w:t>
      </w:r>
      <w:r>
        <w:rPr>
          <w:color w:val="auto"/>
        </w:rPr>
        <w:t>.</w:t>
      </w:r>
      <w:r>
        <w:rPr>
          <w:rFonts w:hint="eastAsia"/>
          <w:color w:val="auto"/>
          <w:lang w:eastAsia="zh-CN"/>
        </w:rPr>
        <w:t>我方不存在</w:t>
      </w:r>
      <w:r>
        <w:rPr>
          <w:rFonts w:hint="eastAsia"/>
          <w:color w:val="auto"/>
        </w:rPr>
        <w:t>为本项目提供整体设计、规范编制或者项目管理、监理、检测等服务后再参加该项目的其他类型采购活动的</w:t>
      </w:r>
      <w:r>
        <w:rPr>
          <w:rFonts w:hint="eastAsia"/>
          <w:color w:val="auto"/>
          <w:lang w:eastAsia="zh-CN"/>
        </w:rPr>
        <w:t>情形；</w:t>
      </w:r>
    </w:p>
    <w:p w14:paraId="09FF26D1">
      <w:pPr>
        <w:pStyle w:val="42"/>
        <w:ind w:firstLine="480"/>
        <w:rPr>
          <w:color w:val="auto"/>
          <w:lang w:eastAsia="zh-CN"/>
        </w:rPr>
      </w:pPr>
      <w:r>
        <w:rPr>
          <w:rFonts w:hint="eastAsia"/>
          <w:color w:val="auto"/>
          <w:lang w:val="en-US" w:eastAsia="zh-CN"/>
        </w:rPr>
        <w:t>7</w:t>
      </w:r>
      <w:r>
        <w:rPr>
          <w:color w:val="auto"/>
          <w:lang w:eastAsia="zh-CN"/>
        </w:rPr>
        <w:t>.</w:t>
      </w:r>
      <w:r>
        <w:rPr>
          <w:rFonts w:hint="eastAsia"/>
          <w:i/>
          <w:iCs/>
          <w:color w:val="auto"/>
          <w:u w:val="single"/>
          <w:lang w:eastAsia="zh-CN"/>
        </w:rPr>
        <w:t>如实填写“我方独立参加本项目采购合同，未再与其他供应商组成联合体参加本项目政府采购活动”或“我方与（供应商全称）组成联合体参加本项目政府采购活动，未再与其他供应商另外组成联合体参加本项目政府采购活动”</w:t>
      </w:r>
      <w:r>
        <w:rPr>
          <w:rFonts w:hint="eastAsia"/>
          <w:color w:val="auto"/>
          <w:u w:val="single"/>
        </w:rPr>
        <w:t>；</w:t>
      </w:r>
    </w:p>
    <w:p w14:paraId="0ED3FF00">
      <w:pPr>
        <w:pStyle w:val="42"/>
        <w:ind w:firstLine="480"/>
        <w:rPr>
          <w:color w:val="auto"/>
        </w:rPr>
      </w:pPr>
      <w:r>
        <w:rPr>
          <w:rFonts w:hint="eastAsia"/>
          <w:color w:val="auto"/>
          <w:lang w:val="en-US" w:eastAsia="zh-CN"/>
        </w:rPr>
        <w:t>8</w:t>
      </w:r>
      <w:r>
        <w:rPr>
          <w:color w:val="auto"/>
          <w:lang w:eastAsia="zh-CN"/>
        </w:rPr>
        <w:t>.</w:t>
      </w:r>
      <w:r>
        <w:rPr>
          <w:rFonts w:hint="eastAsia"/>
          <w:color w:val="auto"/>
          <w:lang w:eastAsia="zh-CN"/>
        </w:rPr>
        <w:t>我方非</w:t>
      </w:r>
      <w:r>
        <w:rPr>
          <w:rFonts w:hint="eastAsia"/>
          <w:color w:val="auto"/>
        </w:rPr>
        <w:t>公益一类事业单位、使用事业编制且由财政拨款保障的群团组织【</w:t>
      </w:r>
      <w:r>
        <w:rPr>
          <w:rFonts w:hint="eastAsia"/>
          <w:color w:val="auto"/>
          <w:lang w:eastAsia="zh-CN"/>
        </w:rPr>
        <w:t>“</w:t>
      </w:r>
      <w:r>
        <w:rPr>
          <w:rFonts w:hint="eastAsia"/>
          <w:color w:val="auto"/>
          <w:lang w:val="en-US" w:eastAsia="zh-CN"/>
        </w:rPr>
        <w:t>前附表</w:t>
      </w:r>
      <w:r>
        <w:rPr>
          <w:rFonts w:hint="eastAsia"/>
          <w:color w:val="auto"/>
          <w:lang w:eastAsia="zh-CN"/>
        </w:rPr>
        <w:t>”</w:t>
      </w:r>
      <w:r>
        <w:rPr>
          <w:rFonts w:hint="eastAsia"/>
          <w:color w:val="auto"/>
          <w:lang w:val="en-US" w:eastAsia="zh-CN"/>
        </w:rPr>
        <w:t>明确本项目为“政府购买服务项目”的保留，</w:t>
      </w:r>
      <w:r>
        <w:rPr>
          <w:rFonts w:hint="eastAsia"/>
          <w:color w:val="auto"/>
        </w:rPr>
        <w:t>否则删除</w:t>
      </w:r>
      <w:r>
        <w:rPr>
          <w:rFonts w:hint="eastAsia"/>
          <w:color w:val="auto"/>
          <w:lang w:val="en-US" w:eastAsia="zh-CN"/>
        </w:rPr>
        <w:t>本条</w:t>
      </w:r>
      <w:r>
        <w:rPr>
          <w:rFonts w:hint="eastAsia"/>
          <w:color w:val="auto"/>
        </w:rPr>
        <w:t>】</w:t>
      </w:r>
      <w:r>
        <w:rPr>
          <w:rFonts w:hint="eastAsia"/>
          <w:color w:val="auto"/>
          <w:lang w:eastAsia="zh-CN"/>
        </w:rPr>
        <w:t>；</w:t>
      </w:r>
    </w:p>
    <w:p w14:paraId="66D251E1">
      <w:pPr>
        <w:pStyle w:val="42"/>
        <w:ind w:firstLine="480"/>
        <w:jc w:val="left"/>
        <w:rPr>
          <w:color w:val="auto"/>
        </w:rPr>
      </w:pPr>
      <w:r>
        <w:rPr>
          <w:color w:val="auto"/>
        </w:rPr>
        <w:t>9.</w:t>
      </w:r>
      <w:r>
        <w:rPr>
          <w:rFonts w:hint="eastAsia"/>
          <w:color w:val="auto"/>
        </w:rPr>
        <w:t>其他补充说明:</w:t>
      </w:r>
      <w:r>
        <w:rPr>
          <w:rFonts w:hint="default"/>
          <w:i/>
          <w:iCs/>
          <w:color w:val="auto"/>
          <w:u w:val="single"/>
          <w:lang w:eastAsia="zh-Hans"/>
        </w:rPr>
        <w:t xml:space="preserve">                            </w:t>
      </w:r>
      <w:r>
        <w:rPr>
          <w:rFonts w:hint="eastAsia"/>
          <w:i w:val="0"/>
          <w:iCs w:val="0"/>
          <w:color w:val="auto"/>
          <w:u w:val="none"/>
          <w:lang w:eastAsia="zh-CN"/>
        </w:rPr>
        <w:t>【如有其他可能影响合同履行的情形在此处填写，否则</w:t>
      </w:r>
      <w:r>
        <w:rPr>
          <w:rFonts w:hint="eastAsia"/>
          <w:i w:val="0"/>
          <w:iCs w:val="0"/>
          <w:color w:val="auto"/>
          <w:u w:val="none"/>
          <w:lang w:val="en-US" w:eastAsia="zh-CN"/>
        </w:rPr>
        <w:t>删除本条</w:t>
      </w:r>
      <w:r>
        <w:rPr>
          <w:rFonts w:hint="eastAsia"/>
          <w:i w:val="0"/>
          <w:iCs w:val="0"/>
          <w:color w:val="auto"/>
          <w:u w:val="none"/>
          <w:lang w:eastAsia="zh-CN"/>
        </w:rPr>
        <w:t>】</w:t>
      </w:r>
      <w:r>
        <w:rPr>
          <w:rFonts w:hint="eastAsia"/>
          <w:color w:val="auto"/>
        </w:rPr>
        <w:t>。</w:t>
      </w:r>
    </w:p>
    <w:p w14:paraId="0F33FFC0">
      <w:pPr>
        <w:pStyle w:val="42"/>
        <w:ind w:firstLine="480"/>
        <w:rPr>
          <w:color w:val="auto"/>
        </w:rPr>
      </w:pPr>
    </w:p>
    <w:p w14:paraId="2D3A2181">
      <w:pPr>
        <w:pStyle w:val="42"/>
        <w:ind w:firstLine="480"/>
        <w:rPr>
          <w:color w:val="auto"/>
        </w:rPr>
      </w:pPr>
    </w:p>
    <w:p w14:paraId="082E6389">
      <w:pPr>
        <w:pStyle w:val="42"/>
        <w:ind w:firstLine="480"/>
        <w:rPr>
          <w:color w:val="auto"/>
          <w:lang w:eastAsia="zh-CN"/>
        </w:rPr>
      </w:pPr>
      <w:r>
        <w:rPr>
          <w:rFonts w:hint="eastAsia"/>
          <w:color w:val="auto"/>
          <w:lang w:eastAsia="zh-CN"/>
        </w:rPr>
        <w:t>我方联系方式：</w:t>
      </w:r>
    </w:p>
    <w:p w14:paraId="747002DB">
      <w:pPr>
        <w:pStyle w:val="42"/>
        <w:ind w:firstLine="480"/>
        <w:rPr>
          <w:color w:val="auto"/>
          <w:lang w:eastAsia="zh-CN"/>
        </w:rPr>
      </w:pPr>
      <w:r>
        <w:rPr>
          <w:rFonts w:hint="eastAsia"/>
          <w:color w:val="auto"/>
          <w:lang w:eastAsia="zh-CN"/>
        </w:rPr>
        <w:t>项目联系人：</w:t>
      </w:r>
      <w:r>
        <w:rPr>
          <w:color w:val="auto"/>
          <w:u w:val="single"/>
          <w:lang w:eastAsia="zh-CN"/>
        </w:rPr>
        <w:t xml:space="preserve">                          </w:t>
      </w:r>
    </w:p>
    <w:p w14:paraId="5AD05A0D">
      <w:pPr>
        <w:pStyle w:val="42"/>
        <w:ind w:firstLine="480"/>
        <w:rPr>
          <w:color w:val="auto"/>
          <w:lang w:eastAsia="zh-CN"/>
        </w:rPr>
      </w:pPr>
      <w:r>
        <w:rPr>
          <w:rFonts w:hint="eastAsia"/>
          <w:color w:val="auto"/>
          <w:lang w:eastAsia="zh-CN"/>
        </w:rPr>
        <w:t>联系电话（手机）：</w:t>
      </w:r>
      <w:r>
        <w:rPr>
          <w:color w:val="auto"/>
          <w:u w:val="single"/>
          <w:lang w:eastAsia="zh-CN"/>
        </w:rPr>
        <w:t xml:space="preserve">                    </w:t>
      </w:r>
    </w:p>
    <w:p w14:paraId="7A995F16">
      <w:pPr>
        <w:pStyle w:val="42"/>
        <w:ind w:firstLine="480"/>
        <w:rPr>
          <w:color w:val="auto"/>
          <w:lang w:eastAsia="zh-CN"/>
        </w:rPr>
      </w:pPr>
      <w:r>
        <w:rPr>
          <w:rFonts w:hint="eastAsia"/>
          <w:color w:val="auto"/>
          <w:lang w:eastAsia="zh-CN"/>
        </w:rPr>
        <w:t>联系邮箱：</w:t>
      </w:r>
      <w:r>
        <w:rPr>
          <w:color w:val="auto"/>
          <w:u w:val="single"/>
          <w:lang w:eastAsia="zh-CN"/>
        </w:rPr>
        <w:t xml:space="preserve">                            </w:t>
      </w:r>
    </w:p>
    <w:p w14:paraId="1DDF3154">
      <w:pPr>
        <w:pStyle w:val="42"/>
        <w:ind w:firstLine="480"/>
        <w:rPr>
          <w:color w:val="auto"/>
          <w:lang w:eastAsia="zh-CN"/>
        </w:rPr>
      </w:pPr>
      <w:r>
        <w:rPr>
          <w:rFonts w:hint="eastAsia"/>
          <w:color w:val="auto"/>
          <w:lang w:eastAsia="zh-CN"/>
        </w:rPr>
        <w:t>联系地址：</w:t>
      </w:r>
      <w:r>
        <w:rPr>
          <w:color w:val="auto"/>
          <w:u w:val="single"/>
          <w:lang w:eastAsia="zh-CN"/>
        </w:rPr>
        <w:t xml:space="preserve">                            </w:t>
      </w:r>
    </w:p>
    <w:p w14:paraId="579FC223">
      <w:pPr>
        <w:pStyle w:val="42"/>
        <w:ind w:firstLine="480"/>
        <w:rPr>
          <w:color w:val="auto"/>
        </w:rPr>
      </w:pPr>
    </w:p>
    <w:p w14:paraId="781C5F4F">
      <w:pPr>
        <w:pStyle w:val="42"/>
        <w:ind w:firstLine="480"/>
        <w:rPr>
          <w:color w:val="auto"/>
          <w:kern w:val="0"/>
        </w:rPr>
      </w:pPr>
      <w:r>
        <w:rPr>
          <w:rFonts w:hint="eastAsia"/>
          <w:color w:val="auto"/>
          <w:kern w:val="0"/>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kern w:val="0"/>
        </w:rPr>
        <w:t>)：</w:t>
      </w:r>
    </w:p>
    <w:p w14:paraId="7C0554D8">
      <w:pPr>
        <w:pStyle w:val="42"/>
        <w:ind w:firstLine="480"/>
        <w:rPr>
          <w:color w:val="auto"/>
          <w:kern w:val="0"/>
        </w:rPr>
      </w:pPr>
      <w:r>
        <w:rPr>
          <w:rFonts w:hint="eastAsia"/>
          <w:color w:val="auto"/>
          <w:kern w:val="0"/>
          <w:lang w:eastAsia="zh-CN"/>
        </w:rPr>
        <w:t>法定代表人或授权代表人（</w:t>
      </w:r>
      <w:r>
        <w:rPr>
          <w:rFonts w:hint="eastAsia"/>
          <w:color w:val="auto"/>
        </w:rPr>
        <w:t>电子签名</w:t>
      </w:r>
      <w:r>
        <w:rPr>
          <w:rFonts w:hint="default"/>
          <w:color w:val="auto"/>
        </w:rPr>
        <w:t>/</w:t>
      </w:r>
      <w:r>
        <w:rPr>
          <w:rFonts w:hint="eastAsia"/>
          <w:color w:val="auto"/>
          <w:kern w:val="0"/>
          <w:lang w:eastAsia="zh-CN"/>
        </w:rPr>
        <w:t>签字）</w:t>
      </w:r>
    </w:p>
    <w:p w14:paraId="44A086FA">
      <w:pPr>
        <w:pStyle w:val="42"/>
        <w:ind w:firstLine="480"/>
        <w:rPr>
          <w:color w:val="auto"/>
          <w:kern w:val="0"/>
        </w:rPr>
      </w:pPr>
      <w:r>
        <w:rPr>
          <w:rFonts w:hint="eastAsia"/>
          <w:color w:val="auto"/>
          <w:kern w:val="0"/>
        </w:rPr>
        <w:t>日期：  年  月   日</w:t>
      </w:r>
    </w:p>
    <w:p w14:paraId="07EB9F84">
      <w:pPr>
        <w:widowControl/>
        <w:jc w:val="left"/>
        <w:rPr>
          <w:color w:val="auto"/>
        </w:rPr>
      </w:pPr>
      <w:r>
        <w:rPr>
          <w:color w:val="auto"/>
        </w:rPr>
        <w:t xml:space="preserve"> </w:t>
      </w:r>
    </w:p>
    <w:p w14:paraId="1C48C79C">
      <w:pPr>
        <w:rPr>
          <w:color w:val="auto"/>
        </w:rPr>
      </w:pPr>
      <w:r>
        <w:rPr>
          <w:color w:val="auto"/>
        </w:rPr>
        <w:br w:type="page"/>
      </w:r>
    </w:p>
    <w:p w14:paraId="59C7CE2D">
      <w:pPr>
        <w:pStyle w:val="44"/>
        <w:numPr>
          <w:ilvl w:val="1"/>
          <w:numId w:val="74"/>
        </w:numPr>
        <w:adjustRightInd/>
        <w:rPr>
          <w:rFonts w:eastAsia="宋体"/>
          <w:color w:val="auto"/>
        </w:rPr>
      </w:pPr>
      <w:bookmarkStart w:id="75" w:name="_Toc19764"/>
      <w:r>
        <w:rPr>
          <w:rFonts w:hint="eastAsia"/>
          <w:color w:val="auto"/>
        </w:rPr>
        <w:t>政府采购供应商廉洁自律承诺书</w:t>
      </w:r>
      <w:bookmarkEnd w:id="75"/>
    </w:p>
    <w:p w14:paraId="59590CAD">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7380AAB6">
      <w:pPr>
        <w:pStyle w:val="42"/>
        <w:ind w:firstLine="480"/>
        <w:rPr>
          <w:color w:val="auto"/>
        </w:rPr>
      </w:pPr>
      <w:r>
        <w:rPr>
          <w:rFonts w:hint="eastAsia"/>
          <w:color w:val="auto"/>
        </w:rPr>
        <w:t>我单位响应你单位项目招标要求参加投标。在这次投标过程中和中标后，我们将严格遵守国家法律法规要求，并郑重承诺：</w:t>
      </w:r>
    </w:p>
    <w:p w14:paraId="70610310">
      <w:pPr>
        <w:pStyle w:val="42"/>
        <w:ind w:firstLine="480"/>
        <w:rPr>
          <w:color w:val="auto"/>
        </w:rPr>
      </w:pPr>
      <w:r>
        <w:rPr>
          <w:rFonts w:hint="eastAsia"/>
          <w:color w:val="auto"/>
        </w:rPr>
        <w:t xml:space="preserve">一、不向项目有关人员及部门赠送礼金礼物、有价证券、回扣以及中介费、介绍费、咨询费等好处费； </w:t>
      </w:r>
    </w:p>
    <w:p w14:paraId="7C6B738B">
      <w:pPr>
        <w:pStyle w:val="42"/>
        <w:ind w:firstLine="480"/>
        <w:rPr>
          <w:color w:val="auto"/>
        </w:rPr>
      </w:pPr>
      <w:r>
        <w:rPr>
          <w:rFonts w:hint="eastAsia"/>
          <w:color w:val="auto"/>
        </w:rPr>
        <w:t xml:space="preserve">二、不为项目有关人员及部门报销应由你方单位或个人支付的费用； </w:t>
      </w:r>
    </w:p>
    <w:p w14:paraId="216B1E14">
      <w:pPr>
        <w:pStyle w:val="42"/>
        <w:ind w:firstLine="480"/>
        <w:rPr>
          <w:color w:val="auto"/>
        </w:rPr>
      </w:pPr>
      <w:r>
        <w:rPr>
          <w:rFonts w:hint="eastAsia"/>
          <w:color w:val="auto"/>
        </w:rPr>
        <w:t>三</w:t>
      </w:r>
      <w:r>
        <w:rPr>
          <w:rFonts w:hint="eastAsia"/>
          <w:color w:val="auto"/>
          <w:lang w:eastAsia="zh-CN"/>
        </w:rPr>
        <w:t>、</w:t>
      </w:r>
      <w:r>
        <w:rPr>
          <w:rFonts w:hint="eastAsia"/>
          <w:color w:val="auto"/>
        </w:rPr>
        <w:t xml:space="preserve">不向项目有关人员及部门提供有可能影响公正的宴请和健身娱乐等活动； </w:t>
      </w:r>
    </w:p>
    <w:p w14:paraId="00CD0A09">
      <w:pPr>
        <w:pStyle w:val="42"/>
        <w:ind w:firstLine="480"/>
        <w:rPr>
          <w:color w:val="auto"/>
        </w:rPr>
      </w:pPr>
      <w:r>
        <w:rPr>
          <w:rFonts w:hint="eastAsia"/>
          <w:color w:val="auto"/>
        </w:rPr>
        <w:t>四、不为项目有关人员及部门出国（境）、旅游等提供方便；</w:t>
      </w:r>
    </w:p>
    <w:p w14:paraId="7092A280">
      <w:pPr>
        <w:pStyle w:val="42"/>
        <w:ind w:firstLine="480"/>
        <w:rPr>
          <w:color w:val="auto"/>
        </w:rPr>
      </w:pPr>
      <w:r>
        <w:rPr>
          <w:rFonts w:hint="eastAsia"/>
          <w:color w:val="auto"/>
        </w:rPr>
        <w:t>五、不为项目有关人员个人装修住房、婚丧嫁娶、配偶子女工作安排等提供</w:t>
      </w:r>
    </w:p>
    <w:p w14:paraId="0A79F3CB">
      <w:pPr>
        <w:pStyle w:val="42"/>
        <w:ind w:firstLine="480"/>
        <w:rPr>
          <w:color w:val="auto"/>
        </w:rPr>
      </w:pPr>
      <w:r>
        <w:rPr>
          <w:rFonts w:hint="eastAsia"/>
          <w:color w:val="auto"/>
        </w:rPr>
        <w:t>好处；</w:t>
      </w:r>
    </w:p>
    <w:p w14:paraId="51C00AE9">
      <w:pPr>
        <w:pStyle w:val="42"/>
        <w:ind w:firstLine="480"/>
        <w:rPr>
          <w:color w:val="auto"/>
        </w:rPr>
      </w:pPr>
      <w:r>
        <w:rPr>
          <w:rFonts w:hint="eastAsia"/>
          <w:color w:val="auto"/>
        </w:rPr>
        <w:t xml:space="preserve">六、严格遵守《中华人民共和国政府采购法》《中华人民共和国招标投标法》《中华人民共和国民法典》等法律法规，诚实守信，合法经营，坚决抵制各种违法违纪行为。 </w:t>
      </w:r>
    </w:p>
    <w:p w14:paraId="4B1172FC">
      <w:pPr>
        <w:pStyle w:val="42"/>
        <w:ind w:firstLine="480"/>
        <w:rPr>
          <w:color w:val="auto"/>
        </w:rPr>
      </w:pPr>
      <w:r>
        <w:rPr>
          <w:rFonts w:hint="eastAsia"/>
          <w:color w:val="auto"/>
        </w:rPr>
        <w:t>如违反上述承诺，你单位有权立即取消我单位投标、中标或在建项目的建设资格，有权拒绝我单位在一定时期内进入你单位进行项目建设或其他经营活动，并通报</w:t>
      </w:r>
      <w:r>
        <w:rPr>
          <w:rFonts w:hint="eastAsia"/>
          <w:color w:val="auto"/>
          <w:lang w:val="en-US" w:eastAsia="zh-CN"/>
        </w:rPr>
        <w:t>财政</w:t>
      </w:r>
      <w:r>
        <w:rPr>
          <w:rFonts w:hint="eastAsia"/>
          <w:color w:val="auto"/>
          <w:lang w:val="en-US" w:eastAsia="zh-Hans"/>
        </w:rPr>
        <w:t>监管部门</w:t>
      </w:r>
      <w:r>
        <w:rPr>
          <w:rFonts w:hint="eastAsia"/>
          <w:color w:val="auto"/>
        </w:rPr>
        <w:t>。由此引起的相应损失均由我单位承担。</w:t>
      </w:r>
    </w:p>
    <w:p w14:paraId="7080F62A">
      <w:pPr>
        <w:pStyle w:val="42"/>
        <w:tabs>
          <w:tab w:val="left" w:pos="1248"/>
        </w:tabs>
        <w:ind w:firstLine="480"/>
        <w:rPr>
          <w:rFonts w:hint="eastAsia" w:eastAsia="宋体"/>
          <w:color w:val="auto"/>
          <w:lang w:eastAsia="zh-CN"/>
        </w:rPr>
      </w:pPr>
      <w:r>
        <w:rPr>
          <w:rFonts w:hint="eastAsia"/>
          <w:color w:val="auto"/>
        </w:rPr>
        <w:t xml:space="preserve"> </w:t>
      </w:r>
      <w:r>
        <w:rPr>
          <w:rFonts w:hint="eastAsia"/>
          <w:color w:val="auto"/>
          <w:lang w:eastAsia="zh-CN"/>
        </w:rPr>
        <w:tab/>
      </w:r>
    </w:p>
    <w:p w14:paraId="6C7F8633">
      <w:pPr>
        <w:pStyle w:val="42"/>
        <w:ind w:firstLine="480"/>
        <w:rPr>
          <w:color w:val="auto"/>
        </w:rPr>
      </w:pPr>
      <w:r>
        <w:rPr>
          <w:rFonts w:hint="eastAsia"/>
          <w:color w:val="auto"/>
        </w:rPr>
        <w:t xml:space="preserve"> </w:t>
      </w:r>
    </w:p>
    <w:p w14:paraId="69DA42B8">
      <w:pPr>
        <w:pStyle w:val="42"/>
        <w:ind w:firstLine="480"/>
        <w:rPr>
          <w:color w:val="auto"/>
        </w:rPr>
      </w:pPr>
      <w:r>
        <w:rPr>
          <w:rFonts w:hint="eastAsia"/>
          <w:color w:val="auto"/>
        </w:rPr>
        <w:t xml:space="preserve"> </w:t>
      </w:r>
    </w:p>
    <w:p w14:paraId="5A500444">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004E3960">
      <w:pPr>
        <w:pStyle w:val="42"/>
        <w:ind w:firstLine="480"/>
        <w:rPr>
          <w:color w:val="auto"/>
        </w:rPr>
      </w:pPr>
      <w:r>
        <w:rPr>
          <w:rFonts w:hint="eastAsia"/>
          <w:color w:val="auto"/>
        </w:rPr>
        <w:t>日期：   年   月   日</w:t>
      </w:r>
    </w:p>
    <w:p w14:paraId="087EC21B">
      <w:pPr>
        <w:widowControl/>
        <w:jc w:val="left"/>
        <w:rPr>
          <w:rFonts w:ascii="黑体" w:hAnsi="黑体" w:eastAsia="黑体" w:cs="黑体"/>
          <w:bCs/>
          <w:color w:val="auto"/>
          <w:sz w:val="36"/>
          <w:szCs w:val="44"/>
        </w:rPr>
      </w:pPr>
      <w:r>
        <w:rPr>
          <w:color w:val="auto"/>
        </w:rPr>
        <w:br w:type="page"/>
      </w:r>
    </w:p>
    <w:p w14:paraId="1530FB36">
      <w:pPr>
        <w:pStyle w:val="44"/>
        <w:numPr>
          <w:ilvl w:val="1"/>
          <w:numId w:val="74"/>
        </w:numPr>
        <w:adjustRightInd/>
        <w:rPr>
          <w:color w:val="auto"/>
          <w:sz w:val="30"/>
          <w:szCs w:val="30"/>
        </w:rPr>
      </w:pPr>
      <w:bookmarkStart w:id="76" w:name="_Toc8158"/>
      <w:r>
        <w:rPr>
          <w:rFonts w:hint="eastAsia"/>
          <w:color w:val="auto"/>
        </w:rPr>
        <w:t>法定代表人</w:t>
      </w:r>
      <w:r>
        <w:rPr>
          <w:rFonts w:hint="eastAsia"/>
          <w:color w:val="auto"/>
          <w:sz w:val="30"/>
          <w:szCs w:val="30"/>
        </w:rPr>
        <w:t>身份证明</w:t>
      </w:r>
      <w:bookmarkEnd w:id="76"/>
    </w:p>
    <w:p w14:paraId="37F91BD2">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50CF8673">
      <w:pPr>
        <w:pStyle w:val="42"/>
        <w:ind w:firstLine="480"/>
        <w:rPr>
          <w:color w:val="auto"/>
        </w:rPr>
      </w:pPr>
      <w:r>
        <w:rPr>
          <w:rFonts w:hint="eastAsia"/>
          <w:i/>
          <w:iCs/>
          <w:color w:val="auto"/>
          <w:u w:val="single"/>
        </w:rPr>
        <w:t>（姓名）</w:t>
      </w:r>
      <w:r>
        <w:rPr>
          <w:rFonts w:hint="eastAsia"/>
          <w:color w:val="auto"/>
        </w:rPr>
        <w:t>为我方</w:t>
      </w:r>
      <w:r>
        <w:rPr>
          <w:rFonts w:hint="eastAsia"/>
          <w:color w:val="auto"/>
          <w:lang w:eastAsia="zh-CN"/>
        </w:rPr>
        <w:t>法定代表人</w:t>
      </w:r>
      <w:r>
        <w:rPr>
          <w:rFonts w:hint="eastAsia"/>
          <w:color w:val="auto"/>
        </w:rPr>
        <w:t>（身份证号码：</w:t>
      </w:r>
      <w:r>
        <w:rPr>
          <w:rFonts w:hint="eastAsia"/>
          <w:color w:val="auto"/>
          <w:u w:val="single"/>
        </w:rPr>
        <w:t xml:space="preserve">         </w:t>
      </w:r>
      <w:r>
        <w:rPr>
          <w:rFonts w:hint="eastAsia"/>
          <w:color w:val="auto"/>
        </w:rPr>
        <w:t xml:space="preserve"> ，手机：</w:t>
      </w:r>
      <w:r>
        <w:rPr>
          <w:rFonts w:hint="eastAsia"/>
          <w:color w:val="auto"/>
          <w:u w:val="single"/>
        </w:rPr>
        <w:t xml:space="preserve">          </w:t>
      </w:r>
      <w:r>
        <w:rPr>
          <w:rFonts w:hint="eastAsia"/>
          <w:color w:val="auto"/>
        </w:rPr>
        <w:t>）。</w:t>
      </w:r>
    </w:p>
    <w:p w14:paraId="13700A8B">
      <w:pPr>
        <w:pStyle w:val="42"/>
        <w:ind w:firstLine="480"/>
        <w:rPr>
          <w:color w:val="auto"/>
        </w:rPr>
      </w:pPr>
      <w:r>
        <w:rPr>
          <w:rFonts w:hint="eastAsia"/>
          <w:color w:val="auto"/>
        </w:rPr>
        <w:t>特此</w:t>
      </w:r>
      <w:r>
        <w:rPr>
          <w:rFonts w:hint="eastAsia"/>
          <w:color w:val="auto"/>
          <w:lang w:eastAsia="zh-CN"/>
        </w:rPr>
        <w:t>证明</w:t>
      </w:r>
      <w:r>
        <w:rPr>
          <w:rFonts w:hint="eastAsia"/>
          <w:color w:val="auto"/>
        </w:rPr>
        <w:t>。</w:t>
      </w:r>
    </w:p>
    <w:p w14:paraId="00396253">
      <w:pPr>
        <w:pStyle w:val="42"/>
        <w:ind w:firstLine="480"/>
        <w:rPr>
          <w:color w:val="auto"/>
        </w:rPr>
      </w:pPr>
    </w:p>
    <w:p w14:paraId="7FC125D0">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4FC91975">
      <w:pPr>
        <w:pStyle w:val="42"/>
        <w:ind w:firstLine="480"/>
        <w:rPr>
          <w:color w:val="auto"/>
        </w:rPr>
      </w:pPr>
      <w:r>
        <w:rPr>
          <w:rFonts w:hint="eastAsia"/>
          <w:color w:val="auto"/>
        </w:rPr>
        <w:t>日期：  年   月   日</w:t>
      </w:r>
    </w:p>
    <w:p w14:paraId="78EAEA17">
      <w:pPr>
        <w:pStyle w:val="42"/>
        <w:ind w:firstLine="480"/>
        <w:rPr>
          <w:color w:val="auto"/>
        </w:rPr>
      </w:pPr>
    </w:p>
    <w:p w14:paraId="49C928CD">
      <w:pPr>
        <w:pStyle w:val="42"/>
        <w:ind w:firstLine="480"/>
        <w:rPr>
          <w:color w:val="auto"/>
        </w:rPr>
      </w:pPr>
    </w:p>
    <w:p w14:paraId="1DBFE31D">
      <w:pPr>
        <w:pStyle w:val="42"/>
        <w:ind w:firstLine="480"/>
        <w:rPr>
          <w:color w:val="auto"/>
          <w:lang w:eastAsia="zh-CN"/>
        </w:rPr>
      </w:pPr>
      <w:r>
        <w:rPr>
          <w:rFonts w:hint="eastAsia"/>
          <w:color w:val="auto"/>
          <w:lang w:eastAsia="zh-CN"/>
        </w:rPr>
        <w:t>附：</w:t>
      </w:r>
    </w:p>
    <w:p w14:paraId="5A65BDB4">
      <w:pPr>
        <w:pStyle w:val="42"/>
        <w:ind w:firstLine="480"/>
        <w:rPr>
          <w:color w:val="auto"/>
          <w:lang w:eastAsia="zh-CN"/>
        </w:rPr>
      </w:pPr>
      <w:r>
        <w:rPr>
          <w:color w:val="auto"/>
          <w:lang w:eastAsia="zh-CN"/>
        </w:rPr>
        <w:t>1.</w:t>
      </w:r>
      <w:r>
        <w:rPr>
          <w:rFonts w:hint="eastAsia"/>
          <w:color w:val="auto"/>
          <w:lang w:eastAsia="zh-CN"/>
        </w:rPr>
        <w:t>法定代表人身份证（正反面）；</w:t>
      </w:r>
    </w:p>
    <w:p w14:paraId="6C3B2663">
      <w:pPr>
        <w:pStyle w:val="42"/>
        <w:ind w:firstLine="480"/>
        <w:rPr>
          <w:color w:val="auto"/>
        </w:rPr>
      </w:pPr>
    </w:p>
    <w:p w14:paraId="19DFC549">
      <w:pPr>
        <w:pStyle w:val="42"/>
        <w:ind w:firstLine="480"/>
        <w:rPr>
          <w:color w:val="auto"/>
        </w:rPr>
      </w:pPr>
    </w:p>
    <w:p w14:paraId="3BB9F3F6">
      <w:pPr>
        <w:pStyle w:val="42"/>
        <w:ind w:firstLine="480"/>
        <w:rPr>
          <w:color w:val="auto"/>
        </w:rPr>
      </w:pPr>
    </w:p>
    <w:p w14:paraId="33C607BC">
      <w:pPr>
        <w:pStyle w:val="42"/>
        <w:ind w:firstLine="480"/>
        <w:rPr>
          <w:color w:val="auto"/>
        </w:rPr>
      </w:pPr>
    </w:p>
    <w:p w14:paraId="6EDDF21E">
      <w:pPr>
        <w:pStyle w:val="42"/>
        <w:ind w:firstLine="0" w:firstLineChars="0"/>
        <w:rPr>
          <w:color w:val="auto"/>
        </w:rPr>
      </w:pPr>
      <w:r>
        <w:rPr>
          <w:rFonts w:hint="eastAsia"/>
          <w:color w:val="auto"/>
        </w:rPr>
        <w:t>【</w:t>
      </w:r>
      <w:r>
        <w:rPr>
          <w:rFonts w:hint="eastAsia"/>
          <w:color w:val="auto"/>
          <w:lang w:eastAsia="zh-CN"/>
        </w:rPr>
        <w:t>本格式文本</w:t>
      </w:r>
      <w:r>
        <w:rPr>
          <w:rFonts w:hint="eastAsia"/>
          <w:color w:val="auto"/>
        </w:rPr>
        <w:t>适用于法定代表人、单位负责人或者自然人本人代表投标人参加投标】</w:t>
      </w:r>
      <w:r>
        <w:rPr>
          <w:color w:val="auto"/>
        </w:rPr>
        <w:br w:type="page"/>
      </w:r>
    </w:p>
    <w:p w14:paraId="7B169B53">
      <w:pPr>
        <w:pStyle w:val="44"/>
        <w:numPr>
          <w:ilvl w:val="1"/>
          <w:numId w:val="74"/>
        </w:numPr>
        <w:adjustRightInd/>
        <w:rPr>
          <w:color w:val="auto"/>
          <w:sz w:val="21"/>
          <w:szCs w:val="21"/>
        </w:rPr>
      </w:pPr>
      <w:bookmarkStart w:id="77" w:name="_Toc14945"/>
      <w:r>
        <w:rPr>
          <w:rFonts w:hint="eastAsia"/>
          <w:color w:val="auto"/>
        </w:rPr>
        <w:t>授权委托书</w:t>
      </w:r>
      <w:bookmarkEnd w:id="77"/>
      <w:r>
        <w:rPr>
          <w:rFonts w:hint="eastAsia"/>
          <w:color w:val="auto"/>
        </w:rPr>
        <w:t xml:space="preserve"> </w:t>
      </w:r>
    </w:p>
    <w:p w14:paraId="523183C2">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339C694D">
      <w:pPr>
        <w:pStyle w:val="42"/>
        <w:ind w:firstLine="480"/>
        <w:rPr>
          <w:color w:val="auto"/>
        </w:rPr>
      </w:pPr>
      <w:r>
        <w:rPr>
          <w:rFonts w:hint="eastAsia"/>
          <w:color w:val="auto"/>
        </w:rPr>
        <w:t>现委托</w:t>
      </w:r>
      <w:r>
        <w:rPr>
          <w:rFonts w:hint="eastAsia"/>
          <w:i/>
          <w:iCs/>
          <w:color w:val="auto"/>
          <w:u w:val="single"/>
        </w:rPr>
        <w:t>（姓名）</w:t>
      </w:r>
      <w:r>
        <w:rPr>
          <w:rFonts w:hint="eastAsia"/>
          <w:color w:val="auto"/>
        </w:rPr>
        <w:t>为我方代理人（身份证号码：</w:t>
      </w:r>
      <w:r>
        <w:rPr>
          <w:rFonts w:hint="eastAsia"/>
          <w:color w:val="auto"/>
          <w:u w:val="single"/>
        </w:rPr>
        <w:t xml:space="preserve">         </w:t>
      </w:r>
      <w:r>
        <w:rPr>
          <w:rFonts w:hint="eastAsia"/>
          <w:color w:val="auto"/>
        </w:rPr>
        <w:t xml:space="preserve"> ，手机：</w:t>
      </w:r>
      <w:r>
        <w:rPr>
          <w:rFonts w:hint="eastAsia"/>
          <w:color w:val="auto"/>
          <w:u w:val="single"/>
        </w:rPr>
        <w:t xml:space="preserve">          </w:t>
      </w:r>
      <w:r>
        <w:rPr>
          <w:rFonts w:hint="eastAsia"/>
          <w:color w:val="auto"/>
        </w:rPr>
        <w:t>），以我方名义处理</w:t>
      </w:r>
      <w:r>
        <w:rPr>
          <w:rFonts w:hint="eastAsia"/>
          <w:color w:val="auto"/>
          <w:u w:val="single"/>
          <w:lang w:eastAsia="zh-CN"/>
        </w:rPr>
        <w:t>2026年跨省北斗定位漫游服务和北斗应用终端标准数据服务项目</w:t>
      </w:r>
      <w:r>
        <w:rPr>
          <w:rFonts w:hint="eastAsia"/>
          <w:color w:val="auto"/>
          <w:u w:val="single"/>
        </w:rPr>
        <w:t>（项目编号：</w:t>
      </w:r>
      <w:r>
        <w:rPr>
          <w:rFonts w:hint="eastAsia"/>
          <w:color w:val="auto"/>
          <w:u w:val="single"/>
          <w:lang w:eastAsia="zh-CN"/>
        </w:rPr>
        <w:t>330000263130150000171-ZQ260319ZG</w:t>
      </w:r>
      <w:r>
        <w:rPr>
          <w:rFonts w:hint="eastAsia"/>
          <w:color w:val="auto"/>
          <w:u w:val="single"/>
        </w:rPr>
        <w:t>）</w:t>
      </w:r>
      <w:r>
        <w:rPr>
          <w:rFonts w:hint="eastAsia"/>
          <w:i/>
          <w:iCs/>
          <w:color w:val="auto"/>
          <w:u w:val="single"/>
          <w:lang w:val="en-US" w:eastAsia="zh-Hans"/>
        </w:rPr>
        <w:t>标项序号：…标项名称：…</w:t>
      </w:r>
      <w:r>
        <w:rPr>
          <w:rFonts w:hint="eastAsia"/>
          <w:color w:val="auto"/>
        </w:rPr>
        <w:t>政府采购投标的一切事项，其法律后果由我方承担。</w:t>
      </w:r>
    </w:p>
    <w:p w14:paraId="2C7B7EF0">
      <w:pPr>
        <w:pStyle w:val="42"/>
        <w:ind w:firstLine="480"/>
        <w:rPr>
          <w:color w:val="auto"/>
        </w:rPr>
      </w:pPr>
      <w:r>
        <w:rPr>
          <w:rFonts w:hint="eastAsia"/>
          <w:color w:val="auto"/>
        </w:rPr>
        <w:t>委托期限：自   年 月  日起至  年  月  日止。</w:t>
      </w:r>
    </w:p>
    <w:p w14:paraId="3EFFD1F2">
      <w:pPr>
        <w:pStyle w:val="42"/>
        <w:ind w:firstLine="480"/>
        <w:rPr>
          <w:color w:val="auto"/>
        </w:rPr>
      </w:pPr>
      <w:r>
        <w:rPr>
          <w:rFonts w:hint="eastAsia"/>
          <w:color w:val="auto"/>
        </w:rPr>
        <w:t>特此告知。</w:t>
      </w:r>
    </w:p>
    <w:p w14:paraId="0AB5EEC0">
      <w:pPr>
        <w:pStyle w:val="42"/>
        <w:ind w:firstLine="480"/>
        <w:rPr>
          <w:color w:val="auto"/>
        </w:rPr>
      </w:pPr>
    </w:p>
    <w:p w14:paraId="6CED10B0">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1C43BB3A">
      <w:pPr>
        <w:pStyle w:val="42"/>
        <w:ind w:firstLine="480"/>
        <w:rPr>
          <w:color w:val="auto"/>
        </w:rPr>
      </w:pPr>
      <w:r>
        <w:rPr>
          <w:rFonts w:hint="eastAsia"/>
          <w:color w:val="auto"/>
          <w:lang w:eastAsia="zh-CN"/>
        </w:rPr>
        <w:t>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317B56B7">
      <w:pPr>
        <w:pStyle w:val="42"/>
        <w:ind w:firstLine="480"/>
        <w:rPr>
          <w:color w:val="auto"/>
        </w:rPr>
      </w:pPr>
      <w:r>
        <w:rPr>
          <w:rFonts w:hint="eastAsia"/>
          <w:color w:val="auto"/>
        </w:rPr>
        <w:t xml:space="preserve">                          </w:t>
      </w:r>
    </w:p>
    <w:p w14:paraId="58C8C572">
      <w:pPr>
        <w:pStyle w:val="42"/>
        <w:ind w:firstLine="480"/>
        <w:rPr>
          <w:color w:val="auto"/>
        </w:rPr>
      </w:pPr>
      <w:r>
        <w:rPr>
          <w:rFonts w:hint="eastAsia"/>
          <w:color w:val="auto"/>
        </w:rPr>
        <w:t>日期：  年   月   日</w:t>
      </w:r>
    </w:p>
    <w:p w14:paraId="18C327AB">
      <w:pPr>
        <w:pStyle w:val="42"/>
        <w:ind w:firstLine="480"/>
        <w:rPr>
          <w:color w:val="auto"/>
        </w:rPr>
      </w:pPr>
    </w:p>
    <w:p w14:paraId="1F2F0C76">
      <w:pPr>
        <w:pStyle w:val="42"/>
        <w:ind w:firstLine="480"/>
        <w:rPr>
          <w:color w:val="auto"/>
          <w:lang w:eastAsia="zh-CN"/>
        </w:rPr>
      </w:pPr>
      <w:r>
        <w:rPr>
          <w:rFonts w:hint="eastAsia"/>
          <w:color w:val="auto"/>
          <w:lang w:eastAsia="zh-CN"/>
        </w:rPr>
        <w:t>附：</w:t>
      </w:r>
    </w:p>
    <w:p w14:paraId="34F106C0">
      <w:pPr>
        <w:pStyle w:val="42"/>
        <w:ind w:firstLine="480"/>
        <w:rPr>
          <w:color w:val="auto"/>
          <w:lang w:eastAsia="zh-CN"/>
        </w:rPr>
      </w:pPr>
      <w:r>
        <w:rPr>
          <w:color w:val="auto"/>
          <w:lang w:eastAsia="zh-CN"/>
        </w:rPr>
        <w:t>1.</w:t>
      </w:r>
      <w:r>
        <w:rPr>
          <w:rFonts w:hint="eastAsia"/>
          <w:color w:val="auto"/>
          <w:lang w:eastAsia="zh-CN"/>
        </w:rPr>
        <w:t>法定代表人身份证（正反面）；</w:t>
      </w:r>
    </w:p>
    <w:p w14:paraId="71E6C23B">
      <w:pPr>
        <w:pStyle w:val="42"/>
        <w:ind w:firstLine="480"/>
        <w:rPr>
          <w:color w:val="auto"/>
          <w:lang w:eastAsia="zh-CN"/>
        </w:rPr>
      </w:pPr>
      <w:r>
        <w:rPr>
          <w:color w:val="auto"/>
          <w:lang w:eastAsia="zh-CN"/>
        </w:rPr>
        <w:t>2.</w:t>
      </w:r>
      <w:r>
        <w:rPr>
          <w:rFonts w:hint="eastAsia"/>
          <w:color w:val="auto"/>
          <w:lang w:eastAsia="zh-CN"/>
        </w:rPr>
        <w:t>授权代表身份证（正反面）。</w:t>
      </w:r>
    </w:p>
    <w:p w14:paraId="11C303CC">
      <w:pPr>
        <w:pStyle w:val="42"/>
        <w:ind w:firstLine="480"/>
        <w:rPr>
          <w:color w:val="auto"/>
        </w:rPr>
      </w:pPr>
    </w:p>
    <w:p w14:paraId="4C311571">
      <w:pPr>
        <w:pStyle w:val="42"/>
        <w:ind w:firstLine="480"/>
        <w:rPr>
          <w:color w:val="auto"/>
        </w:rPr>
      </w:pPr>
      <w:r>
        <w:rPr>
          <w:rFonts w:hint="eastAsia"/>
          <w:color w:val="auto"/>
        </w:rPr>
        <w:t>【联合体</w:t>
      </w:r>
      <w:r>
        <w:rPr>
          <w:rFonts w:hint="eastAsia"/>
          <w:color w:val="auto"/>
          <w:lang w:eastAsia="zh-CN"/>
        </w:rPr>
        <w:t>投标使用以下落款，并附联合体成员各方法定代表人身份证明（身份证正反面），否则删除下例落款】</w:t>
      </w:r>
    </w:p>
    <w:p w14:paraId="603F67F5">
      <w:pPr>
        <w:pStyle w:val="42"/>
        <w:ind w:firstLine="480"/>
        <w:rPr>
          <w:color w:val="auto"/>
        </w:rPr>
      </w:pPr>
      <w:r>
        <w:rPr>
          <w:rFonts w:hint="eastAsia"/>
          <w:color w:val="auto"/>
        </w:rPr>
        <w:t>联合体成员</w:t>
      </w:r>
      <w:r>
        <w:rPr>
          <w:rFonts w:hint="eastAsia"/>
          <w:color w:val="auto"/>
          <w:lang w:eastAsia="zh-CN"/>
        </w:rPr>
        <w:t>1</w:t>
      </w:r>
      <w:r>
        <w:rPr>
          <w:rFonts w:hint="eastAsia"/>
          <w:color w:val="auto"/>
        </w:rPr>
        <w:t>名称(电子签</w:t>
      </w:r>
      <w:r>
        <w:rPr>
          <w:rFonts w:hint="eastAsia"/>
          <w:color w:val="auto"/>
          <w:lang w:eastAsia="zh-CN"/>
        </w:rPr>
        <w:t>章</w:t>
      </w:r>
      <w:r>
        <w:rPr>
          <w:rFonts w:hint="eastAsia"/>
          <w:color w:val="auto"/>
        </w:rPr>
        <w:t>/公章)：</w:t>
      </w:r>
    </w:p>
    <w:p w14:paraId="20E01AC1">
      <w:pPr>
        <w:pStyle w:val="42"/>
        <w:ind w:firstLine="480"/>
        <w:rPr>
          <w:color w:val="auto"/>
        </w:rPr>
      </w:pPr>
      <w:r>
        <w:rPr>
          <w:rFonts w:hint="eastAsia"/>
          <w:color w:val="auto"/>
          <w:lang w:eastAsia="zh-CN"/>
        </w:rPr>
        <w:t>联合体成员1法定代表人（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0E03F097">
      <w:pPr>
        <w:pStyle w:val="42"/>
        <w:ind w:firstLine="480"/>
        <w:rPr>
          <w:color w:val="auto"/>
        </w:rPr>
      </w:pPr>
      <w:r>
        <w:rPr>
          <w:rFonts w:hint="eastAsia"/>
          <w:color w:val="auto"/>
        </w:rPr>
        <w:t>联合体成员</w:t>
      </w:r>
      <w:r>
        <w:rPr>
          <w:rFonts w:hint="eastAsia"/>
          <w:color w:val="auto"/>
          <w:lang w:eastAsia="zh-CN"/>
        </w:rPr>
        <w:t>2</w:t>
      </w:r>
      <w:r>
        <w:rPr>
          <w:rFonts w:hint="eastAsia"/>
          <w:color w:val="auto"/>
        </w:rPr>
        <w:t>名称(电子签</w:t>
      </w:r>
      <w:r>
        <w:rPr>
          <w:rFonts w:hint="eastAsia"/>
          <w:color w:val="auto"/>
          <w:lang w:eastAsia="zh-CN"/>
        </w:rPr>
        <w:t>章</w:t>
      </w:r>
      <w:r>
        <w:rPr>
          <w:rFonts w:hint="eastAsia"/>
          <w:color w:val="auto"/>
        </w:rPr>
        <w:t>/公章)：</w:t>
      </w:r>
    </w:p>
    <w:p w14:paraId="19FB7CE2">
      <w:pPr>
        <w:pStyle w:val="42"/>
        <w:ind w:firstLine="480"/>
        <w:rPr>
          <w:color w:val="auto"/>
          <w:lang w:eastAsia="zh-CN"/>
        </w:rPr>
      </w:pPr>
      <w:r>
        <w:rPr>
          <w:rFonts w:hint="eastAsia"/>
          <w:color w:val="auto"/>
          <w:lang w:eastAsia="zh-CN"/>
        </w:rPr>
        <w:t>联合体成员</w:t>
      </w:r>
      <w:r>
        <w:rPr>
          <w:color w:val="auto"/>
          <w:lang w:eastAsia="zh-CN"/>
        </w:rPr>
        <w:t>2</w:t>
      </w:r>
      <w:r>
        <w:rPr>
          <w:rFonts w:hint="eastAsia"/>
          <w:color w:val="auto"/>
          <w:lang w:eastAsia="zh-CN"/>
        </w:rPr>
        <w:t>法定代表人（</w:t>
      </w:r>
      <w:r>
        <w:rPr>
          <w:rFonts w:hint="eastAsia"/>
          <w:color w:val="auto"/>
        </w:rPr>
        <w:t>电子签</w:t>
      </w:r>
      <w:r>
        <w:rPr>
          <w:rFonts w:hint="eastAsia"/>
          <w:color w:val="auto"/>
          <w:lang w:val="en-US" w:eastAsia="zh-Hans"/>
        </w:rPr>
        <w:t>名</w:t>
      </w:r>
      <w:r>
        <w:rPr>
          <w:rFonts w:hint="eastAsia"/>
          <w:color w:val="auto"/>
        </w:rPr>
        <w:t>/</w:t>
      </w:r>
      <w:r>
        <w:rPr>
          <w:rFonts w:hint="eastAsia"/>
          <w:color w:val="auto"/>
          <w:lang w:eastAsia="zh-CN"/>
        </w:rPr>
        <w:t>签名）：</w:t>
      </w:r>
    </w:p>
    <w:p w14:paraId="3576BEFB">
      <w:pPr>
        <w:pStyle w:val="42"/>
        <w:ind w:firstLine="480"/>
        <w:rPr>
          <w:color w:val="auto"/>
        </w:rPr>
      </w:pPr>
      <w:r>
        <w:rPr>
          <w:rFonts w:hint="eastAsia"/>
          <w:color w:val="auto"/>
          <w:lang w:eastAsia="zh-CN"/>
        </w:rPr>
        <w:t>……</w:t>
      </w:r>
    </w:p>
    <w:p w14:paraId="452E234B">
      <w:pPr>
        <w:pStyle w:val="42"/>
        <w:ind w:firstLine="480"/>
        <w:rPr>
          <w:color w:val="auto"/>
        </w:rPr>
      </w:pPr>
      <w:r>
        <w:rPr>
          <w:rFonts w:hint="eastAsia"/>
          <w:color w:val="auto"/>
        </w:rPr>
        <w:t>日期：  年  月   日</w:t>
      </w:r>
    </w:p>
    <w:p w14:paraId="2B979E05">
      <w:pPr>
        <w:pStyle w:val="42"/>
        <w:ind w:firstLine="0" w:firstLineChars="0"/>
        <w:rPr>
          <w:color w:val="auto"/>
        </w:rPr>
      </w:pPr>
    </w:p>
    <w:p w14:paraId="17843D30">
      <w:pPr>
        <w:pStyle w:val="42"/>
        <w:ind w:firstLine="0" w:firstLineChars="0"/>
        <w:rPr>
          <w:color w:val="auto"/>
        </w:rPr>
      </w:pPr>
      <w:r>
        <w:rPr>
          <w:rFonts w:hint="eastAsia"/>
          <w:color w:val="auto"/>
          <w:lang w:eastAsia="zh-CN"/>
        </w:rPr>
        <w:t>【本格式文本适用于由授权代表代表投标人投标，法定代表人、单位负责人或者自然人本人代表投标人参加投标的无需提供】</w:t>
      </w:r>
      <w:r>
        <w:rPr>
          <w:color w:val="auto"/>
        </w:rPr>
        <w:br w:type="page"/>
      </w:r>
    </w:p>
    <w:p w14:paraId="6F48833D">
      <w:pPr>
        <w:pStyle w:val="44"/>
        <w:numPr>
          <w:ilvl w:val="1"/>
          <w:numId w:val="74"/>
        </w:numPr>
        <w:adjustRightInd/>
        <w:rPr>
          <w:rFonts w:eastAsia="宋体"/>
          <w:color w:val="auto"/>
        </w:rPr>
      </w:pPr>
      <w:bookmarkStart w:id="78" w:name="_Toc22531"/>
      <w:r>
        <w:rPr>
          <w:rFonts w:hint="eastAsia"/>
          <w:color w:val="auto"/>
        </w:rPr>
        <w:t>联合协议</w:t>
      </w:r>
      <w:bookmarkEnd w:id="78"/>
    </w:p>
    <w:p w14:paraId="24BC46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（联合体所有成员名称）</w:t>
      </w:r>
      <w:r>
        <w:rPr>
          <w:rFonts w:hint="eastAsia" w:ascii="宋体" w:hAnsi="宋体"/>
          <w:color w:val="auto"/>
          <w:kern w:val="0"/>
          <w:sz w:val="24"/>
          <w:szCs w:val="24"/>
        </w:rPr>
        <w:t>自愿组成一个联合体，以一个投标人的身份参加</w:t>
      </w:r>
      <w:r>
        <w:rPr>
          <w:rFonts w:hint="eastAsia" w:ascii="宋体" w:hAnsi="宋体"/>
          <w:color w:val="auto"/>
          <w:sz w:val="24"/>
          <w:szCs w:val="24"/>
          <w:u w:val="single"/>
          <w:lang w:eastAsia="zh-CN"/>
        </w:rPr>
        <w:t>2026年跨省北斗定位漫游服务和北斗应用终端标准数据服务项目</w:t>
      </w:r>
      <w:r>
        <w:rPr>
          <w:rFonts w:hint="eastAsia" w:ascii="宋体" w:hAnsi="宋体"/>
          <w:color w:val="auto"/>
          <w:sz w:val="24"/>
          <w:szCs w:val="24"/>
          <w:u w:val="single"/>
        </w:rPr>
        <w:t>（项目编号：</w:t>
      </w:r>
      <w:r>
        <w:rPr>
          <w:rFonts w:hint="eastAsia" w:ascii="宋体" w:hAnsi="宋体"/>
          <w:color w:val="auto"/>
          <w:sz w:val="24"/>
          <w:szCs w:val="24"/>
          <w:u w:val="single"/>
          <w:lang w:eastAsia="zh-CN"/>
        </w:rPr>
        <w:t>330000263130150000171-ZQ260319ZG</w:t>
      </w:r>
      <w:r>
        <w:rPr>
          <w:rFonts w:hint="eastAsia" w:ascii="宋体" w:hAnsi="宋体"/>
          <w:color w:val="auto"/>
          <w:sz w:val="24"/>
          <w:szCs w:val="24"/>
          <w:u w:val="single"/>
        </w:rPr>
        <w:t>）</w:t>
      </w:r>
      <w:r>
        <w:rPr>
          <w:rFonts w:hint="eastAsia"/>
          <w:i/>
          <w:iCs/>
          <w:color w:val="auto"/>
          <w:sz w:val="24"/>
          <w:szCs w:val="24"/>
          <w:u w:val="single"/>
          <w:lang w:val="en-US" w:eastAsia="zh-Hans"/>
        </w:rPr>
        <w:t>标项序号：…标项名称：…</w:t>
      </w:r>
      <w:r>
        <w:rPr>
          <w:rFonts w:hint="eastAsia" w:ascii="宋体" w:hAnsi="宋体"/>
          <w:color w:val="auto"/>
          <w:kern w:val="0"/>
          <w:sz w:val="24"/>
          <w:szCs w:val="24"/>
        </w:rPr>
        <w:t>投标</w:t>
      </w:r>
      <w:r>
        <w:rPr>
          <w:rFonts w:hint="eastAsia" w:ascii="宋体" w:hAnsi="宋体"/>
          <w:color w:val="auto"/>
          <w:kern w:val="0"/>
          <w:sz w:val="24"/>
          <w:szCs w:val="24"/>
          <w:lang w:eastAsia="zh-Hans"/>
        </w:rPr>
        <w:t>：</w:t>
      </w:r>
      <w:r>
        <w:rPr>
          <w:rFonts w:hint="eastAsia" w:ascii="宋体" w:hAnsi="宋体"/>
          <w:color w:val="auto"/>
          <w:kern w:val="0"/>
          <w:sz w:val="24"/>
          <w:szCs w:val="24"/>
        </w:rPr>
        <w:t xml:space="preserve"> </w:t>
      </w:r>
    </w:p>
    <w:p w14:paraId="1B890CB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一、各方一致决定，</w:t>
      </w:r>
      <w:r>
        <w:rPr>
          <w:rFonts w:hint="eastAsia" w:ascii="宋体" w:hAnsi="宋体"/>
          <w:i/>
          <w:iCs/>
          <w:color w:val="auto"/>
          <w:kern w:val="0"/>
          <w:sz w:val="24"/>
          <w:szCs w:val="24"/>
          <w:u w:val="single"/>
        </w:rPr>
        <w:t>（某联合体成员名称）</w:t>
      </w:r>
      <w:r>
        <w:rPr>
          <w:rFonts w:hint="eastAsia" w:ascii="宋体" w:hAnsi="宋体"/>
          <w:color w:val="auto"/>
          <w:kern w:val="0"/>
          <w:sz w:val="24"/>
          <w:szCs w:val="24"/>
        </w:rPr>
        <w:t>为联合体牵头人</w:t>
      </w:r>
      <w:r>
        <w:rPr>
          <w:rFonts w:hint="eastAsia" w:ascii="宋体" w:hAnsi="宋体"/>
          <w:color w:val="auto"/>
          <w:sz w:val="24"/>
          <w:szCs w:val="24"/>
        </w:rPr>
        <w:t>，代表所有联合体成员负责投标和合同实施阶段的主办、协调工作</w:t>
      </w:r>
      <w:r>
        <w:rPr>
          <w:rFonts w:hint="eastAsia" w:ascii="宋体" w:hAnsi="宋体"/>
          <w:color w:val="auto"/>
          <w:kern w:val="0"/>
          <w:sz w:val="24"/>
          <w:szCs w:val="24"/>
        </w:rPr>
        <w:t>。</w:t>
      </w:r>
    </w:p>
    <w:p w14:paraId="1FE4795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二、</w:t>
      </w:r>
      <w:r>
        <w:rPr>
          <w:rFonts w:hint="eastAsia" w:ascii="宋体" w:hAnsi="宋体"/>
          <w:color w:val="auto"/>
          <w:sz w:val="24"/>
          <w:szCs w:val="24"/>
        </w:rPr>
        <w:t>所有联合体成员各方签署授权书，授权书载明的</w:t>
      </w:r>
      <w:r>
        <w:rPr>
          <w:rFonts w:hint="eastAsia" w:ascii="宋体" w:hAnsi="宋体"/>
          <w:color w:val="auto"/>
          <w:kern w:val="0"/>
          <w:sz w:val="24"/>
          <w:szCs w:val="24"/>
        </w:rPr>
        <w:t>授权代表根据招标文件规定及投标内容而对采购人、采购机构所作的任何合法承诺，包括书面澄清及相应等均对联合投标各方产生约束力。</w:t>
      </w:r>
    </w:p>
    <w:p w14:paraId="4A19946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三、本次联合投标中，分工如下：</w:t>
      </w:r>
    </w:p>
    <w:p w14:paraId="5847B18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（联合体成员1）</w:t>
      </w:r>
      <w:r>
        <w:rPr>
          <w:rFonts w:hint="eastAsia" w:ascii="宋体" w:hAnsi="宋体"/>
          <w:color w:val="auto"/>
          <w:kern w:val="0"/>
          <w:sz w:val="24"/>
          <w:szCs w:val="24"/>
        </w:rPr>
        <w:t>承担的工作和义务为：</w:t>
      </w:r>
      <w:r>
        <w:rPr>
          <w:rFonts w:hint="eastAsia" w:ascii="宋体" w:hAnsi="宋体"/>
          <w:color w:val="auto"/>
          <w:sz w:val="24"/>
          <w:szCs w:val="24"/>
          <w:u w:val="single"/>
        </w:rPr>
        <w:t xml:space="preserve">             </w:t>
      </w:r>
      <w:r>
        <w:rPr>
          <w:rFonts w:hint="eastAsia" w:ascii="宋体" w:hAnsi="宋体"/>
          <w:color w:val="auto"/>
          <w:kern w:val="0"/>
          <w:sz w:val="24"/>
          <w:szCs w:val="24"/>
        </w:rPr>
        <w:t>；</w:t>
      </w:r>
    </w:p>
    <w:p w14:paraId="28CF1EB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i/>
          <w:iCs/>
          <w:color w:val="auto"/>
          <w:kern w:val="0"/>
          <w:sz w:val="24"/>
          <w:szCs w:val="24"/>
          <w:u w:val="single"/>
        </w:rPr>
        <w:t>（联合体成员2）</w:t>
      </w:r>
      <w:r>
        <w:rPr>
          <w:rFonts w:hint="eastAsia" w:ascii="宋体" w:hAnsi="宋体"/>
          <w:color w:val="auto"/>
          <w:kern w:val="0"/>
          <w:sz w:val="24"/>
          <w:szCs w:val="24"/>
        </w:rPr>
        <w:t>承担的工作和义务为：</w:t>
      </w:r>
      <w:r>
        <w:rPr>
          <w:rFonts w:hint="eastAsia" w:ascii="宋体" w:hAnsi="宋体"/>
          <w:color w:val="auto"/>
          <w:sz w:val="24"/>
          <w:szCs w:val="24"/>
          <w:u w:val="single"/>
        </w:rPr>
        <w:t xml:space="preserve">             </w:t>
      </w:r>
      <w:r>
        <w:rPr>
          <w:rFonts w:hint="eastAsia" w:ascii="宋体" w:hAnsi="宋体"/>
          <w:color w:val="auto"/>
          <w:kern w:val="0"/>
          <w:sz w:val="24"/>
          <w:szCs w:val="24"/>
        </w:rPr>
        <w:t>；</w:t>
      </w:r>
    </w:p>
    <w:p w14:paraId="7B8E0DF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w:t>
      </w:r>
    </w:p>
    <w:p w14:paraId="23430B2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四、联合体成员中小企业合同份额。</w:t>
      </w:r>
    </w:p>
    <w:p w14:paraId="4E582B2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b/>
          <w:color w:val="auto"/>
          <w:kern w:val="0"/>
          <w:sz w:val="24"/>
          <w:szCs w:val="24"/>
        </w:rPr>
      </w:pPr>
      <w:r>
        <w:rPr>
          <w:rFonts w:hint="eastAsia" w:ascii="宋体" w:hAnsi="宋体"/>
          <w:color w:val="auto"/>
          <w:kern w:val="0"/>
          <w:sz w:val="24"/>
          <w:szCs w:val="24"/>
        </w:rPr>
        <w:t>1、</w:t>
      </w:r>
      <w:r>
        <w:rPr>
          <w:rFonts w:hint="eastAsia" w:ascii="宋体" w:hAnsi="宋体"/>
          <w:i/>
          <w:iCs/>
          <w:color w:val="auto"/>
          <w:kern w:val="0"/>
          <w:sz w:val="24"/>
          <w:szCs w:val="24"/>
          <w:u w:val="single"/>
        </w:rPr>
        <w:t>（联合体成员</w:t>
      </w:r>
      <w:r>
        <w:rPr>
          <w:rFonts w:hint="default" w:ascii="宋体" w:hAnsi="宋体"/>
          <w:i/>
          <w:iCs/>
          <w:color w:val="auto"/>
          <w:kern w:val="0"/>
          <w:sz w:val="24"/>
          <w:szCs w:val="24"/>
          <w:u w:val="single"/>
        </w:rPr>
        <w:t>1</w:t>
      </w:r>
      <w:r>
        <w:rPr>
          <w:rFonts w:hint="eastAsia" w:ascii="宋体" w:hAnsi="宋体"/>
          <w:i/>
          <w:iCs/>
          <w:color w:val="auto"/>
          <w:kern w:val="0"/>
          <w:sz w:val="24"/>
          <w:szCs w:val="24"/>
          <w:u w:val="single"/>
        </w:rPr>
        <w:t>,……</w:t>
      </w:r>
      <w:r>
        <w:rPr>
          <w:rFonts w:hint="eastAsia" w:ascii="宋体" w:hAnsi="宋体"/>
          <w:i/>
          <w:iCs/>
          <w:color w:val="auto"/>
          <w:kern w:val="0"/>
          <w:sz w:val="24"/>
          <w:szCs w:val="24"/>
          <w:highlight w:val="none"/>
          <w:u w:val="single"/>
        </w:rPr>
        <w:t>）</w:t>
      </w:r>
      <w:r>
        <w:rPr>
          <w:rFonts w:hint="eastAsia" w:ascii="宋体" w:hAnsi="宋体"/>
          <w:color w:val="auto"/>
          <w:kern w:val="0"/>
          <w:sz w:val="24"/>
          <w:szCs w:val="24"/>
          <w:highlight w:val="none"/>
        </w:rPr>
        <w:t>提供的全部货物由小微企业制造，其合同</w:t>
      </w:r>
      <w:r>
        <w:rPr>
          <w:rFonts w:hint="eastAsia" w:ascii="宋体" w:hAnsi="宋体"/>
          <w:color w:val="auto"/>
          <w:kern w:val="0"/>
          <w:sz w:val="24"/>
          <w:szCs w:val="24"/>
        </w:rPr>
        <w:t>份额占到合同总金额</w:t>
      </w:r>
      <w:r>
        <w:rPr>
          <w:rFonts w:hint="eastAsia" w:ascii="宋体" w:hAnsi="宋体"/>
          <w:color w:val="auto"/>
          <w:kern w:val="0"/>
          <w:sz w:val="24"/>
          <w:szCs w:val="24"/>
          <w:u w:val="single"/>
        </w:rPr>
        <w:t xml:space="preserve">     </w:t>
      </w:r>
      <w:r>
        <w:rPr>
          <w:rFonts w:hint="eastAsia" w:ascii="宋体" w:hAnsi="宋体"/>
          <w:color w:val="auto"/>
          <w:kern w:val="0"/>
          <w:sz w:val="24"/>
          <w:szCs w:val="24"/>
        </w:rPr>
        <w:t>%；……。</w:t>
      </w:r>
    </w:p>
    <w:p w14:paraId="44C96F3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olor w:val="auto"/>
          <w:kern w:val="0"/>
          <w:sz w:val="24"/>
          <w:szCs w:val="24"/>
        </w:rPr>
      </w:pPr>
      <w:r>
        <w:rPr>
          <w:rFonts w:hint="eastAsia" w:ascii="宋体" w:hAnsi="宋体"/>
          <w:color w:val="auto"/>
          <w:sz w:val="24"/>
          <w:szCs w:val="24"/>
        </w:rPr>
        <w:t>2、中小企业合同金额达到</w:t>
      </w:r>
      <w:r>
        <w:rPr>
          <w:rFonts w:hint="eastAsia" w:ascii="宋体" w:hAnsi="宋体"/>
          <w:color w:val="auto"/>
          <w:sz w:val="24"/>
          <w:szCs w:val="24"/>
          <w:u w:val="single"/>
        </w:rPr>
        <w:t xml:space="preserve">  </w:t>
      </w:r>
      <w:r>
        <w:rPr>
          <w:rFonts w:hint="eastAsia" w:ascii="宋体" w:hAnsi="宋体"/>
          <w:color w:val="auto"/>
          <w:sz w:val="24"/>
          <w:szCs w:val="24"/>
        </w:rPr>
        <w:t>%，小微企业合同金额达到</w:t>
      </w:r>
      <w:r>
        <w:rPr>
          <w:rFonts w:hint="eastAsia" w:ascii="宋体" w:hAnsi="宋体"/>
          <w:color w:val="auto"/>
          <w:sz w:val="24"/>
          <w:szCs w:val="24"/>
          <w:u w:val="single"/>
        </w:rPr>
        <w:t xml:space="preserve"> </w:t>
      </w:r>
      <w:r>
        <w:rPr>
          <w:rFonts w:hint="eastAsia" w:ascii="宋体" w:hAnsi="宋体"/>
          <w:color w:val="auto"/>
          <w:sz w:val="24"/>
          <w:szCs w:val="24"/>
        </w:rPr>
        <w:t>%</w:t>
      </w:r>
      <w:r>
        <w:rPr>
          <w:rFonts w:hint="eastAsia" w:ascii="宋体" w:hAnsi="宋体"/>
          <w:color w:val="auto"/>
          <w:kern w:val="0"/>
          <w:sz w:val="24"/>
          <w:szCs w:val="24"/>
        </w:rPr>
        <w:t>。</w:t>
      </w:r>
    </w:p>
    <w:p w14:paraId="46E6102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五、如果中标，</w:t>
      </w:r>
      <w:r>
        <w:rPr>
          <w:rFonts w:hint="eastAsia" w:ascii="宋体" w:hAnsi="宋体"/>
          <w:color w:val="auto"/>
          <w:sz w:val="24"/>
          <w:szCs w:val="24"/>
        </w:rPr>
        <w:t>联合体各成员方共同与采购人签订合同，并就采购合同约定的事项对采购人承担连带责任。</w:t>
      </w:r>
    </w:p>
    <w:p w14:paraId="7F5954D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六、有关本次联合投标的其他事宜：</w:t>
      </w:r>
    </w:p>
    <w:p w14:paraId="3EB87FE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1、联合体各方不再单独参加或者与其他供应商另外组成联合体参加同一合同项下的政府采购活动。</w:t>
      </w:r>
    </w:p>
    <w:p w14:paraId="135AB2C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2、联合体中有同类资质的各方按照联合体分工承担相同工作的，按照资质等级较低的供应商确定资质等级。</w:t>
      </w:r>
    </w:p>
    <w:p w14:paraId="1A284D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r>
        <w:rPr>
          <w:rFonts w:hint="eastAsia" w:ascii="宋体" w:hAnsi="宋体"/>
          <w:color w:val="auto"/>
          <w:kern w:val="0"/>
          <w:sz w:val="24"/>
          <w:szCs w:val="24"/>
        </w:rPr>
        <w:t>3、本协议提交采购人、采购机构后，联合体各方不得以任何形式对上述内容进行修改或撤销。</w:t>
      </w:r>
    </w:p>
    <w:p w14:paraId="3C27DDE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olor w:val="auto"/>
          <w:kern w:val="0"/>
          <w:sz w:val="24"/>
          <w:szCs w:val="24"/>
        </w:rPr>
      </w:pPr>
    </w:p>
    <w:p w14:paraId="4C6B2E80">
      <w:pPr>
        <w:pStyle w:val="4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sz w:val="24"/>
          <w:szCs w:val="24"/>
        </w:rPr>
      </w:pPr>
      <w:r>
        <w:rPr>
          <w:rFonts w:hint="eastAsia"/>
          <w:color w:val="auto"/>
          <w:sz w:val="24"/>
          <w:szCs w:val="24"/>
        </w:rPr>
        <w:t>联合体成员</w:t>
      </w:r>
      <w:r>
        <w:rPr>
          <w:rFonts w:hint="eastAsia"/>
          <w:color w:val="auto"/>
          <w:sz w:val="24"/>
          <w:szCs w:val="24"/>
          <w:lang w:eastAsia="zh-CN"/>
        </w:rPr>
        <w:t>1</w:t>
      </w:r>
      <w:r>
        <w:rPr>
          <w:rFonts w:hint="eastAsia"/>
          <w:color w:val="auto"/>
          <w:sz w:val="24"/>
          <w:szCs w:val="24"/>
        </w:rPr>
        <w:t>名称(电子签</w:t>
      </w:r>
      <w:r>
        <w:rPr>
          <w:rFonts w:hint="eastAsia"/>
          <w:color w:val="auto"/>
          <w:sz w:val="24"/>
          <w:szCs w:val="24"/>
          <w:lang w:eastAsia="zh-CN"/>
        </w:rPr>
        <w:t>章</w:t>
      </w:r>
      <w:r>
        <w:rPr>
          <w:rFonts w:hint="eastAsia"/>
          <w:color w:val="auto"/>
          <w:sz w:val="24"/>
          <w:szCs w:val="24"/>
        </w:rPr>
        <w:t>/公章)：</w:t>
      </w:r>
    </w:p>
    <w:p w14:paraId="60655650">
      <w:pPr>
        <w:pStyle w:val="4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color w:val="auto"/>
          <w:sz w:val="24"/>
          <w:szCs w:val="24"/>
        </w:rPr>
      </w:pPr>
      <w:r>
        <w:rPr>
          <w:rFonts w:hint="eastAsia"/>
          <w:color w:val="auto"/>
          <w:sz w:val="24"/>
          <w:szCs w:val="24"/>
        </w:rPr>
        <w:t>联合体成员</w:t>
      </w:r>
      <w:r>
        <w:rPr>
          <w:rFonts w:hint="eastAsia"/>
          <w:color w:val="auto"/>
          <w:sz w:val="24"/>
          <w:szCs w:val="24"/>
          <w:lang w:eastAsia="zh-CN"/>
        </w:rPr>
        <w:t>2</w:t>
      </w:r>
      <w:r>
        <w:rPr>
          <w:rFonts w:hint="eastAsia"/>
          <w:color w:val="auto"/>
          <w:sz w:val="24"/>
          <w:szCs w:val="24"/>
        </w:rPr>
        <w:t>名称(电子签</w:t>
      </w:r>
      <w:r>
        <w:rPr>
          <w:rFonts w:hint="eastAsia"/>
          <w:color w:val="auto"/>
          <w:sz w:val="24"/>
          <w:szCs w:val="24"/>
          <w:lang w:eastAsia="zh-CN"/>
        </w:rPr>
        <w:t>章</w:t>
      </w:r>
      <w:r>
        <w:rPr>
          <w:rFonts w:hint="eastAsia"/>
          <w:color w:val="auto"/>
          <w:sz w:val="24"/>
          <w:szCs w:val="24"/>
        </w:rPr>
        <w:t>/公章)：</w:t>
      </w:r>
    </w:p>
    <w:p w14:paraId="3226B4C3">
      <w:pPr>
        <w:pStyle w:val="42"/>
        <w:ind w:firstLine="480"/>
        <w:rPr>
          <w:color w:val="auto"/>
        </w:rPr>
      </w:pPr>
      <w:r>
        <w:rPr>
          <w:rFonts w:hint="eastAsia"/>
          <w:color w:val="auto"/>
          <w:lang w:eastAsia="zh-CN"/>
        </w:rPr>
        <w:t>……</w:t>
      </w:r>
    </w:p>
    <w:p w14:paraId="2B92BDF6">
      <w:pPr>
        <w:pStyle w:val="42"/>
        <w:ind w:firstLine="480"/>
        <w:rPr>
          <w:color w:val="auto"/>
        </w:rPr>
      </w:pPr>
      <w:r>
        <w:rPr>
          <w:rFonts w:hint="eastAsia"/>
          <w:color w:val="auto"/>
        </w:rPr>
        <w:t>日期：  年  月   日</w:t>
      </w:r>
    </w:p>
    <w:p w14:paraId="265B48BA">
      <w:pPr>
        <w:widowControl/>
        <w:jc w:val="left"/>
        <w:rPr>
          <w:rFonts w:ascii="宋体" w:hAnsi="宋体"/>
          <w:b/>
          <w:color w:val="auto"/>
        </w:rPr>
      </w:pPr>
    </w:p>
    <w:p w14:paraId="732BC993">
      <w:pPr>
        <w:widowControl/>
        <w:spacing w:line="360" w:lineRule="auto"/>
        <w:jc w:val="left"/>
        <w:rPr>
          <w:rFonts w:ascii="宋体" w:hAnsi="宋体"/>
          <w:b/>
          <w:color w:val="auto"/>
          <w:sz w:val="24"/>
          <w:szCs w:val="24"/>
        </w:rPr>
      </w:pPr>
      <w:r>
        <w:rPr>
          <w:rFonts w:hint="eastAsia" w:ascii="宋体" w:hAnsi="宋体"/>
          <w:b/>
          <w:color w:val="auto"/>
          <w:sz w:val="24"/>
          <w:szCs w:val="24"/>
        </w:rPr>
        <w:t>【</w:t>
      </w:r>
      <w:r>
        <w:rPr>
          <w:rFonts w:hint="eastAsia" w:ascii="宋体" w:hAnsi="宋体"/>
          <w:b w:val="0"/>
          <w:bCs/>
          <w:color w:val="auto"/>
          <w:sz w:val="24"/>
          <w:szCs w:val="24"/>
        </w:rPr>
        <w:t>以联合体形式投标的，提供联合协议；本项目不接受联合体投标或者投标人不以联合体形式投标的，则不需要提供</w:t>
      </w:r>
      <w:r>
        <w:rPr>
          <w:rFonts w:hint="eastAsia" w:ascii="宋体" w:hAnsi="宋体"/>
          <w:b/>
          <w:color w:val="auto"/>
          <w:sz w:val="24"/>
          <w:szCs w:val="24"/>
        </w:rPr>
        <w:t>】</w:t>
      </w:r>
    </w:p>
    <w:p w14:paraId="7A862EF3">
      <w:pPr>
        <w:widowControl/>
        <w:ind w:firstLine="664"/>
        <w:jc w:val="left"/>
        <w:rPr>
          <w:rFonts w:ascii="宋体" w:hAnsi="宋体"/>
          <w:b/>
          <w:color w:val="auto"/>
          <w:spacing w:val="6"/>
          <w:sz w:val="32"/>
          <w:szCs w:val="32"/>
        </w:rPr>
      </w:pPr>
      <w:r>
        <w:rPr>
          <w:rFonts w:ascii="宋体" w:hAnsi="宋体"/>
          <w:b/>
          <w:color w:val="auto"/>
          <w:spacing w:val="6"/>
          <w:sz w:val="32"/>
          <w:szCs w:val="32"/>
        </w:rPr>
        <w:br w:type="page"/>
      </w:r>
    </w:p>
    <w:p w14:paraId="31C63B01">
      <w:pPr>
        <w:pStyle w:val="44"/>
        <w:numPr>
          <w:ilvl w:val="1"/>
          <w:numId w:val="74"/>
        </w:numPr>
        <w:adjustRightInd/>
        <w:rPr>
          <w:color w:val="auto"/>
          <w:kern w:val="0"/>
        </w:rPr>
      </w:pPr>
      <w:bookmarkStart w:id="79" w:name="_Toc2444"/>
      <w:r>
        <w:rPr>
          <w:rFonts w:hint="eastAsia"/>
          <w:color w:val="auto"/>
          <w:kern w:val="0"/>
        </w:rPr>
        <w:t>分包意向协议</w:t>
      </w:r>
      <w:bookmarkEnd w:id="79"/>
    </w:p>
    <w:p w14:paraId="0033DC92">
      <w:pPr>
        <w:pStyle w:val="42"/>
        <w:ind w:firstLine="480"/>
        <w:rPr>
          <w:color w:val="auto"/>
        </w:rPr>
      </w:pPr>
      <w:r>
        <w:rPr>
          <w:rFonts w:hint="eastAsia"/>
          <w:i/>
          <w:iCs/>
          <w:color w:val="auto"/>
          <w:u w:val="single"/>
        </w:rPr>
        <w:t>（投标人名称）</w:t>
      </w:r>
      <w:r>
        <w:rPr>
          <w:rFonts w:hint="eastAsia"/>
          <w:color w:val="auto"/>
        </w:rPr>
        <w:t>若成为</w:t>
      </w:r>
      <w:r>
        <w:rPr>
          <w:rFonts w:hint="eastAsia"/>
          <w:color w:val="auto"/>
          <w:u w:val="single"/>
          <w:lang w:eastAsia="zh-CN"/>
        </w:rPr>
        <w:t>2026年跨省北斗定位漫游服务和北斗应用终端标准数据服务项目</w:t>
      </w:r>
      <w:r>
        <w:rPr>
          <w:rFonts w:hint="eastAsia"/>
          <w:color w:val="auto"/>
          <w:u w:val="single"/>
        </w:rPr>
        <w:t>（项目编号：</w:t>
      </w:r>
      <w:r>
        <w:rPr>
          <w:rFonts w:hint="eastAsia"/>
          <w:color w:val="auto"/>
          <w:u w:val="single"/>
          <w:lang w:eastAsia="zh-CN"/>
        </w:rPr>
        <w:t>330000263130150000171-ZQ260319ZG</w:t>
      </w:r>
      <w:r>
        <w:rPr>
          <w:rFonts w:hint="eastAsia"/>
          <w:color w:val="auto"/>
          <w:u w:val="single"/>
        </w:rPr>
        <w:t>）</w:t>
      </w:r>
      <w:r>
        <w:rPr>
          <w:rFonts w:hint="eastAsia"/>
          <w:i/>
          <w:iCs/>
          <w:color w:val="auto"/>
          <w:u w:val="single"/>
          <w:lang w:val="en-US" w:eastAsia="zh-Hans"/>
        </w:rPr>
        <w:t>标项序号：…标项名称：…</w:t>
      </w:r>
      <w:r>
        <w:rPr>
          <w:rFonts w:hint="eastAsia"/>
          <w:color w:val="auto"/>
        </w:rPr>
        <w:t>的中标供应商，将依法采取分包方式履行合同。</w:t>
      </w:r>
      <w:r>
        <w:rPr>
          <w:rFonts w:hint="eastAsia"/>
          <w:i/>
          <w:iCs/>
          <w:color w:val="auto"/>
          <w:u w:val="single"/>
        </w:rPr>
        <w:t>（投标人名称）</w:t>
      </w:r>
      <w:r>
        <w:rPr>
          <w:rFonts w:hint="eastAsia"/>
          <w:color w:val="auto"/>
        </w:rPr>
        <w:t>与</w:t>
      </w:r>
      <w:r>
        <w:rPr>
          <w:rFonts w:hint="eastAsia"/>
          <w:i/>
          <w:iCs/>
          <w:color w:val="auto"/>
          <w:u w:val="single"/>
        </w:rPr>
        <w:t>（所有分包供应商名称）</w:t>
      </w:r>
      <w:r>
        <w:rPr>
          <w:rFonts w:hint="eastAsia"/>
          <w:color w:val="auto"/>
        </w:rPr>
        <w:t xml:space="preserve">达成分包意向协议。 </w:t>
      </w:r>
    </w:p>
    <w:p w14:paraId="6C4ED8FD">
      <w:pPr>
        <w:pStyle w:val="42"/>
        <w:ind w:firstLine="480"/>
        <w:rPr>
          <w:color w:val="auto"/>
        </w:rPr>
      </w:pPr>
      <w:r>
        <w:rPr>
          <w:rFonts w:hint="eastAsia"/>
          <w:color w:val="auto"/>
        </w:rPr>
        <w:t>一、分包标的及数量</w:t>
      </w:r>
    </w:p>
    <w:p w14:paraId="1168AB7D">
      <w:pPr>
        <w:pStyle w:val="42"/>
        <w:ind w:firstLine="480"/>
        <w:rPr>
          <w:color w:val="auto"/>
        </w:rPr>
      </w:pPr>
      <w:r>
        <w:rPr>
          <w:rFonts w:hint="eastAsia"/>
          <w:i/>
          <w:iCs/>
          <w:color w:val="auto"/>
          <w:u w:val="single"/>
        </w:rPr>
        <w:t>（投标人名称）</w:t>
      </w:r>
      <w:r>
        <w:rPr>
          <w:rFonts w:hint="eastAsia"/>
          <w:color w:val="auto"/>
        </w:rPr>
        <w:t>将</w:t>
      </w:r>
      <w:r>
        <w:rPr>
          <w:rFonts w:hint="eastAsia"/>
          <w:i/>
          <w:iCs/>
          <w:color w:val="auto"/>
          <w:u w:val="single"/>
        </w:rPr>
        <w:t xml:space="preserve">   工作内容   </w:t>
      </w:r>
      <w:r>
        <w:rPr>
          <w:rFonts w:hint="eastAsia"/>
          <w:color w:val="auto"/>
        </w:rPr>
        <w:t>分包给</w:t>
      </w:r>
      <w:r>
        <w:rPr>
          <w:rFonts w:hint="eastAsia"/>
          <w:i/>
          <w:iCs/>
          <w:color w:val="auto"/>
          <w:u w:val="single"/>
        </w:rPr>
        <w:t>（分包供应商1名称）</w:t>
      </w:r>
      <w:r>
        <w:rPr>
          <w:rFonts w:hint="eastAsia"/>
          <w:color w:val="auto"/>
        </w:rPr>
        <w:t>，</w:t>
      </w:r>
      <w:r>
        <w:rPr>
          <w:rFonts w:hint="eastAsia"/>
          <w:i/>
          <w:iCs/>
          <w:color w:val="auto"/>
          <w:u w:val="single"/>
        </w:rPr>
        <w:t>（分包供应商1名称）</w:t>
      </w:r>
      <w:r>
        <w:rPr>
          <w:rFonts w:hint="eastAsia"/>
          <w:color w:val="auto"/>
        </w:rPr>
        <w:t>，</w:t>
      </w:r>
      <w:r>
        <w:rPr>
          <w:rFonts w:hint="eastAsia"/>
          <w:color w:val="auto"/>
          <w:lang w:val="en-US" w:eastAsia="zh-Hans"/>
        </w:rPr>
        <w:t>该供应商</w:t>
      </w:r>
      <w:r>
        <w:rPr>
          <w:rFonts w:hint="eastAsia"/>
          <w:color w:val="auto"/>
        </w:rPr>
        <w:t>具备承担XX工作内容相应资质条件且</w:t>
      </w:r>
      <w:r>
        <w:rPr>
          <w:rFonts w:hint="eastAsia"/>
          <w:color w:val="auto"/>
          <w:lang w:eastAsia="zh-CN"/>
        </w:rPr>
        <w:t>承诺</w:t>
      </w:r>
      <w:r>
        <w:rPr>
          <w:rFonts w:hint="eastAsia"/>
          <w:color w:val="auto"/>
          <w:lang w:val="en-US" w:eastAsia="zh-Hans"/>
        </w:rPr>
        <w:t>不</w:t>
      </w:r>
      <w:r>
        <w:rPr>
          <w:rFonts w:hint="eastAsia"/>
          <w:color w:val="auto"/>
        </w:rPr>
        <w:t>再次分包；</w:t>
      </w:r>
    </w:p>
    <w:p w14:paraId="7D9AD3AD">
      <w:pPr>
        <w:pStyle w:val="42"/>
        <w:ind w:firstLine="480"/>
        <w:rPr>
          <w:color w:val="auto"/>
        </w:rPr>
      </w:pPr>
      <w:r>
        <w:rPr>
          <w:rFonts w:hint="eastAsia"/>
          <w:color w:val="auto"/>
        </w:rPr>
        <w:t>……</w:t>
      </w:r>
    </w:p>
    <w:p w14:paraId="344D5B23">
      <w:pPr>
        <w:pStyle w:val="42"/>
        <w:ind w:firstLine="480"/>
        <w:rPr>
          <w:color w:val="auto"/>
        </w:rPr>
      </w:pPr>
      <w:r>
        <w:rPr>
          <w:rFonts w:hint="eastAsia"/>
          <w:color w:val="auto"/>
        </w:rPr>
        <w:t>二、分包供应商中小企业合同份额</w:t>
      </w:r>
    </w:p>
    <w:p w14:paraId="3B2608B3">
      <w:pPr>
        <w:pStyle w:val="42"/>
        <w:ind w:firstLine="480"/>
        <w:rPr>
          <w:color w:val="auto"/>
        </w:rPr>
      </w:pPr>
      <w:r>
        <w:rPr>
          <w:rFonts w:hint="eastAsia"/>
          <w:color w:val="auto"/>
        </w:rPr>
        <w:t>1、</w:t>
      </w:r>
      <w:r>
        <w:rPr>
          <w:rFonts w:hint="eastAsia"/>
          <w:i/>
          <w:iCs/>
          <w:color w:val="auto"/>
          <w:u w:val="single"/>
        </w:rPr>
        <w:t>（分包供应商</w:t>
      </w:r>
      <w:r>
        <w:rPr>
          <w:rFonts w:hint="default"/>
          <w:i/>
          <w:iCs/>
          <w:color w:val="auto"/>
          <w:u w:val="single"/>
        </w:rPr>
        <w:t>1</w:t>
      </w:r>
      <w:r>
        <w:rPr>
          <w:rFonts w:hint="eastAsia"/>
          <w:i/>
          <w:iCs/>
          <w:color w:val="auto"/>
          <w:u w:val="single"/>
        </w:rPr>
        <w:t>,……）</w:t>
      </w:r>
      <w:r>
        <w:rPr>
          <w:rFonts w:hint="eastAsia"/>
          <w:color w:val="auto"/>
          <w:highlight w:val="none"/>
        </w:rPr>
        <w:t>提供的货物全部由小微企业制造，</w:t>
      </w:r>
      <w:r>
        <w:rPr>
          <w:rFonts w:hint="eastAsia"/>
          <w:color w:val="auto"/>
        </w:rPr>
        <w:t>其合同份额占到合同总金额     %。</w:t>
      </w:r>
    </w:p>
    <w:p w14:paraId="2AD2DEB6">
      <w:pPr>
        <w:pStyle w:val="42"/>
        <w:ind w:firstLine="480"/>
        <w:rPr>
          <w:rFonts w:hint="eastAsia"/>
          <w:color w:val="auto"/>
        </w:rPr>
      </w:pPr>
      <w:r>
        <w:rPr>
          <w:rFonts w:hint="eastAsia"/>
          <w:color w:val="auto"/>
        </w:rPr>
        <w:t>2、中小企业合同金额达到  %，小微企业合同金额达到 %。</w:t>
      </w:r>
    </w:p>
    <w:p w14:paraId="20F25083">
      <w:pPr>
        <w:pStyle w:val="42"/>
        <w:ind w:firstLine="480"/>
        <w:rPr>
          <w:color w:val="auto"/>
        </w:rPr>
      </w:pPr>
      <w:r>
        <w:rPr>
          <w:rFonts w:hint="eastAsia"/>
          <w:color w:val="auto"/>
        </w:rPr>
        <w:t>三、分包工作履行期限、地点、方式</w:t>
      </w:r>
    </w:p>
    <w:p w14:paraId="23ADAF12">
      <w:pPr>
        <w:pStyle w:val="42"/>
        <w:ind w:firstLine="480"/>
        <w:rPr>
          <w:rFonts w:hint="eastAsia" w:eastAsia="宋体"/>
          <w:color w:val="auto"/>
          <w:lang w:eastAsia="zh-Hans"/>
        </w:rPr>
      </w:pPr>
      <w:r>
        <w:rPr>
          <w:rFonts w:hint="eastAsia"/>
          <w:color w:val="auto"/>
          <w:lang w:eastAsia="zh-Hans"/>
        </w:rPr>
        <w:t>……</w:t>
      </w:r>
    </w:p>
    <w:p w14:paraId="4E6EF2FC">
      <w:pPr>
        <w:pStyle w:val="42"/>
        <w:ind w:firstLine="480"/>
        <w:rPr>
          <w:color w:val="auto"/>
        </w:rPr>
      </w:pPr>
      <w:r>
        <w:rPr>
          <w:rFonts w:hint="eastAsia"/>
          <w:color w:val="auto"/>
        </w:rPr>
        <w:t>四、质量</w:t>
      </w:r>
    </w:p>
    <w:p w14:paraId="24FC1956">
      <w:pPr>
        <w:pStyle w:val="42"/>
        <w:ind w:firstLine="480"/>
        <w:rPr>
          <w:color w:val="auto"/>
        </w:rPr>
      </w:pPr>
      <w:r>
        <w:rPr>
          <w:rFonts w:hint="eastAsia"/>
          <w:color w:val="auto"/>
          <w:lang w:eastAsia="zh-Hans"/>
        </w:rPr>
        <w:t>……</w:t>
      </w:r>
    </w:p>
    <w:p w14:paraId="63278C04">
      <w:pPr>
        <w:pStyle w:val="42"/>
        <w:ind w:firstLine="480"/>
        <w:rPr>
          <w:color w:val="auto"/>
        </w:rPr>
      </w:pPr>
      <w:r>
        <w:rPr>
          <w:rFonts w:hint="eastAsia"/>
          <w:color w:val="auto"/>
        </w:rPr>
        <w:t>五、价款或者报酬</w:t>
      </w:r>
    </w:p>
    <w:p w14:paraId="2354696E">
      <w:pPr>
        <w:pStyle w:val="42"/>
        <w:ind w:firstLine="480"/>
        <w:rPr>
          <w:rFonts w:hint="eastAsia" w:eastAsia="宋体"/>
          <w:color w:val="auto"/>
          <w:lang w:eastAsia="zh-Hans"/>
        </w:rPr>
      </w:pPr>
      <w:r>
        <w:rPr>
          <w:rFonts w:hint="eastAsia"/>
          <w:color w:val="auto"/>
          <w:lang w:eastAsia="zh-Hans"/>
        </w:rPr>
        <w:t>……</w:t>
      </w:r>
    </w:p>
    <w:p w14:paraId="4C3BF9F1">
      <w:pPr>
        <w:pStyle w:val="42"/>
        <w:ind w:firstLine="480"/>
        <w:rPr>
          <w:color w:val="auto"/>
        </w:rPr>
      </w:pPr>
      <w:r>
        <w:rPr>
          <w:rFonts w:hint="eastAsia"/>
          <w:color w:val="auto"/>
        </w:rPr>
        <w:t>六、违约责任</w:t>
      </w:r>
    </w:p>
    <w:p w14:paraId="37833667">
      <w:pPr>
        <w:pStyle w:val="42"/>
        <w:ind w:firstLine="480"/>
        <w:rPr>
          <w:rFonts w:hint="eastAsia"/>
          <w:color w:val="auto"/>
          <w:lang w:eastAsia="zh-Hans"/>
        </w:rPr>
      </w:pPr>
      <w:r>
        <w:rPr>
          <w:rFonts w:hint="eastAsia"/>
          <w:color w:val="auto"/>
          <w:lang w:eastAsia="zh-Hans"/>
        </w:rPr>
        <w:t>……</w:t>
      </w:r>
    </w:p>
    <w:p w14:paraId="7AADA859">
      <w:pPr>
        <w:pStyle w:val="42"/>
        <w:ind w:firstLine="480"/>
        <w:rPr>
          <w:color w:val="auto"/>
        </w:rPr>
      </w:pPr>
      <w:r>
        <w:rPr>
          <w:rFonts w:hint="eastAsia"/>
          <w:color w:val="auto"/>
        </w:rPr>
        <w:t>七、争议解决的办法</w:t>
      </w:r>
    </w:p>
    <w:p w14:paraId="13E9FE37">
      <w:pPr>
        <w:pStyle w:val="42"/>
        <w:ind w:firstLine="480"/>
        <w:rPr>
          <w:rFonts w:hint="eastAsia"/>
          <w:color w:val="auto"/>
          <w:lang w:eastAsia="zh-Hans"/>
        </w:rPr>
      </w:pPr>
      <w:r>
        <w:rPr>
          <w:rFonts w:hint="eastAsia"/>
          <w:color w:val="auto"/>
          <w:lang w:eastAsia="zh-Hans"/>
        </w:rPr>
        <w:t>……</w:t>
      </w:r>
    </w:p>
    <w:p w14:paraId="366580E4">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1B2082F2">
      <w:pPr>
        <w:pStyle w:val="42"/>
        <w:ind w:firstLine="480"/>
        <w:rPr>
          <w:color w:val="auto"/>
        </w:rPr>
      </w:pPr>
      <w:r>
        <w:rPr>
          <w:rFonts w:hint="eastAsia"/>
          <w:color w:val="auto"/>
        </w:rPr>
        <w:t>分包供应商名称（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w:t>
      </w:r>
    </w:p>
    <w:p w14:paraId="2625E577">
      <w:pPr>
        <w:pStyle w:val="42"/>
        <w:ind w:firstLine="480"/>
        <w:rPr>
          <w:color w:val="auto"/>
        </w:rPr>
      </w:pPr>
      <w:r>
        <w:rPr>
          <w:rFonts w:hint="eastAsia"/>
          <w:color w:val="auto"/>
        </w:rPr>
        <w:t>……</w:t>
      </w:r>
    </w:p>
    <w:p w14:paraId="1C6A93E0">
      <w:pPr>
        <w:pStyle w:val="42"/>
        <w:ind w:firstLine="480"/>
        <w:rPr>
          <w:color w:val="auto"/>
        </w:rPr>
      </w:pPr>
      <w:r>
        <w:rPr>
          <w:rFonts w:hint="eastAsia"/>
          <w:color w:val="auto"/>
        </w:rPr>
        <w:t>日期：  年  月   日</w:t>
      </w:r>
    </w:p>
    <w:p w14:paraId="4277ADEA">
      <w:pPr>
        <w:pStyle w:val="42"/>
        <w:ind w:firstLine="0" w:firstLineChars="0"/>
        <w:rPr>
          <w:color w:val="auto"/>
        </w:rPr>
      </w:pPr>
    </w:p>
    <w:p w14:paraId="1F6357BC">
      <w:pPr>
        <w:pStyle w:val="42"/>
        <w:ind w:firstLine="0" w:firstLineChars="0"/>
        <w:rPr>
          <w:color w:val="auto"/>
        </w:rPr>
      </w:pPr>
    </w:p>
    <w:p w14:paraId="5A2F5C56">
      <w:pPr>
        <w:pStyle w:val="42"/>
        <w:ind w:firstLine="0" w:firstLineChars="0"/>
        <w:rPr>
          <w:color w:val="auto"/>
        </w:rPr>
      </w:pPr>
      <w:r>
        <w:rPr>
          <w:rFonts w:hint="eastAsia"/>
          <w:color w:val="auto"/>
          <w:lang w:eastAsia="zh-CN"/>
        </w:rPr>
        <w:t>【</w:t>
      </w:r>
      <w:r>
        <w:rPr>
          <w:rFonts w:hint="eastAsia"/>
          <w:color w:val="auto"/>
        </w:rPr>
        <w:t>中标后以分包方式履行合同的，提供分包意向协议；</w:t>
      </w:r>
      <w:r>
        <w:rPr>
          <w:rFonts w:hint="eastAsia"/>
          <w:color w:val="auto"/>
          <w:lang w:val="en-US" w:eastAsia="zh-Hans"/>
        </w:rPr>
        <w:t>招标</w:t>
      </w:r>
      <w:r>
        <w:rPr>
          <w:rFonts w:hint="eastAsia"/>
          <w:color w:val="auto"/>
        </w:rPr>
        <w:t>人不同意分包或者投标人中标后不以分包方式履行合同的，则不需要提供。</w:t>
      </w:r>
      <w:r>
        <w:rPr>
          <w:rFonts w:hint="eastAsia"/>
          <w:color w:val="auto"/>
          <w:lang w:eastAsia="zh-CN"/>
        </w:rPr>
        <w:t>】</w:t>
      </w:r>
    </w:p>
    <w:p w14:paraId="19A472E4">
      <w:pPr>
        <w:widowControl/>
        <w:jc w:val="left"/>
        <w:rPr>
          <w:color w:val="auto"/>
        </w:rPr>
      </w:pPr>
    </w:p>
    <w:p w14:paraId="0E1E8A72">
      <w:pPr>
        <w:widowControl/>
        <w:jc w:val="left"/>
        <w:rPr>
          <w:rFonts w:ascii="黑体" w:hAnsi="黑体" w:eastAsia="黑体" w:cs="黑体"/>
          <w:bCs/>
          <w:color w:val="auto"/>
          <w:sz w:val="32"/>
          <w:szCs w:val="32"/>
          <w:lang w:eastAsia="zh-Hans"/>
        </w:rPr>
      </w:pPr>
      <w:r>
        <w:rPr>
          <w:color w:val="auto"/>
        </w:rPr>
        <w:br w:type="page"/>
      </w:r>
    </w:p>
    <w:p w14:paraId="157A2B2F">
      <w:pPr>
        <w:pStyle w:val="44"/>
        <w:numPr>
          <w:ilvl w:val="1"/>
          <w:numId w:val="74"/>
        </w:numPr>
        <w:adjustRightInd/>
        <w:rPr>
          <w:color w:val="auto"/>
        </w:rPr>
      </w:pPr>
      <w:bookmarkStart w:id="80" w:name="_Toc8154"/>
      <w:r>
        <w:rPr>
          <w:rFonts w:hint="eastAsia"/>
          <w:color w:val="auto"/>
        </w:rPr>
        <w:t>开标一览表（报价表）</w:t>
      </w:r>
      <w:bookmarkEnd w:id="80"/>
    </w:p>
    <w:p w14:paraId="06AA14AA">
      <w:pPr>
        <w:pStyle w:val="42"/>
        <w:ind w:firstLine="0" w:firstLineChars="0"/>
        <w:rPr>
          <w:color w:val="auto"/>
        </w:rPr>
      </w:pPr>
      <w:r>
        <w:rPr>
          <w:rFonts w:hint="eastAsia"/>
          <w:color w:val="auto"/>
          <w:lang w:eastAsia="zh-CN"/>
        </w:rPr>
        <w:t>浙江省测绘科学技术研究院</w:t>
      </w:r>
      <w:r>
        <w:rPr>
          <w:rFonts w:hint="eastAsia"/>
          <w:color w:val="auto"/>
        </w:rPr>
        <w:t>、浙江中勤招标代理有限公司：</w:t>
      </w:r>
    </w:p>
    <w:p w14:paraId="7AA78D24">
      <w:pPr>
        <w:pStyle w:val="42"/>
        <w:ind w:firstLine="480"/>
        <w:rPr>
          <w:color w:val="auto"/>
        </w:rPr>
      </w:pPr>
      <w:r>
        <w:rPr>
          <w:rFonts w:hint="eastAsia"/>
          <w:color w:val="auto"/>
        </w:rPr>
        <w:t>按你方招标文件要求，我们，本投标文件签字方，谨此向你方发出要约如下：如你方接受本投标，我方承诺按照如下开标一览表（报价表）的价格完成</w:t>
      </w:r>
      <w:r>
        <w:rPr>
          <w:rFonts w:hint="eastAsia"/>
          <w:color w:val="auto"/>
          <w:u w:val="single"/>
          <w:lang w:eastAsia="zh-CN"/>
        </w:rPr>
        <w:t>2026年跨省北斗定位漫游服务和北斗应用终端标准数据服务项目</w:t>
      </w:r>
      <w:r>
        <w:rPr>
          <w:rFonts w:hint="eastAsia"/>
          <w:color w:val="auto"/>
          <w:u w:val="single"/>
        </w:rPr>
        <w:t>（项目编号：</w:t>
      </w:r>
      <w:r>
        <w:rPr>
          <w:rFonts w:hint="eastAsia"/>
          <w:color w:val="auto"/>
          <w:u w:val="single"/>
          <w:lang w:eastAsia="zh-CN"/>
        </w:rPr>
        <w:t>330000263130150000171-ZQ260319ZG</w:t>
      </w:r>
      <w:r>
        <w:rPr>
          <w:rFonts w:hint="eastAsia"/>
          <w:color w:val="auto"/>
          <w:u w:val="single"/>
        </w:rPr>
        <w:t>）</w:t>
      </w:r>
      <w:r>
        <w:rPr>
          <w:rFonts w:hint="eastAsia"/>
          <w:i/>
          <w:iCs/>
          <w:color w:val="auto"/>
          <w:u w:val="single"/>
          <w:lang w:val="en-US" w:eastAsia="zh-Hans"/>
        </w:rPr>
        <w:t>标项序号：…标项名称：…</w:t>
      </w:r>
      <w:r>
        <w:rPr>
          <w:rFonts w:hint="eastAsia"/>
          <w:color w:val="auto"/>
        </w:rPr>
        <w:t>的实施。</w:t>
      </w:r>
    </w:p>
    <w:p w14:paraId="3E4CD0C4">
      <w:pPr>
        <w:jc w:val="center"/>
        <w:rPr>
          <w:rFonts w:hint="eastAsia" w:ascii="宋体" w:hAnsi="宋体"/>
          <w:b/>
          <w:color w:val="auto"/>
          <w:kern w:val="0"/>
          <w:sz w:val="24"/>
          <w:szCs w:val="24"/>
        </w:rPr>
      </w:pPr>
      <w:r>
        <w:rPr>
          <w:rFonts w:hint="eastAsia" w:ascii="宋体" w:hAnsi="宋体"/>
          <w:b/>
          <w:color w:val="auto"/>
          <w:kern w:val="0"/>
          <w:sz w:val="24"/>
          <w:szCs w:val="24"/>
        </w:rPr>
        <w:t>开标一览表（报价表）</w:t>
      </w:r>
    </w:p>
    <w:p w14:paraId="67C9E16A">
      <w:pPr>
        <w:jc w:val="center"/>
        <w:rPr>
          <w:rFonts w:hint="eastAsia" w:ascii="宋体" w:hAnsi="宋体"/>
          <w:b w:val="0"/>
          <w:bCs/>
          <w:color w:val="auto"/>
          <w:kern w:val="0"/>
          <w:sz w:val="24"/>
          <w:szCs w:val="24"/>
        </w:rPr>
      </w:pPr>
    </w:p>
    <w:tbl>
      <w:tblPr>
        <w:tblStyle w:val="27"/>
        <w:tblW w:w="5000" w:type="pct"/>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autofit"/>
        <w:tblCellMar>
          <w:top w:w="0" w:type="dxa"/>
          <w:left w:w="108" w:type="dxa"/>
          <w:bottom w:w="0" w:type="dxa"/>
          <w:right w:w="108" w:type="dxa"/>
        </w:tblCellMar>
      </w:tblPr>
      <w:tblGrid>
        <w:gridCol w:w="1836"/>
        <w:gridCol w:w="6686"/>
      </w:tblGrid>
      <w:tr w14:paraId="42486F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8" w:space="0"/>
              <w:left w:val="single" w:color="000000" w:sz="8" w:space="0"/>
              <w:bottom w:val="single" w:color="000000" w:sz="6" w:space="0"/>
              <w:right w:val="single" w:color="000000" w:sz="6" w:space="0"/>
            </w:tcBorders>
            <w:vAlign w:val="center"/>
          </w:tcPr>
          <w:p w14:paraId="5122CEB8">
            <w:pPr>
              <w:pStyle w:val="42"/>
              <w:ind w:firstLine="0" w:firstLineChars="0"/>
              <w:rPr>
                <w:color w:val="auto"/>
              </w:rPr>
            </w:pPr>
            <w:r>
              <w:rPr>
                <w:rFonts w:hint="eastAsia"/>
                <w:color w:val="auto"/>
              </w:rPr>
              <w:t>项目名称</w:t>
            </w:r>
          </w:p>
        </w:tc>
        <w:tc>
          <w:tcPr>
            <w:tcW w:w="3923" w:type="pct"/>
            <w:tcBorders>
              <w:top w:val="single" w:color="000000" w:sz="8" w:space="0"/>
              <w:left w:val="single" w:color="000000" w:sz="6" w:space="0"/>
              <w:bottom w:val="single" w:color="000000" w:sz="6" w:space="0"/>
              <w:right w:val="single" w:color="000000" w:sz="8" w:space="0"/>
            </w:tcBorders>
            <w:vAlign w:val="center"/>
          </w:tcPr>
          <w:p w14:paraId="37AE7B91">
            <w:pPr>
              <w:pStyle w:val="42"/>
              <w:ind w:firstLine="0" w:firstLineChars="0"/>
              <w:rPr>
                <w:color w:val="auto"/>
              </w:rPr>
            </w:pPr>
            <w:r>
              <w:rPr>
                <w:rFonts w:hint="eastAsia"/>
                <w:b w:val="0"/>
                <w:bCs/>
                <w:color w:val="auto"/>
                <w:kern w:val="0"/>
                <w:sz w:val="24"/>
                <w:szCs w:val="24"/>
                <w:vertAlign w:val="baseline"/>
                <w:lang w:eastAsia="zh-CN"/>
              </w:rPr>
              <w:t>2026年跨省北斗定位漫游服务和北斗应用终端标准数据服务项目</w:t>
            </w:r>
          </w:p>
        </w:tc>
      </w:tr>
      <w:tr w14:paraId="70C0D45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restart"/>
            <w:tcBorders>
              <w:top w:val="single" w:color="000000" w:sz="6" w:space="0"/>
              <w:left w:val="single" w:color="000000" w:sz="8" w:space="0"/>
              <w:bottom w:val="single" w:color="000000" w:sz="6" w:space="0"/>
              <w:right w:val="single" w:color="000000" w:sz="6" w:space="0"/>
            </w:tcBorders>
            <w:vAlign w:val="center"/>
          </w:tcPr>
          <w:p w14:paraId="3F2D6087">
            <w:pPr>
              <w:pStyle w:val="42"/>
              <w:ind w:firstLine="0" w:firstLineChars="0"/>
              <w:rPr>
                <w:color w:val="auto"/>
              </w:rPr>
            </w:pPr>
            <w:r>
              <w:rPr>
                <w:rFonts w:hint="eastAsia" w:ascii="宋体" w:hAnsi="宋体"/>
                <w:b w:val="0"/>
                <w:bCs/>
                <w:color w:val="auto"/>
                <w:kern w:val="0"/>
                <w:sz w:val="24"/>
                <w:szCs w:val="24"/>
                <w:vertAlign w:val="baseline"/>
              </w:rPr>
              <w:t>投标报价</w:t>
            </w:r>
            <w:r>
              <w:rPr>
                <w:rFonts w:hint="eastAsia"/>
                <w:color w:val="auto"/>
              </w:rPr>
              <w:t>（总价，元）</w:t>
            </w:r>
          </w:p>
        </w:tc>
        <w:tc>
          <w:tcPr>
            <w:tcW w:w="3923" w:type="pct"/>
            <w:tcBorders>
              <w:top w:val="single" w:color="000000" w:sz="6" w:space="0"/>
              <w:left w:val="single" w:color="000000" w:sz="6" w:space="0"/>
              <w:bottom w:val="single" w:color="000000" w:sz="6" w:space="0"/>
              <w:right w:val="single" w:color="000000" w:sz="8" w:space="0"/>
            </w:tcBorders>
            <w:vAlign w:val="center"/>
          </w:tcPr>
          <w:p w14:paraId="586C86A7">
            <w:pPr>
              <w:pStyle w:val="42"/>
              <w:ind w:firstLine="0" w:firstLineChars="0"/>
              <w:rPr>
                <w:color w:val="auto"/>
              </w:rPr>
            </w:pPr>
            <w:r>
              <w:rPr>
                <w:rFonts w:hint="eastAsia"/>
                <w:color w:val="auto"/>
              </w:rPr>
              <w:t>（人民币，小写）：</w:t>
            </w:r>
          </w:p>
        </w:tc>
      </w:tr>
      <w:tr w14:paraId="2CFC3F7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vMerge w:val="continue"/>
            <w:tcBorders>
              <w:top w:val="single" w:color="000000" w:sz="6" w:space="0"/>
              <w:left w:val="single" w:color="000000" w:sz="8" w:space="0"/>
              <w:bottom w:val="single" w:color="000000" w:sz="6" w:space="0"/>
              <w:right w:val="single" w:color="000000" w:sz="6" w:space="0"/>
            </w:tcBorders>
            <w:vAlign w:val="center"/>
          </w:tcPr>
          <w:p w14:paraId="4E249469">
            <w:pPr>
              <w:pStyle w:val="42"/>
              <w:ind w:firstLine="0" w:firstLineChars="0"/>
              <w:rPr>
                <w:color w:val="auto"/>
              </w:rPr>
            </w:pPr>
          </w:p>
        </w:tc>
        <w:tc>
          <w:tcPr>
            <w:tcW w:w="3923" w:type="pct"/>
            <w:tcBorders>
              <w:top w:val="single" w:color="000000" w:sz="6" w:space="0"/>
              <w:left w:val="single" w:color="000000" w:sz="6" w:space="0"/>
              <w:bottom w:val="single" w:color="000000" w:sz="6" w:space="0"/>
              <w:right w:val="single" w:color="000000" w:sz="8" w:space="0"/>
            </w:tcBorders>
            <w:vAlign w:val="center"/>
          </w:tcPr>
          <w:p w14:paraId="53832AA3">
            <w:pPr>
              <w:pStyle w:val="42"/>
              <w:ind w:firstLine="0" w:firstLineChars="0"/>
              <w:rPr>
                <w:color w:val="auto"/>
              </w:rPr>
            </w:pPr>
            <w:r>
              <w:rPr>
                <w:rFonts w:hint="eastAsia"/>
                <w:color w:val="auto"/>
              </w:rPr>
              <w:t>（人民币，大写）：</w:t>
            </w:r>
          </w:p>
        </w:tc>
      </w:tr>
      <w:tr w14:paraId="6A31E1D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108" w:type="dxa"/>
            <w:bottom w:w="0" w:type="dxa"/>
            <w:right w:w="108" w:type="dxa"/>
          </w:tblCellMar>
        </w:tblPrEx>
        <w:trPr>
          <w:trHeight w:val="680" w:hRule="atLeast"/>
        </w:trPr>
        <w:tc>
          <w:tcPr>
            <w:tcW w:w="1077" w:type="pct"/>
            <w:tcBorders>
              <w:top w:val="single" w:color="000000" w:sz="6" w:space="0"/>
              <w:left w:val="single" w:color="000000" w:sz="8" w:space="0"/>
              <w:bottom w:val="single" w:color="000000" w:sz="8" w:space="0"/>
              <w:right w:val="single" w:color="000000" w:sz="6" w:space="0"/>
            </w:tcBorders>
            <w:vAlign w:val="center"/>
          </w:tcPr>
          <w:p w14:paraId="2C0FA284">
            <w:pPr>
              <w:pStyle w:val="42"/>
              <w:ind w:firstLine="0" w:firstLineChars="0"/>
              <w:rPr>
                <w:color w:val="auto"/>
              </w:rPr>
            </w:pPr>
            <w:r>
              <w:rPr>
                <w:rFonts w:hint="eastAsia"/>
                <w:color w:val="auto"/>
              </w:rPr>
              <w:t>备注</w:t>
            </w:r>
          </w:p>
        </w:tc>
        <w:tc>
          <w:tcPr>
            <w:tcW w:w="3923" w:type="pct"/>
            <w:tcBorders>
              <w:top w:val="single" w:color="000000" w:sz="6" w:space="0"/>
              <w:left w:val="single" w:color="000000" w:sz="6" w:space="0"/>
              <w:bottom w:val="single" w:color="000000" w:sz="8" w:space="0"/>
              <w:right w:val="single" w:color="000000" w:sz="8" w:space="0"/>
            </w:tcBorders>
            <w:vAlign w:val="center"/>
          </w:tcPr>
          <w:p w14:paraId="2C5DE6D8">
            <w:pPr>
              <w:pStyle w:val="42"/>
              <w:ind w:firstLine="0" w:firstLineChars="0"/>
              <w:rPr>
                <w:i/>
                <w:color w:val="auto"/>
                <w:u w:val="single"/>
              </w:rPr>
            </w:pPr>
            <w:r>
              <w:rPr>
                <w:rFonts w:hint="eastAsia"/>
                <w:i/>
                <w:color w:val="auto"/>
                <w:u w:val="single"/>
              </w:rPr>
              <w:t>没有可不填</w:t>
            </w:r>
          </w:p>
        </w:tc>
      </w:tr>
    </w:tbl>
    <w:p w14:paraId="6DD2A92E">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4C70E768">
      <w:pPr>
        <w:pStyle w:val="42"/>
        <w:ind w:firstLine="480"/>
        <w:rPr>
          <w:color w:val="auto"/>
        </w:rPr>
      </w:pPr>
      <w:r>
        <w:rPr>
          <w:rFonts w:hint="eastAsia"/>
          <w:color w:val="auto"/>
        </w:rPr>
        <w:t>日期：  年   月   日</w:t>
      </w:r>
    </w:p>
    <w:p w14:paraId="5A897176">
      <w:pPr>
        <w:pStyle w:val="42"/>
        <w:ind w:left="0" w:leftChars="0" w:firstLine="0" w:firstLineChars="0"/>
        <w:rPr>
          <w:color w:val="auto"/>
          <w:lang w:eastAsia="zh-CN"/>
        </w:rPr>
      </w:pPr>
      <w:r>
        <w:rPr>
          <w:rFonts w:hint="eastAsia"/>
          <w:color w:val="auto"/>
          <w:lang w:eastAsia="zh-Hans"/>
        </w:rPr>
        <w:t>【</w:t>
      </w:r>
      <w:r>
        <w:rPr>
          <w:rFonts w:hint="eastAsia"/>
          <w:color w:val="auto"/>
        </w:rPr>
        <w:t>注：</w:t>
      </w:r>
    </w:p>
    <w:p w14:paraId="4BDE24BB">
      <w:pPr>
        <w:pStyle w:val="42"/>
        <w:numPr>
          <w:ilvl w:val="0"/>
          <w:numId w:val="76"/>
        </w:numPr>
        <w:ind w:firstLine="480"/>
        <w:rPr>
          <w:rFonts w:hint="eastAsia"/>
          <w:color w:val="auto"/>
        </w:rPr>
      </w:pPr>
      <w:r>
        <w:rPr>
          <w:rFonts w:hint="eastAsia"/>
          <w:color w:val="auto"/>
        </w:rPr>
        <w:t>投标人需按本表格式填写，否则视为投标文件含有采购人不能接受的附加条件，投标无效。</w:t>
      </w:r>
    </w:p>
    <w:p w14:paraId="016E49E7">
      <w:pPr>
        <w:pStyle w:val="42"/>
        <w:numPr>
          <w:ilvl w:val="0"/>
          <w:numId w:val="76"/>
        </w:numPr>
        <w:ind w:firstLine="480"/>
        <w:rPr>
          <w:rFonts w:hint="eastAsia"/>
          <w:color w:val="auto"/>
        </w:rPr>
      </w:pPr>
      <w:r>
        <w:rPr>
          <w:rFonts w:hint="eastAsia"/>
          <w:color w:val="auto"/>
          <w:lang w:val="en-US" w:eastAsia="zh-Hans"/>
        </w:rPr>
        <w:t>投报多个标项的应当按对应标项分别编制本表。</w:t>
      </w:r>
    </w:p>
    <w:p w14:paraId="4C2BCD01">
      <w:pPr>
        <w:pStyle w:val="42"/>
        <w:ind w:firstLine="480"/>
      </w:pPr>
      <w:r>
        <w:rPr>
          <w:rFonts w:hint="default"/>
          <w:color w:val="auto"/>
        </w:rPr>
        <w:t>3</w:t>
      </w:r>
      <w:r>
        <w:rPr>
          <w:rFonts w:hint="eastAsia"/>
          <w:color w:val="auto"/>
        </w:rPr>
        <w:t>、有关本项目实施所涉及的一切费用均计入报价。采购人将以合同形式有偿取得货物或服务，不接受投标人给予的赠品、回扣或者与采购无关的其他商品、服务，不得出现“0元”“免费赠送”等形式的无</w:t>
      </w:r>
      <w:r>
        <w:rPr>
          <w:rFonts w:hint="eastAsia"/>
        </w:rPr>
        <w:t>偿报价，否则视为投标文件含有采购人不能接受的附加条件，投标无效；采购内容未包含在《开标一览表（报价表）》名称栏中，投标人不能作出合理解释的，视为投标文件含有采购人不能接受的附加条件的，投标无效。</w:t>
      </w:r>
    </w:p>
    <w:p w14:paraId="15126CE4">
      <w:pPr>
        <w:pStyle w:val="42"/>
        <w:ind w:firstLine="480"/>
        <w:rPr>
          <w:rFonts w:hint="eastAsia"/>
          <w:lang w:eastAsia="zh-Hans"/>
        </w:rPr>
      </w:pPr>
      <w:r>
        <w:rPr>
          <w:rFonts w:hint="default"/>
        </w:rPr>
        <w:t>4</w:t>
      </w:r>
      <w:r>
        <w:rPr>
          <w:rFonts w:hint="eastAsia"/>
        </w:rPr>
        <w:t>、特别提示：采购机构将对项目名称和项目编号，中标供应商名称、地址和中标金额，主要中标标的名称、品牌（如果有）、规格型号、数量、单价等予以公示。</w:t>
      </w:r>
      <w:r>
        <w:rPr>
          <w:rFonts w:hint="eastAsia"/>
          <w:lang w:eastAsia="zh-Hans"/>
        </w:rPr>
        <w:t>】</w:t>
      </w:r>
    </w:p>
    <w:p w14:paraId="2C84A210">
      <w:pPr>
        <w:pStyle w:val="42"/>
        <w:ind w:firstLine="480"/>
        <w:rPr>
          <w:rFonts w:ascii="黑体" w:hAnsi="黑体" w:eastAsia="黑体" w:cs="黑体"/>
          <w:bCs/>
          <w:sz w:val="32"/>
          <w:szCs w:val="32"/>
        </w:rPr>
      </w:pPr>
      <w:r>
        <w:br w:type="page"/>
      </w:r>
    </w:p>
    <w:p w14:paraId="01EAA707">
      <w:pPr>
        <w:pStyle w:val="44"/>
        <w:numPr>
          <w:ilvl w:val="1"/>
          <w:numId w:val="74"/>
        </w:numPr>
        <w:adjustRightInd/>
      </w:pPr>
      <w:bookmarkStart w:id="81" w:name="_Toc7306"/>
      <w:bookmarkStart w:id="82" w:name="_Toc15778"/>
      <w:r>
        <w:rPr>
          <w:rFonts w:hint="eastAsia"/>
          <w:lang w:val="en-US" w:eastAsia="zh-CN"/>
        </w:rPr>
        <w:t>投标</w:t>
      </w:r>
      <w:r>
        <w:rPr>
          <w:rFonts w:hint="eastAsia"/>
          <w:lang w:eastAsia="zh-CN"/>
        </w:rPr>
        <w:t>报价明细表</w:t>
      </w:r>
      <w:bookmarkEnd w:id="81"/>
    </w:p>
    <w:p w14:paraId="0E076E30">
      <w:pPr>
        <w:pStyle w:val="42"/>
        <w:ind w:firstLine="0" w:firstLineChars="0"/>
        <w:rPr>
          <w:color w:val="auto"/>
        </w:rPr>
      </w:pPr>
      <w:r>
        <w:rPr>
          <w:rFonts w:hint="eastAsia"/>
        </w:rPr>
        <w:t>项目名称：</w:t>
      </w:r>
      <w:r>
        <w:rPr>
          <w:rFonts w:hint="eastAsia"/>
          <w:b w:val="0"/>
          <w:bCs/>
          <w:kern w:val="0"/>
          <w:sz w:val="24"/>
          <w:szCs w:val="24"/>
          <w:vertAlign w:val="baseline"/>
          <w:lang w:eastAsia="zh-CN"/>
        </w:rPr>
        <w:t>2026</w:t>
      </w:r>
      <w:r>
        <w:rPr>
          <w:rFonts w:hint="eastAsia"/>
          <w:b w:val="0"/>
          <w:bCs/>
          <w:color w:val="auto"/>
          <w:kern w:val="0"/>
          <w:sz w:val="24"/>
          <w:szCs w:val="24"/>
          <w:vertAlign w:val="baseline"/>
          <w:lang w:eastAsia="zh-CN"/>
        </w:rPr>
        <w:t>年跨省北斗定位漫游服务和北斗应用终端标准数据服务项目</w:t>
      </w:r>
    </w:p>
    <w:p w14:paraId="570F8283">
      <w:pPr>
        <w:pStyle w:val="42"/>
        <w:ind w:firstLine="0" w:firstLineChars="0"/>
        <w:rPr>
          <w:color w:val="auto"/>
          <w:lang w:eastAsia="zh-CN"/>
        </w:rPr>
      </w:pPr>
      <w:r>
        <w:rPr>
          <w:rFonts w:hint="eastAsia"/>
          <w:color w:val="auto"/>
        </w:rPr>
        <w:t>项目编号：</w:t>
      </w:r>
      <w:r>
        <w:rPr>
          <w:rFonts w:hint="eastAsia"/>
          <w:color w:val="auto"/>
          <w:lang w:eastAsia="zh-CN"/>
        </w:rPr>
        <w:t>330000263130150000171-ZQ260319ZG</w:t>
      </w:r>
    </w:p>
    <w:p w14:paraId="0B3FD507">
      <w:pPr>
        <w:pStyle w:val="42"/>
        <w:ind w:firstLine="0" w:firstLineChars="0"/>
        <w:rPr>
          <w:color w:val="auto"/>
        </w:rPr>
      </w:pPr>
      <w:r>
        <w:rPr>
          <w:rFonts w:hint="eastAsia"/>
          <w:i/>
          <w:iCs/>
          <w:color w:val="auto"/>
          <w:u w:val="single"/>
        </w:rPr>
        <w:t>标项序号：…标项名称：…</w:t>
      </w:r>
    </w:p>
    <w:tbl>
      <w:tblPr>
        <w:tblStyle w:val="27"/>
        <w:tblW w:w="499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17"/>
        <w:gridCol w:w="1818"/>
        <w:gridCol w:w="1288"/>
        <w:gridCol w:w="937"/>
        <w:gridCol w:w="1489"/>
        <w:gridCol w:w="1234"/>
        <w:gridCol w:w="1234"/>
      </w:tblGrid>
      <w:tr w14:paraId="0AD6D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7C091CE4">
            <w:pPr>
              <w:jc w:val="center"/>
              <w:rPr>
                <w:rFonts w:ascii="宋体" w:hAnsi="宋体" w:cs="宋体"/>
                <w:b/>
                <w:color w:val="auto"/>
                <w:sz w:val="24"/>
                <w:szCs w:val="24"/>
              </w:rPr>
            </w:pPr>
            <w:r>
              <w:rPr>
                <w:rFonts w:hint="eastAsia" w:ascii="宋体" w:hAnsi="宋体" w:cs="宋体"/>
                <w:b/>
                <w:color w:val="auto"/>
                <w:sz w:val="24"/>
                <w:szCs w:val="24"/>
              </w:rPr>
              <w:t>序号</w:t>
            </w:r>
          </w:p>
        </w:tc>
        <w:tc>
          <w:tcPr>
            <w:tcW w:w="1067" w:type="pct"/>
            <w:tcBorders>
              <w:top w:val="single" w:color="000000" w:sz="6" w:space="0"/>
              <w:left w:val="single" w:color="000000" w:sz="6" w:space="0"/>
              <w:bottom w:val="single" w:color="000000" w:sz="6" w:space="0"/>
              <w:right w:val="single" w:color="000000" w:sz="6" w:space="0"/>
            </w:tcBorders>
            <w:vAlign w:val="center"/>
          </w:tcPr>
          <w:p w14:paraId="09D7E417">
            <w:pPr>
              <w:jc w:val="center"/>
              <w:rPr>
                <w:rFonts w:ascii="宋体" w:hAnsi="宋体" w:cs="宋体"/>
                <w:b/>
                <w:color w:val="auto"/>
                <w:sz w:val="24"/>
                <w:szCs w:val="24"/>
              </w:rPr>
            </w:pPr>
            <w:r>
              <w:rPr>
                <w:rFonts w:hint="eastAsia" w:ascii="宋体" w:hAnsi="宋体" w:cs="宋体"/>
                <w:b/>
                <w:color w:val="auto"/>
                <w:sz w:val="24"/>
                <w:szCs w:val="24"/>
              </w:rPr>
              <w:t>服务内容</w:t>
            </w:r>
          </w:p>
        </w:tc>
        <w:tc>
          <w:tcPr>
            <w:tcW w:w="756" w:type="pct"/>
            <w:tcBorders>
              <w:top w:val="single" w:color="000000" w:sz="6" w:space="0"/>
              <w:left w:val="single" w:color="000000" w:sz="6" w:space="0"/>
              <w:bottom w:val="single" w:color="000000" w:sz="6" w:space="0"/>
              <w:right w:val="single" w:color="000000" w:sz="6" w:space="0"/>
            </w:tcBorders>
            <w:vAlign w:val="center"/>
          </w:tcPr>
          <w:p w14:paraId="47B88585">
            <w:pPr>
              <w:jc w:val="center"/>
              <w:rPr>
                <w:rFonts w:ascii="宋体" w:hAnsi="宋体" w:cs="宋体"/>
                <w:b/>
                <w:color w:val="auto"/>
                <w:sz w:val="24"/>
                <w:szCs w:val="24"/>
              </w:rPr>
            </w:pPr>
            <w:r>
              <w:rPr>
                <w:rFonts w:hint="eastAsia" w:ascii="宋体" w:hAnsi="宋体" w:cs="宋体"/>
                <w:b/>
                <w:color w:val="auto"/>
                <w:sz w:val="24"/>
                <w:szCs w:val="24"/>
              </w:rPr>
              <w:t>数量</w:t>
            </w:r>
          </w:p>
        </w:tc>
        <w:tc>
          <w:tcPr>
            <w:tcW w:w="550" w:type="pct"/>
            <w:tcBorders>
              <w:top w:val="single" w:color="000000" w:sz="6" w:space="0"/>
              <w:left w:val="single" w:color="000000" w:sz="6" w:space="0"/>
              <w:bottom w:val="single" w:color="000000" w:sz="6" w:space="0"/>
              <w:right w:val="single" w:color="000000" w:sz="6" w:space="0"/>
            </w:tcBorders>
            <w:vAlign w:val="center"/>
          </w:tcPr>
          <w:p w14:paraId="13F5B215">
            <w:pPr>
              <w:jc w:val="center"/>
              <w:rPr>
                <w:rFonts w:ascii="宋体" w:hAnsi="宋体" w:cs="宋体"/>
                <w:b/>
                <w:color w:val="auto"/>
                <w:sz w:val="24"/>
                <w:szCs w:val="24"/>
              </w:rPr>
            </w:pPr>
            <w:r>
              <w:rPr>
                <w:rFonts w:hint="eastAsia" w:ascii="宋体" w:hAnsi="宋体" w:cs="宋体"/>
                <w:b/>
                <w:color w:val="auto"/>
                <w:sz w:val="24"/>
                <w:szCs w:val="24"/>
              </w:rPr>
              <w:t>单位</w:t>
            </w:r>
          </w:p>
        </w:tc>
        <w:tc>
          <w:tcPr>
            <w:tcW w:w="872" w:type="pct"/>
            <w:tcBorders>
              <w:top w:val="single" w:color="000000" w:sz="6" w:space="0"/>
              <w:left w:val="single" w:color="000000" w:sz="6" w:space="0"/>
              <w:bottom w:val="single" w:color="000000" w:sz="6" w:space="0"/>
              <w:right w:val="single" w:color="000000" w:sz="6" w:space="0"/>
            </w:tcBorders>
            <w:vAlign w:val="center"/>
          </w:tcPr>
          <w:p w14:paraId="2ABC75FE">
            <w:pPr>
              <w:jc w:val="center"/>
              <w:rPr>
                <w:rFonts w:ascii="宋体" w:hAnsi="宋体" w:cs="宋体"/>
                <w:b/>
                <w:color w:val="auto"/>
                <w:sz w:val="24"/>
                <w:szCs w:val="24"/>
              </w:rPr>
            </w:pPr>
            <w:r>
              <w:rPr>
                <w:rFonts w:hint="eastAsia" w:ascii="宋体" w:hAnsi="宋体" w:cs="宋体"/>
                <w:b/>
                <w:color w:val="auto"/>
                <w:sz w:val="24"/>
                <w:szCs w:val="24"/>
              </w:rPr>
              <w:t>综合单价（元）</w:t>
            </w:r>
          </w:p>
        </w:tc>
        <w:tc>
          <w:tcPr>
            <w:tcW w:w="724" w:type="pct"/>
            <w:tcBorders>
              <w:top w:val="single" w:color="000000" w:sz="6" w:space="0"/>
              <w:left w:val="single" w:color="000000" w:sz="6" w:space="0"/>
              <w:bottom w:val="single" w:color="000000" w:sz="6" w:space="0"/>
              <w:right w:val="single" w:color="000000" w:sz="6" w:space="0"/>
            </w:tcBorders>
            <w:vAlign w:val="center"/>
          </w:tcPr>
          <w:p w14:paraId="58519A22">
            <w:pPr>
              <w:jc w:val="center"/>
              <w:rPr>
                <w:rFonts w:ascii="宋体" w:hAnsi="宋体" w:cs="宋体"/>
                <w:b/>
                <w:color w:val="auto"/>
                <w:sz w:val="24"/>
                <w:szCs w:val="24"/>
              </w:rPr>
            </w:pPr>
            <w:r>
              <w:rPr>
                <w:rFonts w:hint="eastAsia" w:ascii="宋体" w:hAnsi="宋体" w:cs="宋体"/>
                <w:b/>
                <w:color w:val="auto"/>
                <w:sz w:val="24"/>
                <w:szCs w:val="24"/>
              </w:rPr>
              <w:t>小计（元）</w:t>
            </w:r>
          </w:p>
        </w:tc>
        <w:tc>
          <w:tcPr>
            <w:tcW w:w="724" w:type="pct"/>
            <w:tcBorders>
              <w:top w:val="single" w:color="000000" w:sz="6" w:space="0"/>
              <w:left w:val="single" w:color="000000" w:sz="6" w:space="0"/>
              <w:bottom w:val="single" w:color="000000" w:sz="6" w:space="0"/>
              <w:right w:val="single" w:color="000000" w:sz="6" w:space="0"/>
            </w:tcBorders>
            <w:vAlign w:val="center"/>
          </w:tcPr>
          <w:p w14:paraId="741EE25F">
            <w:pPr>
              <w:jc w:val="center"/>
              <w:rPr>
                <w:rFonts w:hint="eastAsia"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备注</w:t>
            </w:r>
          </w:p>
        </w:tc>
      </w:tr>
      <w:tr w14:paraId="4C75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2C8BC88D">
            <w:pPr>
              <w:jc w:val="center"/>
              <w:rPr>
                <w:rFonts w:ascii="宋体" w:hAnsi="宋体" w:cs="宋体"/>
                <w:color w:val="auto"/>
                <w:kern w:val="0"/>
                <w:sz w:val="24"/>
                <w:szCs w:val="24"/>
              </w:rPr>
            </w:pPr>
            <w:r>
              <w:rPr>
                <w:rFonts w:ascii="宋体" w:hAnsi="宋体" w:cs="宋体"/>
                <w:color w:val="auto"/>
                <w:kern w:val="0"/>
                <w:sz w:val="24"/>
                <w:szCs w:val="24"/>
              </w:rPr>
              <w:t>1</w:t>
            </w:r>
          </w:p>
        </w:tc>
        <w:tc>
          <w:tcPr>
            <w:tcW w:w="1067" w:type="pct"/>
            <w:tcBorders>
              <w:top w:val="single" w:color="000000" w:sz="6" w:space="0"/>
              <w:left w:val="single" w:color="000000" w:sz="6" w:space="0"/>
              <w:bottom w:val="single" w:color="000000" w:sz="6" w:space="0"/>
              <w:right w:val="single" w:color="000000" w:sz="6" w:space="0"/>
            </w:tcBorders>
            <w:vAlign w:val="center"/>
          </w:tcPr>
          <w:p w14:paraId="5E30BAD2">
            <w:pPr>
              <w:jc w:val="center"/>
              <w:rPr>
                <w:rFonts w:ascii="宋体" w:hAnsi="宋体" w:cs="宋体"/>
                <w:color w:val="auto"/>
                <w:kern w:val="0"/>
                <w:sz w:val="24"/>
                <w:szCs w:val="24"/>
              </w:rPr>
            </w:pPr>
          </w:p>
        </w:tc>
        <w:tc>
          <w:tcPr>
            <w:tcW w:w="756" w:type="pct"/>
            <w:tcBorders>
              <w:top w:val="single" w:color="000000" w:sz="6" w:space="0"/>
              <w:left w:val="single" w:color="000000" w:sz="6" w:space="0"/>
              <w:bottom w:val="single" w:color="000000" w:sz="6" w:space="0"/>
              <w:right w:val="single" w:color="000000" w:sz="6" w:space="0"/>
            </w:tcBorders>
            <w:vAlign w:val="center"/>
          </w:tcPr>
          <w:p w14:paraId="0AB6E5D1">
            <w:pPr>
              <w:jc w:val="center"/>
              <w:rPr>
                <w:rFonts w:ascii="宋体" w:hAnsi="宋体" w:cs="宋体"/>
                <w:color w:val="auto"/>
                <w:sz w:val="24"/>
                <w:szCs w:val="24"/>
              </w:rPr>
            </w:pPr>
          </w:p>
        </w:tc>
        <w:tc>
          <w:tcPr>
            <w:tcW w:w="550" w:type="pct"/>
            <w:tcBorders>
              <w:top w:val="single" w:color="000000" w:sz="6" w:space="0"/>
              <w:left w:val="single" w:color="000000" w:sz="6" w:space="0"/>
              <w:bottom w:val="single" w:color="000000" w:sz="6" w:space="0"/>
              <w:right w:val="single" w:color="000000" w:sz="6" w:space="0"/>
            </w:tcBorders>
            <w:vAlign w:val="center"/>
          </w:tcPr>
          <w:p w14:paraId="6E1C9791">
            <w:pPr>
              <w:jc w:val="center"/>
              <w:rPr>
                <w:rFonts w:ascii="宋体" w:hAnsi="宋体" w:cs="宋体"/>
                <w:color w:val="auto"/>
                <w:sz w:val="24"/>
                <w:szCs w:val="24"/>
              </w:rPr>
            </w:pPr>
          </w:p>
        </w:tc>
        <w:tc>
          <w:tcPr>
            <w:tcW w:w="872" w:type="pct"/>
            <w:tcBorders>
              <w:top w:val="single" w:color="000000" w:sz="6" w:space="0"/>
              <w:left w:val="single" w:color="000000" w:sz="6" w:space="0"/>
              <w:bottom w:val="single" w:color="000000" w:sz="6" w:space="0"/>
              <w:right w:val="single" w:color="000000" w:sz="6" w:space="0"/>
            </w:tcBorders>
            <w:vAlign w:val="center"/>
          </w:tcPr>
          <w:p w14:paraId="3E69ACE6">
            <w:pPr>
              <w:jc w:val="center"/>
              <w:rPr>
                <w:rFonts w:ascii="宋体" w:hAnsi="宋体" w:cs="宋体"/>
                <w:color w:val="auto"/>
                <w:kern w:val="0"/>
                <w:sz w:val="24"/>
                <w:szCs w:val="24"/>
              </w:rPr>
            </w:pPr>
          </w:p>
        </w:tc>
        <w:tc>
          <w:tcPr>
            <w:tcW w:w="724" w:type="pct"/>
            <w:tcBorders>
              <w:top w:val="single" w:color="000000" w:sz="6" w:space="0"/>
              <w:left w:val="single" w:color="000000" w:sz="6" w:space="0"/>
              <w:bottom w:val="single" w:color="000000" w:sz="6" w:space="0"/>
              <w:right w:val="single" w:color="000000" w:sz="6" w:space="0"/>
            </w:tcBorders>
            <w:vAlign w:val="center"/>
          </w:tcPr>
          <w:p w14:paraId="4D3C4A2C">
            <w:pPr>
              <w:jc w:val="center"/>
              <w:rPr>
                <w:rFonts w:ascii="宋体" w:hAnsi="宋体" w:cs="宋体"/>
                <w:color w:val="auto"/>
                <w:sz w:val="24"/>
                <w:szCs w:val="24"/>
              </w:rPr>
            </w:pPr>
          </w:p>
        </w:tc>
        <w:tc>
          <w:tcPr>
            <w:tcW w:w="724" w:type="pct"/>
            <w:tcBorders>
              <w:top w:val="single" w:color="000000" w:sz="6" w:space="0"/>
              <w:left w:val="single" w:color="000000" w:sz="6" w:space="0"/>
              <w:right w:val="single" w:color="000000" w:sz="6" w:space="0"/>
            </w:tcBorders>
            <w:vAlign w:val="center"/>
          </w:tcPr>
          <w:p w14:paraId="683FB516">
            <w:pPr>
              <w:jc w:val="center"/>
              <w:rPr>
                <w:rFonts w:ascii="宋体" w:hAnsi="宋体" w:cs="宋体"/>
                <w:color w:val="auto"/>
                <w:sz w:val="24"/>
                <w:szCs w:val="24"/>
              </w:rPr>
            </w:pPr>
          </w:p>
        </w:tc>
      </w:tr>
      <w:tr w14:paraId="37E5A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04" w:type="pct"/>
            <w:tcBorders>
              <w:top w:val="single" w:color="000000" w:sz="6" w:space="0"/>
              <w:left w:val="single" w:color="000000" w:sz="6" w:space="0"/>
              <w:bottom w:val="single" w:color="000000" w:sz="6" w:space="0"/>
              <w:right w:val="single" w:color="000000" w:sz="6" w:space="0"/>
            </w:tcBorders>
            <w:vAlign w:val="center"/>
          </w:tcPr>
          <w:p w14:paraId="678DF374">
            <w:pPr>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p>
        </w:tc>
        <w:tc>
          <w:tcPr>
            <w:tcW w:w="1067" w:type="pct"/>
            <w:tcBorders>
              <w:top w:val="single" w:color="000000" w:sz="6" w:space="0"/>
              <w:left w:val="single" w:color="000000" w:sz="6" w:space="0"/>
              <w:bottom w:val="single" w:color="000000" w:sz="6" w:space="0"/>
              <w:right w:val="single" w:color="000000" w:sz="6" w:space="0"/>
            </w:tcBorders>
            <w:vAlign w:val="center"/>
          </w:tcPr>
          <w:p w14:paraId="215FBE26">
            <w:pPr>
              <w:jc w:val="center"/>
              <w:rPr>
                <w:rFonts w:ascii="宋体" w:hAnsi="宋体" w:cs="宋体"/>
                <w:color w:val="auto"/>
                <w:kern w:val="0"/>
                <w:sz w:val="24"/>
                <w:szCs w:val="24"/>
              </w:rPr>
            </w:pPr>
          </w:p>
        </w:tc>
        <w:tc>
          <w:tcPr>
            <w:tcW w:w="756" w:type="pct"/>
            <w:tcBorders>
              <w:top w:val="single" w:color="000000" w:sz="6" w:space="0"/>
              <w:left w:val="single" w:color="000000" w:sz="6" w:space="0"/>
              <w:bottom w:val="single" w:color="000000" w:sz="6" w:space="0"/>
              <w:right w:val="single" w:color="000000" w:sz="6" w:space="0"/>
            </w:tcBorders>
            <w:vAlign w:val="center"/>
          </w:tcPr>
          <w:p w14:paraId="5B5332C6">
            <w:pPr>
              <w:jc w:val="center"/>
              <w:rPr>
                <w:rFonts w:ascii="宋体" w:hAnsi="宋体" w:cs="宋体"/>
                <w:color w:val="auto"/>
                <w:sz w:val="24"/>
                <w:szCs w:val="24"/>
              </w:rPr>
            </w:pPr>
          </w:p>
        </w:tc>
        <w:tc>
          <w:tcPr>
            <w:tcW w:w="550" w:type="pct"/>
            <w:tcBorders>
              <w:top w:val="single" w:color="000000" w:sz="6" w:space="0"/>
              <w:left w:val="single" w:color="000000" w:sz="6" w:space="0"/>
              <w:bottom w:val="single" w:color="000000" w:sz="6" w:space="0"/>
              <w:right w:val="single" w:color="000000" w:sz="6" w:space="0"/>
            </w:tcBorders>
            <w:vAlign w:val="center"/>
          </w:tcPr>
          <w:p w14:paraId="16DF3099">
            <w:pPr>
              <w:jc w:val="center"/>
              <w:rPr>
                <w:rFonts w:ascii="宋体" w:hAnsi="宋体" w:cs="宋体"/>
                <w:color w:val="auto"/>
                <w:sz w:val="24"/>
                <w:szCs w:val="24"/>
              </w:rPr>
            </w:pPr>
          </w:p>
        </w:tc>
        <w:tc>
          <w:tcPr>
            <w:tcW w:w="872" w:type="pct"/>
            <w:tcBorders>
              <w:top w:val="single" w:color="000000" w:sz="6" w:space="0"/>
              <w:left w:val="single" w:color="000000" w:sz="6" w:space="0"/>
              <w:bottom w:val="single" w:color="000000" w:sz="6" w:space="0"/>
              <w:right w:val="single" w:color="000000" w:sz="6" w:space="0"/>
            </w:tcBorders>
            <w:vAlign w:val="center"/>
          </w:tcPr>
          <w:p w14:paraId="22A4E835">
            <w:pPr>
              <w:jc w:val="center"/>
              <w:rPr>
                <w:rFonts w:ascii="宋体" w:hAnsi="宋体" w:cs="宋体"/>
                <w:color w:val="auto"/>
                <w:kern w:val="0"/>
                <w:sz w:val="24"/>
                <w:szCs w:val="24"/>
              </w:rPr>
            </w:pPr>
          </w:p>
        </w:tc>
        <w:tc>
          <w:tcPr>
            <w:tcW w:w="724" w:type="pct"/>
            <w:tcBorders>
              <w:top w:val="single" w:color="000000" w:sz="6" w:space="0"/>
              <w:left w:val="single" w:color="000000" w:sz="6" w:space="0"/>
              <w:bottom w:val="single" w:color="000000" w:sz="6" w:space="0"/>
              <w:right w:val="single" w:color="000000" w:sz="6" w:space="0"/>
            </w:tcBorders>
            <w:vAlign w:val="center"/>
          </w:tcPr>
          <w:p w14:paraId="5D7593F7">
            <w:pPr>
              <w:jc w:val="center"/>
              <w:rPr>
                <w:rFonts w:ascii="宋体" w:hAnsi="宋体" w:cs="宋体"/>
                <w:color w:val="auto"/>
                <w:sz w:val="24"/>
                <w:szCs w:val="24"/>
              </w:rPr>
            </w:pPr>
          </w:p>
        </w:tc>
        <w:tc>
          <w:tcPr>
            <w:tcW w:w="724" w:type="pct"/>
            <w:tcBorders>
              <w:top w:val="single" w:color="000000" w:sz="6" w:space="0"/>
              <w:left w:val="single" w:color="000000" w:sz="6" w:space="0"/>
              <w:right w:val="single" w:color="000000" w:sz="6" w:space="0"/>
            </w:tcBorders>
            <w:vAlign w:val="center"/>
          </w:tcPr>
          <w:p w14:paraId="0DD89D5D">
            <w:pPr>
              <w:jc w:val="center"/>
              <w:rPr>
                <w:rFonts w:ascii="宋体" w:hAnsi="宋体" w:cs="宋体"/>
                <w:color w:val="auto"/>
                <w:sz w:val="24"/>
                <w:szCs w:val="24"/>
              </w:rPr>
            </w:pPr>
          </w:p>
        </w:tc>
      </w:tr>
      <w:tr w14:paraId="677BA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551" w:type="pct"/>
            <w:gridSpan w:val="5"/>
            <w:tcBorders>
              <w:top w:val="single" w:color="000000" w:sz="6" w:space="0"/>
              <w:left w:val="single" w:color="000000" w:sz="6" w:space="0"/>
              <w:bottom w:val="single" w:color="000000" w:sz="6" w:space="0"/>
              <w:right w:val="single" w:color="000000" w:sz="6" w:space="0"/>
            </w:tcBorders>
            <w:vAlign w:val="center"/>
          </w:tcPr>
          <w:p w14:paraId="752B4826">
            <w:pPr>
              <w:jc w:val="center"/>
              <w:rPr>
                <w:rFonts w:ascii="宋体" w:hAnsi="宋体" w:cs="宋体"/>
                <w:color w:val="auto"/>
                <w:kern w:val="0"/>
                <w:sz w:val="24"/>
                <w:szCs w:val="24"/>
              </w:rPr>
            </w:pPr>
            <w:r>
              <w:rPr>
                <w:rFonts w:hint="eastAsia" w:ascii="宋体" w:hAnsi="宋体" w:cs="宋体"/>
                <w:b/>
                <w:bCs/>
                <w:color w:val="auto"/>
                <w:sz w:val="24"/>
                <w:szCs w:val="24"/>
              </w:rPr>
              <w:t>合计金额（元）</w:t>
            </w:r>
          </w:p>
        </w:tc>
        <w:tc>
          <w:tcPr>
            <w:tcW w:w="1448" w:type="pct"/>
            <w:gridSpan w:val="2"/>
            <w:tcBorders>
              <w:top w:val="single" w:color="000000" w:sz="6" w:space="0"/>
              <w:left w:val="single" w:color="000000" w:sz="6" w:space="0"/>
              <w:bottom w:val="single" w:color="000000" w:sz="6" w:space="0"/>
              <w:right w:val="single" w:color="000000" w:sz="6" w:space="0"/>
            </w:tcBorders>
            <w:vAlign w:val="center"/>
          </w:tcPr>
          <w:p w14:paraId="3C4E952F">
            <w:pPr>
              <w:jc w:val="center"/>
              <w:rPr>
                <w:rFonts w:ascii="宋体" w:hAnsi="宋体" w:cs="宋体"/>
                <w:color w:val="auto"/>
                <w:sz w:val="24"/>
                <w:szCs w:val="24"/>
              </w:rPr>
            </w:pPr>
          </w:p>
        </w:tc>
      </w:tr>
    </w:tbl>
    <w:p w14:paraId="4F24DCA6">
      <w:pPr>
        <w:pStyle w:val="42"/>
        <w:ind w:firstLine="480"/>
        <w:rPr>
          <w:color w:val="auto"/>
        </w:rPr>
      </w:pPr>
    </w:p>
    <w:p w14:paraId="6AF098F0">
      <w:pPr>
        <w:pStyle w:val="42"/>
        <w:ind w:firstLine="480"/>
        <w:rPr>
          <w:color w:val="auto"/>
          <w:lang w:eastAsia="zh-CN"/>
        </w:rPr>
      </w:pPr>
      <w:r>
        <w:rPr>
          <w:rFonts w:hint="eastAsia"/>
          <w:color w:val="auto"/>
          <w:lang w:eastAsia="zh-CN"/>
        </w:rPr>
        <w:t>磋商响应人</w:t>
      </w:r>
      <w:r>
        <w:rPr>
          <w:rFonts w:hint="eastAsia"/>
          <w:color w:val="auto"/>
        </w:rPr>
        <w:t>名称（</w:t>
      </w:r>
      <w:r>
        <w:rPr>
          <w:rFonts w:hint="eastAsia"/>
          <w:color w:val="auto"/>
          <w:szCs w:val="24"/>
        </w:rPr>
        <w:t>电子签</w:t>
      </w:r>
      <w:r>
        <w:rPr>
          <w:rFonts w:hint="eastAsia"/>
          <w:color w:val="auto"/>
          <w:szCs w:val="24"/>
          <w:lang w:eastAsia="zh-CN"/>
        </w:rPr>
        <w:t>章</w:t>
      </w:r>
      <w:r>
        <w:rPr>
          <w:rFonts w:hint="eastAsia"/>
          <w:color w:val="auto"/>
          <w:szCs w:val="24"/>
        </w:rPr>
        <w:t>/公章</w:t>
      </w:r>
      <w:r>
        <w:rPr>
          <w:rFonts w:hint="eastAsia"/>
          <w:color w:val="auto"/>
        </w:rPr>
        <w:t>）：</w:t>
      </w:r>
    </w:p>
    <w:p w14:paraId="1C9F469A">
      <w:pPr>
        <w:pStyle w:val="42"/>
        <w:ind w:firstLine="480"/>
        <w:rPr>
          <w:color w:val="auto"/>
        </w:rPr>
      </w:pPr>
      <w:r>
        <w:rPr>
          <w:rFonts w:hint="eastAsia"/>
          <w:color w:val="auto"/>
        </w:rPr>
        <w:t>日期：年月日</w:t>
      </w:r>
    </w:p>
    <w:p w14:paraId="28FC4C66">
      <w:pPr>
        <w:pStyle w:val="42"/>
        <w:ind w:firstLine="480"/>
        <w:rPr>
          <w:rFonts w:cs="Arial"/>
          <w:color w:val="auto"/>
          <w:lang w:eastAsia="zh-CN"/>
        </w:rPr>
      </w:pPr>
    </w:p>
    <w:p w14:paraId="17AD8FF7">
      <w:pPr>
        <w:pStyle w:val="42"/>
        <w:ind w:firstLine="0" w:firstLineChars="0"/>
        <w:rPr>
          <w:color w:val="auto"/>
          <w:lang w:eastAsia="zh-CN"/>
        </w:rPr>
      </w:pPr>
      <w:r>
        <w:rPr>
          <w:rFonts w:hint="eastAsia"/>
          <w:color w:val="auto"/>
        </w:rPr>
        <w:t>【注：</w:t>
      </w:r>
    </w:p>
    <w:p w14:paraId="1A28AFCC">
      <w:pPr>
        <w:pStyle w:val="42"/>
        <w:numPr>
          <w:ilvl w:val="0"/>
          <w:numId w:val="77"/>
        </w:numPr>
        <w:ind w:firstLine="480"/>
        <w:rPr>
          <w:rFonts w:cs="Arial"/>
          <w:iCs/>
          <w:color w:val="auto"/>
        </w:rPr>
      </w:pPr>
      <w:r>
        <w:rPr>
          <w:rFonts w:hint="eastAsia" w:cs="Arial"/>
          <w:color w:val="auto"/>
        </w:rPr>
        <w:t>表格可自行延展，但内容不可缺失。</w:t>
      </w:r>
    </w:p>
    <w:p w14:paraId="26A31FE4">
      <w:pPr>
        <w:pStyle w:val="42"/>
        <w:numPr>
          <w:ilvl w:val="0"/>
          <w:numId w:val="77"/>
        </w:numPr>
        <w:ind w:firstLine="480"/>
        <w:rPr>
          <w:rFonts w:cs="Arial"/>
          <w:iCs/>
          <w:color w:val="auto"/>
        </w:rPr>
      </w:pPr>
      <w:r>
        <w:rPr>
          <w:rFonts w:hint="eastAsia"/>
          <w:color w:val="auto"/>
        </w:rPr>
        <w:t>投报多个标项的应当按对应标项分别编制本表。</w:t>
      </w:r>
    </w:p>
    <w:p w14:paraId="5ED01146">
      <w:pPr>
        <w:pStyle w:val="42"/>
        <w:ind w:firstLine="480"/>
        <w:rPr>
          <w:color w:val="auto"/>
        </w:rPr>
      </w:pPr>
      <w:r>
        <w:rPr>
          <w:color w:val="auto"/>
        </w:rPr>
        <w:t>3</w:t>
      </w:r>
      <w:r>
        <w:rPr>
          <w:rFonts w:hint="eastAsia"/>
          <w:color w:val="auto"/>
        </w:rPr>
        <w:t>、有关本项目实施所涉及的一切费用均计入报价。采购人将以合同形式有偿取得货物或服务，不接受</w:t>
      </w:r>
      <w:r>
        <w:rPr>
          <w:rFonts w:hint="eastAsia"/>
          <w:color w:val="auto"/>
          <w:lang w:eastAsia="zh-CN"/>
        </w:rPr>
        <w:t>磋商响应人</w:t>
      </w:r>
      <w:r>
        <w:rPr>
          <w:rFonts w:hint="eastAsia"/>
          <w:color w:val="auto"/>
        </w:rPr>
        <w:t>给予的赠品、回扣或者与采购无关的其他商品、服务，不得出现“0元”“免费赠送”等形式的无偿报价，否则视为</w:t>
      </w:r>
      <w:r>
        <w:rPr>
          <w:rFonts w:hint="eastAsia"/>
          <w:color w:val="auto"/>
          <w:lang w:eastAsia="zh-CN"/>
        </w:rPr>
        <w:t>磋商响应文件</w:t>
      </w:r>
      <w:r>
        <w:rPr>
          <w:rFonts w:hint="eastAsia"/>
          <w:color w:val="auto"/>
        </w:rPr>
        <w:t>含有采购人不能接受的附加条件，</w:t>
      </w:r>
      <w:r>
        <w:rPr>
          <w:rFonts w:hint="eastAsia"/>
          <w:color w:val="auto"/>
          <w:lang w:eastAsia="zh-CN"/>
        </w:rPr>
        <w:t>磋商响应</w:t>
      </w:r>
      <w:r>
        <w:rPr>
          <w:rFonts w:hint="eastAsia"/>
          <w:color w:val="auto"/>
        </w:rPr>
        <w:t>无效。</w:t>
      </w:r>
    </w:p>
    <w:p w14:paraId="08DF0395">
      <w:pPr>
        <w:pStyle w:val="42"/>
        <w:ind w:firstLine="480"/>
        <w:rPr>
          <w:rFonts w:hint="eastAsia"/>
          <w:color w:val="auto"/>
        </w:rPr>
      </w:pPr>
      <w:r>
        <w:rPr>
          <w:color w:val="auto"/>
        </w:rPr>
        <w:t>4</w:t>
      </w:r>
      <w:r>
        <w:rPr>
          <w:rFonts w:hint="eastAsia"/>
          <w:color w:val="auto"/>
        </w:rPr>
        <w:t>、特别提示：采购机构将对项目名称和项目编号，</w:t>
      </w:r>
      <w:r>
        <w:rPr>
          <w:rFonts w:hint="eastAsia"/>
          <w:color w:val="auto"/>
          <w:lang w:eastAsia="zh-CN"/>
        </w:rPr>
        <w:t>成交</w:t>
      </w:r>
      <w:r>
        <w:rPr>
          <w:rFonts w:hint="eastAsia"/>
          <w:color w:val="auto"/>
        </w:rPr>
        <w:t>供应商名称、地址和</w:t>
      </w:r>
      <w:r>
        <w:rPr>
          <w:rFonts w:hint="eastAsia"/>
          <w:color w:val="auto"/>
          <w:lang w:eastAsia="zh-CN"/>
        </w:rPr>
        <w:t>成交</w:t>
      </w:r>
      <w:r>
        <w:rPr>
          <w:rFonts w:hint="eastAsia"/>
          <w:color w:val="auto"/>
        </w:rPr>
        <w:t>金额，主要</w:t>
      </w:r>
      <w:r>
        <w:rPr>
          <w:rFonts w:hint="eastAsia"/>
          <w:color w:val="auto"/>
          <w:lang w:eastAsia="zh-CN"/>
        </w:rPr>
        <w:t>成交</w:t>
      </w:r>
      <w:r>
        <w:rPr>
          <w:rFonts w:hint="eastAsia"/>
          <w:color w:val="auto"/>
        </w:rPr>
        <w:t>标的名称、品牌（如果有）、规格型号、数量、单价等予以公示。】</w:t>
      </w:r>
    </w:p>
    <w:p w14:paraId="798FC158">
      <w:pPr>
        <w:rPr>
          <w:rFonts w:hint="eastAsia"/>
          <w:color w:val="auto"/>
        </w:rPr>
      </w:pPr>
      <w:r>
        <w:rPr>
          <w:rFonts w:hint="eastAsia"/>
          <w:color w:val="auto"/>
        </w:rPr>
        <w:br w:type="page"/>
      </w:r>
    </w:p>
    <w:p w14:paraId="52FDABDF">
      <w:pPr>
        <w:pStyle w:val="44"/>
        <w:numPr>
          <w:ilvl w:val="1"/>
          <w:numId w:val="74"/>
        </w:numPr>
        <w:adjustRightInd/>
        <w:rPr>
          <w:color w:val="auto"/>
        </w:rPr>
      </w:pPr>
      <w:r>
        <w:rPr>
          <w:rFonts w:hint="eastAsia"/>
          <w:color w:val="auto"/>
        </w:rPr>
        <w:t>中小企业声明函（</w:t>
      </w:r>
      <w:r>
        <w:rPr>
          <w:rFonts w:hint="eastAsia"/>
          <w:color w:val="auto"/>
          <w:lang w:val="en-US" w:eastAsia="zh-Hans"/>
        </w:rPr>
        <w:t>服务</w:t>
      </w:r>
      <w:r>
        <w:rPr>
          <w:rFonts w:hint="eastAsia"/>
          <w:color w:val="auto"/>
        </w:rPr>
        <w:t>）</w:t>
      </w:r>
      <w:bookmarkEnd w:id="82"/>
    </w:p>
    <w:p w14:paraId="29679F6C">
      <w:pPr>
        <w:pStyle w:val="42"/>
        <w:ind w:firstLine="480"/>
        <w:rPr>
          <w:color w:val="auto"/>
        </w:rPr>
      </w:pPr>
      <w:r>
        <w:rPr>
          <w:rFonts w:hint="eastAsia"/>
          <w:color w:val="auto"/>
        </w:rPr>
        <w:t>本公司（联合体）郑重声明，根据《政府采购促进中小企业发展管理办法》（财库﹝2020﹞46 号）的规定，本公司（联合体）参加</w:t>
      </w:r>
      <w:r>
        <w:rPr>
          <w:rFonts w:hint="eastAsia"/>
          <w:b w:val="0"/>
          <w:bCs w:val="0"/>
          <w:color w:val="auto"/>
        </w:rPr>
        <w:t xml:space="preserve"> </w:t>
      </w:r>
      <w:r>
        <w:rPr>
          <w:rFonts w:hint="eastAsia"/>
          <w:b w:val="0"/>
          <w:bCs w:val="0"/>
          <w:color w:val="auto"/>
          <w:u w:val="single"/>
          <w:lang w:eastAsia="zh-CN"/>
        </w:rPr>
        <w:t>2026年跨省北斗定位漫游服务和北斗应用终端标准数据服务项目</w:t>
      </w:r>
      <w:r>
        <w:rPr>
          <w:rFonts w:hint="eastAsia"/>
          <w:b w:val="0"/>
          <w:bCs w:val="0"/>
          <w:color w:val="auto"/>
          <w:u w:val="single"/>
        </w:rPr>
        <w:t>（项目编号：</w:t>
      </w:r>
      <w:r>
        <w:rPr>
          <w:rFonts w:hint="eastAsia"/>
          <w:b w:val="0"/>
          <w:bCs w:val="0"/>
          <w:color w:val="auto"/>
          <w:u w:val="single"/>
          <w:lang w:eastAsia="zh-CN"/>
        </w:rPr>
        <w:t>330000263130150000171-ZQ260319ZG</w:t>
      </w:r>
      <w:r>
        <w:rPr>
          <w:rFonts w:hint="eastAsia"/>
          <w:b w:val="0"/>
          <w:bCs w:val="0"/>
          <w:color w:val="auto"/>
          <w:u w:val="single"/>
        </w:rPr>
        <w:t>）</w:t>
      </w:r>
      <w:r>
        <w:rPr>
          <w:rFonts w:hint="eastAsia"/>
          <w:i/>
          <w:iCs/>
          <w:color w:val="auto"/>
          <w:u w:val="single"/>
          <w:lang w:val="en-US" w:eastAsia="zh-Hans"/>
        </w:rPr>
        <w:t>标项序号：…标项名称：…</w:t>
      </w:r>
      <w:r>
        <w:rPr>
          <w:rFonts w:hint="eastAsia"/>
          <w:color w:val="auto"/>
        </w:rPr>
        <w:t>采购活动，</w:t>
      </w:r>
      <w:r>
        <w:rPr>
          <w:rFonts w:hint="eastAsia" w:ascii="宋体" w:hAnsi="宋体" w:eastAsia="宋体" w:cs="仿宋"/>
          <w:color w:val="auto"/>
        </w:rPr>
        <w:t>服务全部由符合政策要求的中小企业承接</w:t>
      </w:r>
      <w:r>
        <w:rPr>
          <w:rFonts w:hint="eastAsia"/>
          <w:color w:val="auto"/>
        </w:rPr>
        <w:t>。相关企业（含联合体中的中小企业、签订分包意向协议的中小企业）的具体情况如下：</w:t>
      </w:r>
    </w:p>
    <w:p w14:paraId="48C7B2D6">
      <w:pPr>
        <w:pStyle w:val="42"/>
        <w:ind w:firstLine="480"/>
        <w:rPr>
          <w:color w:val="auto"/>
        </w:rPr>
      </w:pPr>
      <w:r>
        <w:rPr>
          <w:rFonts w:hint="eastAsia"/>
          <w:color w:val="auto"/>
        </w:rPr>
        <w:t xml:space="preserve">1. </w:t>
      </w:r>
      <w:r>
        <w:rPr>
          <w:rFonts w:hint="eastAsia"/>
          <w:b w:val="0"/>
          <w:bCs w:val="0"/>
          <w:color w:val="auto"/>
          <w:u w:val="single"/>
          <w:lang w:eastAsia="zh-CN"/>
        </w:rPr>
        <w:t>2026年跨省北斗定位漫游服务和北斗应用终端标准数据服务</w:t>
      </w:r>
      <w:r>
        <w:rPr>
          <w:rFonts w:hint="eastAsia"/>
          <w:color w:val="auto"/>
        </w:rPr>
        <w:t xml:space="preserve"> ，属于</w:t>
      </w:r>
      <w:r>
        <w:rPr>
          <w:rFonts w:hint="eastAsia"/>
          <w:b w:val="0"/>
          <w:bCs w:val="0"/>
          <w:color w:val="auto"/>
          <w:u w:val="single"/>
        </w:rPr>
        <w:t xml:space="preserve"> </w:t>
      </w:r>
      <w:r>
        <w:rPr>
          <w:rFonts w:hint="eastAsia"/>
          <w:b w:val="0"/>
          <w:bCs w:val="0"/>
          <w:color w:val="auto"/>
          <w:u w:val="single"/>
          <w:lang w:eastAsia="zh-CN"/>
        </w:rPr>
        <w:t>其他未列明</w:t>
      </w:r>
      <w:r>
        <w:rPr>
          <w:rFonts w:hint="eastAsia"/>
          <w:color w:val="auto"/>
        </w:rPr>
        <w:t>行业 ；</w:t>
      </w:r>
      <w:r>
        <w:rPr>
          <w:rFonts w:hint="eastAsia" w:ascii="Arial" w:hAnsi="Arial" w:cs="Arial"/>
          <w:color w:val="auto"/>
        </w:rPr>
        <w:t>承建（承接）企业</w:t>
      </w:r>
      <w:r>
        <w:rPr>
          <w:rFonts w:hint="eastAsia"/>
          <w:color w:val="auto"/>
        </w:rPr>
        <w:t>为</w:t>
      </w:r>
      <w:r>
        <w:rPr>
          <w:rFonts w:hint="eastAsia"/>
          <w:color w:val="auto"/>
          <w:u w:val="single"/>
        </w:rPr>
        <w:t xml:space="preserve"> </w:t>
      </w:r>
      <w:r>
        <w:rPr>
          <w:rFonts w:hint="eastAsia"/>
          <w:i/>
          <w:color w:val="auto"/>
          <w:u w:val="single"/>
        </w:rPr>
        <w:t>（企业名称）</w:t>
      </w:r>
      <w:r>
        <w:rPr>
          <w:rFonts w:hint="eastAsia"/>
          <w:color w:val="auto"/>
        </w:rPr>
        <w:t>，从业人员</w:t>
      </w:r>
      <w:r>
        <w:rPr>
          <w:rFonts w:hint="eastAsia"/>
          <w:color w:val="auto"/>
          <w:u w:val="single"/>
        </w:rPr>
        <w:t xml:space="preserve">  </w:t>
      </w:r>
      <w:r>
        <w:rPr>
          <w:rFonts w:hint="eastAsia"/>
          <w:color w:val="auto"/>
        </w:rPr>
        <w:t>人，营业收入为</w:t>
      </w:r>
      <w:r>
        <w:rPr>
          <w:rFonts w:hint="eastAsia"/>
          <w:color w:val="auto"/>
          <w:u w:val="single"/>
        </w:rPr>
        <w:t xml:space="preserve">  </w:t>
      </w:r>
      <w:r>
        <w:rPr>
          <w:rFonts w:hint="eastAsia"/>
          <w:color w:val="auto"/>
        </w:rPr>
        <w:t>万元，资产总额为</w:t>
      </w:r>
      <w:r>
        <w:rPr>
          <w:rFonts w:hint="eastAsia"/>
          <w:color w:val="auto"/>
          <w:u w:val="single"/>
        </w:rPr>
        <w:t xml:space="preserve">   </w:t>
      </w:r>
      <w:r>
        <w:rPr>
          <w:rFonts w:hint="eastAsia"/>
          <w:color w:val="auto"/>
        </w:rPr>
        <w:t>万元，属于</w:t>
      </w:r>
      <w:r>
        <w:rPr>
          <w:rFonts w:hint="eastAsia"/>
          <w:i/>
          <w:iCs/>
          <w:color w:val="auto"/>
          <w:u w:val="single"/>
        </w:rPr>
        <w:t xml:space="preserve"> （中型企业、小型企业、微型企业）</w:t>
      </w:r>
      <w:r>
        <w:rPr>
          <w:rFonts w:hint="eastAsia"/>
          <w:color w:val="auto"/>
        </w:rPr>
        <w:t xml:space="preserve"> ；</w:t>
      </w:r>
    </w:p>
    <w:p w14:paraId="4D2C57AA">
      <w:pPr>
        <w:pStyle w:val="42"/>
        <w:ind w:firstLine="480"/>
        <w:rPr>
          <w:rFonts w:hint="eastAsia"/>
          <w:color w:val="auto"/>
        </w:rPr>
      </w:pPr>
      <w:r>
        <w:rPr>
          <w:rFonts w:hint="eastAsia"/>
          <w:color w:val="auto"/>
        </w:rPr>
        <w:t>……</w:t>
      </w:r>
    </w:p>
    <w:p w14:paraId="33F02238">
      <w:pPr>
        <w:pStyle w:val="42"/>
        <w:ind w:firstLine="480"/>
        <w:rPr>
          <w:rFonts w:hint="eastAsia" w:eastAsia="宋体"/>
          <w:i w:val="0"/>
          <w:iCs w:val="0"/>
          <w:color w:val="auto"/>
          <w:lang w:eastAsia="zh-Hans"/>
        </w:rPr>
      </w:pPr>
      <w:r>
        <w:rPr>
          <w:rFonts w:hint="eastAsia"/>
          <w:color w:val="auto"/>
          <w:lang w:eastAsia="zh-Hans"/>
        </w:rPr>
        <w:t>【</w:t>
      </w:r>
      <w:r>
        <w:rPr>
          <w:rFonts w:hint="eastAsia"/>
          <w:i w:val="0"/>
          <w:iCs w:val="0"/>
          <w:color w:val="auto"/>
          <w:lang w:eastAsia="zh-Hans"/>
        </w:rPr>
        <w:t>“</w:t>
      </w:r>
      <w:r>
        <w:rPr>
          <w:rFonts w:hint="eastAsia"/>
          <w:i w:val="0"/>
          <w:iCs w:val="0"/>
          <w:color w:val="auto"/>
          <w:lang w:val="en-US" w:eastAsia="zh-Hans"/>
        </w:rPr>
        <w:t>标的名称</w:t>
      </w:r>
      <w:r>
        <w:rPr>
          <w:rFonts w:hint="eastAsia"/>
          <w:i w:val="0"/>
          <w:iCs w:val="0"/>
          <w:color w:val="auto"/>
          <w:lang w:eastAsia="zh-Hans"/>
        </w:rPr>
        <w:t>”</w:t>
      </w:r>
      <w:r>
        <w:rPr>
          <w:rFonts w:hint="eastAsia"/>
          <w:i w:val="0"/>
          <w:iCs w:val="0"/>
          <w:color w:val="auto"/>
          <w:lang w:val="en-US" w:eastAsia="zh-Hans"/>
        </w:rPr>
        <w:t>是指本项目对应标项的服务内容名称】</w:t>
      </w:r>
    </w:p>
    <w:p w14:paraId="24E47359">
      <w:pPr>
        <w:pStyle w:val="42"/>
        <w:ind w:firstLine="480"/>
        <w:rPr>
          <w:rFonts w:hint="eastAsia"/>
          <w:color w:val="auto"/>
        </w:rPr>
      </w:pPr>
    </w:p>
    <w:p w14:paraId="47078267">
      <w:pPr>
        <w:pStyle w:val="42"/>
        <w:ind w:firstLine="480"/>
        <w:rPr>
          <w:color w:val="auto"/>
        </w:rPr>
      </w:pPr>
      <w:r>
        <w:rPr>
          <w:rFonts w:hint="eastAsia"/>
          <w:color w:val="auto"/>
        </w:rPr>
        <w:t>以上企业，不属于大企业的分支机构，不存在控股股东为大企业的情形，也不存在与大企业的负责人为同一人的情形。</w:t>
      </w:r>
    </w:p>
    <w:p w14:paraId="0088C699">
      <w:pPr>
        <w:pStyle w:val="42"/>
        <w:ind w:firstLine="480"/>
        <w:rPr>
          <w:color w:val="auto"/>
        </w:rPr>
      </w:pPr>
      <w:r>
        <w:rPr>
          <w:rFonts w:hint="eastAsia"/>
          <w:color w:val="auto"/>
        </w:rPr>
        <w:t>本企业对上述声明内容的真实性负责。如有虚假，将依法承担相应责任。</w:t>
      </w:r>
    </w:p>
    <w:p w14:paraId="492E91B2">
      <w:pPr>
        <w:pStyle w:val="42"/>
        <w:ind w:firstLine="480"/>
        <w:rPr>
          <w:color w:val="auto"/>
        </w:rPr>
      </w:pPr>
    </w:p>
    <w:p w14:paraId="0698A52F">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092E5F59">
      <w:pPr>
        <w:pStyle w:val="42"/>
        <w:ind w:firstLine="480"/>
        <w:rPr>
          <w:color w:val="auto"/>
        </w:rPr>
      </w:pPr>
      <w:r>
        <w:rPr>
          <w:rFonts w:hint="eastAsia"/>
          <w:color w:val="auto"/>
        </w:rPr>
        <w:t>日期：  年   月   日</w:t>
      </w:r>
    </w:p>
    <w:p w14:paraId="5C1C7D67">
      <w:pPr>
        <w:pStyle w:val="42"/>
        <w:ind w:firstLine="0" w:firstLineChars="0"/>
        <w:rPr>
          <w:rFonts w:hint="eastAsia" w:cs="宋体"/>
          <w:b/>
          <w:color w:val="auto"/>
          <w:lang w:eastAsia="zh-CN"/>
        </w:rPr>
      </w:pPr>
    </w:p>
    <w:p w14:paraId="2BD5CDF4">
      <w:pPr>
        <w:pStyle w:val="42"/>
        <w:ind w:firstLine="0" w:firstLineChars="0"/>
        <w:rPr>
          <w:rFonts w:cs="宋体"/>
          <w:bCs/>
          <w:color w:val="auto"/>
        </w:rPr>
      </w:pPr>
      <w:r>
        <w:rPr>
          <w:rFonts w:hint="eastAsia" w:cs="宋体"/>
          <w:b/>
          <w:color w:val="auto"/>
          <w:lang w:eastAsia="zh-CN"/>
        </w:rPr>
        <w:t>【</w:t>
      </w:r>
      <w:r>
        <w:rPr>
          <w:rFonts w:hint="eastAsia" w:cs="宋体"/>
          <w:bCs/>
          <w:color w:val="auto"/>
        </w:rPr>
        <w:t>提示：</w:t>
      </w:r>
    </w:p>
    <w:p w14:paraId="057D7860">
      <w:pPr>
        <w:pStyle w:val="53"/>
        <w:numPr>
          <w:ilvl w:val="0"/>
          <w:numId w:val="78"/>
        </w:numPr>
        <w:ind w:firstLine="480"/>
        <w:rPr>
          <w:color w:val="auto"/>
        </w:rPr>
      </w:pPr>
      <w:r>
        <w:rPr>
          <w:rFonts w:hint="eastAsia"/>
          <w:color w:val="auto"/>
        </w:rPr>
        <w:t>投标供应商应实事求是填写并提供本表，不属于中小企业的可不提供；</w:t>
      </w:r>
    </w:p>
    <w:p w14:paraId="4AEBC133">
      <w:pPr>
        <w:pStyle w:val="53"/>
        <w:numPr>
          <w:ilvl w:val="0"/>
          <w:numId w:val="78"/>
        </w:numPr>
        <w:ind w:firstLine="480"/>
        <w:rPr>
          <w:color w:val="auto"/>
        </w:rPr>
      </w:pPr>
      <w:r>
        <w:rPr>
          <w:rFonts w:hint="eastAsia"/>
          <w:color w:val="auto"/>
        </w:rPr>
        <w:t>从业人员、营业收入、资产总额填报上一年度数据，无上一年度数据的新成立企业可不填报；</w:t>
      </w:r>
    </w:p>
    <w:p w14:paraId="1A1A3073">
      <w:pPr>
        <w:pStyle w:val="53"/>
        <w:numPr>
          <w:ilvl w:val="0"/>
          <w:numId w:val="78"/>
        </w:numPr>
        <w:ind w:firstLine="480"/>
        <w:rPr>
          <w:rFonts w:ascii="黑体" w:hAnsi="黑体" w:eastAsia="黑体" w:cs="黑体"/>
          <w:color w:val="auto"/>
          <w:sz w:val="32"/>
          <w:szCs w:val="32"/>
        </w:rPr>
      </w:pPr>
      <w:r>
        <w:rPr>
          <w:rFonts w:hint="eastAsia"/>
          <w:color w:val="auto"/>
        </w:rPr>
        <w:t>中小型企业划型标准：详见《工业和信息化部、国家统计局、国家发展和改革委员会、财政部关于印发中小企业划型标准规定的通知（工信部联企业[2011]300号）》，</w:t>
      </w:r>
      <w:r>
        <w:rPr>
          <w:rFonts w:hint="eastAsia"/>
          <w:b/>
          <w:color w:val="auto"/>
          <w:u w:val="single"/>
        </w:rPr>
        <w:t>不论投标人属于何种行业，均按照招标文件列明的“标的物”的所属行业标准划分。】</w:t>
      </w:r>
      <w:r>
        <w:rPr>
          <w:color w:val="auto"/>
        </w:rPr>
        <w:br w:type="page"/>
      </w:r>
    </w:p>
    <w:p w14:paraId="0A3B48E2">
      <w:pPr>
        <w:pStyle w:val="44"/>
        <w:numPr>
          <w:ilvl w:val="1"/>
          <w:numId w:val="74"/>
        </w:numPr>
        <w:adjustRightInd/>
        <w:rPr>
          <w:color w:val="auto"/>
        </w:rPr>
      </w:pPr>
      <w:bookmarkStart w:id="83" w:name="_Toc24032"/>
      <w:r>
        <w:rPr>
          <w:rFonts w:hint="eastAsia"/>
          <w:color w:val="auto"/>
        </w:rPr>
        <w:t>残疾人福利性单位声明函</w:t>
      </w:r>
      <w:bookmarkEnd w:id="83"/>
    </w:p>
    <w:p w14:paraId="34D2C586">
      <w:pPr>
        <w:pStyle w:val="42"/>
        <w:ind w:firstLine="480"/>
        <w:rPr>
          <w:color w:val="auto"/>
        </w:rPr>
      </w:pPr>
      <w:r>
        <w:rPr>
          <w:rFonts w:hint="eastAsia"/>
          <w:color w:val="auto"/>
        </w:rPr>
        <w:t>本单位郑重声明，根据《财政部 民政部 中国残疾人联合会关于促进残疾人就业政府采购政策的通知》（财库〔2017〕141号）的规定，本单位为符合条件的残疾人福利性单位，且本单位参加</w:t>
      </w:r>
      <w:r>
        <w:rPr>
          <w:rFonts w:hint="eastAsia"/>
          <w:color w:val="auto"/>
          <w:u w:val="single"/>
          <w:lang w:eastAsia="zh-CN"/>
        </w:rPr>
        <w:t>浙江省测绘科学技术研究院</w:t>
      </w:r>
      <w:r>
        <w:rPr>
          <w:rFonts w:hint="eastAsia"/>
          <w:color w:val="auto"/>
        </w:rPr>
        <w:t>单位的</w:t>
      </w:r>
      <w:r>
        <w:rPr>
          <w:rFonts w:hint="eastAsia"/>
          <w:color w:val="auto"/>
          <w:u w:val="single"/>
          <w:lang w:eastAsia="zh-CN"/>
        </w:rPr>
        <w:t>2026年跨省北斗定位漫游服务和北斗应用终端标准数据服务</w:t>
      </w:r>
      <w:r>
        <w:rPr>
          <w:rFonts w:hint="eastAsia"/>
          <w:color w:val="auto"/>
        </w:rPr>
        <w:t>项目</w:t>
      </w:r>
      <w:r>
        <w:rPr>
          <w:rFonts w:hint="eastAsia"/>
          <w:i/>
          <w:iCs/>
          <w:color w:val="auto"/>
          <w:u w:val="single"/>
          <w:lang w:val="en-US" w:eastAsia="zh-Hans"/>
        </w:rPr>
        <w:t>标项序号：…标项名称：…</w:t>
      </w:r>
      <w:r>
        <w:rPr>
          <w:rFonts w:hint="eastAsia"/>
          <w:color w:val="auto"/>
        </w:rPr>
        <w:t>采购活动提供本单位</w:t>
      </w:r>
      <w:r>
        <w:rPr>
          <w:color w:val="auto"/>
        </w:rPr>
        <w:t>制造的货物，或者提供其他残疾人福利性单位制造的货物（不包括使用非残疾人福利性单位注册商标的货物）</w:t>
      </w:r>
      <w:r>
        <w:rPr>
          <w:rFonts w:hint="eastAsia"/>
          <w:color w:val="auto"/>
        </w:rPr>
        <w:t>。</w:t>
      </w:r>
    </w:p>
    <w:p w14:paraId="07E3C1E9">
      <w:pPr>
        <w:pStyle w:val="42"/>
        <w:ind w:firstLine="480"/>
        <w:rPr>
          <w:color w:val="auto"/>
        </w:rPr>
      </w:pPr>
      <w:r>
        <w:rPr>
          <w:rFonts w:hint="eastAsia"/>
          <w:color w:val="auto"/>
        </w:rPr>
        <w:t>本单位对上述声明的真实性负责。如有虚假，将依法承担相应责任。</w:t>
      </w:r>
    </w:p>
    <w:p w14:paraId="01534D80">
      <w:pPr>
        <w:pStyle w:val="42"/>
        <w:ind w:firstLine="480"/>
        <w:rPr>
          <w:color w:val="auto"/>
        </w:rPr>
      </w:pPr>
      <w:r>
        <w:rPr>
          <w:rFonts w:hint="eastAsia"/>
          <w:color w:val="auto"/>
        </w:rPr>
        <w:t xml:space="preserve"> </w:t>
      </w:r>
    </w:p>
    <w:p w14:paraId="26293ED0">
      <w:pPr>
        <w:pStyle w:val="42"/>
        <w:ind w:firstLine="480"/>
        <w:rPr>
          <w:color w:val="auto"/>
        </w:rPr>
      </w:pPr>
      <w:r>
        <w:rPr>
          <w:rFonts w:hint="eastAsia"/>
          <w:color w:val="auto"/>
        </w:rPr>
        <w:t xml:space="preserve"> </w:t>
      </w:r>
    </w:p>
    <w:p w14:paraId="6AA3C58A">
      <w:pPr>
        <w:pStyle w:val="42"/>
        <w:ind w:firstLine="48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30CF7236">
      <w:pPr>
        <w:pStyle w:val="42"/>
        <w:ind w:firstLine="480"/>
        <w:rPr>
          <w:color w:val="auto"/>
        </w:rPr>
      </w:pPr>
      <w:r>
        <w:rPr>
          <w:rFonts w:hint="eastAsia"/>
          <w:color w:val="auto"/>
        </w:rPr>
        <w:t>日期：  年   月   日</w:t>
      </w:r>
    </w:p>
    <w:p w14:paraId="357BDEA6">
      <w:pPr>
        <w:pStyle w:val="42"/>
        <w:ind w:firstLine="0" w:firstLineChars="0"/>
        <w:rPr>
          <w:color w:val="auto"/>
        </w:rPr>
      </w:pPr>
    </w:p>
    <w:p w14:paraId="713D09E3">
      <w:pPr>
        <w:pStyle w:val="42"/>
        <w:ind w:firstLine="0" w:firstLineChars="0"/>
        <w:rPr>
          <w:color w:val="auto"/>
          <w:lang w:eastAsia="zh-CN"/>
        </w:rPr>
      </w:pPr>
      <w:r>
        <w:rPr>
          <w:rFonts w:hint="eastAsia"/>
          <w:color w:val="auto"/>
          <w:lang w:eastAsia="zh-CN"/>
        </w:rPr>
        <w:t>【本格式文本仅限</w:t>
      </w:r>
      <w:r>
        <w:rPr>
          <w:rFonts w:hint="eastAsia"/>
          <w:color w:val="auto"/>
        </w:rPr>
        <w:t>残疾人福利性单位</w:t>
      </w:r>
      <w:r>
        <w:rPr>
          <w:rFonts w:hint="eastAsia"/>
          <w:color w:val="auto"/>
          <w:lang w:eastAsia="zh-CN"/>
        </w:rPr>
        <w:t>填写】</w:t>
      </w:r>
    </w:p>
    <w:p w14:paraId="0B983128">
      <w:pPr>
        <w:widowControl/>
        <w:jc w:val="left"/>
        <w:rPr>
          <w:rFonts w:ascii="黑体" w:hAnsi="黑体" w:eastAsia="黑体" w:cs="黑体"/>
          <w:bCs/>
          <w:color w:val="auto"/>
          <w:sz w:val="32"/>
          <w:szCs w:val="32"/>
          <w:lang w:eastAsia="zh-Hans"/>
        </w:rPr>
      </w:pPr>
      <w:r>
        <w:rPr>
          <w:color w:val="auto"/>
        </w:rPr>
        <w:br w:type="page"/>
      </w:r>
    </w:p>
    <w:bookmarkEnd w:id="73"/>
    <w:p w14:paraId="3E118BFB">
      <w:pPr>
        <w:pStyle w:val="44"/>
        <w:numPr>
          <w:ilvl w:val="1"/>
          <w:numId w:val="74"/>
        </w:numPr>
        <w:rPr>
          <w:color w:val="auto"/>
          <w:sz w:val="36"/>
          <w:szCs w:val="44"/>
        </w:rPr>
      </w:pPr>
      <w:bookmarkStart w:id="84" w:name="_Toc32082"/>
      <w:r>
        <w:rPr>
          <w:color w:val="auto"/>
        </w:rPr>
        <w:t>商务</w:t>
      </w:r>
      <w:r>
        <w:rPr>
          <w:rFonts w:hint="eastAsia"/>
          <w:color w:val="auto"/>
        </w:rPr>
        <w:t>及</w:t>
      </w:r>
      <w:r>
        <w:rPr>
          <w:color w:val="auto"/>
        </w:rPr>
        <w:t>技术偏离表</w:t>
      </w:r>
      <w:bookmarkEnd w:id="84"/>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3192"/>
        <w:gridCol w:w="3192"/>
        <w:gridCol w:w="1335"/>
      </w:tblGrid>
      <w:tr w14:paraId="7BAC7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03" w:type="dxa"/>
            <w:tcBorders>
              <w:top w:val="single" w:color="auto" w:sz="4" w:space="0"/>
              <w:left w:val="single" w:color="auto" w:sz="4" w:space="0"/>
              <w:bottom w:val="single" w:color="auto" w:sz="4" w:space="0"/>
              <w:right w:val="single" w:color="auto" w:sz="4" w:space="0"/>
              <w:insideH w:val="single" w:sz="4" w:space="0"/>
              <w:insideV w:val="single" w:sz="4" w:space="0"/>
            </w:tcBorders>
            <w:vAlign w:val="center"/>
          </w:tcPr>
          <w:p w14:paraId="31A663EE">
            <w:pPr>
              <w:pStyle w:val="42"/>
              <w:ind w:firstLine="0" w:firstLineChars="0"/>
              <w:rPr>
                <w:b/>
                <w:i w:val="0"/>
                <w:color w:val="auto"/>
              </w:rPr>
            </w:pPr>
            <w:r>
              <w:rPr>
                <w:rFonts w:hint="eastAsia"/>
                <w:b/>
                <w:i w:val="0"/>
                <w:color w:val="auto"/>
              </w:rPr>
              <w:t>序号</w:t>
            </w:r>
          </w:p>
        </w:tc>
        <w:tc>
          <w:tcPr>
            <w:tcW w:w="3192" w:type="dxa"/>
            <w:tcBorders>
              <w:top w:val="single" w:color="auto" w:sz="4" w:space="0"/>
              <w:bottom w:val="single" w:color="auto" w:sz="4" w:space="0"/>
              <w:right w:val="single" w:color="auto" w:sz="4" w:space="0"/>
              <w:insideH w:val="single" w:sz="4" w:space="0"/>
              <w:insideV w:val="single" w:sz="4" w:space="0"/>
            </w:tcBorders>
            <w:vAlign w:val="center"/>
          </w:tcPr>
          <w:p w14:paraId="3066C4F1">
            <w:pPr>
              <w:pStyle w:val="42"/>
              <w:ind w:firstLine="0" w:firstLineChars="0"/>
              <w:rPr>
                <w:b/>
                <w:i w:val="0"/>
                <w:color w:val="auto"/>
              </w:rPr>
            </w:pPr>
            <w:r>
              <w:rPr>
                <w:rFonts w:hint="eastAsia"/>
                <w:b/>
                <w:i w:val="0"/>
                <w:color w:val="auto"/>
              </w:rPr>
              <w:t>招标文件章节及具体内容</w:t>
            </w:r>
          </w:p>
        </w:tc>
        <w:tc>
          <w:tcPr>
            <w:tcW w:w="3192" w:type="dxa"/>
            <w:tcBorders>
              <w:top w:val="single" w:color="auto" w:sz="4" w:space="0"/>
              <w:bottom w:val="single" w:color="auto" w:sz="4" w:space="0"/>
              <w:right w:val="single" w:color="auto" w:sz="4" w:space="0"/>
              <w:insideH w:val="single" w:sz="4" w:space="0"/>
              <w:insideV w:val="single" w:sz="4" w:space="0"/>
            </w:tcBorders>
            <w:vAlign w:val="center"/>
          </w:tcPr>
          <w:p w14:paraId="458F18BF">
            <w:pPr>
              <w:pStyle w:val="42"/>
              <w:ind w:firstLine="0" w:firstLineChars="0"/>
              <w:rPr>
                <w:b/>
                <w:i w:val="0"/>
                <w:color w:val="auto"/>
              </w:rPr>
            </w:pPr>
            <w:r>
              <w:rPr>
                <w:rFonts w:hint="eastAsia"/>
                <w:b/>
                <w:i w:val="0"/>
                <w:color w:val="auto"/>
              </w:rPr>
              <w:t>投标文件章节及具体内容</w:t>
            </w:r>
          </w:p>
        </w:tc>
        <w:tc>
          <w:tcPr>
            <w:tcW w:w="1335" w:type="dxa"/>
            <w:tcBorders>
              <w:top w:val="single" w:color="auto" w:sz="4" w:space="0"/>
              <w:bottom w:val="single" w:color="auto" w:sz="4" w:space="0"/>
              <w:right w:val="single" w:color="auto" w:sz="4" w:space="0"/>
              <w:insideH w:val="single" w:sz="4" w:space="0"/>
              <w:insideV w:val="single" w:sz="4" w:space="0"/>
            </w:tcBorders>
            <w:vAlign w:val="center"/>
          </w:tcPr>
          <w:p w14:paraId="31F811EE">
            <w:pPr>
              <w:pStyle w:val="42"/>
              <w:ind w:firstLine="0" w:firstLineChars="0"/>
              <w:rPr>
                <w:b/>
                <w:i w:val="0"/>
                <w:color w:val="auto"/>
              </w:rPr>
            </w:pPr>
            <w:r>
              <w:rPr>
                <w:rFonts w:hint="eastAsia"/>
                <w:b/>
                <w:i w:val="0"/>
                <w:color w:val="auto"/>
              </w:rPr>
              <w:t>偏离说明</w:t>
            </w:r>
          </w:p>
        </w:tc>
      </w:tr>
      <w:tr w14:paraId="66F2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5E6BD7F5">
            <w:pPr>
              <w:pStyle w:val="42"/>
              <w:ind w:firstLine="0" w:firstLineChars="0"/>
              <w:rPr>
                <w:color w:val="auto"/>
                <w:kern w:val="0"/>
              </w:rPr>
            </w:pPr>
            <w:r>
              <w:rPr>
                <w:rFonts w:hint="eastAsia"/>
                <w:color w:val="auto"/>
                <w:kern w:val="0"/>
              </w:rPr>
              <w:t>1</w:t>
            </w:r>
          </w:p>
        </w:tc>
        <w:tc>
          <w:tcPr>
            <w:tcW w:w="3192" w:type="dxa"/>
            <w:tcBorders>
              <w:top w:val="single" w:color="auto" w:sz="4" w:space="0"/>
              <w:left w:val="single" w:color="auto" w:sz="4" w:space="0"/>
              <w:bottom w:val="single" w:color="auto" w:sz="4" w:space="0"/>
              <w:right w:val="single" w:color="auto" w:sz="4" w:space="0"/>
            </w:tcBorders>
            <w:vAlign w:val="center"/>
          </w:tcPr>
          <w:p w14:paraId="6DBCB24C">
            <w:pPr>
              <w:pStyle w:val="42"/>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46B0F05D">
            <w:pPr>
              <w:pStyle w:val="42"/>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7276E706">
            <w:pPr>
              <w:pStyle w:val="42"/>
              <w:ind w:firstLine="0" w:firstLineChars="0"/>
              <w:rPr>
                <w:b/>
                <w:color w:val="auto"/>
                <w:kern w:val="0"/>
                <w:sz w:val="32"/>
                <w:szCs w:val="32"/>
              </w:rPr>
            </w:pPr>
          </w:p>
        </w:tc>
      </w:tr>
      <w:tr w14:paraId="1D53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534A40CB">
            <w:pPr>
              <w:pStyle w:val="42"/>
              <w:ind w:firstLine="0" w:firstLineChars="0"/>
              <w:rPr>
                <w:color w:val="auto"/>
                <w:kern w:val="0"/>
              </w:rPr>
            </w:pPr>
            <w:r>
              <w:rPr>
                <w:rFonts w:hint="eastAsia"/>
                <w:color w:val="auto"/>
                <w:kern w:val="0"/>
              </w:rPr>
              <w:t>2</w:t>
            </w:r>
          </w:p>
        </w:tc>
        <w:tc>
          <w:tcPr>
            <w:tcW w:w="3192" w:type="dxa"/>
            <w:tcBorders>
              <w:top w:val="single" w:color="auto" w:sz="4" w:space="0"/>
              <w:left w:val="single" w:color="auto" w:sz="4" w:space="0"/>
              <w:bottom w:val="single" w:color="auto" w:sz="4" w:space="0"/>
              <w:right w:val="single" w:color="auto" w:sz="4" w:space="0"/>
            </w:tcBorders>
            <w:vAlign w:val="center"/>
          </w:tcPr>
          <w:p w14:paraId="6FFB9EB5">
            <w:pPr>
              <w:pStyle w:val="42"/>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4AFAC063">
            <w:pPr>
              <w:pStyle w:val="42"/>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616F3A2C">
            <w:pPr>
              <w:pStyle w:val="42"/>
              <w:ind w:firstLine="0" w:firstLineChars="0"/>
              <w:rPr>
                <w:b/>
                <w:color w:val="auto"/>
                <w:kern w:val="0"/>
                <w:sz w:val="32"/>
                <w:szCs w:val="32"/>
              </w:rPr>
            </w:pPr>
          </w:p>
        </w:tc>
      </w:tr>
      <w:tr w14:paraId="1FFC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tcBorders>
              <w:top w:val="single" w:color="auto" w:sz="4" w:space="0"/>
              <w:left w:val="single" w:color="auto" w:sz="4" w:space="0"/>
              <w:bottom w:val="single" w:color="auto" w:sz="4" w:space="0"/>
              <w:right w:val="single" w:color="auto" w:sz="4" w:space="0"/>
            </w:tcBorders>
            <w:vAlign w:val="center"/>
          </w:tcPr>
          <w:p w14:paraId="72845891">
            <w:pPr>
              <w:pStyle w:val="42"/>
              <w:ind w:firstLine="0" w:firstLineChars="0"/>
              <w:rPr>
                <w:color w:val="auto"/>
                <w:kern w:val="0"/>
              </w:rPr>
            </w:pPr>
            <w:r>
              <w:rPr>
                <w:rFonts w:hint="eastAsia"/>
                <w:color w:val="auto"/>
                <w:kern w:val="0"/>
              </w:rPr>
              <w:t>……</w:t>
            </w:r>
          </w:p>
        </w:tc>
        <w:tc>
          <w:tcPr>
            <w:tcW w:w="3192" w:type="dxa"/>
            <w:tcBorders>
              <w:top w:val="single" w:color="auto" w:sz="4" w:space="0"/>
              <w:left w:val="single" w:color="auto" w:sz="4" w:space="0"/>
              <w:bottom w:val="single" w:color="auto" w:sz="4" w:space="0"/>
              <w:right w:val="single" w:color="auto" w:sz="4" w:space="0"/>
            </w:tcBorders>
            <w:vAlign w:val="center"/>
          </w:tcPr>
          <w:p w14:paraId="0378C0B9">
            <w:pPr>
              <w:pStyle w:val="42"/>
              <w:ind w:firstLine="0" w:firstLineChars="0"/>
              <w:rPr>
                <w:b/>
                <w:color w:val="auto"/>
                <w:kern w:val="0"/>
                <w:sz w:val="32"/>
                <w:szCs w:val="32"/>
              </w:rPr>
            </w:pPr>
          </w:p>
        </w:tc>
        <w:tc>
          <w:tcPr>
            <w:tcW w:w="3192" w:type="dxa"/>
            <w:tcBorders>
              <w:top w:val="single" w:color="auto" w:sz="4" w:space="0"/>
              <w:left w:val="single" w:color="auto" w:sz="4" w:space="0"/>
              <w:bottom w:val="single" w:color="auto" w:sz="4" w:space="0"/>
              <w:right w:val="single" w:color="auto" w:sz="4" w:space="0"/>
            </w:tcBorders>
            <w:vAlign w:val="center"/>
          </w:tcPr>
          <w:p w14:paraId="767DA782">
            <w:pPr>
              <w:pStyle w:val="42"/>
              <w:ind w:firstLine="0" w:firstLineChars="0"/>
              <w:rPr>
                <w:b/>
                <w:color w:val="auto"/>
                <w:kern w:val="0"/>
                <w:sz w:val="32"/>
                <w:szCs w:val="32"/>
              </w:rPr>
            </w:pPr>
          </w:p>
        </w:tc>
        <w:tc>
          <w:tcPr>
            <w:tcW w:w="1335" w:type="dxa"/>
            <w:tcBorders>
              <w:top w:val="single" w:color="auto" w:sz="4" w:space="0"/>
              <w:left w:val="single" w:color="auto" w:sz="4" w:space="0"/>
              <w:bottom w:val="single" w:color="auto" w:sz="4" w:space="0"/>
              <w:right w:val="single" w:color="auto" w:sz="4" w:space="0"/>
            </w:tcBorders>
            <w:vAlign w:val="center"/>
          </w:tcPr>
          <w:p w14:paraId="0F5D29D8">
            <w:pPr>
              <w:pStyle w:val="42"/>
              <w:ind w:firstLine="0" w:firstLineChars="0"/>
              <w:rPr>
                <w:b/>
                <w:color w:val="auto"/>
                <w:kern w:val="0"/>
                <w:sz w:val="32"/>
                <w:szCs w:val="32"/>
              </w:rPr>
            </w:pPr>
          </w:p>
        </w:tc>
      </w:tr>
    </w:tbl>
    <w:p w14:paraId="4D7443B4">
      <w:pPr>
        <w:jc w:val="left"/>
        <w:rPr>
          <w:rFonts w:ascii="宋体" w:hAnsi="宋体"/>
          <w:color w:val="auto"/>
          <w:kern w:val="0"/>
          <w:sz w:val="24"/>
          <w:szCs w:val="24"/>
        </w:rPr>
      </w:pPr>
      <w:r>
        <w:rPr>
          <w:rFonts w:hint="eastAsia" w:ascii="宋体" w:hAnsi="宋体"/>
          <w:color w:val="auto"/>
          <w:kern w:val="0"/>
          <w:sz w:val="24"/>
          <w:szCs w:val="24"/>
        </w:rPr>
        <w:t>投标人保证：除商务技术偏离表列出的偏离外，投标人响应招标文件的全部要求</w:t>
      </w:r>
    </w:p>
    <w:p w14:paraId="67694D18">
      <w:pPr>
        <w:pStyle w:val="42"/>
        <w:ind w:firstLine="0" w:firstLineChars="0"/>
        <w:rPr>
          <w:color w:val="auto"/>
        </w:rPr>
      </w:pPr>
    </w:p>
    <w:p w14:paraId="5E90939E">
      <w:pPr>
        <w:pStyle w:val="42"/>
        <w:ind w:firstLine="0" w:firstLineChars="0"/>
        <w:rPr>
          <w:color w:val="auto"/>
        </w:rPr>
      </w:pPr>
    </w:p>
    <w:p w14:paraId="642D3BBB">
      <w:pPr>
        <w:pStyle w:val="42"/>
        <w:ind w:firstLine="0" w:firstLineChars="0"/>
        <w:rPr>
          <w:color w:val="auto"/>
          <w:lang w:eastAsia="zh-CN"/>
        </w:rPr>
      </w:pPr>
    </w:p>
    <w:p w14:paraId="2195BC33">
      <w:pPr>
        <w:pStyle w:val="42"/>
        <w:ind w:firstLine="0" w:firstLineChars="0"/>
        <w:rPr>
          <w:color w:val="auto"/>
        </w:rPr>
      </w:pPr>
    </w:p>
    <w:p w14:paraId="20FADE55">
      <w:pPr>
        <w:pStyle w:val="42"/>
        <w:ind w:firstLine="0" w:firstLineChars="0"/>
        <w:rPr>
          <w:color w:val="auto"/>
        </w:rPr>
      </w:pPr>
    </w:p>
    <w:p w14:paraId="5CCC50AB">
      <w:pPr>
        <w:pStyle w:val="42"/>
        <w:ind w:firstLine="0" w:firstLineChars="0"/>
        <w:rPr>
          <w:color w:val="auto"/>
        </w:rPr>
      </w:pPr>
      <w:r>
        <w:rPr>
          <w:rFonts w:hint="eastAsia"/>
          <w:color w:val="auto"/>
        </w:rPr>
        <w:t>投标人名称（</w:t>
      </w:r>
      <w:r>
        <w:rPr>
          <w:rFonts w:hint="eastAsia"/>
          <w:color w:val="auto"/>
          <w:sz w:val="24"/>
          <w:szCs w:val="24"/>
        </w:rPr>
        <w:t>电子签</w:t>
      </w:r>
      <w:r>
        <w:rPr>
          <w:rFonts w:hint="eastAsia"/>
          <w:color w:val="auto"/>
          <w:sz w:val="24"/>
          <w:szCs w:val="24"/>
          <w:lang w:eastAsia="zh-CN"/>
        </w:rPr>
        <w:t>章</w:t>
      </w:r>
      <w:r>
        <w:rPr>
          <w:rFonts w:hint="eastAsia"/>
          <w:color w:val="auto"/>
          <w:sz w:val="24"/>
          <w:szCs w:val="24"/>
        </w:rPr>
        <w:t>/公章</w:t>
      </w:r>
      <w:r>
        <w:rPr>
          <w:rFonts w:hint="eastAsia"/>
          <w:color w:val="auto"/>
        </w:rPr>
        <w:t xml:space="preserve">）：                                                                                                                                                                                                               </w:t>
      </w:r>
    </w:p>
    <w:p w14:paraId="18366A44">
      <w:pPr>
        <w:pStyle w:val="42"/>
        <w:ind w:firstLine="0" w:firstLineChars="0"/>
        <w:rPr>
          <w:color w:val="auto"/>
        </w:rPr>
      </w:pPr>
    </w:p>
    <w:p w14:paraId="173FC6B8">
      <w:pPr>
        <w:pStyle w:val="42"/>
        <w:ind w:firstLine="0" w:firstLineChars="0"/>
        <w:rPr>
          <w:color w:val="auto"/>
        </w:rPr>
      </w:pPr>
      <w:r>
        <w:rPr>
          <w:rFonts w:hint="eastAsia"/>
          <w:color w:val="auto"/>
        </w:rPr>
        <w:t>日期：   年   月   日</w:t>
      </w:r>
    </w:p>
    <w:p w14:paraId="5B17E061">
      <w:pPr>
        <w:pStyle w:val="42"/>
        <w:ind w:firstLine="0" w:firstLineChars="0"/>
        <w:rPr>
          <w:color w:val="auto"/>
        </w:rPr>
      </w:pPr>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Times New Roman (正文 CS 字体)">
    <w:altName w:val="宋体"/>
    <w:panose1 w:val="020B0604020202020204"/>
    <w:charset w:val="86"/>
    <w:family w:val="roman"/>
    <w:pitch w:val="default"/>
    <w:sig w:usb0="00000000" w:usb1="00000000" w:usb2="00000000" w:usb3="00000000" w:csb0="00000000" w:csb1="00000000"/>
  </w:font>
  <w:font w:name="Helvetica">
    <w:altName w:val="Arial"/>
    <w:panose1 w:val="00000000000000000000"/>
    <w:charset w:val="00"/>
    <w:family w:val="swiss"/>
    <w:pitch w:val="default"/>
    <w:sig w:usb0="00000000" w:usb1="00000000" w:usb2="00000000" w:usb3="00000000" w:csb0="2000019F" w:csb1="4F010000"/>
  </w:font>
  <w:font w:name="SimSong">
    <w:altName w:val="宋体"/>
    <w:panose1 w:val="02020300000000000000"/>
    <w:charset w:val="86"/>
    <w:family w:val="auto"/>
    <w:pitch w:val="default"/>
    <w:sig w:usb0="00000000" w:usb1="00000000" w:usb2="00000016" w:usb3="00000000" w:csb0="0004000D"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AdobeFangsongStd-Regular">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5F612">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946884916"/>
    </w:sdtPr>
    <w:sdtEndPr>
      <w:rPr>
        <w:rStyle w:val="32"/>
      </w:rPr>
    </w:sdtEndPr>
    <w:sdtContent>
      <w:p w14:paraId="521B2E3F">
        <w:pPr>
          <w:pStyle w:val="20"/>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sdt>
    <w:sdtPr>
      <w:rPr>
        <w:rStyle w:val="32"/>
      </w:rPr>
      <w:id w:val="-1"/>
    </w:sdtPr>
    <w:sdtEndPr>
      <w:rPr>
        <w:rStyle w:val="32"/>
      </w:rPr>
    </w:sdtEndPr>
    <w:sdtContent>
      <w:p w14:paraId="1E354F8B">
        <w:pPr>
          <w:pStyle w:val="20"/>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sdt>
    <w:sdtPr>
      <w:rPr>
        <w:rStyle w:val="32"/>
      </w:rPr>
      <w:id w:val="1796788937"/>
    </w:sdtPr>
    <w:sdtEndPr>
      <w:rPr>
        <w:rStyle w:val="32"/>
      </w:rPr>
    </w:sdtEndPr>
    <w:sdtContent>
      <w:p w14:paraId="0EFBE37F">
        <w:pPr>
          <w:pStyle w:val="20"/>
          <w:framePr w:wrap="around" w:vAnchor="text" w:hAnchor="margin" w:xAlign="center" w:y="1"/>
          <w:ind w:firstLine="360"/>
          <w:rPr>
            <w:rStyle w:val="32"/>
          </w:rPr>
        </w:pPr>
        <w:r>
          <w:rPr>
            <w:rStyle w:val="32"/>
          </w:rPr>
          <w:fldChar w:fldCharType="begin"/>
        </w:r>
        <w:r>
          <w:rPr>
            <w:rStyle w:val="32"/>
          </w:rPr>
          <w:instrText xml:space="preserve"> PAGE </w:instrText>
        </w:r>
        <w:r>
          <w:rPr>
            <w:rStyle w:val="32"/>
          </w:rPr>
          <w:fldChar w:fldCharType="end"/>
        </w:r>
      </w:p>
    </w:sdtContent>
  </w:sdt>
  <w:p w14:paraId="77DFEAAF">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7EED9">
    <w:pPr>
      <w:pStyle w:val="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rPr>
      <w:id w:val="1174761748"/>
    </w:sdtPr>
    <w:sdtEndPr>
      <w:rPr>
        <w:rStyle w:val="32"/>
        <w:sz w:val="24"/>
        <w:szCs w:val="24"/>
      </w:rPr>
    </w:sdtEndPr>
    <w:sdtContent>
      <w:p w14:paraId="7AB3A70A">
        <w:pPr>
          <w:pStyle w:val="20"/>
          <w:framePr w:wrap="around" w:vAnchor="text" w:hAnchor="margin" w:xAlign="center" w:y="1"/>
          <w:ind w:firstLine="360"/>
          <w:rPr>
            <w:rStyle w:val="32"/>
            <w:sz w:val="24"/>
            <w:szCs w:val="24"/>
          </w:rPr>
        </w:pPr>
        <w:r>
          <w:rPr>
            <w:rStyle w:val="32"/>
            <w:sz w:val="24"/>
            <w:szCs w:val="24"/>
          </w:rPr>
          <w:fldChar w:fldCharType="begin"/>
        </w:r>
        <w:r>
          <w:rPr>
            <w:rStyle w:val="32"/>
            <w:sz w:val="24"/>
            <w:szCs w:val="24"/>
          </w:rPr>
          <w:instrText xml:space="preserve"> PAGE </w:instrText>
        </w:r>
        <w:r>
          <w:rPr>
            <w:rStyle w:val="32"/>
            <w:sz w:val="24"/>
            <w:szCs w:val="24"/>
          </w:rPr>
          <w:fldChar w:fldCharType="separate"/>
        </w:r>
        <w:r>
          <w:rPr>
            <w:rStyle w:val="32"/>
            <w:sz w:val="24"/>
            <w:szCs w:val="24"/>
          </w:rPr>
          <w:t>I</w:t>
        </w:r>
        <w:r>
          <w:rPr>
            <w:rStyle w:val="32"/>
            <w:sz w:val="24"/>
            <w:szCs w:val="24"/>
          </w:rPr>
          <w:fldChar w:fldCharType="end"/>
        </w:r>
      </w:p>
    </w:sdtContent>
  </w:sdt>
  <w:p w14:paraId="20D59434">
    <w:pPr>
      <w:pStyle w:val="20"/>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32"/>
        <w:sz w:val="24"/>
        <w:szCs w:val="24"/>
      </w:rPr>
      <w:id w:val="73878355"/>
    </w:sdtPr>
    <w:sdtEndPr>
      <w:rPr>
        <w:rStyle w:val="32"/>
        <w:sz w:val="24"/>
        <w:szCs w:val="24"/>
      </w:rPr>
    </w:sdtEndPr>
    <w:sdtContent>
      <w:p w14:paraId="12F0D965">
        <w:pPr>
          <w:pStyle w:val="20"/>
          <w:framePr w:wrap="around" w:vAnchor="text" w:hAnchor="margin" w:xAlign="center" w:y="1"/>
          <w:rPr>
            <w:rStyle w:val="32"/>
            <w:sz w:val="24"/>
            <w:szCs w:val="24"/>
          </w:rPr>
        </w:pPr>
        <w:r>
          <w:rPr>
            <w:rStyle w:val="32"/>
            <w:sz w:val="24"/>
            <w:szCs w:val="24"/>
          </w:rPr>
          <w:fldChar w:fldCharType="begin"/>
        </w:r>
        <w:r>
          <w:rPr>
            <w:rStyle w:val="32"/>
            <w:sz w:val="24"/>
            <w:szCs w:val="24"/>
          </w:rPr>
          <w:instrText xml:space="preserve"> PAGE </w:instrText>
        </w:r>
        <w:r>
          <w:rPr>
            <w:rStyle w:val="32"/>
            <w:sz w:val="24"/>
            <w:szCs w:val="24"/>
          </w:rPr>
          <w:fldChar w:fldCharType="separate"/>
        </w:r>
        <w:r>
          <w:rPr>
            <w:rStyle w:val="32"/>
            <w:sz w:val="24"/>
            <w:szCs w:val="24"/>
          </w:rPr>
          <w:t>1</w:t>
        </w:r>
        <w:r>
          <w:rPr>
            <w:rStyle w:val="32"/>
            <w:sz w:val="24"/>
            <w:szCs w:val="24"/>
          </w:rPr>
          <w:fldChar w:fldCharType="end"/>
        </w:r>
      </w:p>
    </w:sdtContent>
  </w:sdt>
  <w:p w14:paraId="6C8BD91F">
    <w:pPr>
      <w:pStyle w:val="20"/>
      <w:rPr>
        <w:sz w:val="24"/>
        <w:szCs w:val="24"/>
      </w:rPr>
    </w:pPr>
  </w:p>
  <w:p w14:paraId="32D6D9A8">
    <w:pPr>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930EF">
    <w:r>
      <w:drawing>
        <wp:anchor distT="0" distB="0" distL="114300" distR="114300" simplePos="0" relativeHeight="251659264" behindDoc="0" locked="0" layoutInCell="1" allowOverlap="1">
          <wp:simplePos x="0" y="0"/>
          <wp:positionH relativeFrom="margin">
            <wp:posOffset>-567055</wp:posOffset>
          </wp:positionH>
          <wp:positionV relativeFrom="margin">
            <wp:posOffset>8255</wp:posOffset>
          </wp:positionV>
          <wp:extent cx="2941320" cy="82804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41200" cy="828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5EDB0">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70D9">
    <w:pPr>
      <w:pStyle w:val="2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BFA4F">
    <w:pPr>
      <w:ind w:firstLine="420"/>
      <w:jc w:val="right"/>
    </w:pPr>
    <w:r>
      <w:drawing>
        <wp:anchor distT="0" distB="0" distL="114300" distR="114300" simplePos="0" relativeHeight="251660288" behindDoc="1" locked="0" layoutInCell="1" allowOverlap="1">
          <wp:simplePos x="0" y="0"/>
          <wp:positionH relativeFrom="column">
            <wp:posOffset>-1134110</wp:posOffset>
          </wp:positionH>
          <wp:positionV relativeFrom="paragraph">
            <wp:posOffset>-548640</wp:posOffset>
          </wp:positionV>
          <wp:extent cx="7560945" cy="10693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65830" cy="10700614"/>
                  </a:xfrm>
                  <a:prstGeom prst="rect">
                    <a:avLst/>
                  </a:prstGeom>
                </pic:spPr>
              </pic:pic>
            </a:graphicData>
          </a:graphic>
        </wp:anchor>
      </w:drawing>
    </w:r>
    <w:r>
      <w:rPr>
        <w:rFonts w:hint="eastAsia" w:ascii="宋体" w:hAnsi="宋体"/>
        <w:color w:val="auto"/>
        <w:lang w:eastAsia="zh-CN"/>
      </w:rPr>
      <w:t>2026年跨省北斗定位漫游服务和北斗应用终端标准数据服务项目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66825"/>
    <w:multiLevelType w:val="singleLevel"/>
    <w:tmpl w:val="9F766825"/>
    <w:lvl w:ilvl="0" w:tentative="0">
      <w:start w:val="1"/>
      <w:numFmt w:val="decimalEnclosedCircleChinese"/>
      <w:pStyle w:val="53"/>
      <w:suff w:val="nothing"/>
      <w:lvlText w:val="%1　"/>
      <w:lvlJc w:val="left"/>
      <w:pPr>
        <w:ind w:left="0" w:firstLine="0"/>
      </w:pPr>
      <w:rPr>
        <w:rFonts w:hint="eastAsia" w:ascii="宋体" w:hAnsi="宋体"/>
        <w:b w:val="0"/>
        <w:bCs w:val="0"/>
        <w:sz w:val="24"/>
      </w:rPr>
    </w:lvl>
  </w:abstractNum>
  <w:abstractNum w:abstractNumId="1">
    <w:nsid w:val="B74B918E"/>
    <w:multiLevelType w:val="singleLevel"/>
    <w:tmpl w:val="B74B918E"/>
    <w:lvl w:ilvl="0" w:tentative="0">
      <w:start w:val="1"/>
      <w:numFmt w:val="decimal"/>
      <w:suff w:val="nothing"/>
      <w:lvlText w:val="%1、"/>
      <w:lvlJc w:val="left"/>
    </w:lvl>
  </w:abstractNum>
  <w:abstractNum w:abstractNumId="2">
    <w:nsid w:val="D972E44D"/>
    <w:multiLevelType w:val="multilevel"/>
    <w:tmpl w:val="D972E44D"/>
    <w:lvl w:ilvl="0" w:tentative="0">
      <w:start w:val="1"/>
      <w:numFmt w:val="chineseCountingThousand"/>
      <w:pStyle w:val="43"/>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suff w:val="nothing"/>
      <w:lvlText w:val="%2、"/>
      <w:lvlJc w:val="left"/>
      <w:pPr>
        <w:ind w:left="200" w:firstLine="0"/>
      </w:pPr>
      <w:rPr>
        <w:rFonts w:hint="eastAsia" w:ascii="黑体" w:hAnsi="黑体" w:eastAsia="黑体" w:cs="宋体"/>
        <w:b w:val="0"/>
        <w:i w:val="0"/>
        <w:sz w:val="32"/>
      </w:rPr>
    </w:lvl>
    <w:lvl w:ilvl="2" w:tentative="0">
      <w:start w:val="1"/>
      <w:numFmt w:val="decimal"/>
      <w:suff w:val="nothing"/>
      <w:lvlText w:val="%3."/>
      <w:lvlJc w:val="left"/>
      <w:pPr>
        <w:ind w:left="200" w:firstLine="0"/>
      </w:pPr>
      <w:rPr>
        <w:rFonts w:hint="eastAsia" w:ascii="黑体" w:hAnsi="黑体" w:eastAsia="黑体" w:cs="宋体"/>
        <w:b w:val="0"/>
        <w:i w:val="0"/>
        <w:sz w:val="28"/>
      </w:rPr>
    </w:lvl>
    <w:lvl w:ilvl="3" w:tentative="0">
      <w:start w:val="1"/>
      <w:numFmt w:val="decimal"/>
      <w:pStyle w:val="48"/>
      <w:suff w:val="nothing"/>
      <w:lvlText w:val="%3.%4 "/>
      <w:lvlJc w:val="left"/>
      <w:pPr>
        <w:tabs>
          <w:tab w:val="left" w:pos="0"/>
        </w:tabs>
        <w:ind w:left="200" w:firstLine="0"/>
      </w:pPr>
      <w:rPr>
        <w:rFonts w:hint="eastAsia" w:ascii="宋体" w:hAnsi="宋体" w:eastAsia="宋体" w:cs="宋体"/>
        <w:b w:val="0"/>
        <w:i w:val="0"/>
        <w:sz w:val="24"/>
      </w:rPr>
    </w:lvl>
    <w:lvl w:ilvl="4" w:tentative="0">
      <w:start w:val="1"/>
      <w:numFmt w:val="decimal"/>
      <w:suff w:val="nothing"/>
      <w:lvlText w:val="%3.%4.%5 "/>
      <w:lvlJc w:val="left"/>
      <w:pPr>
        <w:ind w:left="200" w:firstLine="0"/>
      </w:pPr>
      <w:rPr>
        <w:rFonts w:hint="eastAsia" w:ascii="宋体" w:hAnsi="宋体" w:eastAsia="宋体" w:cs="宋体"/>
      </w:rPr>
    </w:lvl>
    <w:lvl w:ilvl="5" w:tentative="0">
      <w:start w:val="1"/>
      <w:numFmt w:val="decimal"/>
      <w:suff w:val="nothing"/>
      <w:lvlText w:val="%3.%4.%5.%6 "/>
      <w:lvlJc w:val="left"/>
      <w:pPr>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3">
    <w:nsid w:val="E11EC5DE"/>
    <w:multiLevelType w:val="singleLevel"/>
    <w:tmpl w:val="E11EC5DE"/>
    <w:lvl w:ilvl="0" w:tentative="0">
      <w:start w:val="1"/>
      <w:numFmt w:val="chineseCounting"/>
      <w:suff w:val="space"/>
      <w:lvlText w:val="第%1条"/>
      <w:lvlJc w:val="left"/>
      <w:rPr>
        <w:rFonts w:hint="eastAsia"/>
      </w:rPr>
    </w:lvl>
  </w:abstractNum>
  <w:abstractNum w:abstractNumId="4">
    <w:nsid w:val="ECBD4B7D"/>
    <w:multiLevelType w:val="multilevel"/>
    <w:tmpl w:val="ECBD4B7D"/>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5">
    <w:nsid w:val="F7BC88F7"/>
    <w:multiLevelType w:val="singleLevel"/>
    <w:tmpl w:val="F7BC88F7"/>
    <w:lvl w:ilvl="0" w:tentative="0">
      <w:start w:val="1"/>
      <w:numFmt w:val="decimal"/>
      <w:pStyle w:val="52"/>
      <w:lvlText w:val="（%1）"/>
      <w:lvlJc w:val="left"/>
      <w:pPr>
        <w:ind w:left="0" w:firstLine="0"/>
      </w:pPr>
      <w:rPr>
        <w:rFonts w:hint="eastAsia" w:ascii="宋体" w:hAnsi="宋体" w:eastAsia="宋体"/>
        <w:sz w:val="24"/>
      </w:rPr>
    </w:lvl>
  </w:abstractNum>
  <w:abstractNum w:abstractNumId="6">
    <w:nsid w:val="FB7A1B30"/>
    <w:multiLevelType w:val="singleLevel"/>
    <w:tmpl w:val="FB7A1B30"/>
    <w:lvl w:ilvl="0" w:tentative="0">
      <w:start w:val="1"/>
      <w:numFmt w:val="decimal"/>
      <w:suff w:val="nothing"/>
      <w:lvlText w:val="%1、"/>
      <w:lvlJc w:val="left"/>
    </w:lvl>
  </w:abstractNum>
  <w:abstractNum w:abstractNumId="7">
    <w:nsid w:val="0FFB53E9"/>
    <w:multiLevelType w:val="multilevel"/>
    <w:tmpl w:val="0FFB53E9"/>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8">
    <w:nsid w:val="138C0A02"/>
    <w:multiLevelType w:val="multilevel"/>
    <w:tmpl w:val="138C0A02"/>
    <w:lvl w:ilvl="0" w:tentative="0">
      <w:start w:val="1"/>
      <w:numFmt w:val="chineseCountingThousand"/>
      <w:suff w:val="space"/>
      <w:lvlText w:val="第%1章"/>
      <w:lvlJc w:val="left"/>
      <w:pPr>
        <w:ind w:left="0" w:firstLine="0"/>
      </w:pPr>
      <w:rPr>
        <w:rFonts w:hint="eastAsia" w:ascii="黑体" w:hAnsi="黑体" w:eastAsia="黑体"/>
        <w:b w:val="0"/>
        <w:i w:val="0"/>
        <w:color w:val="auto"/>
        <w:sz w:val="36"/>
      </w:rPr>
    </w:lvl>
    <w:lvl w:ilvl="1" w:tentative="0">
      <w:start w:val="1"/>
      <w:numFmt w:val="none"/>
      <w:pStyle w:val="6"/>
      <w:suff w:val="nothing"/>
      <w:lvlText w:val=""/>
      <w:lvlJc w:val="left"/>
      <w:pPr>
        <w:ind w:left="0" w:firstLine="0"/>
      </w:pPr>
      <w:rPr>
        <w:rFonts w:hint="eastAsia"/>
      </w:rPr>
    </w:lvl>
    <w:lvl w:ilvl="2" w:tentative="0">
      <w:start w:val="1"/>
      <w:numFmt w:val="none"/>
      <w:pStyle w:val="7"/>
      <w:suff w:val="nothing"/>
      <w:lvlText w:val=""/>
      <w:lvlJc w:val="left"/>
      <w:pPr>
        <w:ind w:left="0" w:firstLine="0"/>
      </w:pPr>
      <w:rPr>
        <w:rFonts w:hint="eastAsia"/>
      </w:rPr>
    </w:lvl>
    <w:lvl w:ilvl="3" w:tentative="0">
      <w:start w:val="1"/>
      <w:numFmt w:val="none"/>
      <w:pStyle w:val="8"/>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9">
    <w:nsid w:val="1FFDECC1"/>
    <w:multiLevelType w:val="singleLevel"/>
    <w:tmpl w:val="1FFDECC1"/>
    <w:lvl w:ilvl="0" w:tentative="0">
      <w:start w:val="1"/>
      <w:numFmt w:val="decimal"/>
      <w:suff w:val="nothing"/>
      <w:lvlText w:val="%1"/>
      <w:lvlJc w:val="left"/>
      <w:pPr>
        <w:tabs>
          <w:tab w:val="left" w:pos="420"/>
        </w:tabs>
        <w:ind w:left="-415" w:leftChars="0" w:hanging="425" w:firstLineChars="0"/>
      </w:pPr>
      <w:rPr>
        <w:rFonts w:hint="default"/>
        <w:sz w:val="24"/>
      </w:rPr>
    </w:lvl>
  </w:abstractNum>
  <w:abstractNum w:abstractNumId="10">
    <w:nsid w:val="39DEB64E"/>
    <w:multiLevelType w:val="singleLevel"/>
    <w:tmpl w:val="39DEB64E"/>
    <w:lvl w:ilvl="0" w:tentative="0">
      <w:start w:val="1"/>
      <w:numFmt w:val="decimal"/>
      <w:suff w:val="nothing"/>
      <w:lvlText w:val="（%1）"/>
      <w:lvlJc w:val="left"/>
    </w:lvl>
  </w:abstractNum>
  <w:abstractNum w:abstractNumId="11">
    <w:nsid w:val="3EB08AAE"/>
    <w:multiLevelType w:val="singleLevel"/>
    <w:tmpl w:val="3EB08AAE"/>
    <w:lvl w:ilvl="0" w:tentative="0">
      <w:start w:val="1"/>
      <w:numFmt w:val="decimal"/>
      <w:suff w:val="nothing"/>
      <w:lvlText w:val="%1、"/>
      <w:lvlJc w:val="left"/>
    </w:lvl>
  </w:abstractNum>
  <w:abstractNum w:abstractNumId="12">
    <w:nsid w:val="406062E2"/>
    <w:multiLevelType w:val="multilevel"/>
    <w:tmpl w:val="406062E2"/>
    <w:lvl w:ilvl="0" w:tentative="0">
      <w:start w:val="1"/>
      <w:numFmt w:val="chineseCountingThousand"/>
      <w:suff w:val="space"/>
      <w:lvlText w:val="第%1章"/>
      <w:lvlJc w:val="left"/>
      <w:pPr>
        <w:ind w:left="200" w:firstLine="0"/>
      </w:pPr>
      <w:rPr>
        <w:rFonts w:hint="eastAsia" w:ascii="黑体" w:hAnsi="黑体" w:eastAsia="黑体"/>
        <w:b w:val="0"/>
        <w:i w:val="0"/>
        <w:color w:val="auto"/>
        <w:sz w:val="36"/>
      </w:rPr>
    </w:lvl>
    <w:lvl w:ilvl="1" w:tentative="0">
      <w:start w:val="1"/>
      <w:numFmt w:val="chineseCountingThousand"/>
      <w:suff w:val="nothing"/>
      <w:lvlText w:val="%2、"/>
      <w:lvlJc w:val="left"/>
      <w:pPr>
        <w:ind w:left="200" w:firstLine="0"/>
      </w:pPr>
      <w:rPr>
        <w:rFonts w:hint="eastAsia" w:ascii="黑体" w:hAnsi="黑体" w:eastAsia="黑体"/>
        <w:b w:val="0"/>
        <w:i w:val="0"/>
        <w:color w:val="auto"/>
        <w:sz w:val="32"/>
      </w:rPr>
    </w:lvl>
    <w:lvl w:ilvl="2" w:tentative="0">
      <w:start w:val="1"/>
      <w:numFmt w:val="decimal"/>
      <w:suff w:val="nothing"/>
      <w:lvlText w:val="%3."/>
      <w:lvlJc w:val="left"/>
      <w:pPr>
        <w:ind w:left="200" w:firstLine="0"/>
      </w:pPr>
      <w:rPr>
        <w:rFonts w:hint="eastAsia" w:ascii="黑体" w:hAnsi="黑体" w:eastAsia="黑体"/>
        <w:b w:val="0"/>
        <w:i w:val="0"/>
        <w:sz w:val="28"/>
      </w:rPr>
    </w:lvl>
    <w:lvl w:ilvl="3" w:tentative="0">
      <w:start w:val="1"/>
      <w:numFmt w:val="decimal"/>
      <w:suff w:val="nothing"/>
      <w:lvlText w:val="%3.%4."/>
      <w:lvlJc w:val="left"/>
      <w:pPr>
        <w:ind w:left="200" w:firstLine="0"/>
      </w:pPr>
      <w:rPr>
        <w:rFonts w:hint="eastAsia" w:ascii="宋体" w:hAnsi="宋体" w:eastAsia="宋体"/>
        <w:b/>
        <w:i w:val="0"/>
        <w:sz w:val="24"/>
      </w:rPr>
    </w:lvl>
    <w:lvl w:ilvl="4" w:tentative="0">
      <w:start w:val="1"/>
      <w:numFmt w:val="decimal"/>
      <w:suff w:val="nothing"/>
      <w:lvlText w:val="%3.%4.%5."/>
      <w:lvlJc w:val="left"/>
      <w:pPr>
        <w:ind w:left="200" w:firstLine="0"/>
      </w:pPr>
      <w:rPr>
        <w:rFonts w:hint="eastAsia" w:ascii="宋体" w:hAnsi="宋体" w:eastAsia="宋体"/>
        <w:b w:val="0"/>
        <w:i w:val="0"/>
        <w:sz w:val="24"/>
      </w:rPr>
    </w:lvl>
    <w:lvl w:ilvl="5" w:tentative="0">
      <w:start w:val="1"/>
      <w:numFmt w:val="decimal"/>
      <w:suff w:val="nothing"/>
      <w:lvlText w:val="%3.%4.%5.%6."/>
      <w:lvlJc w:val="left"/>
      <w:pPr>
        <w:tabs>
          <w:tab w:val="left" w:pos="0"/>
        </w:tabs>
        <w:ind w:left="200" w:firstLine="0"/>
      </w:pPr>
      <w:rPr>
        <w:rFonts w:hint="eastAsia" w:ascii="宋体" w:hAnsi="宋体" w:eastAsia="宋体"/>
        <w:b w:val="0"/>
        <w:i w:val="0"/>
        <w:sz w:val="24"/>
      </w:rPr>
    </w:lvl>
    <w:lvl w:ilvl="6" w:tentative="0">
      <w:start w:val="1"/>
      <w:numFmt w:val="decimal"/>
      <w:suff w:val="nothing"/>
      <w:lvlText w:val="%4.%5.%6.%7."/>
      <w:lvlJc w:val="left"/>
      <w:pPr>
        <w:ind w:left="200" w:firstLine="0"/>
      </w:pPr>
      <w:rPr>
        <w:rFonts w:hint="eastAsia" w:ascii="宋体" w:hAnsi="宋体" w:eastAsia="宋体"/>
        <w:b w:val="0"/>
        <w:i w:val="0"/>
        <w:sz w:val="24"/>
      </w:rPr>
    </w:lvl>
    <w:lvl w:ilvl="7" w:tentative="0">
      <w:start w:val="1"/>
      <w:numFmt w:val="none"/>
      <w:suff w:val="nothing"/>
      <w:lvlText w:val=""/>
      <w:lvlJc w:val="left"/>
      <w:pPr>
        <w:ind w:left="1400" w:firstLine="0"/>
      </w:pPr>
      <w:rPr>
        <w:rFonts w:hint="eastAsia"/>
      </w:rPr>
    </w:lvl>
    <w:lvl w:ilvl="8" w:tentative="0">
      <w:start w:val="1"/>
      <w:numFmt w:val="none"/>
      <w:suff w:val="nothing"/>
      <w:lvlText w:val=""/>
      <w:lvlJc w:val="left"/>
      <w:pPr>
        <w:ind w:left="1400" w:firstLine="0"/>
      </w:pPr>
      <w:rPr>
        <w:rFonts w:hint="eastAsia"/>
      </w:rPr>
    </w:lvl>
  </w:abstractNum>
  <w:abstractNum w:abstractNumId="13">
    <w:nsid w:val="5EE75099"/>
    <w:multiLevelType w:val="multilevel"/>
    <w:tmpl w:val="5EE75099"/>
    <w:lvl w:ilvl="0" w:tentative="0">
      <w:start w:val="1"/>
      <w:numFmt w:val="chineseCountingThousand"/>
      <w:suff w:val="nothing"/>
      <w:lvlText w:val="第%1章 "/>
      <w:lvlJc w:val="left"/>
      <w:pPr>
        <w:ind w:left="200" w:firstLine="0"/>
      </w:pPr>
      <w:rPr>
        <w:rFonts w:hint="eastAsia" w:ascii="黑体" w:hAnsi="黑体" w:eastAsia="黑体" w:cs="宋体"/>
        <w:b w:val="0"/>
        <w:i w:val="0"/>
        <w:sz w:val="36"/>
      </w:rPr>
    </w:lvl>
    <w:lvl w:ilvl="1" w:tentative="0">
      <w:start w:val="1"/>
      <w:numFmt w:val="chineseCountingThousand"/>
      <w:pStyle w:val="44"/>
      <w:suff w:val="nothing"/>
      <w:lvlText w:val="%2、"/>
      <w:lvlJc w:val="left"/>
      <w:pPr>
        <w:ind w:left="200" w:firstLine="0"/>
      </w:pPr>
      <w:rPr>
        <w:rFonts w:hint="eastAsia" w:ascii="黑体" w:hAnsi="黑体" w:eastAsia="黑体" w:cs="宋体"/>
        <w:b w:val="0"/>
        <w:i w:val="0"/>
        <w:sz w:val="32"/>
      </w:rPr>
    </w:lvl>
    <w:lvl w:ilvl="2" w:tentative="0">
      <w:start w:val="1"/>
      <w:numFmt w:val="decimal"/>
      <w:pStyle w:val="45"/>
      <w:suff w:val="nothing"/>
      <w:lvlText w:val="%3."/>
      <w:lvlJc w:val="left"/>
      <w:pPr>
        <w:ind w:left="200" w:firstLine="0"/>
      </w:pPr>
      <w:rPr>
        <w:rFonts w:hint="eastAsia" w:ascii="黑体" w:hAnsi="黑体" w:eastAsia="黑体" w:cs="宋体"/>
        <w:b w:val="0"/>
        <w:i w:val="0"/>
        <w:sz w:val="28"/>
      </w:rPr>
    </w:lvl>
    <w:lvl w:ilvl="3" w:tentative="0">
      <w:start w:val="1"/>
      <w:numFmt w:val="decimal"/>
      <w:pStyle w:val="41"/>
      <w:suff w:val="nothing"/>
      <w:lvlText w:val="%3.%4 "/>
      <w:lvlJc w:val="left"/>
      <w:pPr>
        <w:tabs>
          <w:tab w:val="left" w:pos="0"/>
        </w:tabs>
        <w:ind w:left="200" w:firstLine="0"/>
      </w:pPr>
      <w:rPr>
        <w:rFonts w:hint="eastAsia" w:ascii="宋体" w:hAnsi="宋体" w:eastAsia="宋体" w:cs="宋体"/>
        <w:b/>
        <w:i w:val="0"/>
        <w:sz w:val="24"/>
      </w:rPr>
    </w:lvl>
    <w:lvl w:ilvl="4" w:tentative="0">
      <w:start w:val="1"/>
      <w:numFmt w:val="decimal"/>
      <w:pStyle w:val="46"/>
      <w:suff w:val="nothing"/>
      <w:lvlText w:val="%3.%4.%5 "/>
      <w:lvlJc w:val="left"/>
      <w:pPr>
        <w:tabs>
          <w:tab w:val="left" w:pos="0"/>
        </w:tabs>
        <w:ind w:left="0" w:leftChars="0" w:firstLine="0" w:firstLineChars="0"/>
      </w:pPr>
      <w:rPr>
        <w:rFonts w:hint="eastAsia" w:ascii="宋体" w:hAnsi="宋体" w:eastAsia="宋体" w:cs="宋体"/>
        <w:b/>
      </w:rPr>
    </w:lvl>
    <w:lvl w:ilvl="5" w:tentative="0">
      <w:start w:val="1"/>
      <w:numFmt w:val="decimal"/>
      <w:pStyle w:val="47"/>
      <w:suff w:val="nothing"/>
      <w:lvlText w:val="%3.%4.%5.%6 "/>
      <w:lvlJc w:val="left"/>
      <w:pPr>
        <w:tabs>
          <w:tab w:val="left" w:pos="0"/>
        </w:tabs>
        <w:ind w:left="200" w:firstLine="0"/>
      </w:pPr>
      <w:rPr>
        <w:rFonts w:hint="eastAsia" w:ascii="宋体" w:hAnsi="宋体" w:eastAsia="宋体" w:cs="宋体"/>
      </w:rPr>
    </w:lvl>
    <w:lvl w:ilvl="6" w:tentative="0">
      <w:start w:val="1"/>
      <w:numFmt w:val="lowerLetter"/>
      <w:suff w:val="nothing"/>
      <w:lvlText w:val="%7．"/>
      <w:lvlJc w:val="left"/>
      <w:pPr>
        <w:ind w:left="200" w:firstLine="402"/>
      </w:pPr>
      <w:rPr>
        <w:rFonts w:hint="eastAsia" w:ascii="宋体" w:hAnsi="宋体" w:eastAsia="宋体" w:cs="宋体"/>
      </w:rPr>
    </w:lvl>
    <w:lvl w:ilvl="7" w:tentative="0">
      <w:start w:val="1"/>
      <w:numFmt w:val="lowerLetter"/>
      <w:suff w:val="nothing"/>
      <w:lvlText w:val="%8）"/>
      <w:lvlJc w:val="left"/>
      <w:pPr>
        <w:ind w:left="200" w:firstLine="402"/>
      </w:pPr>
      <w:rPr>
        <w:rFonts w:hint="eastAsia"/>
      </w:rPr>
    </w:lvl>
    <w:lvl w:ilvl="8" w:tentative="0">
      <w:start w:val="1"/>
      <w:numFmt w:val="lowerRoman"/>
      <w:suff w:val="nothing"/>
      <w:lvlText w:val="%9. "/>
      <w:lvlJc w:val="left"/>
      <w:pPr>
        <w:ind w:left="200" w:firstLine="402"/>
      </w:pPr>
      <w:rPr>
        <w:rFonts w:hint="eastAsia"/>
      </w:rPr>
    </w:lvl>
  </w:abstractNum>
  <w:abstractNum w:abstractNumId="14">
    <w:nsid w:val="70135676"/>
    <w:multiLevelType w:val="multilevel"/>
    <w:tmpl w:val="70135676"/>
    <w:lvl w:ilvl="0" w:tentative="0">
      <w:start w:val="1"/>
      <w:numFmt w:val="bullet"/>
      <w:pStyle w:val="54"/>
      <w:lvlText w:val=""/>
      <w:lvlJc w:val="left"/>
      <w:pPr>
        <w:ind w:left="0" w:firstLine="0"/>
      </w:pPr>
      <w:rPr>
        <w:rFonts w:hint="default" w:ascii="Wingdings" w:hAnsi="Wingdings"/>
        <w:color w:val="auto"/>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8"/>
  </w:num>
  <w:num w:numId="2">
    <w:abstractNumId w:val="13"/>
  </w:num>
  <w:num w:numId="3">
    <w:abstractNumId w:val="2"/>
  </w:num>
  <w:num w:numId="4">
    <w:abstractNumId w:val="5"/>
  </w:num>
  <w:num w:numId="5">
    <w:abstractNumId w:val="0"/>
  </w:num>
  <w:num w:numId="6">
    <w:abstractNumId w:val="14"/>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0"/>
    <w:lvlOverride w:ilvl="0">
      <w:startOverride w:val="1"/>
    </w:lvlOverride>
  </w:num>
  <w:num w:numId="14">
    <w:abstractNumId w:val="5"/>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0"/>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5"/>
    <w:lvlOverride w:ilvl="0">
      <w:startOverride w:val="1"/>
    </w:lvlOverride>
  </w:num>
  <w:num w:numId="33">
    <w:abstractNumId w:val="5"/>
    <w:lvlOverride w:ilvl="0">
      <w:startOverride w:val="1"/>
    </w:lvlOverride>
  </w:num>
  <w:num w:numId="34">
    <w:abstractNumId w:val="5"/>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0"/>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0"/>
    <w:lvlOverride w:ilvl="0">
      <w:startOverride w:val="1"/>
    </w:lvlOverride>
  </w:num>
  <w:num w:numId="47">
    <w:abstractNumId w:val="5"/>
    <w:lvlOverride w:ilvl="0">
      <w:startOverride w:val="1"/>
    </w:lvlOverride>
  </w:num>
  <w:num w:numId="48">
    <w:abstractNumId w:val="7"/>
  </w:num>
  <w:num w:numId="49">
    <w:abstractNumId w:val="11"/>
  </w:num>
  <w:num w:numId="50">
    <w:abstractNumId w:val="3"/>
  </w:num>
  <w:num w:numId="51">
    <w:abstractNumId w:val="4"/>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num>
  <w:num w:numId="54">
    <w:abstractNumId w:val="9"/>
  </w:num>
  <w:num w:numId="55">
    <w:abstractNumId w:val="10"/>
  </w:num>
  <w:num w:numId="56">
    <w:abstractNumId w:val="5"/>
    <w:lvlOverride w:ilvl="0">
      <w:startOverride w:val="1"/>
    </w:lvlOverride>
  </w:num>
  <w:num w:numId="57">
    <w:abstractNumId w:val="0"/>
    <w:lvlOverride w:ilvl="0">
      <w:startOverride w:val="1"/>
    </w:lvlOverride>
  </w:num>
  <w:num w:numId="58">
    <w:abstractNumId w:val="0"/>
    <w:lvlOverride w:ilvl="0">
      <w:startOverride w:val="1"/>
    </w:lvlOverride>
  </w:num>
  <w:num w:numId="59">
    <w:abstractNumId w:val="5"/>
    <w:lvlOverride w:ilvl="0">
      <w:startOverride w:val="1"/>
    </w:lvlOverride>
  </w:num>
  <w:num w:numId="60">
    <w:abstractNumId w:val="0"/>
    <w:lvlOverride w:ilvl="0">
      <w:startOverride w:val="1"/>
    </w:lvlOverride>
  </w:num>
  <w:num w:numId="61">
    <w:abstractNumId w:val="0"/>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0"/>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
    <w:lvlOverride w:ilvl="0">
      <w:startOverride w:val="1"/>
    </w:lvlOverride>
  </w:num>
  <w:num w:numId="71">
    <w:abstractNumId w:val="5"/>
    <w:lvlOverride w:ilvl="0">
      <w:startOverride w:val="1"/>
    </w:lvlOverride>
  </w:num>
  <w:num w:numId="72">
    <w:abstractNumId w:val="5"/>
    <w:lvlOverride w:ilvl="0">
      <w:startOverride w:val="1"/>
    </w:lvlOverride>
  </w:num>
  <w:num w:numId="73">
    <w:abstractNumId w:val="5"/>
    <w:lvlOverride w:ilvl="0">
      <w:startOverride w:val="1"/>
    </w:lvlOverride>
  </w:num>
  <w:num w:numId="74">
    <w:abstractNumId w:val="12"/>
  </w:num>
  <w:num w:numId="75">
    <w:abstractNumId w:val="5"/>
    <w:lvlOverride w:ilvl="0">
      <w:startOverride w:val="1"/>
    </w:lvlOverride>
  </w:num>
  <w:num w:numId="76">
    <w:abstractNumId w:val="1"/>
  </w:num>
  <w:num w:numId="77">
    <w:abstractNumId w:val="6"/>
  </w:num>
  <w:num w:numId="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dit="readOnly" w:enforcement="1" w:cryptProviderType="rsaFull" w:cryptAlgorithmClass="hash" w:cryptAlgorithmType="typeAny" w:cryptAlgorithmSid="4" w:cryptSpinCount="0" w:hash="nsuWKb/KkZM7kA4aKd0jcj0F2DE=" w:salt="TooWbmKHTK3nrjDAZoD7jQ=="/>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17583D7"/>
    <w:rsid w:val="00000433"/>
    <w:rsid w:val="00000624"/>
    <w:rsid w:val="0000155F"/>
    <w:rsid w:val="000016C1"/>
    <w:rsid w:val="0001050E"/>
    <w:rsid w:val="000174CD"/>
    <w:rsid w:val="00030A1B"/>
    <w:rsid w:val="00030E43"/>
    <w:rsid w:val="000335F9"/>
    <w:rsid w:val="00035FF6"/>
    <w:rsid w:val="00040E82"/>
    <w:rsid w:val="00041DF1"/>
    <w:rsid w:val="000443FD"/>
    <w:rsid w:val="000476C1"/>
    <w:rsid w:val="00051257"/>
    <w:rsid w:val="0005212A"/>
    <w:rsid w:val="000542A6"/>
    <w:rsid w:val="000571FA"/>
    <w:rsid w:val="0006004C"/>
    <w:rsid w:val="00060647"/>
    <w:rsid w:val="00065737"/>
    <w:rsid w:val="00070201"/>
    <w:rsid w:val="00072503"/>
    <w:rsid w:val="000813AB"/>
    <w:rsid w:val="00081D18"/>
    <w:rsid w:val="00087636"/>
    <w:rsid w:val="0009289C"/>
    <w:rsid w:val="00093DDB"/>
    <w:rsid w:val="0009673C"/>
    <w:rsid w:val="00097622"/>
    <w:rsid w:val="000A3F7B"/>
    <w:rsid w:val="000B02B6"/>
    <w:rsid w:val="000B270D"/>
    <w:rsid w:val="000B4527"/>
    <w:rsid w:val="000B74DE"/>
    <w:rsid w:val="000B7826"/>
    <w:rsid w:val="000C1BC9"/>
    <w:rsid w:val="000C26A2"/>
    <w:rsid w:val="000C5207"/>
    <w:rsid w:val="000C6027"/>
    <w:rsid w:val="000D1E7E"/>
    <w:rsid w:val="000D3967"/>
    <w:rsid w:val="000E2C27"/>
    <w:rsid w:val="000E61C2"/>
    <w:rsid w:val="000F10F8"/>
    <w:rsid w:val="000F34E2"/>
    <w:rsid w:val="000F4876"/>
    <w:rsid w:val="000F5D77"/>
    <w:rsid w:val="0010242E"/>
    <w:rsid w:val="00103F1E"/>
    <w:rsid w:val="00106B5C"/>
    <w:rsid w:val="00107BBC"/>
    <w:rsid w:val="00111B56"/>
    <w:rsid w:val="00113172"/>
    <w:rsid w:val="0011414B"/>
    <w:rsid w:val="001242DF"/>
    <w:rsid w:val="0012613E"/>
    <w:rsid w:val="0012767E"/>
    <w:rsid w:val="00131917"/>
    <w:rsid w:val="001436B3"/>
    <w:rsid w:val="001468D5"/>
    <w:rsid w:val="001469CC"/>
    <w:rsid w:val="00147A13"/>
    <w:rsid w:val="001505CC"/>
    <w:rsid w:val="00153AA4"/>
    <w:rsid w:val="00155B0C"/>
    <w:rsid w:val="00155B8C"/>
    <w:rsid w:val="00155CCC"/>
    <w:rsid w:val="00161653"/>
    <w:rsid w:val="001711E3"/>
    <w:rsid w:val="00171E2C"/>
    <w:rsid w:val="001724FF"/>
    <w:rsid w:val="00176431"/>
    <w:rsid w:val="00177AAF"/>
    <w:rsid w:val="00186959"/>
    <w:rsid w:val="00190698"/>
    <w:rsid w:val="001917A1"/>
    <w:rsid w:val="001961A1"/>
    <w:rsid w:val="001B00C7"/>
    <w:rsid w:val="001B15BC"/>
    <w:rsid w:val="001B16EA"/>
    <w:rsid w:val="001B419C"/>
    <w:rsid w:val="001C00C6"/>
    <w:rsid w:val="001D15FA"/>
    <w:rsid w:val="001D58A2"/>
    <w:rsid w:val="001E3AF8"/>
    <w:rsid w:val="001E5B0A"/>
    <w:rsid w:val="001E6153"/>
    <w:rsid w:val="00201AC6"/>
    <w:rsid w:val="00204064"/>
    <w:rsid w:val="00207959"/>
    <w:rsid w:val="002170DE"/>
    <w:rsid w:val="002216FB"/>
    <w:rsid w:val="002354AA"/>
    <w:rsid w:val="00241B7E"/>
    <w:rsid w:val="002432D2"/>
    <w:rsid w:val="002433EB"/>
    <w:rsid w:val="0025046B"/>
    <w:rsid w:val="0025790C"/>
    <w:rsid w:val="00257A89"/>
    <w:rsid w:val="00263E9B"/>
    <w:rsid w:val="00264441"/>
    <w:rsid w:val="00264900"/>
    <w:rsid w:val="0026677D"/>
    <w:rsid w:val="00267379"/>
    <w:rsid w:val="00277C29"/>
    <w:rsid w:val="00280148"/>
    <w:rsid w:val="002845B6"/>
    <w:rsid w:val="00286803"/>
    <w:rsid w:val="0029637E"/>
    <w:rsid w:val="0029639B"/>
    <w:rsid w:val="002A2F98"/>
    <w:rsid w:val="002A5D53"/>
    <w:rsid w:val="002A7309"/>
    <w:rsid w:val="002B3EF7"/>
    <w:rsid w:val="002C4F07"/>
    <w:rsid w:val="002D460B"/>
    <w:rsid w:val="002D5A59"/>
    <w:rsid w:val="002E07BD"/>
    <w:rsid w:val="002E1EC2"/>
    <w:rsid w:val="002E5583"/>
    <w:rsid w:val="002F0FEE"/>
    <w:rsid w:val="002F5C63"/>
    <w:rsid w:val="002F6240"/>
    <w:rsid w:val="003113DE"/>
    <w:rsid w:val="00312195"/>
    <w:rsid w:val="00313E0D"/>
    <w:rsid w:val="00314917"/>
    <w:rsid w:val="00315CF3"/>
    <w:rsid w:val="003162FD"/>
    <w:rsid w:val="00326A6A"/>
    <w:rsid w:val="00331BAD"/>
    <w:rsid w:val="00341EFC"/>
    <w:rsid w:val="00344CC0"/>
    <w:rsid w:val="0036321D"/>
    <w:rsid w:val="0036668A"/>
    <w:rsid w:val="00366F42"/>
    <w:rsid w:val="0036743B"/>
    <w:rsid w:val="003774DD"/>
    <w:rsid w:val="003813CD"/>
    <w:rsid w:val="0038592E"/>
    <w:rsid w:val="00386D70"/>
    <w:rsid w:val="003A1D24"/>
    <w:rsid w:val="003A35B3"/>
    <w:rsid w:val="003A37B7"/>
    <w:rsid w:val="003A3AF2"/>
    <w:rsid w:val="003A3D61"/>
    <w:rsid w:val="003A760B"/>
    <w:rsid w:val="003A7CCD"/>
    <w:rsid w:val="003B5D55"/>
    <w:rsid w:val="003E1E64"/>
    <w:rsid w:val="003E5B90"/>
    <w:rsid w:val="003E61E2"/>
    <w:rsid w:val="003F06EF"/>
    <w:rsid w:val="003F1D32"/>
    <w:rsid w:val="003F5A4D"/>
    <w:rsid w:val="0040269D"/>
    <w:rsid w:val="004033DB"/>
    <w:rsid w:val="00406028"/>
    <w:rsid w:val="004068F9"/>
    <w:rsid w:val="00413402"/>
    <w:rsid w:val="0041648B"/>
    <w:rsid w:val="00425434"/>
    <w:rsid w:val="00425C6C"/>
    <w:rsid w:val="00433149"/>
    <w:rsid w:val="004348BA"/>
    <w:rsid w:val="00444CFA"/>
    <w:rsid w:val="0044563E"/>
    <w:rsid w:val="00446159"/>
    <w:rsid w:val="00450412"/>
    <w:rsid w:val="00450501"/>
    <w:rsid w:val="00455279"/>
    <w:rsid w:val="0046205A"/>
    <w:rsid w:val="00467609"/>
    <w:rsid w:val="00467A19"/>
    <w:rsid w:val="00470DED"/>
    <w:rsid w:val="0047113F"/>
    <w:rsid w:val="00471FC7"/>
    <w:rsid w:val="00474365"/>
    <w:rsid w:val="00481069"/>
    <w:rsid w:val="00485FC5"/>
    <w:rsid w:val="004946D0"/>
    <w:rsid w:val="0049748D"/>
    <w:rsid w:val="004A2155"/>
    <w:rsid w:val="004A2AF2"/>
    <w:rsid w:val="004A46D2"/>
    <w:rsid w:val="004B5273"/>
    <w:rsid w:val="004B66DB"/>
    <w:rsid w:val="004C1C25"/>
    <w:rsid w:val="004C266E"/>
    <w:rsid w:val="004C5138"/>
    <w:rsid w:val="004C6545"/>
    <w:rsid w:val="004C7FD2"/>
    <w:rsid w:val="004D03BD"/>
    <w:rsid w:val="004D2701"/>
    <w:rsid w:val="004D3EA0"/>
    <w:rsid w:val="004D6956"/>
    <w:rsid w:val="004F0AEC"/>
    <w:rsid w:val="004F547C"/>
    <w:rsid w:val="004F66A1"/>
    <w:rsid w:val="0050158E"/>
    <w:rsid w:val="0050426A"/>
    <w:rsid w:val="0050451D"/>
    <w:rsid w:val="00510CF7"/>
    <w:rsid w:val="005146F9"/>
    <w:rsid w:val="00524355"/>
    <w:rsid w:val="005309DC"/>
    <w:rsid w:val="0053778B"/>
    <w:rsid w:val="00542EBE"/>
    <w:rsid w:val="005460E3"/>
    <w:rsid w:val="00553FAC"/>
    <w:rsid w:val="00555C03"/>
    <w:rsid w:val="0055700A"/>
    <w:rsid w:val="005609A8"/>
    <w:rsid w:val="0056377E"/>
    <w:rsid w:val="00565849"/>
    <w:rsid w:val="00565E63"/>
    <w:rsid w:val="0057204E"/>
    <w:rsid w:val="00574565"/>
    <w:rsid w:val="00595D75"/>
    <w:rsid w:val="00596453"/>
    <w:rsid w:val="0059788E"/>
    <w:rsid w:val="005A1A2A"/>
    <w:rsid w:val="005A3A41"/>
    <w:rsid w:val="005B085D"/>
    <w:rsid w:val="005B0A74"/>
    <w:rsid w:val="005B24AB"/>
    <w:rsid w:val="005C1C76"/>
    <w:rsid w:val="005C1CDA"/>
    <w:rsid w:val="005C452B"/>
    <w:rsid w:val="005C5C92"/>
    <w:rsid w:val="005C7CBF"/>
    <w:rsid w:val="005D42A9"/>
    <w:rsid w:val="005D4AA3"/>
    <w:rsid w:val="005D625E"/>
    <w:rsid w:val="005D7C68"/>
    <w:rsid w:val="005E14C6"/>
    <w:rsid w:val="005E1CBA"/>
    <w:rsid w:val="005E4743"/>
    <w:rsid w:val="005E68B5"/>
    <w:rsid w:val="005F7154"/>
    <w:rsid w:val="006039BD"/>
    <w:rsid w:val="00606AB2"/>
    <w:rsid w:val="00615539"/>
    <w:rsid w:val="0061797F"/>
    <w:rsid w:val="00625A96"/>
    <w:rsid w:val="00625AA7"/>
    <w:rsid w:val="00625C4B"/>
    <w:rsid w:val="00636FDD"/>
    <w:rsid w:val="00644450"/>
    <w:rsid w:val="0064633D"/>
    <w:rsid w:val="00646AA1"/>
    <w:rsid w:val="006479B4"/>
    <w:rsid w:val="0065157D"/>
    <w:rsid w:val="00655565"/>
    <w:rsid w:val="00655619"/>
    <w:rsid w:val="006653E7"/>
    <w:rsid w:val="0067007C"/>
    <w:rsid w:val="006733CF"/>
    <w:rsid w:val="00673B61"/>
    <w:rsid w:val="0068124E"/>
    <w:rsid w:val="0068149D"/>
    <w:rsid w:val="006858E3"/>
    <w:rsid w:val="006865E9"/>
    <w:rsid w:val="00692853"/>
    <w:rsid w:val="006A5DC7"/>
    <w:rsid w:val="006A7B6C"/>
    <w:rsid w:val="006B694E"/>
    <w:rsid w:val="006C1920"/>
    <w:rsid w:val="006C2519"/>
    <w:rsid w:val="006D1038"/>
    <w:rsid w:val="006D2EF3"/>
    <w:rsid w:val="006D3794"/>
    <w:rsid w:val="006D63BC"/>
    <w:rsid w:val="006E5AE2"/>
    <w:rsid w:val="006F716B"/>
    <w:rsid w:val="006F71B8"/>
    <w:rsid w:val="006F7E13"/>
    <w:rsid w:val="00701691"/>
    <w:rsid w:val="00705CF8"/>
    <w:rsid w:val="0071174C"/>
    <w:rsid w:val="00712B80"/>
    <w:rsid w:val="0072250B"/>
    <w:rsid w:val="007309B2"/>
    <w:rsid w:val="00730C9B"/>
    <w:rsid w:val="007343CB"/>
    <w:rsid w:val="0074018A"/>
    <w:rsid w:val="007465BD"/>
    <w:rsid w:val="00753806"/>
    <w:rsid w:val="00761874"/>
    <w:rsid w:val="00763781"/>
    <w:rsid w:val="00767C46"/>
    <w:rsid w:val="00780808"/>
    <w:rsid w:val="007846DC"/>
    <w:rsid w:val="00785922"/>
    <w:rsid w:val="00794F0C"/>
    <w:rsid w:val="007956AE"/>
    <w:rsid w:val="00795958"/>
    <w:rsid w:val="007959CE"/>
    <w:rsid w:val="007A219B"/>
    <w:rsid w:val="007A40FD"/>
    <w:rsid w:val="007A6893"/>
    <w:rsid w:val="007B0C2F"/>
    <w:rsid w:val="007B1668"/>
    <w:rsid w:val="007C3D21"/>
    <w:rsid w:val="007C4CF2"/>
    <w:rsid w:val="007D72B5"/>
    <w:rsid w:val="007E0BF3"/>
    <w:rsid w:val="007E749B"/>
    <w:rsid w:val="007F1A86"/>
    <w:rsid w:val="007F1D93"/>
    <w:rsid w:val="007F4556"/>
    <w:rsid w:val="007F5900"/>
    <w:rsid w:val="008051AF"/>
    <w:rsid w:val="00813194"/>
    <w:rsid w:val="00813D50"/>
    <w:rsid w:val="00814792"/>
    <w:rsid w:val="008148B2"/>
    <w:rsid w:val="008258FA"/>
    <w:rsid w:val="0083275B"/>
    <w:rsid w:val="00845042"/>
    <w:rsid w:val="00851602"/>
    <w:rsid w:val="00861881"/>
    <w:rsid w:val="00861CD5"/>
    <w:rsid w:val="00861DFD"/>
    <w:rsid w:val="00863992"/>
    <w:rsid w:val="00875AE4"/>
    <w:rsid w:val="00876882"/>
    <w:rsid w:val="008824C4"/>
    <w:rsid w:val="00883456"/>
    <w:rsid w:val="00893E3C"/>
    <w:rsid w:val="00897361"/>
    <w:rsid w:val="008B0A14"/>
    <w:rsid w:val="008B3CAF"/>
    <w:rsid w:val="008B41D4"/>
    <w:rsid w:val="008B4648"/>
    <w:rsid w:val="008B5006"/>
    <w:rsid w:val="008B6A3A"/>
    <w:rsid w:val="008C0EEB"/>
    <w:rsid w:val="008D090C"/>
    <w:rsid w:val="008D0DC9"/>
    <w:rsid w:val="008D1E4E"/>
    <w:rsid w:val="008D327B"/>
    <w:rsid w:val="008D6F76"/>
    <w:rsid w:val="008E74C8"/>
    <w:rsid w:val="008F1299"/>
    <w:rsid w:val="00905C72"/>
    <w:rsid w:val="00906B80"/>
    <w:rsid w:val="00912A61"/>
    <w:rsid w:val="0091686A"/>
    <w:rsid w:val="00916979"/>
    <w:rsid w:val="00916B64"/>
    <w:rsid w:val="00921C76"/>
    <w:rsid w:val="00925E45"/>
    <w:rsid w:val="00926FA4"/>
    <w:rsid w:val="009359CE"/>
    <w:rsid w:val="0093679F"/>
    <w:rsid w:val="00937D9F"/>
    <w:rsid w:val="00950D2A"/>
    <w:rsid w:val="00952E74"/>
    <w:rsid w:val="00952F23"/>
    <w:rsid w:val="00960AB1"/>
    <w:rsid w:val="00963B29"/>
    <w:rsid w:val="00970EC2"/>
    <w:rsid w:val="0097389D"/>
    <w:rsid w:val="00976654"/>
    <w:rsid w:val="00977541"/>
    <w:rsid w:val="00977735"/>
    <w:rsid w:val="009817AA"/>
    <w:rsid w:val="0098194A"/>
    <w:rsid w:val="00981C6C"/>
    <w:rsid w:val="009835D4"/>
    <w:rsid w:val="009844C6"/>
    <w:rsid w:val="00991071"/>
    <w:rsid w:val="00991D0D"/>
    <w:rsid w:val="00996FD2"/>
    <w:rsid w:val="009A2C43"/>
    <w:rsid w:val="009B3C22"/>
    <w:rsid w:val="009B7C1F"/>
    <w:rsid w:val="009C1F15"/>
    <w:rsid w:val="009C333A"/>
    <w:rsid w:val="009C55B3"/>
    <w:rsid w:val="009C681D"/>
    <w:rsid w:val="009C7675"/>
    <w:rsid w:val="009D23C7"/>
    <w:rsid w:val="009D2B03"/>
    <w:rsid w:val="009D447D"/>
    <w:rsid w:val="009D4780"/>
    <w:rsid w:val="009E0965"/>
    <w:rsid w:val="009E1592"/>
    <w:rsid w:val="009E4FA3"/>
    <w:rsid w:val="009F0B92"/>
    <w:rsid w:val="009F35B7"/>
    <w:rsid w:val="00A0042A"/>
    <w:rsid w:val="00A029AD"/>
    <w:rsid w:val="00A12589"/>
    <w:rsid w:val="00A12CE6"/>
    <w:rsid w:val="00A14592"/>
    <w:rsid w:val="00A21C09"/>
    <w:rsid w:val="00A23D75"/>
    <w:rsid w:val="00A253D1"/>
    <w:rsid w:val="00A25C14"/>
    <w:rsid w:val="00A27863"/>
    <w:rsid w:val="00A27956"/>
    <w:rsid w:val="00A322FB"/>
    <w:rsid w:val="00A34B8F"/>
    <w:rsid w:val="00A35821"/>
    <w:rsid w:val="00A365B2"/>
    <w:rsid w:val="00A3731B"/>
    <w:rsid w:val="00A40416"/>
    <w:rsid w:val="00A541BF"/>
    <w:rsid w:val="00A5544C"/>
    <w:rsid w:val="00A55BC8"/>
    <w:rsid w:val="00A64FC1"/>
    <w:rsid w:val="00A66D00"/>
    <w:rsid w:val="00A75784"/>
    <w:rsid w:val="00A75E8F"/>
    <w:rsid w:val="00A80B6A"/>
    <w:rsid w:val="00A868F9"/>
    <w:rsid w:val="00AA6195"/>
    <w:rsid w:val="00AB1DD0"/>
    <w:rsid w:val="00AB1F84"/>
    <w:rsid w:val="00AB5F72"/>
    <w:rsid w:val="00AC1D28"/>
    <w:rsid w:val="00AC28AF"/>
    <w:rsid w:val="00AC31D1"/>
    <w:rsid w:val="00AD02F9"/>
    <w:rsid w:val="00AD0D69"/>
    <w:rsid w:val="00AD4022"/>
    <w:rsid w:val="00AF0290"/>
    <w:rsid w:val="00AF11F9"/>
    <w:rsid w:val="00AF1B2B"/>
    <w:rsid w:val="00AF35A5"/>
    <w:rsid w:val="00AF4163"/>
    <w:rsid w:val="00B041E9"/>
    <w:rsid w:val="00B04DFE"/>
    <w:rsid w:val="00B056F0"/>
    <w:rsid w:val="00B058A0"/>
    <w:rsid w:val="00B114CD"/>
    <w:rsid w:val="00B132F2"/>
    <w:rsid w:val="00B176FA"/>
    <w:rsid w:val="00B2170E"/>
    <w:rsid w:val="00B30140"/>
    <w:rsid w:val="00B30BA9"/>
    <w:rsid w:val="00B30FA8"/>
    <w:rsid w:val="00B33C91"/>
    <w:rsid w:val="00B35496"/>
    <w:rsid w:val="00B361F7"/>
    <w:rsid w:val="00B40B4A"/>
    <w:rsid w:val="00B43A2F"/>
    <w:rsid w:val="00B51146"/>
    <w:rsid w:val="00B70207"/>
    <w:rsid w:val="00B740F0"/>
    <w:rsid w:val="00B75E42"/>
    <w:rsid w:val="00B77AC0"/>
    <w:rsid w:val="00B838EE"/>
    <w:rsid w:val="00B84DC5"/>
    <w:rsid w:val="00B855FB"/>
    <w:rsid w:val="00B9698F"/>
    <w:rsid w:val="00B97E3B"/>
    <w:rsid w:val="00BA1000"/>
    <w:rsid w:val="00BA39E9"/>
    <w:rsid w:val="00BB0DE6"/>
    <w:rsid w:val="00BB23C7"/>
    <w:rsid w:val="00BB592E"/>
    <w:rsid w:val="00BB5BC2"/>
    <w:rsid w:val="00BC1EF6"/>
    <w:rsid w:val="00BC6B77"/>
    <w:rsid w:val="00BD06A7"/>
    <w:rsid w:val="00BD14D0"/>
    <w:rsid w:val="00BD56DA"/>
    <w:rsid w:val="00BD5CD9"/>
    <w:rsid w:val="00BD602E"/>
    <w:rsid w:val="00BE15FF"/>
    <w:rsid w:val="00BE68CD"/>
    <w:rsid w:val="00BF4DA1"/>
    <w:rsid w:val="00C02DA5"/>
    <w:rsid w:val="00C06152"/>
    <w:rsid w:val="00C118BB"/>
    <w:rsid w:val="00C16728"/>
    <w:rsid w:val="00C178B9"/>
    <w:rsid w:val="00C23C63"/>
    <w:rsid w:val="00C321FE"/>
    <w:rsid w:val="00C3575D"/>
    <w:rsid w:val="00C410D5"/>
    <w:rsid w:val="00C45560"/>
    <w:rsid w:val="00C47896"/>
    <w:rsid w:val="00C642DB"/>
    <w:rsid w:val="00C70F17"/>
    <w:rsid w:val="00C77DCE"/>
    <w:rsid w:val="00C81945"/>
    <w:rsid w:val="00C82944"/>
    <w:rsid w:val="00C84D3A"/>
    <w:rsid w:val="00C91DB3"/>
    <w:rsid w:val="00C96F20"/>
    <w:rsid w:val="00CA7592"/>
    <w:rsid w:val="00CB134D"/>
    <w:rsid w:val="00CB1962"/>
    <w:rsid w:val="00CB3DB1"/>
    <w:rsid w:val="00CB5704"/>
    <w:rsid w:val="00CB784E"/>
    <w:rsid w:val="00CC1C45"/>
    <w:rsid w:val="00CC27D8"/>
    <w:rsid w:val="00CC3276"/>
    <w:rsid w:val="00CC3F99"/>
    <w:rsid w:val="00CC5892"/>
    <w:rsid w:val="00CC5DFD"/>
    <w:rsid w:val="00CC71A7"/>
    <w:rsid w:val="00CD2CD5"/>
    <w:rsid w:val="00CD79D4"/>
    <w:rsid w:val="00CE085D"/>
    <w:rsid w:val="00CE125A"/>
    <w:rsid w:val="00CE4DFA"/>
    <w:rsid w:val="00D01240"/>
    <w:rsid w:val="00D06483"/>
    <w:rsid w:val="00D07D2C"/>
    <w:rsid w:val="00D07FDC"/>
    <w:rsid w:val="00D2105C"/>
    <w:rsid w:val="00D2657F"/>
    <w:rsid w:val="00D27D2F"/>
    <w:rsid w:val="00D31063"/>
    <w:rsid w:val="00D31086"/>
    <w:rsid w:val="00D33967"/>
    <w:rsid w:val="00D36933"/>
    <w:rsid w:val="00D36D8D"/>
    <w:rsid w:val="00D40A30"/>
    <w:rsid w:val="00D47803"/>
    <w:rsid w:val="00D51CA7"/>
    <w:rsid w:val="00D51DCC"/>
    <w:rsid w:val="00D654CC"/>
    <w:rsid w:val="00D665A8"/>
    <w:rsid w:val="00D72688"/>
    <w:rsid w:val="00D76F20"/>
    <w:rsid w:val="00D808C1"/>
    <w:rsid w:val="00D8186E"/>
    <w:rsid w:val="00D82FBE"/>
    <w:rsid w:val="00D854F2"/>
    <w:rsid w:val="00D87F0D"/>
    <w:rsid w:val="00D901A4"/>
    <w:rsid w:val="00D907B2"/>
    <w:rsid w:val="00D90AB7"/>
    <w:rsid w:val="00D924D6"/>
    <w:rsid w:val="00DB0382"/>
    <w:rsid w:val="00DB0A7D"/>
    <w:rsid w:val="00DB5A7C"/>
    <w:rsid w:val="00DC1A19"/>
    <w:rsid w:val="00DC2C42"/>
    <w:rsid w:val="00DD1B09"/>
    <w:rsid w:val="00DD2FD2"/>
    <w:rsid w:val="00DD517E"/>
    <w:rsid w:val="00DD7B23"/>
    <w:rsid w:val="00DE54DA"/>
    <w:rsid w:val="00DE555F"/>
    <w:rsid w:val="00DE657C"/>
    <w:rsid w:val="00DE7138"/>
    <w:rsid w:val="00DE77F1"/>
    <w:rsid w:val="00DF0580"/>
    <w:rsid w:val="00DF2FD6"/>
    <w:rsid w:val="00DF374B"/>
    <w:rsid w:val="00DF7A04"/>
    <w:rsid w:val="00E0181C"/>
    <w:rsid w:val="00E06F86"/>
    <w:rsid w:val="00E103A5"/>
    <w:rsid w:val="00E112EF"/>
    <w:rsid w:val="00E124DE"/>
    <w:rsid w:val="00E1483F"/>
    <w:rsid w:val="00E23A1A"/>
    <w:rsid w:val="00E270C9"/>
    <w:rsid w:val="00E3264A"/>
    <w:rsid w:val="00E37956"/>
    <w:rsid w:val="00E40BAE"/>
    <w:rsid w:val="00E4133E"/>
    <w:rsid w:val="00E42BAD"/>
    <w:rsid w:val="00E448C2"/>
    <w:rsid w:val="00E46A3F"/>
    <w:rsid w:val="00E5632E"/>
    <w:rsid w:val="00E5691E"/>
    <w:rsid w:val="00E6149A"/>
    <w:rsid w:val="00E63258"/>
    <w:rsid w:val="00E63271"/>
    <w:rsid w:val="00E6523F"/>
    <w:rsid w:val="00E65CA3"/>
    <w:rsid w:val="00E65E29"/>
    <w:rsid w:val="00E73F9B"/>
    <w:rsid w:val="00E7402C"/>
    <w:rsid w:val="00E75CFA"/>
    <w:rsid w:val="00E77863"/>
    <w:rsid w:val="00E850B1"/>
    <w:rsid w:val="00E87BC4"/>
    <w:rsid w:val="00EA3BE1"/>
    <w:rsid w:val="00EA4F48"/>
    <w:rsid w:val="00EA515E"/>
    <w:rsid w:val="00EB62DF"/>
    <w:rsid w:val="00EB6AED"/>
    <w:rsid w:val="00EC0540"/>
    <w:rsid w:val="00ED1EAB"/>
    <w:rsid w:val="00ED6D6C"/>
    <w:rsid w:val="00EE1FB4"/>
    <w:rsid w:val="00EE1FCF"/>
    <w:rsid w:val="00EE2423"/>
    <w:rsid w:val="00EE406F"/>
    <w:rsid w:val="00EE514F"/>
    <w:rsid w:val="00EE5AB7"/>
    <w:rsid w:val="00EF270D"/>
    <w:rsid w:val="00EF63C7"/>
    <w:rsid w:val="00EF7A16"/>
    <w:rsid w:val="00F0054E"/>
    <w:rsid w:val="00F047CF"/>
    <w:rsid w:val="00F06061"/>
    <w:rsid w:val="00F07A53"/>
    <w:rsid w:val="00F1566E"/>
    <w:rsid w:val="00F1770B"/>
    <w:rsid w:val="00F206AD"/>
    <w:rsid w:val="00F2167E"/>
    <w:rsid w:val="00F31130"/>
    <w:rsid w:val="00F31905"/>
    <w:rsid w:val="00F34CAF"/>
    <w:rsid w:val="00F379D6"/>
    <w:rsid w:val="00F42720"/>
    <w:rsid w:val="00F46E8F"/>
    <w:rsid w:val="00F516D3"/>
    <w:rsid w:val="00F70574"/>
    <w:rsid w:val="00F73451"/>
    <w:rsid w:val="00F74991"/>
    <w:rsid w:val="00F74D51"/>
    <w:rsid w:val="00F75C49"/>
    <w:rsid w:val="00F83548"/>
    <w:rsid w:val="00F91F60"/>
    <w:rsid w:val="00F93E65"/>
    <w:rsid w:val="00FA13FC"/>
    <w:rsid w:val="00FB0E79"/>
    <w:rsid w:val="00FC1452"/>
    <w:rsid w:val="00FC524A"/>
    <w:rsid w:val="00FC7BC3"/>
    <w:rsid w:val="00FD24AA"/>
    <w:rsid w:val="00FD4DAE"/>
    <w:rsid w:val="00FD4F34"/>
    <w:rsid w:val="00FE017D"/>
    <w:rsid w:val="00FE0CC5"/>
    <w:rsid w:val="00FE5C98"/>
    <w:rsid w:val="00FE5F47"/>
    <w:rsid w:val="00FF4ABE"/>
    <w:rsid w:val="016E4BE6"/>
    <w:rsid w:val="021138F7"/>
    <w:rsid w:val="0574147B"/>
    <w:rsid w:val="072F516A"/>
    <w:rsid w:val="0796D3FB"/>
    <w:rsid w:val="07FF854F"/>
    <w:rsid w:val="08E73603"/>
    <w:rsid w:val="0A6767AA"/>
    <w:rsid w:val="0BEBB73D"/>
    <w:rsid w:val="0CA07A02"/>
    <w:rsid w:val="0CC9374C"/>
    <w:rsid w:val="0DCC1F2F"/>
    <w:rsid w:val="0EB21FBD"/>
    <w:rsid w:val="0F2812B0"/>
    <w:rsid w:val="12257ED3"/>
    <w:rsid w:val="14116779"/>
    <w:rsid w:val="14447B5C"/>
    <w:rsid w:val="14AE3227"/>
    <w:rsid w:val="15250840"/>
    <w:rsid w:val="174E1E71"/>
    <w:rsid w:val="17542203"/>
    <w:rsid w:val="17BB1B1D"/>
    <w:rsid w:val="184E1A4E"/>
    <w:rsid w:val="1921046B"/>
    <w:rsid w:val="19937833"/>
    <w:rsid w:val="19FC4C6F"/>
    <w:rsid w:val="1A411F11"/>
    <w:rsid w:val="1AA702D0"/>
    <w:rsid w:val="1B485930"/>
    <w:rsid w:val="1BE542B5"/>
    <w:rsid w:val="1C616334"/>
    <w:rsid w:val="1C8B3E42"/>
    <w:rsid w:val="1D6BC6DA"/>
    <w:rsid w:val="1D7BF350"/>
    <w:rsid w:val="1DDC07FA"/>
    <w:rsid w:val="1E764C06"/>
    <w:rsid w:val="1EE3B8A4"/>
    <w:rsid w:val="1F2E3D94"/>
    <w:rsid w:val="1F461C09"/>
    <w:rsid w:val="1F813A12"/>
    <w:rsid w:val="1FDE9620"/>
    <w:rsid w:val="210640DF"/>
    <w:rsid w:val="219B2C72"/>
    <w:rsid w:val="2219492B"/>
    <w:rsid w:val="221D3307"/>
    <w:rsid w:val="228674DA"/>
    <w:rsid w:val="22D146C3"/>
    <w:rsid w:val="231F5A1C"/>
    <w:rsid w:val="251A776F"/>
    <w:rsid w:val="26275338"/>
    <w:rsid w:val="2698495E"/>
    <w:rsid w:val="26E31456"/>
    <w:rsid w:val="27FDD23F"/>
    <w:rsid w:val="27FEC50A"/>
    <w:rsid w:val="282E04AF"/>
    <w:rsid w:val="28BD44CE"/>
    <w:rsid w:val="28C40B7F"/>
    <w:rsid w:val="2B9F3B9D"/>
    <w:rsid w:val="2BFB4B4C"/>
    <w:rsid w:val="2C3167C0"/>
    <w:rsid w:val="2CFF5B0A"/>
    <w:rsid w:val="2CFF951F"/>
    <w:rsid w:val="2EDE9B0B"/>
    <w:rsid w:val="2F4A3550"/>
    <w:rsid w:val="2F8D8B6B"/>
    <w:rsid w:val="2F9A551E"/>
    <w:rsid w:val="2FD653A7"/>
    <w:rsid w:val="311D50AF"/>
    <w:rsid w:val="315A4FA4"/>
    <w:rsid w:val="31D200FD"/>
    <w:rsid w:val="3232545A"/>
    <w:rsid w:val="327F21CD"/>
    <w:rsid w:val="343FBDFC"/>
    <w:rsid w:val="34767465"/>
    <w:rsid w:val="35260E8C"/>
    <w:rsid w:val="365D3C4B"/>
    <w:rsid w:val="369167D9"/>
    <w:rsid w:val="37F53F17"/>
    <w:rsid w:val="39C7A863"/>
    <w:rsid w:val="39E734D3"/>
    <w:rsid w:val="3A77CAB5"/>
    <w:rsid w:val="3B1479D8"/>
    <w:rsid w:val="3B173D21"/>
    <w:rsid w:val="3BB347E9"/>
    <w:rsid w:val="3BD637A0"/>
    <w:rsid w:val="3BDB0304"/>
    <w:rsid w:val="3BFE0614"/>
    <w:rsid w:val="3C6E3D76"/>
    <w:rsid w:val="3C7F70D3"/>
    <w:rsid w:val="3CB5C02A"/>
    <w:rsid w:val="3CBED392"/>
    <w:rsid w:val="3CFF71C5"/>
    <w:rsid w:val="3D3FE990"/>
    <w:rsid w:val="3DF96DFA"/>
    <w:rsid w:val="3DFFB5C3"/>
    <w:rsid w:val="3E7F1016"/>
    <w:rsid w:val="3ECE1E48"/>
    <w:rsid w:val="3EDA2E72"/>
    <w:rsid w:val="3EE95621"/>
    <w:rsid w:val="3F2F42E2"/>
    <w:rsid w:val="3F597C1C"/>
    <w:rsid w:val="3F5B7E1E"/>
    <w:rsid w:val="3F7FFECC"/>
    <w:rsid w:val="3FB5AC1B"/>
    <w:rsid w:val="3FBD7177"/>
    <w:rsid w:val="3FC79D77"/>
    <w:rsid w:val="3FEEC14F"/>
    <w:rsid w:val="3FFBC6F9"/>
    <w:rsid w:val="3FFEB24E"/>
    <w:rsid w:val="3FFF014C"/>
    <w:rsid w:val="3FFF167F"/>
    <w:rsid w:val="3FFF9203"/>
    <w:rsid w:val="403F1053"/>
    <w:rsid w:val="406B04ED"/>
    <w:rsid w:val="40DE086C"/>
    <w:rsid w:val="410A771E"/>
    <w:rsid w:val="41901FE8"/>
    <w:rsid w:val="41B0225B"/>
    <w:rsid w:val="425C5BF6"/>
    <w:rsid w:val="430212FE"/>
    <w:rsid w:val="43EB7E8E"/>
    <w:rsid w:val="467C7C32"/>
    <w:rsid w:val="46D544C0"/>
    <w:rsid w:val="470741D6"/>
    <w:rsid w:val="474F285A"/>
    <w:rsid w:val="47867568"/>
    <w:rsid w:val="47B74BD0"/>
    <w:rsid w:val="47E77020"/>
    <w:rsid w:val="47EF2FF8"/>
    <w:rsid w:val="48153568"/>
    <w:rsid w:val="4815C42B"/>
    <w:rsid w:val="496A3E8B"/>
    <w:rsid w:val="4AFF5D99"/>
    <w:rsid w:val="4B5FBB05"/>
    <w:rsid w:val="4B603D34"/>
    <w:rsid w:val="4BEFB432"/>
    <w:rsid w:val="4D337DBA"/>
    <w:rsid w:val="4DA649B2"/>
    <w:rsid w:val="4EBFDDAC"/>
    <w:rsid w:val="4F7E85E4"/>
    <w:rsid w:val="4FD73BDD"/>
    <w:rsid w:val="4FDF906D"/>
    <w:rsid w:val="4FFB19E6"/>
    <w:rsid w:val="50306452"/>
    <w:rsid w:val="51595CED"/>
    <w:rsid w:val="51711105"/>
    <w:rsid w:val="51BFB8B8"/>
    <w:rsid w:val="523C3645"/>
    <w:rsid w:val="537FCE90"/>
    <w:rsid w:val="53FF43C0"/>
    <w:rsid w:val="54EB3100"/>
    <w:rsid w:val="55002146"/>
    <w:rsid w:val="553AE2E5"/>
    <w:rsid w:val="56974B04"/>
    <w:rsid w:val="56C0648D"/>
    <w:rsid w:val="56CD35B2"/>
    <w:rsid w:val="572D3B18"/>
    <w:rsid w:val="57400BAE"/>
    <w:rsid w:val="57BD5274"/>
    <w:rsid w:val="582043D7"/>
    <w:rsid w:val="58801271"/>
    <w:rsid w:val="594F56B7"/>
    <w:rsid w:val="59F94692"/>
    <w:rsid w:val="5A6C083F"/>
    <w:rsid w:val="5AE4C5ED"/>
    <w:rsid w:val="5AFF017B"/>
    <w:rsid w:val="5B3317FA"/>
    <w:rsid w:val="5BB7B9E7"/>
    <w:rsid w:val="5BEF6AB8"/>
    <w:rsid w:val="5C793BEA"/>
    <w:rsid w:val="5CEDC3D3"/>
    <w:rsid w:val="5D335DE5"/>
    <w:rsid w:val="5DAEA7C8"/>
    <w:rsid w:val="5E36363E"/>
    <w:rsid w:val="5F1DD9AE"/>
    <w:rsid w:val="5F342895"/>
    <w:rsid w:val="5F441D8B"/>
    <w:rsid w:val="5F7F97C6"/>
    <w:rsid w:val="5FAD1355"/>
    <w:rsid w:val="5FBF9A3E"/>
    <w:rsid w:val="5FDE3172"/>
    <w:rsid w:val="5FDFC41D"/>
    <w:rsid w:val="5FDFFC9F"/>
    <w:rsid w:val="5FE79FDF"/>
    <w:rsid w:val="5FE7AF0C"/>
    <w:rsid w:val="5FEE6F22"/>
    <w:rsid w:val="5FF33F52"/>
    <w:rsid w:val="5FFA5473"/>
    <w:rsid w:val="5FFBA56E"/>
    <w:rsid w:val="5FFF036A"/>
    <w:rsid w:val="5FFFE3C3"/>
    <w:rsid w:val="60483AFC"/>
    <w:rsid w:val="60F70F8F"/>
    <w:rsid w:val="61B7013F"/>
    <w:rsid w:val="62BFA792"/>
    <w:rsid w:val="62FCAC37"/>
    <w:rsid w:val="63942591"/>
    <w:rsid w:val="63F149E0"/>
    <w:rsid w:val="6640108C"/>
    <w:rsid w:val="67DE2109"/>
    <w:rsid w:val="67EF3138"/>
    <w:rsid w:val="690919C6"/>
    <w:rsid w:val="690A7BA1"/>
    <w:rsid w:val="697EF400"/>
    <w:rsid w:val="69DC6DBD"/>
    <w:rsid w:val="6A9C7821"/>
    <w:rsid w:val="6ABA55F7"/>
    <w:rsid w:val="6AF91C7B"/>
    <w:rsid w:val="6B372A39"/>
    <w:rsid w:val="6B9ABF87"/>
    <w:rsid w:val="6BBF4368"/>
    <w:rsid w:val="6CF87521"/>
    <w:rsid w:val="6D3D887E"/>
    <w:rsid w:val="6D723D53"/>
    <w:rsid w:val="6DF6A74B"/>
    <w:rsid w:val="6DFCB159"/>
    <w:rsid w:val="6E5B64D3"/>
    <w:rsid w:val="6E778CB3"/>
    <w:rsid w:val="6E7A3414"/>
    <w:rsid w:val="6EEA35BF"/>
    <w:rsid w:val="6EFCAADA"/>
    <w:rsid w:val="6F6D1633"/>
    <w:rsid w:val="6F7A3F84"/>
    <w:rsid w:val="6F8E7013"/>
    <w:rsid w:val="6FAFB84E"/>
    <w:rsid w:val="6FBD116D"/>
    <w:rsid w:val="6FBE3B17"/>
    <w:rsid w:val="6FBFCF91"/>
    <w:rsid w:val="6FCF54C7"/>
    <w:rsid w:val="6FDB13D9"/>
    <w:rsid w:val="6FE5EF43"/>
    <w:rsid w:val="6FF85A0B"/>
    <w:rsid w:val="6FFF07DD"/>
    <w:rsid w:val="6FFFA2D3"/>
    <w:rsid w:val="6FFFE22A"/>
    <w:rsid w:val="706D4254"/>
    <w:rsid w:val="709A1B33"/>
    <w:rsid w:val="709F18D4"/>
    <w:rsid w:val="71104A20"/>
    <w:rsid w:val="71FF0800"/>
    <w:rsid w:val="72774A90"/>
    <w:rsid w:val="73532145"/>
    <w:rsid w:val="735BF0D6"/>
    <w:rsid w:val="73795419"/>
    <w:rsid w:val="73BAE62B"/>
    <w:rsid w:val="73D980D6"/>
    <w:rsid w:val="73DE35DD"/>
    <w:rsid w:val="73DF2463"/>
    <w:rsid w:val="75D7C189"/>
    <w:rsid w:val="75ED4E7F"/>
    <w:rsid w:val="76496EC6"/>
    <w:rsid w:val="766FDE46"/>
    <w:rsid w:val="76EFAB40"/>
    <w:rsid w:val="7756DB3F"/>
    <w:rsid w:val="77B8F39F"/>
    <w:rsid w:val="77BDF20E"/>
    <w:rsid w:val="77BF40F4"/>
    <w:rsid w:val="77D38E54"/>
    <w:rsid w:val="77DACF8E"/>
    <w:rsid w:val="77DFCE77"/>
    <w:rsid w:val="77E77C3E"/>
    <w:rsid w:val="77ED0B87"/>
    <w:rsid w:val="77EF5A0D"/>
    <w:rsid w:val="77FB8CA4"/>
    <w:rsid w:val="77FE0D68"/>
    <w:rsid w:val="77FF5330"/>
    <w:rsid w:val="77FF967F"/>
    <w:rsid w:val="781C1732"/>
    <w:rsid w:val="783B66FD"/>
    <w:rsid w:val="78D15FE5"/>
    <w:rsid w:val="79579149"/>
    <w:rsid w:val="796914B3"/>
    <w:rsid w:val="79AF9382"/>
    <w:rsid w:val="79D620EF"/>
    <w:rsid w:val="79EFF248"/>
    <w:rsid w:val="7A2B1B9C"/>
    <w:rsid w:val="7B4B0442"/>
    <w:rsid w:val="7B6EF84B"/>
    <w:rsid w:val="7B6FD08A"/>
    <w:rsid w:val="7B75923D"/>
    <w:rsid w:val="7B9F7BD3"/>
    <w:rsid w:val="7BBFBB09"/>
    <w:rsid w:val="7BED7A96"/>
    <w:rsid w:val="7BEF461D"/>
    <w:rsid w:val="7BEFFFDD"/>
    <w:rsid w:val="7BF7888A"/>
    <w:rsid w:val="7CBE0B6D"/>
    <w:rsid w:val="7CFA2B51"/>
    <w:rsid w:val="7D2363DD"/>
    <w:rsid w:val="7D3924F5"/>
    <w:rsid w:val="7D7C3B6C"/>
    <w:rsid w:val="7D7E866D"/>
    <w:rsid w:val="7D7F5B00"/>
    <w:rsid w:val="7DBD9416"/>
    <w:rsid w:val="7DED4D94"/>
    <w:rsid w:val="7DED514F"/>
    <w:rsid w:val="7DEF709D"/>
    <w:rsid w:val="7DFB2E2F"/>
    <w:rsid w:val="7DFEA12B"/>
    <w:rsid w:val="7DFF57E7"/>
    <w:rsid w:val="7E3B5F9D"/>
    <w:rsid w:val="7E3D4CF4"/>
    <w:rsid w:val="7E47A669"/>
    <w:rsid w:val="7E7DA57B"/>
    <w:rsid w:val="7E7FCB42"/>
    <w:rsid w:val="7E931BEB"/>
    <w:rsid w:val="7EB05EC6"/>
    <w:rsid w:val="7EB2FEE9"/>
    <w:rsid w:val="7ECF43A1"/>
    <w:rsid w:val="7EEFF3D8"/>
    <w:rsid w:val="7EF509DB"/>
    <w:rsid w:val="7EFB7483"/>
    <w:rsid w:val="7EFC4EB4"/>
    <w:rsid w:val="7EFF13A8"/>
    <w:rsid w:val="7EFFBE46"/>
    <w:rsid w:val="7F3EC118"/>
    <w:rsid w:val="7F3FFA65"/>
    <w:rsid w:val="7F577C2B"/>
    <w:rsid w:val="7F8B6CC2"/>
    <w:rsid w:val="7F9DEE33"/>
    <w:rsid w:val="7FAD7F2B"/>
    <w:rsid w:val="7FADCB74"/>
    <w:rsid w:val="7FB5C0A0"/>
    <w:rsid w:val="7FCF8D05"/>
    <w:rsid w:val="7FDDFE87"/>
    <w:rsid w:val="7FDE1BCD"/>
    <w:rsid w:val="7FDFBE82"/>
    <w:rsid w:val="7FE70695"/>
    <w:rsid w:val="7FE90E8C"/>
    <w:rsid w:val="7FE91AAD"/>
    <w:rsid w:val="7FEF6E20"/>
    <w:rsid w:val="7FF3D3A2"/>
    <w:rsid w:val="7FF70807"/>
    <w:rsid w:val="7FFABEA4"/>
    <w:rsid w:val="7FFBEB5A"/>
    <w:rsid w:val="7FFDB050"/>
    <w:rsid w:val="7FFE17A1"/>
    <w:rsid w:val="7FFFC32B"/>
    <w:rsid w:val="8AFFE2D3"/>
    <w:rsid w:val="8B6F2F59"/>
    <w:rsid w:val="8DEB351F"/>
    <w:rsid w:val="8F6F3630"/>
    <w:rsid w:val="97EFC523"/>
    <w:rsid w:val="9B7B6C10"/>
    <w:rsid w:val="9DF72364"/>
    <w:rsid w:val="9EBD9FC2"/>
    <w:rsid w:val="9EDFFCE3"/>
    <w:rsid w:val="9EE7F689"/>
    <w:rsid w:val="9FDFE765"/>
    <w:rsid w:val="A35E25E8"/>
    <w:rsid w:val="A5C5B003"/>
    <w:rsid w:val="A9EFEE5B"/>
    <w:rsid w:val="AB394EED"/>
    <w:rsid w:val="ABDDDFDB"/>
    <w:rsid w:val="AE4731E8"/>
    <w:rsid w:val="AE5BB332"/>
    <w:rsid w:val="AE689322"/>
    <w:rsid w:val="AE9B18E9"/>
    <w:rsid w:val="AEBC8E78"/>
    <w:rsid w:val="AF072E1D"/>
    <w:rsid w:val="AF1F9809"/>
    <w:rsid w:val="B2BF29F9"/>
    <w:rsid w:val="B3FF60FD"/>
    <w:rsid w:val="B5FFDC8D"/>
    <w:rsid w:val="B6BFED37"/>
    <w:rsid w:val="B6F5465D"/>
    <w:rsid w:val="B75B6D63"/>
    <w:rsid w:val="BB3CC977"/>
    <w:rsid w:val="BB77706F"/>
    <w:rsid w:val="BBBD60E6"/>
    <w:rsid w:val="BBFBF7EB"/>
    <w:rsid w:val="BC8F0635"/>
    <w:rsid w:val="BCEB7A00"/>
    <w:rsid w:val="BD7B6342"/>
    <w:rsid w:val="BDE76AD4"/>
    <w:rsid w:val="BDFE3C48"/>
    <w:rsid w:val="BE9F1DC5"/>
    <w:rsid w:val="BEBA5523"/>
    <w:rsid w:val="BEDD19AD"/>
    <w:rsid w:val="BEEFCC92"/>
    <w:rsid w:val="BF06342A"/>
    <w:rsid w:val="BF6DDE3D"/>
    <w:rsid w:val="BF7B0F3A"/>
    <w:rsid w:val="BFBBA44C"/>
    <w:rsid w:val="BFC3C852"/>
    <w:rsid w:val="BFE6F22D"/>
    <w:rsid w:val="BFEFA8BB"/>
    <w:rsid w:val="BFF7D7E0"/>
    <w:rsid w:val="C5B62DEE"/>
    <w:rsid w:val="CDFF3E09"/>
    <w:rsid w:val="CF6F87F0"/>
    <w:rsid w:val="CF7F0451"/>
    <w:rsid w:val="CFEFCD2F"/>
    <w:rsid w:val="CFF52798"/>
    <w:rsid w:val="CFF7E35C"/>
    <w:rsid w:val="CFFF2B7E"/>
    <w:rsid w:val="D17583D7"/>
    <w:rsid w:val="D47F540F"/>
    <w:rsid w:val="D6BB27EF"/>
    <w:rsid w:val="D6DEDCDE"/>
    <w:rsid w:val="D6EF82AE"/>
    <w:rsid w:val="D6FF32F1"/>
    <w:rsid w:val="D72D25C4"/>
    <w:rsid w:val="D77D5A1E"/>
    <w:rsid w:val="D7CB05DB"/>
    <w:rsid w:val="D96379D6"/>
    <w:rsid w:val="D9CF8920"/>
    <w:rsid w:val="D9FDAE32"/>
    <w:rsid w:val="DBDBC196"/>
    <w:rsid w:val="DBFB3D52"/>
    <w:rsid w:val="DCAF77F6"/>
    <w:rsid w:val="DDB6AB8C"/>
    <w:rsid w:val="DDD911CC"/>
    <w:rsid w:val="DDEB0D6E"/>
    <w:rsid w:val="DDFF1FE3"/>
    <w:rsid w:val="DE9F5E86"/>
    <w:rsid w:val="DEEFEC93"/>
    <w:rsid w:val="DF3F4111"/>
    <w:rsid w:val="DF3F546D"/>
    <w:rsid w:val="DF7D0533"/>
    <w:rsid w:val="DF7FDCDF"/>
    <w:rsid w:val="DFDEC520"/>
    <w:rsid w:val="DFDFE5A4"/>
    <w:rsid w:val="DFEDD676"/>
    <w:rsid w:val="DFEEB31E"/>
    <w:rsid w:val="DFEFEC13"/>
    <w:rsid w:val="DFFBF7FC"/>
    <w:rsid w:val="DFFC161D"/>
    <w:rsid w:val="DFFF41DC"/>
    <w:rsid w:val="DFFFC173"/>
    <w:rsid w:val="E5AF69DE"/>
    <w:rsid w:val="E5DB6448"/>
    <w:rsid w:val="E715ED36"/>
    <w:rsid w:val="E736CA49"/>
    <w:rsid w:val="E7A7F51E"/>
    <w:rsid w:val="E7FF28F4"/>
    <w:rsid w:val="E9FF5500"/>
    <w:rsid w:val="EAD57D07"/>
    <w:rsid w:val="EBA60636"/>
    <w:rsid w:val="EBE79659"/>
    <w:rsid w:val="EBFB4D41"/>
    <w:rsid w:val="ED3F9145"/>
    <w:rsid w:val="EDFF6A31"/>
    <w:rsid w:val="EEDAF36E"/>
    <w:rsid w:val="EF4DF637"/>
    <w:rsid w:val="EFAEFCD8"/>
    <w:rsid w:val="EFBF225F"/>
    <w:rsid w:val="EFC37A10"/>
    <w:rsid w:val="EFF451D6"/>
    <w:rsid w:val="EFFB11AA"/>
    <w:rsid w:val="EFFEF376"/>
    <w:rsid w:val="F2E7D4AD"/>
    <w:rsid w:val="F2FF0CCF"/>
    <w:rsid w:val="F35C6053"/>
    <w:rsid w:val="F35FA86E"/>
    <w:rsid w:val="F3BF94C0"/>
    <w:rsid w:val="F3C32B17"/>
    <w:rsid w:val="F3F7A4C9"/>
    <w:rsid w:val="F3FD3FD5"/>
    <w:rsid w:val="F4BDD86D"/>
    <w:rsid w:val="F4EA0763"/>
    <w:rsid w:val="F537DE22"/>
    <w:rsid w:val="F57F3736"/>
    <w:rsid w:val="F57F7F46"/>
    <w:rsid w:val="F5BF3A6C"/>
    <w:rsid w:val="F5EF4ECE"/>
    <w:rsid w:val="F65D6CE4"/>
    <w:rsid w:val="F6BD6ABA"/>
    <w:rsid w:val="F6BF2A9C"/>
    <w:rsid w:val="F709F11C"/>
    <w:rsid w:val="F73E2C78"/>
    <w:rsid w:val="F7BFBB61"/>
    <w:rsid w:val="F7C70680"/>
    <w:rsid w:val="F7ECD733"/>
    <w:rsid w:val="F7EF3E0D"/>
    <w:rsid w:val="F7F0BE48"/>
    <w:rsid w:val="F7F354F0"/>
    <w:rsid w:val="F7F7AC8B"/>
    <w:rsid w:val="F7F7CA23"/>
    <w:rsid w:val="F7F988D2"/>
    <w:rsid w:val="F8370272"/>
    <w:rsid w:val="F9773501"/>
    <w:rsid w:val="F97BBC89"/>
    <w:rsid w:val="F9BD83EF"/>
    <w:rsid w:val="FAFFC8A0"/>
    <w:rsid w:val="FB5FD54A"/>
    <w:rsid w:val="FB6D02C1"/>
    <w:rsid w:val="FB7FBFE2"/>
    <w:rsid w:val="FBBF4767"/>
    <w:rsid w:val="FBC7BE32"/>
    <w:rsid w:val="FBEF3E11"/>
    <w:rsid w:val="FBF020C9"/>
    <w:rsid w:val="FBFB8B8D"/>
    <w:rsid w:val="FC7F5F55"/>
    <w:rsid w:val="FCB64CF3"/>
    <w:rsid w:val="FCBEB9B4"/>
    <w:rsid w:val="FCBF8E7E"/>
    <w:rsid w:val="FD767759"/>
    <w:rsid w:val="FD7FB604"/>
    <w:rsid w:val="FDB1651A"/>
    <w:rsid w:val="FDFD757F"/>
    <w:rsid w:val="FDFFEADF"/>
    <w:rsid w:val="FE7F1FC9"/>
    <w:rsid w:val="FEAF7179"/>
    <w:rsid w:val="FEBD1FA9"/>
    <w:rsid w:val="FEBE0E6C"/>
    <w:rsid w:val="FEF1E25F"/>
    <w:rsid w:val="FEFA53F1"/>
    <w:rsid w:val="FF1FBC84"/>
    <w:rsid w:val="FF3E5C8C"/>
    <w:rsid w:val="FF4ED624"/>
    <w:rsid w:val="FF4FAC77"/>
    <w:rsid w:val="FF65A386"/>
    <w:rsid w:val="FF6C0E6C"/>
    <w:rsid w:val="FF7E56E8"/>
    <w:rsid w:val="FF7F7D11"/>
    <w:rsid w:val="FF7FEBC0"/>
    <w:rsid w:val="FFB6985C"/>
    <w:rsid w:val="FFBCEC29"/>
    <w:rsid w:val="FFC47ED1"/>
    <w:rsid w:val="FFD93DB3"/>
    <w:rsid w:val="FFDF3631"/>
    <w:rsid w:val="FFDF44DF"/>
    <w:rsid w:val="FFDFA609"/>
    <w:rsid w:val="FFE789BD"/>
    <w:rsid w:val="FFE972B9"/>
    <w:rsid w:val="FFEC2FC2"/>
    <w:rsid w:val="FFEE8040"/>
    <w:rsid w:val="FFEF8C8B"/>
    <w:rsid w:val="FFF273A1"/>
    <w:rsid w:val="FFF337E4"/>
    <w:rsid w:val="FFF35C60"/>
    <w:rsid w:val="FFF391FA"/>
    <w:rsid w:val="FFF5C63C"/>
    <w:rsid w:val="FFF667D5"/>
    <w:rsid w:val="FFF78A7B"/>
    <w:rsid w:val="FFFA398F"/>
    <w:rsid w:val="FFFB8A93"/>
    <w:rsid w:val="FFFB8D4C"/>
    <w:rsid w:val="FFFD41FE"/>
    <w:rsid w:val="FFFDC03C"/>
    <w:rsid w:val="FFFE7D2F"/>
    <w:rsid w:val="FFFF29AB"/>
    <w:rsid w:val="FFFFCF0E"/>
    <w:rsid w:val="FFFFF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8"/>
    <w:unhideWhenUsed/>
    <w:qFormat/>
    <w:uiPriority w:val="99"/>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59"/>
    <w:unhideWhenUsed/>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67"/>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68"/>
    <w:unhideWhenUsed/>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9"/>
    <w:unhideWhenUsed/>
    <w:qFormat/>
    <w:uiPriority w:val="0"/>
    <w:pPr>
      <w:keepNext/>
      <w:keepLines/>
      <w:numPr>
        <w:ilvl w:val="5"/>
        <w:numId w:val="1"/>
      </w:numPr>
      <w:spacing w:before="240" w:after="64" w:line="320" w:lineRule="auto"/>
      <w:outlineLvl w:val="5"/>
    </w:pPr>
    <w:rPr>
      <w:rFonts w:asciiTheme="majorHAnsi" w:hAnsiTheme="majorHAnsi" w:eastAsiaTheme="majorEastAsia" w:cstheme="majorBidi"/>
      <w:b/>
      <w:bCs/>
    </w:rPr>
  </w:style>
  <w:style w:type="paragraph" w:styleId="11">
    <w:name w:val="heading 7"/>
    <w:basedOn w:val="1"/>
    <w:next w:val="1"/>
    <w:link w:val="70"/>
    <w:unhideWhenUsed/>
    <w:qFormat/>
    <w:uiPriority w:val="0"/>
    <w:pPr>
      <w:keepNext/>
      <w:keepLines/>
      <w:numPr>
        <w:ilvl w:val="6"/>
        <w:numId w:val="1"/>
      </w:numPr>
      <w:spacing w:before="240" w:after="64" w:line="320" w:lineRule="auto"/>
      <w:outlineLvl w:val="6"/>
    </w:pPr>
    <w:rPr>
      <w:b/>
      <w:bCs/>
    </w:rPr>
  </w:style>
  <w:style w:type="paragraph" w:styleId="12">
    <w:name w:val="heading 8"/>
    <w:basedOn w:val="1"/>
    <w:next w:val="1"/>
    <w:link w:val="71"/>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3">
    <w:name w:val="heading 9"/>
    <w:basedOn w:val="1"/>
    <w:next w:val="1"/>
    <w:link w:val="72"/>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30">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line="240" w:lineRule="auto"/>
      <w:ind w:left="420" w:leftChars="200" w:firstLine="210"/>
    </w:pPr>
    <w:rPr>
      <w:sz w:val="21"/>
    </w:rPr>
  </w:style>
  <w:style w:type="paragraph" w:styleId="3">
    <w:name w:val="Body Text Indent"/>
    <w:basedOn w:val="1"/>
    <w:next w:val="4"/>
    <w:link w:val="86"/>
    <w:unhideWhenUsed/>
    <w:qFormat/>
    <w:uiPriority w:val="99"/>
    <w:pPr>
      <w:spacing w:line="480" w:lineRule="atLeast"/>
      <w:ind w:firstLine="570"/>
    </w:pPr>
    <w:rPr>
      <w:rFonts w:ascii="黑体" w:hAnsi="黑体" w:eastAsia="黑体" w:cs="宋体"/>
    </w:rPr>
  </w:style>
  <w:style w:type="paragraph" w:styleId="4">
    <w:name w:val="Normal Indent"/>
    <w:basedOn w:val="1"/>
    <w:next w:val="3"/>
    <w:unhideWhenUsed/>
    <w:qFormat/>
    <w:uiPriority w:val="99"/>
    <w:pPr>
      <w:widowControl/>
      <w:spacing w:line="480" w:lineRule="exact"/>
      <w:ind w:firstLine="567"/>
    </w:pPr>
    <w:rPr>
      <w:rFonts w:ascii="宋体"/>
      <w:color w:val="000000"/>
      <w:kern w:val="28"/>
      <w:sz w:val="28"/>
      <w:szCs w:val="28"/>
    </w:rPr>
  </w:style>
  <w:style w:type="paragraph" w:styleId="14">
    <w:name w:val="annotation text"/>
    <w:basedOn w:val="1"/>
    <w:qFormat/>
    <w:uiPriority w:val="0"/>
    <w:pPr>
      <w:jc w:val="left"/>
    </w:pPr>
  </w:style>
  <w:style w:type="paragraph" w:styleId="15">
    <w:name w:val="Body Text"/>
    <w:basedOn w:val="1"/>
    <w:next w:val="16"/>
    <w:link w:val="87"/>
    <w:unhideWhenUsed/>
    <w:qFormat/>
    <w:uiPriority w:val="99"/>
  </w:style>
  <w:style w:type="paragraph" w:styleId="16">
    <w:name w:val="Body Text First Indent"/>
    <w:basedOn w:val="15"/>
    <w:next w:val="1"/>
    <w:qFormat/>
    <w:uiPriority w:val="0"/>
    <w:pPr>
      <w:snapToGrid w:val="0"/>
      <w:spacing w:after="120" w:afterLines="0" w:line="288" w:lineRule="auto"/>
      <w:ind w:firstLine="420" w:firstLineChars="100"/>
      <w:jc w:val="both"/>
      <w:textAlignment w:val="auto"/>
    </w:pPr>
    <w:rPr>
      <w:rFonts w:ascii="Calibri" w:eastAsia="宋体"/>
      <w:kern w:val="2"/>
      <w:sz w:val="21"/>
    </w:rPr>
  </w:style>
  <w:style w:type="paragraph" w:styleId="17">
    <w:name w:val="toc 3"/>
    <w:basedOn w:val="1"/>
    <w:next w:val="1"/>
    <w:qFormat/>
    <w:uiPriority w:val="39"/>
    <w:pPr>
      <w:tabs>
        <w:tab w:val="right" w:leader="dot" w:pos="8268"/>
      </w:tabs>
      <w:spacing w:line="460" w:lineRule="exact"/>
      <w:ind w:left="840" w:leftChars="400" w:firstLine="482"/>
    </w:pPr>
    <w:rPr>
      <w:rFonts w:ascii="宋体" w:hAnsi="宋体"/>
    </w:rPr>
  </w:style>
  <w:style w:type="paragraph" w:styleId="18">
    <w:name w:val="Plain Text"/>
    <w:basedOn w:val="1"/>
    <w:link w:val="84"/>
    <w:unhideWhenUsed/>
    <w:qFormat/>
    <w:uiPriority w:val="99"/>
    <w:pPr>
      <w:ind w:firstLine="425" w:firstLineChars="177"/>
    </w:pPr>
    <w:rPr>
      <w:rFonts w:ascii="仿宋" w:hAnsi="仿宋" w:eastAsia="仿宋"/>
    </w:rPr>
  </w:style>
  <w:style w:type="paragraph" w:styleId="19">
    <w:name w:val="Date"/>
    <w:basedOn w:val="1"/>
    <w:next w:val="1"/>
    <w:link w:val="91"/>
    <w:qFormat/>
    <w:uiPriority w:val="0"/>
    <w:pPr>
      <w:ind w:left="100" w:leftChars="2500"/>
    </w:pPr>
  </w:style>
  <w:style w:type="paragraph" w:styleId="20">
    <w:name w:val="footer"/>
    <w:basedOn w:val="1"/>
    <w:link w:val="83"/>
    <w:qFormat/>
    <w:uiPriority w:val="0"/>
    <w:pPr>
      <w:tabs>
        <w:tab w:val="center" w:pos="4153"/>
        <w:tab w:val="right" w:pos="8306"/>
      </w:tabs>
      <w:jc w:val="left"/>
    </w:pPr>
    <w:rPr>
      <w:sz w:val="18"/>
      <w:szCs w:val="18"/>
    </w:rPr>
  </w:style>
  <w:style w:type="paragraph" w:styleId="21">
    <w:name w:val="header"/>
    <w:basedOn w:val="1"/>
    <w:link w:val="81"/>
    <w:qFormat/>
    <w:uiPriority w:val="0"/>
    <w:pPr>
      <w:pBdr>
        <w:bottom w:val="single" w:color="auto" w:sz="6" w:space="1"/>
      </w:pBdr>
      <w:tabs>
        <w:tab w:val="center" w:pos="4153"/>
        <w:tab w:val="right" w:pos="8306"/>
      </w:tabs>
      <w:jc w:val="center"/>
    </w:pPr>
    <w:rPr>
      <w:sz w:val="18"/>
      <w:szCs w:val="18"/>
    </w:rPr>
  </w:style>
  <w:style w:type="paragraph" w:styleId="22">
    <w:name w:val="toc 1"/>
    <w:basedOn w:val="1"/>
    <w:next w:val="1"/>
    <w:qFormat/>
    <w:uiPriority w:val="0"/>
  </w:style>
  <w:style w:type="paragraph" w:styleId="23">
    <w:name w:val="toc 6"/>
    <w:basedOn w:val="1"/>
    <w:next w:val="1"/>
    <w:unhideWhenUsed/>
    <w:qFormat/>
    <w:uiPriority w:val="39"/>
    <w:pPr>
      <w:ind w:left="1050"/>
    </w:pPr>
    <w:rPr>
      <w:sz w:val="20"/>
    </w:rPr>
  </w:style>
  <w:style w:type="paragraph" w:styleId="24">
    <w:name w:val="toc 2"/>
    <w:basedOn w:val="1"/>
    <w:next w:val="1"/>
    <w:qFormat/>
    <w:uiPriority w:val="0"/>
    <w:pPr>
      <w:ind w:left="420" w:leftChars="200"/>
    </w:pPr>
  </w:style>
  <w:style w:type="paragraph" w:styleId="2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6">
    <w:name w:val="Title"/>
    <w:basedOn w:val="1"/>
    <w:next w:val="18"/>
    <w:link w:val="93"/>
    <w:qFormat/>
    <w:uiPriority w:val="99"/>
    <w:pPr>
      <w:adjustRightInd/>
      <w:spacing w:before="360" w:after="180"/>
      <w:jc w:val="center"/>
      <w:outlineLvl w:val="0"/>
    </w:pPr>
    <w:rPr>
      <w:rFonts w:ascii="Cambria" w:hAnsi="Cambria" w:eastAsia="华文中宋"/>
      <w:b/>
      <w:bCs/>
      <w:sz w:val="44"/>
      <w:szCs w:val="44"/>
    </w:rPr>
  </w:style>
  <w:style w:type="table" w:styleId="28">
    <w:name w:val="Table Grid"/>
    <w:basedOn w:val="29"/>
    <w:qFormat/>
    <w:uiPriority w:val="9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rFonts w:eastAsiaTheme="minorEastAsia"/>
        <w:b/>
        <w:i w:val="0"/>
        <w:sz w:val="24"/>
      </w:rPr>
      <w:tblPr>
        <w:jc w:val="center"/>
      </w:tblPr>
      <w:trPr>
        <w:tblHeader/>
        <w:jc w:val="center"/>
      </w:trPr>
      <w:tcPr>
        <w:tcBorders>
          <w:top w:val="single" w:color="auto" w:sz="4" w:space="0"/>
          <w:left w:val="single" w:color="auto" w:sz="4" w:space="0"/>
          <w:bottom w:val="single" w:color="auto" w:sz="4" w:space="0"/>
          <w:right w:val="single" w:color="auto" w:sz="4" w:space="0"/>
          <w:insideH w:val="single" w:sz="4" w:space="0"/>
          <w:insideV w:val="single" w:sz="4" w:space="0"/>
        </w:tcBorders>
      </w:tcPr>
    </w:tblStylePr>
  </w:style>
  <w:style w:type="table" w:customStyle="1" w:styleId="29">
    <w:name w:val="表格样式@中勤招标"/>
    <w:basedOn w:val="27"/>
    <w:qFormat/>
    <w:uiPriority w:val="99"/>
    <w:pPr>
      <w:jc w:val="both"/>
    </w:pPr>
    <w:rPr>
      <w:rFonts w:ascii="宋体" w:eastAsia="宋体" w:cs="Times New Roman (正文 CS 字体)"/>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rPr>
        <w:rFonts w:eastAsia="宋体"/>
        <w:b/>
        <w:i w:val="0"/>
        <w:sz w:val="24"/>
      </w:rPr>
      <w:tblPr>
        <w:jc w:val="center"/>
      </w:tblPr>
      <w:trPr>
        <w:tblHeader/>
        <w:jc w:val="center"/>
      </w:trPr>
    </w:tblStyle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basedOn w:val="30"/>
    <w:qFormat/>
    <w:uiPriority w:val="0"/>
    <w:rPr>
      <w:color w:val="954F72" w:themeColor="followedHyperlink"/>
      <w:u w:val="single"/>
      <w14:textFill>
        <w14:solidFill>
          <w14:schemeClr w14:val="folHlink"/>
        </w14:solidFill>
      </w14:textFill>
    </w:rPr>
  </w:style>
  <w:style w:type="character" w:styleId="34">
    <w:name w:val="Hyperlink"/>
    <w:basedOn w:val="30"/>
    <w:unhideWhenUsed/>
    <w:qFormat/>
    <w:uiPriority w:val="99"/>
    <w:rPr>
      <w:color w:val="0000FF"/>
      <w:u w:val="single"/>
    </w:rPr>
  </w:style>
  <w:style w:type="character" w:customStyle="1" w:styleId="35">
    <w:name w:val="标题 1 字符"/>
    <w:basedOn w:val="30"/>
    <w:qFormat/>
    <w:uiPriority w:val="0"/>
    <w:rPr>
      <w:b/>
      <w:bCs/>
      <w:kern w:val="44"/>
      <w:sz w:val="44"/>
      <w:szCs w:val="44"/>
    </w:rPr>
  </w:style>
  <w:style w:type="paragraph" w:customStyle="1" w:styleId="36">
    <w:name w:val="样式 表格正文 + 两端对齐"/>
    <w:basedOn w:val="1"/>
    <w:next w:val="37"/>
    <w:qFormat/>
    <w:uiPriority w:val="0"/>
    <w:pPr>
      <w:spacing w:line="300" w:lineRule="auto"/>
    </w:pPr>
    <w:rPr>
      <w:sz w:val="24"/>
    </w:rPr>
  </w:style>
  <w:style w:type="paragraph" w:customStyle="1" w:styleId="37">
    <w:name w:val="正文1"/>
    <w:basedOn w:val="17"/>
    <w:next w:val="38"/>
    <w:qFormat/>
    <w:uiPriority w:val="0"/>
    <w:pPr>
      <w:jc w:val="both"/>
    </w:pPr>
    <w:rPr>
      <w:rFonts w:ascii="Times New Roman" w:hAnsi="Times New Roman" w:eastAsia="宋体" w:cs="Times New Roman"/>
      <w:kern w:val="2"/>
      <w:sz w:val="21"/>
      <w:szCs w:val="21"/>
      <w:lang w:val="en-US" w:eastAsia="zh-CN" w:bidi="ar-SA"/>
    </w:rPr>
  </w:style>
  <w:style w:type="paragraph" w:customStyle="1" w:styleId="38">
    <w:name w:val="自动更正"/>
    <w:next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xl39"/>
    <w:basedOn w:val="1"/>
    <w:next w:val="40"/>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40">
    <w:name w:val="分手多日，近况如何？"/>
    <w:next w:val="1"/>
    <w:qFormat/>
    <w:uiPriority w:val="0"/>
    <w:pPr>
      <w:widowControl w:val="0"/>
      <w:jc w:val="both"/>
    </w:pPr>
    <w:rPr>
      <w:rFonts w:ascii="Times New Roman" w:hAnsi="Times New Roman" w:eastAsia="宋体" w:cs="Times New Roman"/>
      <w:sz w:val="21"/>
      <w:lang w:val="en-US" w:eastAsia="zh-CN" w:bidi="ar-SA"/>
    </w:rPr>
  </w:style>
  <w:style w:type="paragraph" w:customStyle="1" w:styleId="41">
    <w:name w:val="标题4@中勤招标"/>
    <w:basedOn w:val="42"/>
    <w:next w:val="42"/>
    <w:qFormat/>
    <w:uiPriority w:val="0"/>
    <w:pPr>
      <w:numPr>
        <w:ilvl w:val="3"/>
        <w:numId w:val="2"/>
      </w:numPr>
      <w:ind w:left="0" w:firstLine="720" w:firstLineChars="200"/>
      <w:outlineLvl w:val="3"/>
    </w:pPr>
    <w:rPr>
      <w:rFonts w:ascii="宋体" w:hAnsi="宋体" w:eastAsia="宋体"/>
      <w:b/>
      <w:bCs/>
      <w:lang w:eastAsia="zh-CN"/>
    </w:rPr>
  </w:style>
  <w:style w:type="paragraph" w:customStyle="1" w:styleId="42">
    <w:name w:val="正文@中勤招标"/>
    <w:basedOn w:val="1"/>
    <w:link w:val="98"/>
    <w:qFormat/>
    <w:uiPriority w:val="0"/>
    <w:pPr>
      <w:spacing w:line="360" w:lineRule="auto"/>
      <w:ind w:firstLine="200" w:firstLineChars="200"/>
    </w:pPr>
    <w:rPr>
      <w:rFonts w:ascii="宋体" w:hAnsi="宋体"/>
      <w:sz w:val="24"/>
      <w:lang w:eastAsia="zh-Hans"/>
    </w:rPr>
  </w:style>
  <w:style w:type="paragraph" w:customStyle="1" w:styleId="43">
    <w:name w:val="标题1@中勤招标"/>
    <w:basedOn w:val="42"/>
    <w:next w:val="42"/>
    <w:link w:val="97"/>
    <w:qFormat/>
    <w:uiPriority w:val="0"/>
    <w:pPr>
      <w:numPr>
        <w:ilvl w:val="0"/>
        <w:numId w:val="3"/>
      </w:numPr>
      <w:tabs>
        <w:tab w:val="left" w:pos="0"/>
      </w:tabs>
      <w:ind w:firstLineChars="0"/>
      <w:jc w:val="center"/>
      <w:outlineLvl w:val="0"/>
    </w:pPr>
    <w:rPr>
      <w:rFonts w:ascii="黑体" w:hAnsi="黑体" w:eastAsia="黑体" w:cs="黑体"/>
      <w:bCs/>
      <w:sz w:val="36"/>
      <w:szCs w:val="44"/>
    </w:rPr>
  </w:style>
  <w:style w:type="paragraph" w:customStyle="1" w:styleId="44">
    <w:name w:val="标题2@中勤招标"/>
    <w:basedOn w:val="43"/>
    <w:next w:val="42"/>
    <w:link w:val="96"/>
    <w:qFormat/>
    <w:uiPriority w:val="0"/>
    <w:pPr>
      <w:numPr>
        <w:ilvl w:val="1"/>
        <w:numId w:val="2"/>
      </w:numPr>
      <w:outlineLvl w:val="1"/>
    </w:pPr>
    <w:rPr>
      <w:sz w:val="32"/>
      <w:szCs w:val="32"/>
    </w:rPr>
  </w:style>
  <w:style w:type="paragraph" w:customStyle="1" w:styleId="45">
    <w:name w:val="标题3@中勤招标"/>
    <w:basedOn w:val="44"/>
    <w:next w:val="42"/>
    <w:qFormat/>
    <w:uiPriority w:val="0"/>
    <w:pPr>
      <w:numPr>
        <w:ilvl w:val="2"/>
      </w:numPr>
      <w:ind w:left="0"/>
      <w:jc w:val="both"/>
      <w:outlineLvl w:val="2"/>
    </w:pPr>
    <w:rPr>
      <w:sz w:val="28"/>
      <w:szCs w:val="28"/>
    </w:rPr>
  </w:style>
  <w:style w:type="paragraph" w:customStyle="1" w:styleId="46">
    <w:name w:val="标题5@中勤招标"/>
    <w:basedOn w:val="41"/>
    <w:next w:val="42"/>
    <w:link w:val="55"/>
    <w:qFormat/>
    <w:uiPriority w:val="0"/>
    <w:pPr>
      <w:numPr>
        <w:ilvl w:val="4"/>
        <w:numId w:val="2"/>
      </w:numPr>
      <w:ind w:left="0" w:firstLine="720" w:firstLineChars="200"/>
      <w:outlineLvl w:val="4"/>
    </w:pPr>
  </w:style>
  <w:style w:type="paragraph" w:customStyle="1" w:styleId="47">
    <w:name w:val="标题6@中勤招标"/>
    <w:basedOn w:val="46"/>
    <w:next w:val="42"/>
    <w:link w:val="49"/>
    <w:qFormat/>
    <w:uiPriority w:val="0"/>
    <w:pPr>
      <w:numPr>
        <w:ilvl w:val="5"/>
        <w:numId w:val="2"/>
      </w:numPr>
      <w:ind w:firstLine="0" w:firstLineChars="0"/>
      <w:outlineLvl w:val="9"/>
    </w:pPr>
    <w:rPr>
      <w:b w:val="0"/>
      <w:u w:val="single"/>
    </w:rPr>
  </w:style>
  <w:style w:type="paragraph" w:customStyle="1" w:styleId="48">
    <w:name w:val="同标题4序号的正文@中勤招标"/>
    <w:basedOn w:val="41"/>
    <w:next w:val="42"/>
    <w:qFormat/>
    <w:uiPriority w:val="0"/>
    <w:pPr>
      <w:numPr>
        <w:numId w:val="3"/>
      </w:numPr>
      <w:outlineLvl w:val="9"/>
    </w:pPr>
    <w:rPr>
      <w:rFonts w:hint="eastAsia" w:ascii="宋体" w:hAnsi="宋体" w:eastAsia="宋体"/>
      <w:b w:val="0"/>
    </w:rPr>
  </w:style>
  <w:style w:type="character" w:customStyle="1" w:styleId="49">
    <w:name w:val="标题6@中勤招标 Char"/>
    <w:link w:val="47"/>
    <w:qFormat/>
    <w:uiPriority w:val="0"/>
    <w:rPr>
      <w:rFonts w:ascii="宋体" w:hAnsi="宋体" w:eastAsia="宋体" w:cs="Times New Roman"/>
      <w:bCs/>
      <w:kern w:val="2"/>
      <w:sz w:val="24"/>
      <w:szCs w:val="21"/>
      <w:u w:val="single"/>
    </w:rPr>
  </w:style>
  <w:style w:type="paragraph" w:customStyle="1" w:styleId="50">
    <w:name w:val="同标题5序号的正文@中勤招标"/>
    <w:basedOn w:val="46"/>
    <w:next w:val="42"/>
    <w:qFormat/>
    <w:uiPriority w:val="0"/>
    <w:pPr>
      <w:ind w:left="0" w:firstLine="480"/>
      <w:outlineLvl w:val="9"/>
    </w:pPr>
    <w:rPr>
      <w:rFonts w:hint="eastAsia"/>
      <w:b w:val="0"/>
    </w:rPr>
  </w:style>
  <w:style w:type="character" w:customStyle="1" w:styleId="51">
    <w:name w:val="标题 3 字符"/>
    <w:basedOn w:val="30"/>
    <w:semiHidden/>
    <w:qFormat/>
    <w:uiPriority w:val="0"/>
    <w:rPr>
      <w:b/>
      <w:bCs/>
      <w:kern w:val="2"/>
      <w:sz w:val="32"/>
      <w:szCs w:val="32"/>
    </w:rPr>
  </w:style>
  <w:style w:type="paragraph" w:customStyle="1" w:styleId="52">
    <w:name w:val="序号1@中勤招标"/>
    <w:basedOn w:val="53"/>
    <w:next w:val="42"/>
    <w:qFormat/>
    <w:uiPriority w:val="0"/>
    <w:pPr>
      <w:numPr>
        <w:ilvl w:val="0"/>
        <w:numId w:val="4"/>
      </w:numPr>
      <w:tabs>
        <w:tab w:val="left" w:pos="0"/>
      </w:tabs>
      <w:ind w:firstLine="480"/>
    </w:pPr>
  </w:style>
  <w:style w:type="paragraph" w:customStyle="1" w:styleId="53">
    <w:name w:val="序号2@中勤招标"/>
    <w:basedOn w:val="54"/>
    <w:next w:val="42"/>
    <w:qFormat/>
    <w:uiPriority w:val="0"/>
    <w:pPr>
      <w:numPr>
        <w:ilvl w:val="0"/>
        <w:numId w:val="5"/>
      </w:numPr>
      <w:ind w:firstLine="200"/>
    </w:pPr>
  </w:style>
  <w:style w:type="paragraph" w:customStyle="1" w:styleId="54">
    <w:name w:val="符号@中勤招标"/>
    <w:basedOn w:val="42"/>
    <w:next w:val="42"/>
    <w:qFormat/>
    <w:uiPriority w:val="0"/>
    <w:pPr>
      <w:numPr>
        <w:ilvl w:val="0"/>
        <w:numId w:val="6"/>
      </w:numPr>
      <w:ind w:firstLine="200"/>
    </w:pPr>
    <w:rPr>
      <w:lang w:eastAsia="zh-CN"/>
    </w:rPr>
  </w:style>
  <w:style w:type="character" w:customStyle="1" w:styleId="55">
    <w:name w:val="标题5@中勤招标 Char"/>
    <w:link w:val="46"/>
    <w:qFormat/>
    <w:uiPriority w:val="0"/>
    <w:rPr>
      <w:rFonts w:eastAsia="宋体"/>
    </w:rPr>
  </w:style>
  <w:style w:type="paragraph" w:customStyle="1" w:styleId="56">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character" w:customStyle="1" w:styleId="57">
    <w:name w:val="标题 1 字符1"/>
    <w:basedOn w:val="30"/>
    <w:link w:val="5"/>
    <w:qFormat/>
    <w:uiPriority w:val="0"/>
    <w:rPr>
      <w:b/>
      <w:bCs/>
      <w:kern w:val="44"/>
      <w:sz w:val="44"/>
      <w:szCs w:val="44"/>
    </w:rPr>
  </w:style>
  <w:style w:type="character" w:customStyle="1" w:styleId="58">
    <w:name w:val="标题 2 字符1"/>
    <w:basedOn w:val="30"/>
    <w:link w:val="6"/>
    <w:semiHidden/>
    <w:qFormat/>
    <w:uiPriority w:val="0"/>
    <w:rPr>
      <w:rFonts w:asciiTheme="majorHAnsi" w:hAnsiTheme="majorHAnsi" w:eastAsiaTheme="majorEastAsia" w:cstheme="majorBidi"/>
      <w:b/>
      <w:bCs/>
      <w:kern w:val="2"/>
      <w:sz w:val="32"/>
      <w:szCs w:val="32"/>
    </w:rPr>
  </w:style>
  <w:style w:type="character" w:customStyle="1" w:styleId="59">
    <w:name w:val="标题 3 字符1"/>
    <w:basedOn w:val="30"/>
    <w:link w:val="7"/>
    <w:semiHidden/>
    <w:qFormat/>
    <w:uiPriority w:val="0"/>
    <w:rPr>
      <w:b/>
      <w:bCs/>
      <w:kern w:val="2"/>
      <w:sz w:val="32"/>
      <w:szCs w:val="32"/>
    </w:rPr>
  </w:style>
  <w:style w:type="character" w:customStyle="1" w:styleId="60">
    <w:name w:val="标题 2 字符"/>
    <w:basedOn w:val="30"/>
    <w:qFormat/>
    <w:uiPriority w:val="99"/>
    <w:rPr>
      <w:rFonts w:asciiTheme="majorHAnsi" w:hAnsiTheme="majorHAnsi" w:eastAsiaTheme="majorEastAsia" w:cstheme="majorBidi"/>
      <w:b/>
      <w:bCs/>
      <w:kern w:val="2"/>
      <w:sz w:val="32"/>
      <w:szCs w:val="32"/>
    </w:rPr>
  </w:style>
  <w:style w:type="character" w:customStyle="1" w:styleId="61">
    <w:name w:val="标题 4 字符"/>
    <w:basedOn w:val="30"/>
    <w:semiHidden/>
    <w:qFormat/>
    <w:uiPriority w:val="0"/>
    <w:rPr>
      <w:rFonts w:asciiTheme="majorHAnsi" w:hAnsiTheme="majorHAnsi" w:eastAsiaTheme="majorEastAsia" w:cstheme="majorBidi"/>
      <w:b/>
      <w:bCs/>
      <w:kern w:val="2"/>
      <w:sz w:val="28"/>
      <w:szCs w:val="28"/>
    </w:rPr>
  </w:style>
  <w:style w:type="character" w:customStyle="1" w:styleId="62">
    <w:name w:val="标题 5 字符"/>
    <w:basedOn w:val="30"/>
    <w:semiHidden/>
    <w:qFormat/>
    <w:uiPriority w:val="0"/>
    <w:rPr>
      <w:b/>
      <w:bCs/>
      <w:kern w:val="2"/>
      <w:sz w:val="28"/>
      <w:szCs w:val="28"/>
    </w:rPr>
  </w:style>
  <w:style w:type="character" w:customStyle="1" w:styleId="63">
    <w:name w:val="标题 6 字符"/>
    <w:basedOn w:val="30"/>
    <w:semiHidden/>
    <w:qFormat/>
    <w:uiPriority w:val="0"/>
    <w:rPr>
      <w:rFonts w:asciiTheme="majorHAnsi" w:hAnsiTheme="majorHAnsi" w:eastAsiaTheme="majorEastAsia" w:cstheme="majorBidi"/>
      <w:b/>
      <w:bCs/>
      <w:kern w:val="2"/>
      <w:sz w:val="24"/>
      <w:szCs w:val="24"/>
    </w:rPr>
  </w:style>
  <w:style w:type="character" w:customStyle="1" w:styleId="64">
    <w:name w:val="标题 7 字符"/>
    <w:basedOn w:val="30"/>
    <w:semiHidden/>
    <w:qFormat/>
    <w:uiPriority w:val="0"/>
    <w:rPr>
      <w:b/>
      <w:bCs/>
      <w:kern w:val="2"/>
      <w:sz w:val="24"/>
      <w:szCs w:val="24"/>
    </w:rPr>
  </w:style>
  <w:style w:type="character" w:customStyle="1" w:styleId="65">
    <w:name w:val="标题 8 字符"/>
    <w:basedOn w:val="30"/>
    <w:semiHidden/>
    <w:qFormat/>
    <w:uiPriority w:val="0"/>
    <w:rPr>
      <w:rFonts w:asciiTheme="majorHAnsi" w:hAnsiTheme="majorHAnsi" w:eastAsiaTheme="majorEastAsia" w:cstheme="majorBidi"/>
      <w:kern w:val="2"/>
      <w:sz w:val="24"/>
      <w:szCs w:val="24"/>
    </w:rPr>
  </w:style>
  <w:style w:type="character" w:customStyle="1" w:styleId="66">
    <w:name w:val="标题 9 字符"/>
    <w:basedOn w:val="30"/>
    <w:semiHidden/>
    <w:qFormat/>
    <w:uiPriority w:val="0"/>
    <w:rPr>
      <w:rFonts w:asciiTheme="majorHAnsi" w:hAnsiTheme="majorHAnsi" w:eastAsiaTheme="majorEastAsia" w:cstheme="majorBidi"/>
      <w:kern w:val="2"/>
      <w:sz w:val="21"/>
      <w:szCs w:val="21"/>
    </w:rPr>
  </w:style>
  <w:style w:type="character" w:customStyle="1" w:styleId="67">
    <w:name w:val="标题 4 字符1"/>
    <w:basedOn w:val="30"/>
    <w:link w:val="8"/>
    <w:semiHidden/>
    <w:qFormat/>
    <w:uiPriority w:val="0"/>
    <w:rPr>
      <w:rFonts w:asciiTheme="majorHAnsi" w:hAnsiTheme="majorHAnsi" w:eastAsiaTheme="majorEastAsia" w:cstheme="majorBidi"/>
      <w:b/>
      <w:bCs/>
      <w:kern w:val="2"/>
      <w:sz w:val="28"/>
      <w:szCs w:val="28"/>
    </w:rPr>
  </w:style>
  <w:style w:type="character" w:customStyle="1" w:styleId="68">
    <w:name w:val="标题 5 字符1"/>
    <w:basedOn w:val="30"/>
    <w:link w:val="9"/>
    <w:semiHidden/>
    <w:qFormat/>
    <w:uiPriority w:val="0"/>
    <w:rPr>
      <w:b/>
      <w:bCs/>
      <w:kern w:val="2"/>
      <w:sz w:val="28"/>
      <w:szCs w:val="28"/>
    </w:rPr>
  </w:style>
  <w:style w:type="character" w:customStyle="1" w:styleId="69">
    <w:name w:val="标题 6 字符1"/>
    <w:basedOn w:val="30"/>
    <w:link w:val="10"/>
    <w:semiHidden/>
    <w:qFormat/>
    <w:uiPriority w:val="0"/>
    <w:rPr>
      <w:rFonts w:asciiTheme="majorHAnsi" w:hAnsiTheme="majorHAnsi" w:eastAsiaTheme="majorEastAsia" w:cstheme="majorBidi"/>
      <w:b/>
      <w:bCs/>
      <w:kern w:val="2"/>
      <w:sz w:val="24"/>
      <w:szCs w:val="24"/>
    </w:rPr>
  </w:style>
  <w:style w:type="character" w:customStyle="1" w:styleId="70">
    <w:name w:val="标题 7 字符1"/>
    <w:basedOn w:val="30"/>
    <w:link w:val="11"/>
    <w:semiHidden/>
    <w:qFormat/>
    <w:uiPriority w:val="0"/>
    <w:rPr>
      <w:b/>
      <w:bCs/>
      <w:kern w:val="2"/>
      <w:sz w:val="24"/>
      <w:szCs w:val="24"/>
    </w:rPr>
  </w:style>
  <w:style w:type="character" w:customStyle="1" w:styleId="71">
    <w:name w:val="标题 8 字符1"/>
    <w:basedOn w:val="30"/>
    <w:link w:val="12"/>
    <w:semiHidden/>
    <w:qFormat/>
    <w:uiPriority w:val="0"/>
    <w:rPr>
      <w:rFonts w:asciiTheme="majorHAnsi" w:hAnsiTheme="majorHAnsi" w:eastAsiaTheme="majorEastAsia" w:cstheme="majorBidi"/>
      <w:kern w:val="2"/>
      <w:sz w:val="24"/>
      <w:szCs w:val="24"/>
    </w:rPr>
  </w:style>
  <w:style w:type="character" w:customStyle="1" w:styleId="72">
    <w:name w:val="标题 9 字符1"/>
    <w:basedOn w:val="30"/>
    <w:link w:val="13"/>
    <w:semiHidden/>
    <w:qFormat/>
    <w:uiPriority w:val="0"/>
    <w:rPr>
      <w:rFonts w:asciiTheme="majorHAnsi" w:hAnsiTheme="majorHAnsi" w:eastAsiaTheme="majorEastAsia" w:cstheme="majorBidi"/>
      <w:kern w:val="2"/>
      <w:sz w:val="21"/>
      <w:szCs w:val="21"/>
    </w:rPr>
  </w:style>
  <w:style w:type="table" w:customStyle="1" w:styleId="73">
    <w:name w:val="无格式表格 21"/>
    <w:basedOn w:val="27"/>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4">
    <w:name w:val="无格式表格 11"/>
    <w:basedOn w:val="2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75">
    <w:name w:val="网格型浅色1"/>
    <w:basedOn w:val="2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76">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77">
    <w:name w:val="样式1"/>
    <w:basedOn w:val="27"/>
    <w:qFormat/>
    <w:uiPriority w:val="99"/>
  </w:style>
  <w:style w:type="table" w:customStyle="1" w:styleId="78">
    <w:name w:val="无格式表格 31"/>
    <w:basedOn w:val="27"/>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79">
    <w:name w:val="网格表 21"/>
    <w:basedOn w:val="27"/>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80">
    <w:name w:val="网格表 2 - 着色 11"/>
    <w:basedOn w:val="27"/>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81">
    <w:name w:val="页眉 字符"/>
    <w:basedOn w:val="30"/>
    <w:link w:val="21"/>
    <w:qFormat/>
    <w:uiPriority w:val="0"/>
    <w:rPr>
      <w:kern w:val="2"/>
      <w:sz w:val="18"/>
      <w:szCs w:val="18"/>
    </w:rPr>
  </w:style>
  <w:style w:type="table" w:customStyle="1" w:styleId="82">
    <w:name w:val="样式2"/>
    <w:basedOn w:val="27"/>
    <w:qFormat/>
    <w:uiPriority w:val="99"/>
  </w:style>
  <w:style w:type="character" w:customStyle="1" w:styleId="83">
    <w:name w:val="页脚 字符"/>
    <w:basedOn w:val="30"/>
    <w:link w:val="20"/>
    <w:qFormat/>
    <w:uiPriority w:val="0"/>
    <w:rPr>
      <w:kern w:val="2"/>
      <w:sz w:val="18"/>
      <w:szCs w:val="18"/>
    </w:rPr>
  </w:style>
  <w:style w:type="character" w:customStyle="1" w:styleId="84">
    <w:name w:val="纯文本 字符"/>
    <w:basedOn w:val="30"/>
    <w:link w:val="18"/>
    <w:qFormat/>
    <w:uiPriority w:val="99"/>
    <w:rPr>
      <w:rFonts w:ascii="仿宋" w:hAnsi="仿宋" w:eastAsia="仿宋" w:cs="Times New Roman"/>
      <w:kern w:val="2"/>
      <w:sz w:val="24"/>
      <w:szCs w:val="24"/>
    </w:rPr>
  </w:style>
  <w:style w:type="character" w:customStyle="1" w:styleId="85">
    <w:name w:val="未处理的提及1"/>
    <w:basedOn w:val="30"/>
    <w:unhideWhenUsed/>
    <w:qFormat/>
    <w:uiPriority w:val="99"/>
    <w:rPr>
      <w:color w:val="605E5C"/>
      <w:shd w:val="clear" w:color="auto" w:fill="E1DFDD"/>
    </w:rPr>
  </w:style>
  <w:style w:type="character" w:customStyle="1" w:styleId="86">
    <w:name w:val="正文文本缩进 字符"/>
    <w:basedOn w:val="30"/>
    <w:link w:val="3"/>
    <w:qFormat/>
    <w:uiPriority w:val="99"/>
    <w:rPr>
      <w:rFonts w:ascii="黑体" w:hAnsi="黑体" w:eastAsia="黑体" w:cs="宋体"/>
      <w:kern w:val="2"/>
      <w:sz w:val="28"/>
      <w:szCs w:val="28"/>
    </w:rPr>
  </w:style>
  <w:style w:type="character" w:customStyle="1" w:styleId="87">
    <w:name w:val="正文文本 字符"/>
    <w:basedOn w:val="30"/>
    <w:link w:val="15"/>
    <w:qFormat/>
    <w:uiPriority w:val="99"/>
    <w:rPr>
      <w:rFonts w:ascii="Times New Roman" w:hAnsi="Times New Roman" w:eastAsia="宋体" w:cs="Times New Roman"/>
      <w:kern w:val="2"/>
      <w:sz w:val="24"/>
      <w:szCs w:val="24"/>
    </w:rPr>
  </w:style>
  <w:style w:type="paragraph" w:customStyle="1" w:styleId="88">
    <w:name w:val="正文2"/>
    <w:basedOn w:val="1"/>
    <w:qFormat/>
    <w:uiPriority w:val="0"/>
    <w:pPr>
      <w:spacing w:after="100" w:afterAutospacing="1"/>
      <w:ind w:firstLine="510"/>
    </w:pPr>
  </w:style>
  <w:style w:type="paragraph" w:customStyle="1" w:styleId="89">
    <w:name w:val="af17cgridlangnp1033langf"/>
    <w:basedOn w:val="1"/>
    <w:qFormat/>
    <w:uiPriority w:val="0"/>
    <w:pPr>
      <w:autoSpaceDE w:val="0"/>
      <w:autoSpaceDN w:val="0"/>
      <w:spacing w:before="156" w:after="100" w:afterAutospacing="1" w:line="360" w:lineRule="atLeast"/>
      <w:ind w:left="567" w:firstLine="510"/>
    </w:pPr>
    <w:rPr>
      <w:kern w:val="0"/>
    </w:rPr>
  </w:style>
  <w:style w:type="character" w:customStyle="1" w:styleId="90">
    <w:name w:val="16"/>
    <w:basedOn w:val="30"/>
    <w:qFormat/>
    <w:uiPriority w:val="0"/>
    <w:rPr>
      <w:rFonts w:hint="default" w:ascii="Times New Roman" w:hAnsi="Times New Roman" w:cs="Times New Roman"/>
      <w:color w:val="0000FF"/>
      <w:u w:val="single"/>
    </w:rPr>
  </w:style>
  <w:style w:type="character" w:customStyle="1" w:styleId="91">
    <w:name w:val="日期 字符"/>
    <w:basedOn w:val="30"/>
    <w:link w:val="19"/>
    <w:qFormat/>
    <w:uiPriority w:val="0"/>
    <w:rPr>
      <w:rFonts w:ascii="SimSong" w:hAnsi="SimSong" w:eastAsia="SimSong" w:cs="Times New Roman"/>
      <w:kern w:val="2"/>
      <w:sz w:val="24"/>
      <w:szCs w:val="24"/>
    </w:rPr>
  </w:style>
  <w:style w:type="character" w:customStyle="1" w:styleId="92">
    <w:name w:val="未处理的提及2"/>
    <w:basedOn w:val="30"/>
    <w:unhideWhenUsed/>
    <w:qFormat/>
    <w:uiPriority w:val="99"/>
    <w:rPr>
      <w:color w:val="605E5C"/>
      <w:shd w:val="clear" w:color="auto" w:fill="E1DFDD"/>
    </w:rPr>
  </w:style>
  <w:style w:type="character" w:customStyle="1" w:styleId="93">
    <w:name w:val="标题 字符"/>
    <w:basedOn w:val="30"/>
    <w:link w:val="26"/>
    <w:qFormat/>
    <w:uiPriority w:val="99"/>
    <w:rPr>
      <w:rFonts w:ascii="Cambria" w:hAnsi="Cambria" w:eastAsia="华文中宋" w:cs="Times New Roman"/>
      <w:b/>
      <w:bCs/>
      <w:kern w:val="2"/>
      <w:sz w:val="44"/>
      <w:szCs w:val="44"/>
    </w:rPr>
  </w:style>
  <w:style w:type="character" w:customStyle="1" w:styleId="94">
    <w:name w:val="未处理的提及3"/>
    <w:basedOn w:val="30"/>
    <w:unhideWhenUsed/>
    <w:qFormat/>
    <w:uiPriority w:val="99"/>
    <w:rPr>
      <w:color w:val="605E5C"/>
      <w:shd w:val="clear" w:color="auto" w:fill="E1DFDD"/>
    </w:rPr>
  </w:style>
  <w:style w:type="character" w:customStyle="1" w:styleId="95">
    <w:name w:val="未处理的提及4"/>
    <w:basedOn w:val="30"/>
    <w:unhideWhenUsed/>
    <w:qFormat/>
    <w:uiPriority w:val="99"/>
    <w:rPr>
      <w:color w:val="605E5C"/>
      <w:shd w:val="clear" w:color="auto" w:fill="E1DFDD"/>
    </w:rPr>
  </w:style>
  <w:style w:type="character" w:customStyle="1" w:styleId="96">
    <w:name w:val="标题2@中勤招标 Char"/>
    <w:link w:val="44"/>
    <w:qFormat/>
    <w:uiPriority w:val="0"/>
    <w:rPr>
      <w:sz w:val="32"/>
      <w:szCs w:val="32"/>
    </w:rPr>
  </w:style>
  <w:style w:type="character" w:customStyle="1" w:styleId="97">
    <w:name w:val="标题1@中勤招标 Char"/>
    <w:link w:val="43"/>
    <w:qFormat/>
    <w:uiPriority w:val="0"/>
    <w:rPr>
      <w:rFonts w:ascii="黑体" w:hAnsi="黑体" w:eastAsia="黑体" w:cs="黑体"/>
      <w:bCs/>
      <w:sz w:val="36"/>
      <w:szCs w:val="44"/>
    </w:rPr>
  </w:style>
  <w:style w:type="character" w:customStyle="1" w:styleId="98">
    <w:name w:val="正文@中勤招标 Char"/>
    <w:link w:val="42"/>
    <w:qFormat/>
    <w:uiPriority w:val="0"/>
    <w:rPr>
      <w:rFonts w:ascii="宋体" w:hAnsi="宋体"/>
      <w:sz w:val="24"/>
      <w:lang w:eastAsia="zh-Hans"/>
    </w:rPr>
  </w:style>
  <w:style w:type="character" w:customStyle="1" w:styleId="99">
    <w:name w:val="font31"/>
    <w:basedOn w:val="3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浙江中勤招标有限公司</Company>
  <Pages>77</Pages>
  <Words>3833</Words>
  <Characters>4487</Characters>
  <Lines>363</Lines>
  <Paragraphs>102</Paragraphs>
  <TotalTime>53</TotalTime>
  <ScaleCrop>false</ScaleCrop>
  <LinksUpToDate>false</LinksUpToDate>
  <CharactersWithSpaces>4801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2022-09-08T19:12:00Z</dcterms:created>
  <dc:creator>中勤招标</dc:creator>
  <cp:lastModifiedBy>企鹅</cp:lastModifiedBy>
  <cp:lastPrinted>2022-11-21T01:04:00Z</cp:lastPrinted>
  <dcterms:modified xsi:type="dcterms:W3CDTF">2026-05-08T13:30:41Z</dcterms:modified>
  <cp:revision>572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96CB8DC3024E41E38B0C5786E86162EA_13</vt:lpwstr>
  </property>
  <property fmtid="{D5CDD505-2E9C-101B-9397-08002B2CF9AE}" pid="4" name="KSOTemplateDocerSaveRecord">
    <vt:lpwstr>eyJoZGlkIjoiOWFhZmUyZWYwMjIxNjI2MjlkMGYyNDdjMGRlOGM1YTYiLCJ1c2VySWQiOiIzNzk1NzY0MTAifQ==</vt:lpwstr>
  </property>
</Properties>
</file>