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66FBA"/>
    <w:p w14:paraId="33B97A38">
      <w:pPr>
        <w:pStyle w:val="18"/>
        <w:ind w:left="0" w:leftChars="0" w:firstLine="0" w:firstLineChars="0"/>
        <w:jc w:val="center"/>
        <w:rPr>
          <w:rFonts w:hint="eastAsia" w:ascii="黑体" w:hAnsi="黑体" w:eastAsia="黑体" w:cs="黑体"/>
          <w:b/>
          <w:sz w:val="56"/>
          <w:szCs w:val="56"/>
          <w:lang w:val="en-US" w:eastAsia="zh-CN"/>
        </w:rPr>
      </w:pPr>
      <w:r>
        <w:rPr>
          <w:rFonts w:hint="eastAsia" w:ascii="黑体" w:hAnsi="黑体" w:eastAsia="黑体" w:cs="黑体"/>
          <w:b/>
          <w:sz w:val="56"/>
          <w:szCs w:val="56"/>
          <w:lang w:val="en-US" w:eastAsia="zh-CN"/>
        </w:rPr>
        <w:t>阿克苏地区妇幼保健院（地区卫生健康服务中心）人力资源服务采购项目（二次）</w:t>
      </w:r>
    </w:p>
    <w:p w14:paraId="116E383B">
      <w:pPr>
        <w:pStyle w:val="16"/>
        <w:rPr>
          <w:rFonts w:ascii="黑体" w:hAnsi="黑体" w:eastAsia="黑体" w:cs="黑体"/>
          <w:bCs/>
        </w:rPr>
      </w:pPr>
    </w:p>
    <w:p w14:paraId="42A29818"/>
    <w:p w14:paraId="05CFEE7D">
      <w:pPr>
        <w:pStyle w:val="29"/>
        <w:tabs>
          <w:tab w:val="left" w:pos="5891"/>
          <w:tab w:val="right" w:leader="dot" w:pos="9004"/>
        </w:tabs>
        <w:rPr>
          <w:rFonts w:ascii="黑体" w:hAnsi="黑体" w:eastAsia="黑体" w:cs="黑体"/>
          <w:bCs/>
          <w:sz w:val="32"/>
          <w:szCs w:val="32"/>
        </w:rPr>
      </w:pPr>
    </w:p>
    <w:p w14:paraId="611920EE">
      <w:pPr>
        <w:rPr>
          <w:rFonts w:ascii="黑体" w:hAnsi="黑体" w:eastAsia="黑体" w:cs="黑体"/>
          <w:bCs/>
        </w:rPr>
      </w:pPr>
    </w:p>
    <w:p w14:paraId="4001D67B">
      <w:pPr>
        <w:pStyle w:val="29"/>
        <w:tabs>
          <w:tab w:val="right" w:leader="dot" w:pos="9004"/>
        </w:tabs>
        <w:jc w:val="center"/>
        <w:rPr>
          <w:rFonts w:ascii="黑体" w:hAnsi="黑体" w:eastAsia="黑体" w:cs="黑体"/>
          <w:bCs/>
          <w:sz w:val="32"/>
          <w:szCs w:val="32"/>
        </w:rPr>
      </w:pPr>
    </w:p>
    <w:p w14:paraId="69829C05"/>
    <w:p w14:paraId="7EDAD617">
      <w:pPr>
        <w:pStyle w:val="29"/>
        <w:tabs>
          <w:tab w:val="right" w:leader="dot" w:pos="9004"/>
        </w:tabs>
        <w:jc w:val="center"/>
        <w:rPr>
          <w:rFonts w:hint="eastAsia" w:ascii="黑体" w:hAnsi="黑体" w:eastAsia="黑体" w:cs="黑体"/>
          <w:b/>
          <w:sz w:val="72"/>
          <w:szCs w:val="72"/>
        </w:rPr>
      </w:pPr>
    </w:p>
    <w:p w14:paraId="0F581F61">
      <w:pPr>
        <w:pStyle w:val="29"/>
        <w:tabs>
          <w:tab w:val="right" w:leader="dot" w:pos="9004"/>
        </w:tabs>
        <w:jc w:val="center"/>
        <w:rPr>
          <w:rFonts w:ascii="黑体" w:hAnsi="黑体" w:eastAsia="黑体" w:cs="黑体"/>
          <w:b/>
          <w:sz w:val="72"/>
          <w:szCs w:val="72"/>
        </w:rPr>
      </w:pPr>
      <w:r>
        <w:rPr>
          <w:rFonts w:hint="eastAsia" w:ascii="黑体" w:hAnsi="黑体" w:eastAsia="黑体" w:cs="黑体"/>
          <w:b/>
          <w:sz w:val="72"/>
          <w:szCs w:val="72"/>
        </w:rPr>
        <w:t>招</w:t>
      </w:r>
      <w:r>
        <w:rPr>
          <w:rFonts w:hint="eastAsia" w:ascii="黑体" w:hAnsi="黑体" w:eastAsia="黑体" w:cs="黑体"/>
          <w:b/>
          <w:sz w:val="72"/>
          <w:szCs w:val="72"/>
          <w:lang w:val="en-US" w:eastAsia="zh-CN"/>
        </w:rPr>
        <w:t xml:space="preserve"> </w:t>
      </w:r>
      <w:r>
        <w:rPr>
          <w:rFonts w:hint="eastAsia" w:ascii="黑体" w:hAnsi="黑体" w:eastAsia="黑体" w:cs="黑体"/>
          <w:b/>
          <w:sz w:val="72"/>
          <w:szCs w:val="72"/>
        </w:rPr>
        <w:t>标</w:t>
      </w:r>
      <w:r>
        <w:rPr>
          <w:rFonts w:hint="eastAsia" w:ascii="黑体" w:hAnsi="黑体" w:eastAsia="黑体" w:cs="黑体"/>
          <w:b/>
          <w:sz w:val="72"/>
          <w:szCs w:val="72"/>
          <w:lang w:val="en-US" w:eastAsia="zh-CN"/>
        </w:rPr>
        <w:t xml:space="preserve"> </w:t>
      </w:r>
      <w:r>
        <w:rPr>
          <w:rFonts w:hint="eastAsia" w:ascii="黑体" w:hAnsi="黑体" w:eastAsia="黑体" w:cs="黑体"/>
          <w:b/>
          <w:sz w:val="72"/>
          <w:szCs w:val="72"/>
        </w:rPr>
        <w:t>文</w:t>
      </w:r>
      <w:r>
        <w:rPr>
          <w:rFonts w:hint="eastAsia" w:ascii="黑体" w:hAnsi="黑体" w:eastAsia="黑体" w:cs="黑体"/>
          <w:b/>
          <w:sz w:val="72"/>
          <w:szCs w:val="72"/>
          <w:lang w:val="en-US" w:eastAsia="zh-CN"/>
        </w:rPr>
        <w:t xml:space="preserve"> </w:t>
      </w:r>
      <w:r>
        <w:rPr>
          <w:rFonts w:hint="eastAsia" w:ascii="黑体" w:hAnsi="黑体" w:eastAsia="黑体" w:cs="黑体"/>
          <w:b/>
          <w:sz w:val="72"/>
          <w:szCs w:val="72"/>
        </w:rPr>
        <w:t>件</w:t>
      </w:r>
    </w:p>
    <w:p w14:paraId="4A3DEC48">
      <w:pPr>
        <w:jc w:val="center"/>
        <w:rPr>
          <w:rFonts w:ascii="黑体" w:hAnsi="黑体" w:eastAsia="黑体" w:cs="黑体"/>
          <w:bCs/>
          <w:sz w:val="16"/>
          <w:szCs w:val="20"/>
        </w:rPr>
      </w:pPr>
    </w:p>
    <w:p w14:paraId="5F83178A">
      <w:pPr>
        <w:rPr>
          <w:rFonts w:ascii="黑体" w:hAnsi="黑体" w:eastAsia="黑体" w:cs="黑体"/>
          <w:bCs/>
        </w:rPr>
      </w:pPr>
    </w:p>
    <w:p w14:paraId="48A3BF69">
      <w:pPr>
        <w:pStyle w:val="16"/>
        <w:rPr>
          <w:rFonts w:ascii="黑体" w:hAnsi="黑体" w:eastAsia="黑体" w:cs="黑体"/>
          <w:bCs/>
          <w:sz w:val="32"/>
          <w:szCs w:val="32"/>
        </w:rPr>
      </w:pPr>
    </w:p>
    <w:p w14:paraId="41E687A4">
      <w:pPr>
        <w:rPr>
          <w:rFonts w:ascii="黑体" w:hAnsi="黑体" w:eastAsia="黑体" w:cs="黑体"/>
          <w:bCs/>
        </w:rPr>
      </w:pPr>
    </w:p>
    <w:p w14:paraId="273B5F8B">
      <w:pPr>
        <w:pStyle w:val="29"/>
        <w:tabs>
          <w:tab w:val="right" w:leader="dot" w:pos="9004"/>
        </w:tabs>
        <w:rPr>
          <w:rFonts w:ascii="黑体" w:hAnsi="黑体" w:eastAsia="黑体" w:cs="黑体"/>
          <w:bCs/>
          <w:sz w:val="32"/>
          <w:szCs w:val="32"/>
        </w:rPr>
      </w:pPr>
      <w:r>
        <w:rPr>
          <w:rFonts w:hint="eastAsia" w:ascii="黑体" w:hAnsi="黑体" w:eastAsia="黑体" w:cs="黑体"/>
          <w:bCs/>
          <w:sz w:val="32"/>
          <w:szCs w:val="32"/>
        </w:rPr>
        <w:t xml:space="preserve">       </w:t>
      </w:r>
    </w:p>
    <w:p w14:paraId="33F9EE74">
      <w:pPr>
        <w:pStyle w:val="29"/>
        <w:tabs>
          <w:tab w:val="right" w:leader="dot" w:pos="9004"/>
        </w:tabs>
        <w:rPr>
          <w:rFonts w:ascii="黑体" w:hAnsi="黑体" w:eastAsia="黑体" w:cs="黑体"/>
          <w:bCs/>
          <w:sz w:val="32"/>
          <w:szCs w:val="32"/>
        </w:rPr>
      </w:pPr>
    </w:p>
    <w:p w14:paraId="0E20F65B">
      <w:pPr>
        <w:spacing w:line="360" w:lineRule="auto"/>
        <w:ind w:firstLine="1124" w:firstLineChars="400"/>
        <w:rPr>
          <w:rFonts w:hint="eastAsia" w:ascii="黑体" w:hAnsi="黑体" w:eastAsia="黑体" w:cs="黑体"/>
          <w:b/>
          <w:sz w:val="28"/>
          <w:szCs w:val="28"/>
        </w:rPr>
      </w:pPr>
    </w:p>
    <w:p w14:paraId="32040215">
      <w:pPr>
        <w:spacing w:line="360" w:lineRule="auto"/>
        <w:ind w:firstLine="1124" w:firstLineChars="400"/>
        <w:rPr>
          <w:rFonts w:hint="eastAsia" w:ascii="黑体" w:hAnsi="黑体" w:eastAsia="黑体" w:cs="黑体"/>
          <w:b/>
          <w:color w:val="000000" w:themeColor="text1"/>
          <w:sz w:val="28"/>
          <w:szCs w:val="28"/>
          <w:lang w:val="en-US" w:eastAsia="zh-CN"/>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项目编号：</w:t>
      </w:r>
      <w:r>
        <w:rPr>
          <w:rFonts w:hint="eastAsia" w:ascii="黑体" w:hAnsi="黑体" w:eastAsia="黑体" w:cs="黑体"/>
          <w:b/>
          <w:color w:val="000000" w:themeColor="text1"/>
          <w:sz w:val="28"/>
          <w:szCs w:val="28"/>
          <w:lang w:eastAsia="zh-CN"/>
          <w14:textFill>
            <w14:solidFill>
              <w14:schemeClr w14:val="tx1"/>
            </w14:solidFill>
          </w14:textFill>
        </w:rPr>
        <w:t>【2026】678号-002-2</w:t>
      </w:r>
    </w:p>
    <w:p w14:paraId="60170B45">
      <w:pPr>
        <w:spacing w:line="360" w:lineRule="auto"/>
        <w:ind w:left="2522" w:leftChars="532" w:hanging="1405" w:hangingChars="500"/>
        <w:rPr>
          <w:rFonts w:hint="default" w:ascii="黑体" w:hAnsi="黑体" w:eastAsia="黑体" w:cs="黑体"/>
          <w:b/>
          <w:sz w:val="28"/>
          <w:szCs w:val="28"/>
          <w:lang w:val="en-US" w:eastAsia="zh-CN"/>
        </w:rPr>
      </w:pPr>
      <w:r>
        <w:rPr>
          <w:rFonts w:hint="eastAsia" w:ascii="黑体" w:hAnsi="黑体" w:eastAsia="黑体" w:cs="黑体"/>
          <w:b/>
          <w:sz w:val="28"/>
          <w:szCs w:val="28"/>
        </w:rPr>
        <w:t>采 购 人：</w:t>
      </w:r>
      <w:r>
        <w:rPr>
          <w:rFonts w:hint="eastAsia" w:ascii="黑体" w:hAnsi="黑体" w:eastAsia="黑体" w:cs="黑体"/>
          <w:b/>
          <w:sz w:val="28"/>
          <w:szCs w:val="28"/>
          <w:lang w:val="en-US" w:eastAsia="zh-CN"/>
        </w:rPr>
        <w:t>阿克苏地区妇幼保健院（地区卫生健康服务中心）</w:t>
      </w:r>
    </w:p>
    <w:p w14:paraId="4D8C260A">
      <w:pPr>
        <w:pStyle w:val="29"/>
        <w:tabs>
          <w:tab w:val="right" w:leader="dot" w:pos="9004"/>
        </w:tabs>
        <w:spacing w:line="700" w:lineRule="exact"/>
        <w:ind w:firstLine="1110" w:firstLineChars="395"/>
        <w:rPr>
          <w:rFonts w:hint="eastAsia" w:ascii="黑体" w:hAnsi="黑体" w:eastAsia="黑体" w:cs="黑体"/>
          <w:b/>
          <w:sz w:val="32"/>
          <w:szCs w:val="32"/>
          <w:lang w:eastAsia="zh-CN"/>
        </w:rPr>
      </w:pPr>
      <w:r>
        <w:rPr>
          <w:rFonts w:hint="eastAsia" w:ascii="黑体" w:hAnsi="黑体" w:eastAsia="黑体" w:cs="黑体"/>
          <w:b/>
          <w:sz w:val="28"/>
          <w:szCs w:val="28"/>
          <w:lang w:val="en-US" w:eastAsia="zh-CN"/>
        </w:rPr>
        <w:t>采购代理</w:t>
      </w:r>
      <w:r>
        <w:rPr>
          <w:rFonts w:hint="eastAsia" w:ascii="黑体" w:hAnsi="黑体" w:eastAsia="黑体" w:cs="黑体"/>
          <w:b/>
          <w:sz w:val="28"/>
          <w:szCs w:val="28"/>
        </w:rPr>
        <w:t>机构：</w:t>
      </w:r>
      <w:r>
        <w:rPr>
          <w:rFonts w:hint="eastAsia" w:ascii="黑体" w:hAnsi="黑体" w:eastAsia="黑体" w:cs="黑体"/>
          <w:b/>
          <w:sz w:val="28"/>
          <w:szCs w:val="28"/>
          <w:lang w:eastAsia="zh-CN"/>
        </w:rPr>
        <w:t>新疆华玫睿项目管理有限公司</w:t>
      </w:r>
    </w:p>
    <w:p w14:paraId="6A9EED0E">
      <w:pPr>
        <w:pStyle w:val="29"/>
        <w:tabs>
          <w:tab w:val="right" w:leader="dot" w:pos="9004"/>
        </w:tabs>
        <w:spacing w:line="700" w:lineRule="exact"/>
        <w:jc w:val="center"/>
        <w:rPr>
          <w:rFonts w:ascii="黑体" w:hAnsi="黑体" w:eastAsia="黑体" w:cs="黑体"/>
          <w:bCs/>
          <w:w w:val="80"/>
          <w:kern w:val="0"/>
          <w:sz w:val="28"/>
          <w:szCs w:val="28"/>
        </w:rPr>
      </w:pPr>
      <w:r>
        <w:rPr>
          <w:rFonts w:hint="eastAsia" w:ascii="黑体" w:hAnsi="黑体" w:eastAsia="黑体" w:cs="黑体"/>
          <w:b/>
          <w:sz w:val="28"/>
          <w:szCs w:val="28"/>
        </w:rPr>
        <w:t>二0二</w:t>
      </w:r>
      <w:r>
        <w:rPr>
          <w:rFonts w:hint="eastAsia" w:ascii="黑体" w:hAnsi="黑体" w:eastAsia="黑体" w:cs="黑体"/>
          <w:b/>
          <w:sz w:val="28"/>
          <w:szCs w:val="28"/>
          <w:lang w:val="en-US" w:eastAsia="zh-CN"/>
        </w:rPr>
        <w:t>六</w:t>
      </w:r>
      <w:r>
        <w:rPr>
          <w:rFonts w:hint="eastAsia" w:ascii="黑体" w:hAnsi="黑体" w:eastAsia="黑体" w:cs="黑体"/>
          <w:b/>
          <w:sz w:val="28"/>
          <w:szCs w:val="28"/>
        </w:rPr>
        <w:t>年</w:t>
      </w:r>
      <w:r>
        <w:rPr>
          <w:rFonts w:hint="eastAsia" w:ascii="黑体" w:hAnsi="黑体" w:eastAsia="黑体" w:cs="黑体"/>
          <w:b/>
          <w:sz w:val="28"/>
          <w:szCs w:val="28"/>
          <w:lang w:val="en-US" w:eastAsia="zh-CN"/>
        </w:rPr>
        <w:t>六</w:t>
      </w:r>
      <w:r>
        <w:rPr>
          <w:rFonts w:hint="eastAsia" w:ascii="黑体" w:hAnsi="黑体" w:eastAsia="黑体" w:cs="黑体"/>
          <w:b/>
          <w:sz w:val="28"/>
          <w:szCs w:val="28"/>
        </w:rPr>
        <w:t>月</w:t>
      </w:r>
    </w:p>
    <w:p w14:paraId="6321E6B1">
      <w:pPr>
        <w:rPr>
          <w:rFonts w:hint="eastAsia" w:ascii="宋体" w:hAnsi="宋体" w:cs="宋体"/>
          <w:b/>
          <w:sz w:val="44"/>
          <w:szCs w:val="44"/>
        </w:rPr>
      </w:pPr>
      <w:r>
        <w:rPr>
          <w:rFonts w:hint="eastAsia" w:ascii="宋体" w:hAnsi="宋体" w:cs="宋体"/>
          <w:b/>
          <w:sz w:val="44"/>
          <w:szCs w:val="44"/>
        </w:rPr>
        <w:br w:type="page"/>
      </w:r>
    </w:p>
    <w:p w14:paraId="58B9D91A">
      <w:pPr>
        <w:spacing w:before="312" w:beforeLines="100"/>
        <w:jc w:val="center"/>
        <w:rPr>
          <w:sz w:val="16"/>
          <w:szCs w:val="20"/>
        </w:rPr>
      </w:pPr>
      <w:r>
        <w:rPr>
          <w:rFonts w:hint="eastAsia" w:ascii="宋体" w:hAnsi="宋体" w:cs="宋体"/>
          <w:b/>
          <w:sz w:val="44"/>
          <w:szCs w:val="44"/>
        </w:rPr>
        <w:t>招标文件</w:t>
      </w:r>
    </w:p>
    <w:p w14:paraId="50B43C86"/>
    <w:p w14:paraId="1CA5349B">
      <w:pPr>
        <w:spacing w:line="480" w:lineRule="auto"/>
        <w:rPr>
          <w:rFonts w:hint="eastAsia" w:ascii="宋体" w:hAnsi="宋体" w:eastAsia="宋体" w:cs="宋体"/>
          <w:sz w:val="28"/>
          <w:szCs w:val="28"/>
          <w:lang w:eastAsia="zh-CN"/>
        </w:rPr>
      </w:pPr>
      <w:r>
        <w:rPr>
          <w:rFonts w:hint="eastAsia" w:ascii="宋体" w:hAnsi="宋体" w:cs="宋体"/>
          <w:sz w:val="28"/>
          <w:szCs w:val="28"/>
        </w:rPr>
        <w:t>项 目 名 称:</w:t>
      </w:r>
      <w:r>
        <w:rPr>
          <w:rFonts w:hint="eastAsia" w:ascii="宋体" w:hAnsi="宋体" w:cs="宋体"/>
          <w:sz w:val="28"/>
          <w:szCs w:val="28"/>
          <w:lang w:eastAsia="zh-CN"/>
        </w:rPr>
        <w:t>阿克苏地区妇幼保健院（地区卫生健康服务中心）人力资源服务采购项目（二次）</w:t>
      </w:r>
    </w:p>
    <w:p w14:paraId="57ECAF78">
      <w:pPr>
        <w:spacing w:line="480" w:lineRule="auto"/>
        <w:rPr>
          <w:rFonts w:ascii="宋体" w:hAnsi="宋体" w:cs="宋体"/>
          <w:sz w:val="28"/>
          <w:szCs w:val="28"/>
        </w:rPr>
      </w:pPr>
      <w:r>
        <w:rPr>
          <w:rFonts w:hint="eastAsia" w:ascii="宋体" w:hAnsi="宋体" w:cs="宋体"/>
          <w:sz w:val="28"/>
          <w:szCs w:val="28"/>
        </w:rPr>
        <w:t>采  购  人（公章）：</w:t>
      </w:r>
      <w:r>
        <w:rPr>
          <w:rFonts w:hint="eastAsia" w:ascii="宋体" w:hAnsi="宋体" w:cs="宋体"/>
          <w:sz w:val="28"/>
          <w:szCs w:val="28"/>
          <w:lang w:val="en-US" w:eastAsia="zh-CN"/>
        </w:rPr>
        <w:t>阿克苏地区妇幼保健院（地区卫生健康服务中心）</w:t>
      </w:r>
      <w:r>
        <w:rPr>
          <w:rFonts w:hint="eastAsia" w:ascii="宋体" w:hAnsi="宋体" w:cs="宋体"/>
          <w:sz w:val="28"/>
          <w:szCs w:val="28"/>
        </w:rPr>
        <w:t xml:space="preserve">       </w:t>
      </w:r>
    </w:p>
    <w:p w14:paraId="066B7C46">
      <w:pPr>
        <w:spacing w:line="480" w:lineRule="auto"/>
        <w:rPr>
          <w:rFonts w:ascii="宋体" w:hAnsi="宋体" w:cs="宋体"/>
          <w:sz w:val="28"/>
          <w:szCs w:val="28"/>
        </w:rPr>
      </w:pPr>
      <w:r>
        <w:rPr>
          <w:rFonts w:hint="eastAsia" w:ascii="宋体" w:hAnsi="宋体" w:eastAsia="宋体" w:cs="宋体"/>
          <w:sz w:val="28"/>
          <w:szCs w:val="28"/>
        </w:rPr>
        <w:t>法定代表人</w:t>
      </w:r>
      <w:r>
        <w:rPr>
          <w:rFonts w:hint="eastAsia" w:ascii="宋体" w:hAnsi="宋体" w:cs="宋体"/>
          <w:sz w:val="28"/>
          <w:szCs w:val="28"/>
          <w:lang w:val="en-US" w:eastAsia="zh-CN"/>
        </w:rPr>
        <w:t>或授权委托人</w:t>
      </w:r>
      <w:r>
        <w:rPr>
          <w:rFonts w:hint="eastAsia" w:ascii="宋体" w:hAnsi="宋体" w:eastAsia="宋体" w:cs="宋体"/>
          <w:sz w:val="28"/>
          <w:szCs w:val="28"/>
        </w:rPr>
        <w:t>（签字或盖章）：</w:t>
      </w:r>
      <w:r>
        <w:rPr>
          <w:rFonts w:hint="eastAsia" w:ascii="宋体" w:hAnsi="宋体" w:cs="宋体"/>
          <w:sz w:val="28"/>
          <w:szCs w:val="28"/>
        </w:rPr>
        <w:t xml:space="preserve"> </w:t>
      </w:r>
    </w:p>
    <w:p w14:paraId="2C53F34F">
      <w:pPr>
        <w:spacing w:line="48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  系  人：</w:t>
      </w:r>
      <w:r>
        <w:rPr>
          <w:rFonts w:hint="eastAsia" w:ascii="宋体" w:hAnsi="宋体" w:cs="宋体"/>
          <w:color w:val="000000" w:themeColor="text1"/>
          <w:sz w:val="28"/>
          <w:szCs w:val="28"/>
          <w:lang w:eastAsia="zh-CN"/>
          <w14:textFill>
            <w14:solidFill>
              <w14:schemeClr w14:val="tx1"/>
            </w14:solidFill>
          </w14:textFill>
        </w:rPr>
        <w:t>田雪</w:t>
      </w:r>
    </w:p>
    <w:p w14:paraId="509EC1DB">
      <w:pPr>
        <w:spacing w:line="480" w:lineRule="auto"/>
        <w:rPr>
          <w:rFonts w:hint="eastAsia" w:ascii="宋体" w:hAnsi="宋体" w:eastAsia="宋体" w:cs="宋体"/>
          <w:color w:val="FF0000"/>
          <w:sz w:val="28"/>
          <w:szCs w:val="28"/>
          <w:lang w:val="en-US" w:eastAsia="zh-CN"/>
        </w:rPr>
      </w:pPr>
      <w:r>
        <w:rPr>
          <w:rFonts w:hint="eastAsia" w:ascii="宋体" w:hAnsi="宋体" w:cs="宋体"/>
          <w:color w:val="000000" w:themeColor="text1"/>
          <w:sz w:val="28"/>
          <w:szCs w:val="28"/>
          <w14:textFill>
            <w14:solidFill>
              <w14:schemeClr w14:val="tx1"/>
            </w14:solidFill>
          </w14:textFill>
        </w:rPr>
        <w:t>电      话：</w:t>
      </w:r>
      <w:r>
        <w:rPr>
          <w:rFonts w:hint="eastAsia" w:ascii="宋体" w:hAnsi="宋体" w:cs="宋体"/>
          <w:color w:val="000000" w:themeColor="text1"/>
          <w:sz w:val="28"/>
          <w:szCs w:val="28"/>
          <w:lang w:eastAsia="zh-CN"/>
          <w14:textFill>
            <w14:solidFill>
              <w14:schemeClr w14:val="tx1"/>
            </w14:solidFill>
          </w14:textFill>
        </w:rPr>
        <w:t>13579382223</w:t>
      </w:r>
    </w:p>
    <w:p w14:paraId="599B4C54">
      <w:pPr>
        <w:spacing w:line="360" w:lineRule="auto"/>
        <w:rPr>
          <w:rFonts w:ascii="宋体" w:hAnsi="宋体" w:cs="宋体"/>
          <w:sz w:val="28"/>
          <w:szCs w:val="28"/>
        </w:rPr>
      </w:pPr>
    </w:p>
    <w:p w14:paraId="0CA67B70">
      <w:pPr>
        <w:spacing w:line="360" w:lineRule="auto"/>
        <w:rPr>
          <w:rFonts w:ascii="宋体" w:hAnsi="宋体" w:cs="宋体"/>
          <w:sz w:val="28"/>
          <w:szCs w:val="28"/>
        </w:rPr>
      </w:pPr>
    </w:p>
    <w:p w14:paraId="00A0F10C">
      <w:pPr>
        <w:pStyle w:val="16"/>
        <w:rPr>
          <w:rFonts w:ascii="宋体" w:hAnsi="宋体" w:cs="宋体"/>
          <w:sz w:val="28"/>
          <w:szCs w:val="28"/>
        </w:rPr>
      </w:pPr>
    </w:p>
    <w:p w14:paraId="34E9FE2E">
      <w:pPr>
        <w:rPr>
          <w:sz w:val="28"/>
          <w:szCs w:val="28"/>
        </w:rPr>
      </w:pPr>
    </w:p>
    <w:p w14:paraId="48ACB77D">
      <w:pPr>
        <w:spacing w:line="360" w:lineRule="auto"/>
        <w:rPr>
          <w:rFonts w:ascii="宋体" w:hAnsi="宋体" w:cs="宋体"/>
          <w:sz w:val="28"/>
          <w:szCs w:val="28"/>
        </w:rPr>
      </w:pPr>
    </w:p>
    <w:p w14:paraId="769062DF">
      <w:pPr>
        <w:spacing w:line="480" w:lineRule="auto"/>
        <w:rPr>
          <w:rFonts w:hint="eastAsia" w:ascii="宋体" w:hAnsi="宋体" w:eastAsia="宋体" w:cs="宋体"/>
          <w:sz w:val="28"/>
          <w:szCs w:val="28"/>
          <w:lang w:eastAsia="zh-CN"/>
        </w:rPr>
      </w:pPr>
      <w:r>
        <w:rPr>
          <w:rFonts w:hint="eastAsia" w:ascii="宋体" w:hAnsi="宋体" w:cs="宋体"/>
          <w:sz w:val="28"/>
          <w:szCs w:val="28"/>
        </w:rPr>
        <w:t>采购代理机构（公章）：</w:t>
      </w:r>
      <w:r>
        <w:rPr>
          <w:rFonts w:hint="eastAsia" w:ascii="宋体" w:hAnsi="宋体" w:cs="宋体"/>
          <w:sz w:val="28"/>
          <w:szCs w:val="28"/>
          <w:lang w:eastAsia="zh-CN"/>
        </w:rPr>
        <w:t>新疆华玫睿项目管理有限公司</w:t>
      </w:r>
    </w:p>
    <w:p w14:paraId="3C2EE349">
      <w:pPr>
        <w:spacing w:line="480" w:lineRule="auto"/>
        <w:rPr>
          <w:rFonts w:ascii="宋体" w:hAnsi="宋体" w:cs="宋体"/>
          <w:sz w:val="28"/>
          <w:szCs w:val="28"/>
        </w:rPr>
      </w:pPr>
      <w:r>
        <w:rPr>
          <w:rFonts w:hint="eastAsia" w:ascii="宋体" w:hAnsi="宋体" w:eastAsia="宋体" w:cs="宋体"/>
          <w:sz w:val="28"/>
          <w:szCs w:val="28"/>
        </w:rPr>
        <w:t>法定代表人</w:t>
      </w:r>
      <w:r>
        <w:rPr>
          <w:rFonts w:hint="eastAsia" w:ascii="宋体" w:hAnsi="宋体" w:cs="宋体"/>
          <w:sz w:val="28"/>
          <w:szCs w:val="28"/>
          <w:lang w:val="en-US" w:eastAsia="zh-CN"/>
        </w:rPr>
        <w:t>或授权委托人</w:t>
      </w:r>
      <w:r>
        <w:rPr>
          <w:rFonts w:hint="eastAsia" w:ascii="宋体" w:hAnsi="宋体" w:eastAsia="宋体" w:cs="宋体"/>
          <w:sz w:val="28"/>
          <w:szCs w:val="28"/>
        </w:rPr>
        <w:t>（签字或盖章）：</w:t>
      </w:r>
    </w:p>
    <w:p w14:paraId="71E0DF11">
      <w:pPr>
        <w:spacing w:line="480" w:lineRule="auto"/>
        <w:rPr>
          <w:rFonts w:hint="eastAsia" w:ascii="宋体" w:hAnsi="宋体" w:eastAsia="宋体" w:cs="宋体"/>
          <w:sz w:val="28"/>
          <w:szCs w:val="28"/>
          <w:lang w:eastAsia="zh-CN"/>
        </w:rPr>
      </w:pPr>
      <w:r>
        <w:rPr>
          <w:rFonts w:hint="eastAsia" w:ascii="宋体" w:hAnsi="宋体" w:cs="宋体"/>
          <w:sz w:val="28"/>
          <w:szCs w:val="28"/>
        </w:rPr>
        <w:t>联  系  人：</w:t>
      </w:r>
      <w:r>
        <w:rPr>
          <w:rFonts w:hint="eastAsia" w:ascii="宋体" w:hAnsi="宋体" w:cs="宋体"/>
          <w:sz w:val="28"/>
          <w:szCs w:val="28"/>
          <w:lang w:eastAsia="zh-CN"/>
        </w:rPr>
        <w:t>张恩慈、谷玫瑰</w:t>
      </w:r>
    </w:p>
    <w:p w14:paraId="2FD9D974">
      <w:pPr>
        <w:spacing w:line="480" w:lineRule="auto"/>
        <w:rPr>
          <w:rFonts w:ascii="宋体" w:hAnsi="宋体" w:cs="宋体"/>
          <w:sz w:val="28"/>
          <w:szCs w:val="28"/>
        </w:rPr>
      </w:pPr>
      <w:r>
        <w:rPr>
          <w:rFonts w:hint="eastAsia" w:ascii="宋体" w:hAnsi="宋体" w:cs="宋体"/>
          <w:sz w:val="28"/>
          <w:szCs w:val="28"/>
        </w:rPr>
        <w:t>电      话：</w:t>
      </w:r>
      <w:r>
        <w:rPr>
          <w:rFonts w:hint="eastAsia" w:ascii="宋体" w:hAnsi="宋体" w:cs="宋体"/>
          <w:sz w:val="28"/>
          <w:szCs w:val="28"/>
          <w:lang w:eastAsia="zh-CN"/>
        </w:rPr>
        <w:t>13579399515、19590199019</w:t>
      </w:r>
      <w:r>
        <w:rPr>
          <w:rFonts w:hint="eastAsia" w:ascii="宋体" w:hAnsi="宋体" w:cs="宋体"/>
          <w:sz w:val="28"/>
          <w:szCs w:val="28"/>
        </w:rPr>
        <w:t xml:space="preserve">       </w:t>
      </w:r>
    </w:p>
    <w:p w14:paraId="1CE6F3F2">
      <w:pPr>
        <w:spacing w:line="480" w:lineRule="auto"/>
        <w:rPr>
          <w:rFonts w:hint="eastAsia" w:ascii="宋体" w:hAnsi="宋体" w:eastAsia="宋体" w:cs="宋体"/>
          <w:sz w:val="28"/>
          <w:szCs w:val="28"/>
          <w:lang w:eastAsia="zh-CN"/>
        </w:rPr>
      </w:pPr>
      <w:r>
        <w:rPr>
          <w:rFonts w:hint="eastAsia" w:ascii="宋体" w:hAnsi="宋体" w:cs="宋体"/>
          <w:sz w:val="28"/>
          <w:szCs w:val="28"/>
        </w:rPr>
        <w:t>联 系 地 址：</w:t>
      </w:r>
      <w:r>
        <w:rPr>
          <w:rFonts w:hint="eastAsia" w:ascii="宋体" w:hAnsi="宋体" w:cs="宋体"/>
          <w:sz w:val="28"/>
          <w:szCs w:val="28"/>
          <w:lang w:eastAsia="zh-CN"/>
        </w:rPr>
        <w:t>阿克苏市交通路28号南城新天地14-122（二楼）</w:t>
      </w:r>
    </w:p>
    <w:p w14:paraId="17DD738A">
      <w:pPr>
        <w:spacing w:line="360" w:lineRule="auto"/>
        <w:rPr>
          <w:rFonts w:ascii="宋体" w:hAnsi="宋体" w:cs="宋体"/>
          <w:sz w:val="28"/>
          <w:szCs w:val="28"/>
        </w:rPr>
      </w:pPr>
    </w:p>
    <w:p w14:paraId="3EF3228C">
      <w:pPr>
        <w:jc w:val="center"/>
        <w:rPr>
          <w:rFonts w:ascii="宋体" w:hAnsi="宋体" w:cs="宋体"/>
          <w:sz w:val="28"/>
          <w:szCs w:val="28"/>
        </w:rPr>
        <w:sectPr>
          <w:pgSz w:w="11906" w:h="16838"/>
          <w:pgMar w:top="1440" w:right="1800" w:bottom="1440" w:left="1800" w:header="851" w:footer="992" w:gutter="0"/>
          <w:pgNumType w:start="1"/>
          <w:cols w:space="720" w:num="1"/>
          <w:titlePg/>
          <w:docGrid w:type="lines" w:linePitch="312" w:charSpace="0"/>
        </w:sect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06</w:t>
      </w:r>
      <w:r>
        <w:rPr>
          <w:rFonts w:hint="eastAsia" w:ascii="宋体" w:hAnsi="宋体" w:cs="宋体"/>
          <w:sz w:val="28"/>
          <w:szCs w:val="28"/>
        </w:rPr>
        <w:t>月</w:t>
      </w:r>
    </w:p>
    <w:p w14:paraId="1A264880">
      <w:pPr>
        <w:jc w:val="center"/>
        <w:rPr>
          <w:rFonts w:hint="eastAsia" w:cs="Times New Roman"/>
          <w:b/>
          <w:bCs/>
          <w:kern w:val="0"/>
          <w:sz w:val="24"/>
          <w:szCs w:val="40"/>
          <w:lang w:val="en-US" w:eastAsia="zh-CN"/>
        </w:rPr>
      </w:pPr>
      <w:bookmarkStart w:id="0" w:name="_Toc28359011"/>
      <w:bookmarkStart w:id="1" w:name="_Toc20290"/>
      <w:bookmarkStart w:id="2" w:name="_Toc35393797"/>
      <w:bookmarkStart w:id="3" w:name="_Toc4719"/>
      <w:r>
        <w:rPr>
          <w:rFonts w:hint="eastAsia" w:cs="Times New Roman"/>
          <w:b/>
          <w:bCs/>
          <w:kern w:val="0"/>
          <w:sz w:val="36"/>
          <w:szCs w:val="52"/>
          <w:lang w:val="en-US" w:eastAsia="zh-CN"/>
        </w:rPr>
        <w:t>目  录</w:t>
      </w:r>
    </w:p>
    <w:p w14:paraId="56D247CC">
      <w:pPr>
        <w:pStyle w:val="29"/>
        <w:tabs>
          <w:tab w:val="right" w:pos="4000"/>
          <w:tab w:val="right" w:leader="dot" w:pos="8300"/>
        </w:tabs>
        <w:jc w:val="distribute"/>
        <w:rPr>
          <w:sz w:val="28"/>
          <w:szCs w:val="36"/>
        </w:rPr>
      </w:pPr>
      <w:r>
        <w:rPr>
          <w:sz w:val="28"/>
          <w:szCs w:val="36"/>
        </w:rPr>
        <w:fldChar w:fldCharType="begin"/>
      </w:r>
      <w:r>
        <w:rPr>
          <w:sz w:val="28"/>
          <w:szCs w:val="36"/>
        </w:rPr>
        <w:instrText xml:space="preserve">TOC \o "1-1" \h \u </w:instrText>
      </w:r>
      <w:r>
        <w:rPr>
          <w:sz w:val="28"/>
          <w:szCs w:val="36"/>
        </w:rPr>
        <w:fldChar w:fldCharType="separate"/>
      </w:r>
      <w:r>
        <w:rPr>
          <w:sz w:val="28"/>
          <w:szCs w:val="36"/>
        </w:rPr>
        <w:fldChar w:fldCharType="begin"/>
      </w:r>
      <w:r>
        <w:rPr>
          <w:sz w:val="28"/>
          <w:szCs w:val="36"/>
        </w:rPr>
        <w:instrText xml:space="preserve"> HYPERLINK \l _Toc29405 </w:instrText>
      </w:r>
      <w:r>
        <w:rPr>
          <w:sz w:val="28"/>
          <w:szCs w:val="36"/>
        </w:rPr>
        <w:fldChar w:fldCharType="separate"/>
      </w:r>
      <w:r>
        <w:rPr>
          <w:rFonts w:hint="default" w:ascii="Times New Roman" w:hAnsi="Times New Roman" w:eastAsia="宋体" w:cs="Times New Roman"/>
          <w:bCs/>
          <w:kern w:val="0"/>
          <w:sz w:val="28"/>
          <w:szCs w:val="44"/>
        </w:rPr>
        <w:t xml:space="preserve">第一章 </w:t>
      </w:r>
      <w:r>
        <w:rPr>
          <w:rFonts w:hint="eastAsia" w:cs="Times New Roman"/>
          <w:bCs/>
          <w:kern w:val="0"/>
          <w:sz w:val="28"/>
          <w:szCs w:val="44"/>
          <w:lang w:val="en-US" w:eastAsia="zh-CN"/>
        </w:rPr>
        <w:t xml:space="preserve"> </w:t>
      </w:r>
      <w:r>
        <w:rPr>
          <w:rFonts w:ascii="Times New Roman" w:hAnsi="Times New Roman" w:eastAsia="宋体" w:cs="Times New Roman"/>
          <w:bCs/>
          <w:kern w:val="0"/>
          <w:sz w:val="28"/>
          <w:szCs w:val="44"/>
        </w:rPr>
        <w:t>招标公告</w:t>
      </w:r>
      <w:r>
        <w:rPr>
          <w:rFonts w:hint="eastAsia" w:cs="Times New Roman"/>
          <w:bCs/>
          <w:kern w:val="0"/>
          <w:sz w:val="28"/>
          <w:szCs w:val="44"/>
          <w:lang w:val="en-US" w:eastAsia="zh-CN"/>
        </w:rPr>
        <w:t>...........................</w:t>
      </w:r>
      <w:r>
        <w:rPr>
          <w:sz w:val="28"/>
          <w:szCs w:val="36"/>
        </w:rPr>
        <w:tab/>
      </w:r>
      <w:r>
        <w:rPr>
          <w:sz w:val="28"/>
          <w:szCs w:val="36"/>
        </w:rPr>
        <w:fldChar w:fldCharType="begin"/>
      </w:r>
      <w:r>
        <w:rPr>
          <w:sz w:val="28"/>
          <w:szCs w:val="36"/>
        </w:rPr>
        <w:instrText xml:space="preserve"> PAGEREF _Toc29405 \h </w:instrText>
      </w:r>
      <w:r>
        <w:rPr>
          <w:sz w:val="28"/>
          <w:szCs w:val="36"/>
        </w:rPr>
        <w:fldChar w:fldCharType="separate"/>
      </w:r>
      <w:r>
        <w:rPr>
          <w:sz w:val="28"/>
          <w:szCs w:val="36"/>
        </w:rPr>
        <w:t>4</w:t>
      </w:r>
      <w:r>
        <w:rPr>
          <w:sz w:val="28"/>
          <w:szCs w:val="36"/>
        </w:rPr>
        <w:fldChar w:fldCharType="end"/>
      </w:r>
      <w:r>
        <w:rPr>
          <w:sz w:val="28"/>
          <w:szCs w:val="36"/>
        </w:rPr>
        <w:fldChar w:fldCharType="end"/>
      </w:r>
    </w:p>
    <w:p w14:paraId="051648A2">
      <w:pPr>
        <w:pStyle w:val="29"/>
        <w:tabs>
          <w:tab w:val="right" w:leader="dot" w:pos="8300"/>
        </w:tabs>
        <w:rPr>
          <w:sz w:val="28"/>
          <w:szCs w:val="36"/>
        </w:rPr>
      </w:pPr>
      <w:r>
        <w:rPr>
          <w:sz w:val="28"/>
          <w:szCs w:val="36"/>
        </w:rPr>
        <w:fldChar w:fldCharType="begin"/>
      </w:r>
      <w:r>
        <w:rPr>
          <w:sz w:val="28"/>
          <w:szCs w:val="36"/>
        </w:rPr>
        <w:instrText xml:space="preserve"> HYPERLINK \l _Toc22718 </w:instrText>
      </w:r>
      <w:r>
        <w:rPr>
          <w:sz w:val="28"/>
          <w:szCs w:val="36"/>
        </w:rPr>
        <w:fldChar w:fldCharType="separate"/>
      </w:r>
      <w:r>
        <w:rPr>
          <w:rFonts w:hint="eastAsia"/>
          <w:bCs/>
          <w:sz w:val="28"/>
          <w:szCs w:val="44"/>
        </w:rPr>
        <w:t>第二章  投标人须知</w:t>
      </w:r>
      <w:r>
        <w:rPr>
          <w:sz w:val="28"/>
          <w:szCs w:val="36"/>
        </w:rPr>
        <w:tab/>
      </w:r>
      <w:r>
        <w:rPr>
          <w:sz w:val="28"/>
          <w:szCs w:val="36"/>
        </w:rPr>
        <w:fldChar w:fldCharType="begin"/>
      </w:r>
      <w:r>
        <w:rPr>
          <w:sz w:val="28"/>
          <w:szCs w:val="36"/>
        </w:rPr>
        <w:instrText xml:space="preserve"> PAGEREF _Toc22718 \h </w:instrText>
      </w:r>
      <w:r>
        <w:rPr>
          <w:sz w:val="28"/>
          <w:szCs w:val="36"/>
        </w:rPr>
        <w:fldChar w:fldCharType="separate"/>
      </w:r>
      <w:r>
        <w:rPr>
          <w:sz w:val="28"/>
          <w:szCs w:val="36"/>
        </w:rPr>
        <w:t>8</w:t>
      </w:r>
      <w:r>
        <w:rPr>
          <w:sz w:val="28"/>
          <w:szCs w:val="36"/>
        </w:rPr>
        <w:fldChar w:fldCharType="end"/>
      </w:r>
      <w:r>
        <w:rPr>
          <w:sz w:val="28"/>
          <w:szCs w:val="36"/>
        </w:rPr>
        <w:fldChar w:fldCharType="end"/>
      </w:r>
    </w:p>
    <w:p w14:paraId="7C6B56AA">
      <w:pPr>
        <w:pStyle w:val="29"/>
        <w:tabs>
          <w:tab w:val="right" w:leader="dot" w:pos="8300"/>
        </w:tabs>
        <w:rPr>
          <w:sz w:val="28"/>
          <w:szCs w:val="36"/>
        </w:rPr>
      </w:pPr>
      <w:r>
        <w:rPr>
          <w:sz w:val="28"/>
          <w:szCs w:val="36"/>
        </w:rPr>
        <w:fldChar w:fldCharType="begin"/>
      </w:r>
      <w:r>
        <w:rPr>
          <w:sz w:val="28"/>
          <w:szCs w:val="36"/>
        </w:rPr>
        <w:instrText xml:space="preserve"> HYPERLINK \l _Toc3923 </w:instrText>
      </w:r>
      <w:r>
        <w:rPr>
          <w:sz w:val="28"/>
          <w:szCs w:val="36"/>
        </w:rPr>
        <w:fldChar w:fldCharType="separate"/>
      </w:r>
      <w:r>
        <w:rPr>
          <w:rFonts w:hint="eastAsia"/>
          <w:bCs/>
          <w:sz w:val="28"/>
          <w:szCs w:val="44"/>
        </w:rPr>
        <w:t>第三章  评标办法</w:t>
      </w:r>
      <w:r>
        <w:rPr>
          <w:sz w:val="28"/>
          <w:szCs w:val="36"/>
        </w:rPr>
        <w:tab/>
      </w:r>
      <w:r>
        <w:rPr>
          <w:sz w:val="28"/>
          <w:szCs w:val="36"/>
        </w:rPr>
        <w:fldChar w:fldCharType="begin"/>
      </w:r>
      <w:r>
        <w:rPr>
          <w:sz w:val="28"/>
          <w:szCs w:val="36"/>
        </w:rPr>
        <w:instrText xml:space="preserve"> PAGEREF _Toc3923 \h </w:instrText>
      </w:r>
      <w:r>
        <w:rPr>
          <w:sz w:val="28"/>
          <w:szCs w:val="36"/>
        </w:rPr>
        <w:fldChar w:fldCharType="separate"/>
      </w:r>
      <w:r>
        <w:rPr>
          <w:sz w:val="28"/>
          <w:szCs w:val="36"/>
        </w:rPr>
        <w:t>32</w:t>
      </w:r>
      <w:r>
        <w:rPr>
          <w:sz w:val="28"/>
          <w:szCs w:val="36"/>
        </w:rPr>
        <w:fldChar w:fldCharType="end"/>
      </w:r>
      <w:r>
        <w:rPr>
          <w:sz w:val="28"/>
          <w:szCs w:val="36"/>
        </w:rPr>
        <w:fldChar w:fldCharType="end"/>
      </w:r>
    </w:p>
    <w:p w14:paraId="5B6F3DF9">
      <w:pPr>
        <w:pStyle w:val="29"/>
        <w:tabs>
          <w:tab w:val="right" w:leader="dot" w:pos="8300"/>
        </w:tabs>
        <w:rPr>
          <w:sz w:val="28"/>
          <w:szCs w:val="36"/>
        </w:rPr>
      </w:pPr>
      <w:r>
        <w:rPr>
          <w:sz w:val="28"/>
          <w:szCs w:val="36"/>
        </w:rPr>
        <w:fldChar w:fldCharType="begin"/>
      </w:r>
      <w:r>
        <w:rPr>
          <w:sz w:val="28"/>
          <w:szCs w:val="36"/>
        </w:rPr>
        <w:instrText xml:space="preserve"> HYPERLINK \l _Toc28571 </w:instrText>
      </w:r>
      <w:r>
        <w:rPr>
          <w:sz w:val="28"/>
          <w:szCs w:val="36"/>
        </w:rPr>
        <w:fldChar w:fldCharType="separate"/>
      </w:r>
      <w:r>
        <w:rPr>
          <w:rFonts w:hint="eastAsia" w:ascii="宋体" w:hAnsi="宋体" w:cs="宋体"/>
          <w:bCs/>
          <w:sz w:val="28"/>
          <w:szCs w:val="44"/>
        </w:rPr>
        <w:t>第四章  合同条款</w:t>
      </w:r>
      <w:r>
        <w:rPr>
          <w:sz w:val="28"/>
          <w:szCs w:val="36"/>
        </w:rPr>
        <w:tab/>
      </w:r>
      <w:r>
        <w:rPr>
          <w:sz w:val="28"/>
          <w:szCs w:val="36"/>
        </w:rPr>
        <w:fldChar w:fldCharType="begin"/>
      </w:r>
      <w:r>
        <w:rPr>
          <w:sz w:val="28"/>
          <w:szCs w:val="36"/>
        </w:rPr>
        <w:instrText xml:space="preserve"> PAGEREF _Toc28571 \h </w:instrText>
      </w:r>
      <w:r>
        <w:rPr>
          <w:sz w:val="28"/>
          <w:szCs w:val="36"/>
        </w:rPr>
        <w:fldChar w:fldCharType="separate"/>
      </w:r>
      <w:r>
        <w:rPr>
          <w:sz w:val="28"/>
          <w:szCs w:val="36"/>
        </w:rPr>
        <w:t>34</w:t>
      </w:r>
      <w:r>
        <w:rPr>
          <w:sz w:val="28"/>
          <w:szCs w:val="36"/>
        </w:rPr>
        <w:fldChar w:fldCharType="end"/>
      </w:r>
      <w:r>
        <w:rPr>
          <w:sz w:val="28"/>
          <w:szCs w:val="36"/>
        </w:rPr>
        <w:fldChar w:fldCharType="end"/>
      </w:r>
    </w:p>
    <w:p w14:paraId="059250CE">
      <w:pPr>
        <w:pStyle w:val="29"/>
        <w:tabs>
          <w:tab w:val="right" w:leader="dot" w:pos="8300"/>
        </w:tabs>
        <w:rPr>
          <w:sz w:val="28"/>
          <w:szCs w:val="36"/>
        </w:rPr>
      </w:pPr>
      <w:r>
        <w:rPr>
          <w:sz w:val="28"/>
          <w:szCs w:val="36"/>
        </w:rPr>
        <w:fldChar w:fldCharType="begin"/>
      </w:r>
      <w:r>
        <w:rPr>
          <w:sz w:val="28"/>
          <w:szCs w:val="36"/>
        </w:rPr>
        <w:instrText xml:space="preserve"> HYPERLINK \l _Toc32202 </w:instrText>
      </w:r>
      <w:r>
        <w:rPr>
          <w:sz w:val="28"/>
          <w:szCs w:val="36"/>
        </w:rPr>
        <w:fldChar w:fldCharType="separate"/>
      </w:r>
      <w:r>
        <w:rPr>
          <w:rFonts w:hint="eastAsia" w:ascii="宋体" w:hAnsi="宋体" w:cs="宋体"/>
          <w:bCs/>
          <w:sz w:val="28"/>
          <w:szCs w:val="44"/>
        </w:rPr>
        <w:t xml:space="preserve">第五章 </w:t>
      </w:r>
      <w:r>
        <w:rPr>
          <w:rFonts w:hint="eastAsia" w:ascii="宋体" w:hAnsi="宋体" w:cs="宋体"/>
          <w:bCs/>
          <w:sz w:val="28"/>
          <w:szCs w:val="44"/>
          <w:lang w:val="en-US" w:eastAsia="zh-CN"/>
        </w:rPr>
        <w:t xml:space="preserve"> </w:t>
      </w:r>
      <w:r>
        <w:rPr>
          <w:rFonts w:hint="eastAsia" w:ascii="宋体" w:hAnsi="宋体" w:cs="宋体"/>
          <w:bCs/>
          <w:sz w:val="28"/>
          <w:szCs w:val="44"/>
        </w:rPr>
        <w:t>采购需求</w:t>
      </w:r>
      <w:r>
        <w:rPr>
          <w:sz w:val="28"/>
          <w:szCs w:val="36"/>
        </w:rPr>
        <w:tab/>
      </w:r>
      <w:r>
        <w:rPr>
          <w:sz w:val="28"/>
          <w:szCs w:val="36"/>
        </w:rPr>
        <w:fldChar w:fldCharType="begin"/>
      </w:r>
      <w:r>
        <w:rPr>
          <w:sz w:val="28"/>
          <w:szCs w:val="36"/>
        </w:rPr>
        <w:instrText xml:space="preserve"> PAGEREF _Toc32202 \h </w:instrText>
      </w:r>
      <w:r>
        <w:rPr>
          <w:sz w:val="28"/>
          <w:szCs w:val="36"/>
        </w:rPr>
        <w:fldChar w:fldCharType="separate"/>
      </w:r>
      <w:r>
        <w:rPr>
          <w:sz w:val="28"/>
          <w:szCs w:val="36"/>
        </w:rPr>
        <w:t>43</w:t>
      </w:r>
      <w:r>
        <w:rPr>
          <w:sz w:val="28"/>
          <w:szCs w:val="36"/>
        </w:rPr>
        <w:fldChar w:fldCharType="end"/>
      </w:r>
      <w:r>
        <w:rPr>
          <w:sz w:val="28"/>
          <w:szCs w:val="36"/>
        </w:rPr>
        <w:fldChar w:fldCharType="end"/>
      </w:r>
    </w:p>
    <w:p w14:paraId="78D2F6C7">
      <w:pPr>
        <w:pStyle w:val="29"/>
        <w:tabs>
          <w:tab w:val="right" w:leader="dot" w:pos="8300"/>
        </w:tabs>
        <w:rPr>
          <w:sz w:val="28"/>
          <w:szCs w:val="36"/>
        </w:rPr>
      </w:pPr>
      <w:r>
        <w:rPr>
          <w:sz w:val="28"/>
          <w:szCs w:val="36"/>
        </w:rPr>
        <w:fldChar w:fldCharType="begin"/>
      </w:r>
      <w:r>
        <w:rPr>
          <w:sz w:val="28"/>
          <w:szCs w:val="36"/>
        </w:rPr>
        <w:instrText xml:space="preserve"> HYPERLINK \l _Toc876 </w:instrText>
      </w:r>
      <w:r>
        <w:rPr>
          <w:sz w:val="28"/>
          <w:szCs w:val="36"/>
        </w:rPr>
        <w:fldChar w:fldCharType="separate"/>
      </w:r>
      <w:r>
        <w:rPr>
          <w:rFonts w:hint="eastAsia" w:ascii="宋体" w:hAnsi="宋体" w:cs="宋体"/>
          <w:bCs/>
          <w:sz w:val="28"/>
          <w:szCs w:val="44"/>
        </w:rPr>
        <w:t xml:space="preserve">第六章 </w:t>
      </w:r>
      <w:r>
        <w:rPr>
          <w:rFonts w:hint="eastAsia" w:ascii="宋体" w:hAnsi="宋体" w:cs="宋体"/>
          <w:bCs/>
          <w:sz w:val="28"/>
          <w:szCs w:val="44"/>
          <w:lang w:val="en-US" w:eastAsia="zh-CN"/>
        </w:rPr>
        <w:t xml:space="preserve"> </w:t>
      </w:r>
      <w:r>
        <w:rPr>
          <w:rFonts w:hint="eastAsia" w:ascii="宋体" w:hAnsi="宋体" w:cs="宋体"/>
          <w:bCs/>
          <w:sz w:val="28"/>
          <w:szCs w:val="44"/>
        </w:rPr>
        <w:t>投标文件格</w:t>
      </w:r>
      <w:r>
        <w:rPr>
          <w:rFonts w:hint="eastAsia" w:ascii="宋体" w:hAnsi="宋体" w:cs="宋体"/>
          <w:bCs/>
          <w:sz w:val="28"/>
          <w:szCs w:val="44"/>
          <w:lang w:val="en-US" w:eastAsia="zh-CN"/>
        </w:rPr>
        <w:t>式</w:t>
      </w:r>
      <w:r>
        <w:rPr>
          <w:sz w:val="28"/>
          <w:szCs w:val="36"/>
        </w:rPr>
        <w:tab/>
      </w:r>
      <w:r>
        <w:rPr>
          <w:sz w:val="28"/>
          <w:szCs w:val="36"/>
        </w:rPr>
        <w:fldChar w:fldCharType="begin"/>
      </w:r>
      <w:r>
        <w:rPr>
          <w:sz w:val="28"/>
          <w:szCs w:val="36"/>
        </w:rPr>
        <w:instrText xml:space="preserve"> PAGEREF _Toc876 \h </w:instrText>
      </w:r>
      <w:r>
        <w:rPr>
          <w:sz w:val="28"/>
          <w:szCs w:val="36"/>
        </w:rPr>
        <w:fldChar w:fldCharType="separate"/>
      </w:r>
      <w:r>
        <w:rPr>
          <w:sz w:val="28"/>
          <w:szCs w:val="36"/>
        </w:rPr>
        <w:t>54</w:t>
      </w:r>
      <w:r>
        <w:rPr>
          <w:sz w:val="28"/>
          <w:szCs w:val="36"/>
        </w:rPr>
        <w:fldChar w:fldCharType="end"/>
      </w:r>
      <w:r>
        <w:rPr>
          <w:sz w:val="28"/>
          <w:szCs w:val="36"/>
        </w:rPr>
        <w:fldChar w:fldCharType="end"/>
      </w:r>
    </w:p>
    <w:p w14:paraId="3350CE22">
      <w:r>
        <w:rPr>
          <w:sz w:val="24"/>
          <w:szCs w:val="24"/>
        </w:rPr>
        <w:fldChar w:fldCharType="end"/>
      </w:r>
    </w:p>
    <w:p w14:paraId="46F2DD84">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360" w:lineRule="auto"/>
        <w:ind w:left="0" w:firstLine="0"/>
        <w:jc w:val="center"/>
        <w:textAlignment w:val="auto"/>
        <w:rPr>
          <w:rFonts w:ascii="Times New Roman" w:hAnsi="Times New Roman" w:eastAsia="宋体" w:cs="Times New Roman"/>
          <w:b/>
          <w:bCs/>
          <w:kern w:val="0"/>
          <w:szCs w:val="32"/>
        </w:rPr>
        <w:sectPr>
          <w:pgSz w:w="11906" w:h="16838"/>
          <w:pgMar w:top="1440" w:right="1797" w:bottom="1440" w:left="1797" w:header="851" w:footer="992" w:gutter="0"/>
          <w:cols w:space="425" w:num="1"/>
          <w:docGrid w:type="lines" w:linePitch="312" w:charSpace="0"/>
        </w:sectPr>
      </w:pPr>
      <w:bookmarkStart w:id="4" w:name="_Toc29405"/>
      <w:bookmarkStart w:id="5" w:name="_Toc8371"/>
    </w:p>
    <w:p w14:paraId="3BD5FB07">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360" w:lineRule="auto"/>
        <w:ind w:left="0" w:firstLine="0"/>
        <w:jc w:val="center"/>
        <w:textAlignment w:val="auto"/>
        <w:rPr>
          <w:rFonts w:ascii="Times New Roman" w:hAnsi="Times New Roman" w:eastAsia="宋体" w:cs="Times New Roman"/>
          <w:b/>
          <w:bCs/>
          <w:kern w:val="0"/>
          <w:szCs w:val="32"/>
        </w:rPr>
      </w:pPr>
      <w:r>
        <w:rPr>
          <w:rFonts w:ascii="Times New Roman" w:hAnsi="Times New Roman" w:eastAsia="宋体" w:cs="Times New Roman"/>
          <w:b/>
          <w:bCs/>
          <w:kern w:val="0"/>
          <w:szCs w:val="32"/>
        </w:rPr>
        <w:fldChar w:fldCharType="begin"/>
      </w:r>
      <w:r>
        <w:rPr>
          <w:rFonts w:ascii="Times New Roman" w:hAnsi="Times New Roman" w:eastAsia="宋体" w:cs="Times New Roman"/>
          <w:b/>
          <w:bCs/>
          <w:kern w:val="0"/>
          <w:szCs w:val="32"/>
        </w:rPr>
        <w:instrText xml:space="preserve"> HYPERLINK \l _Toc16730 </w:instrText>
      </w:r>
      <w:r>
        <w:rPr>
          <w:rFonts w:ascii="Times New Roman" w:hAnsi="Times New Roman" w:eastAsia="宋体" w:cs="Times New Roman"/>
          <w:b/>
          <w:bCs/>
          <w:kern w:val="0"/>
          <w:szCs w:val="32"/>
        </w:rPr>
        <w:fldChar w:fldCharType="separate"/>
      </w:r>
      <w:r>
        <w:rPr>
          <w:rFonts w:hint="default" w:ascii="Times New Roman" w:hAnsi="Times New Roman" w:eastAsia="宋体" w:cs="Times New Roman"/>
          <w:b/>
          <w:bCs/>
          <w:kern w:val="0"/>
          <w:szCs w:val="32"/>
        </w:rPr>
        <w:t xml:space="preserve">第一章 </w:t>
      </w:r>
      <w:r>
        <w:rPr>
          <w:rFonts w:ascii="Times New Roman" w:hAnsi="Times New Roman" w:eastAsia="宋体" w:cs="Times New Roman"/>
          <w:b/>
          <w:bCs/>
          <w:kern w:val="0"/>
          <w:szCs w:val="32"/>
        </w:rPr>
        <w:t>招标公告</w:t>
      </w:r>
      <w:r>
        <w:rPr>
          <w:rFonts w:ascii="Times New Roman" w:hAnsi="Times New Roman" w:eastAsia="宋体" w:cs="Times New Roman"/>
          <w:b/>
          <w:bCs/>
          <w:kern w:val="0"/>
          <w:szCs w:val="32"/>
        </w:rPr>
        <w:tab/>
      </w:r>
      <w:r>
        <w:rPr>
          <w:rFonts w:ascii="Times New Roman" w:hAnsi="Times New Roman" w:eastAsia="宋体" w:cs="Times New Roman"/>
          <w:b/>
          <w:bCs/>
          <w:kern w:val="0"/>
          <w:szCs w:val="32"/>
        </w:rPr>
        <w:fldChar w:fldCharType="end"/>
      </w:r>
      <w:bookmarkEnd w:id="0"/>
      <w:bookmarkEnd w:id="1"/>
      <w:bookmarkEnd w:id="2"/>
      <w:bookmarkEnd w:id="3"/>
      <w:bookmarkEnd w:id="4"/>
      <w:bookmarkEnd w:id="5"/>
    </w:p>
    <w:p w14:paraId="1B1AD69A">
      <w:pPr>
        <w:rPr>
          <w:rFonts w:hint="default"/>
        </w:rPr>
      </w:pPr>
    </w:p>
    <w:p w14:paraId="5427B3ED">
      <w:pPr>
        <w:pBdr>
          <w:top w:val="single" w:color="auto" w:sz="4" w:space="1"/>
          <w:left w:val="single" w:color="auto" w:sz="4" w:space="4"/>
          <w:bottom w:val="single" w:color="auto" w:sz="4" w:space="1"/>
          <w:right w:val="single" w:color="auto" w:sz="4" w:space="4"/>
        </w:pBd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项目概况</w:t>
      </w:r>
    </w:p>
    <w:p w14:paraId="6AFDB238">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lang w:eastAsia="zh-CN"/>
        </w:rPr>
        <w:t>阿克苏地区妇幼保健院（地区卫生健康服务中心）人力资源服务采购项目（二次）</w:t>
      </w:r>
      <w:r>
        <w:rPr>
          <w:rFonts w:hint="eastAsia" w:asciiTheme="minorEastAsia" w:hAnsiTheme="minorEastAsia" w:eastAsiaTheme="minorEastAsia" w:cstheme="minorEastAsia"/>
          <w:sz w:val="24"/>
        </w:rPr>
        <w:t>的潜在投标人应在政采云平台获取（下载）采购文件，并于</w:t>
      </w:r>
      <w:r>
        <w:rPr>
          <w:rFonts w:hint="eastAsia" w:asciiTheme="minorEastAsia" w:hAnsiTheme="minorEastAsia" w:eastAsiaTheme="minorEastAsia" w:cstheme="minorEastAsia"/>
          <w:color w:val="auto"/>
          <w:sz w:val="24"/>
          <w:lang w:eastAsia="zh-CN"/>
        </w:rPr>
        <w:t>2026年06月24日10点30分</w:t>
      </w:r>
      <w:r>
        <w:rPr>
          <w:rFonts w:hint="eastAsia" w:asciiTheme="minorEastAsia" w:hAnsiTheme="minorEastAsia" w:eastAsiaTheme="minorEastAsia" w:cstheme="minorEastAsia"/>
          <w:bCs/>
          <w:color w:val="auto"/>
          <w:sz w:val="24"/>
        </w:rPr>
        <w:t>（北京时间）前提交投标文件</w:t>
      </w:r>
      <w:r>
        <w:rPr>
          <w:rFonts w:hint="eastAsia" w:asciiTheme="minorEastAsia" w:hAnsiTheme="minorEastAsia" w:eastAsiaTheme="minorEastAsia" w:cstheme="minorEastAsia"/>
          <w:color w:val="auto"/>
          <w:sz w:val="24"/>
        </w:rPr>
        <w:t>。</w:t>
      </w:r>
    </w:p>
    <w:p w14:paraId="3B300D77">
      <w:pPr>
        <w:pStyle w:val="3"/>
        <w:spacing w:before="0" w:after="0" w:line="500" w:lineRule="exact"/>
        <w:ind w:firstLine="482" w:firstLineChars="200"/>
        <w:rPr>
          <w:rFonts w:hint="eastAsia" w:asciiTheme="minorEastAsia" w:hAnsiTheme="minorEastAsia" w:eastAsiaTheme="minorEastAsia" w:cstheme="minorEastAsia"/>
          <w:bCs w:val="0"/>
          <w:sz w:val="24"/>
          <w:szCs w:val="24"/>
        </w:rPr>
      </w:pPr>
      <w:bookmarkStart w:id="6" w:name="_Toc28359012"/>
      <w:bookmarkStart w:id="7" w:name="_Toc35393629"/>
      <w:bookmarkStart w:id="8" w:name="_Toc28359089"/>
      <w:bookmarkStart w:id="9" w:name="_Toc35393798"/>
      <w:r>
        <w:rPr>
          <w:rFonts w:hint="eastAsia" w:asciiTheme="minorEastAsia" w:hAnsiTheme="minorEastAsia" w:eastAsiaTheme="minorEastAsia" w:cstheme="minorEastAsia"/>
          <w:bCs w:val="0"/>
          <w:sz w:val="24"/>
          <w:szCs w:val="24"/>
        </w:rPr>
        <w:t>一、项目基本情况</w:t>
      </w:r>
      <w:bookmarkEnd w:id="6"/>
      <w:bookmarkEnd w:id="7"/>
      <w:bookmarkEnd w:id="8"/>
      <w:bookmarkEnd w:id="9"/>
    </w:p>
    <w:p w14:paraId="62E9E33F">
      <w:pPr>
        <w:spacing w:line="500" w:lineRule="exact"/>
        <w:ind w:firstLine="480" w:firstLineChars="20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eastAsia="zh-CN"/>
        </w:rPr>
        <w:t>【2026】678号-002-2</w:t>
      </w:r>
    </w:p>
    <w:p w14:paraId="0B0815A9">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lang w:eastAsia="zh-CN"/>
        </w:rPr>
        <w:t>阿克苏地区妇幼保健院（地区卫生健康服务中心）人力资源服务采购项目（二次）</w:t>
      </w:r>
    </w:p>
    <w:p w14:paraId="12461FDD">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采购方式：公开招标</w:t>
      </w:r>
    </w:p>
    <w:p w14:paraId="7FD70B95">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3784400.00元</w:t>
      </w:r>
    </w:p>
    <w:p w14:paraId="7C36717A">
      <w:pPr>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3784400.00元</w:t>
      </w:r>
    </w:p>
    <w:p w14:paraId="2C47E216">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39E68407">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标项名称：</w:t>
      </w:r>
      <w:r>
        <w:rPr>
          <w:rFonts w:hint="eastAsia" w:ascii="宋体" w:hAnsi="宋体" w:cs="宋体"/>
          <w:sz w:val="24"/>
          <w:lang w:eastAsia="zh-CN"/>
        </w:rPr>
        <w:t>阿克苏地区妇幼保健院（地区卫生健康服务中心）人力资源服务采购项目（二次）</w:t>
      </w:r>
    </w:p>
    <w:p w14:paraId="44FA01F1">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数量:1</w:t>
      </w:r>
    </w:p>
    <w:p w14:paraId="0498AD9C">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预算金额（元）:</w:t>
      </w:r>
      <w:r>
        <w:rPr>
          <w:rFonts w:hint="eastAsia" w:asciiTheme="minorEastAsia" w:hAnsiTheme="minorEastAsia" w:eastAsiaTheme="minorEastAsia" w:cstheme="minorEastAsia"/>
          <w:sz w:val="24"/>
          <w:szCs w:val="24"/>
          <w:lang w:eastAsia="zh-CN"/>
        </w:rPr>
        <w:t>3784400.00元</w:t>
      </w:r>
    </w:p>
    <w:p w14:paraId="31142DDB">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简要规格描述</w:t>
      </w:r>
      <w:r>
        <w:rPr>
          <w:rFonts w:hint="eastAsia" w:asciiTheme="minorEastAsia" w:hAnsiTheme="minorEastAsia" w:eastAsiaTheme="minorEastAsia" w:cstheme="minorEastAsia"/>
          <w:sz w:val="24"/>
          <w:szCs w:val="24"/>
          <w:lang w:eastAsia="zh-CN"/>
        </w:rPr>
        <w:t>或项目基本概况介绍</w:t>
      </w:r>
      <w:r>
        <w:rPr>
          <w:rFonts w:hint="eastAsia" w:asciiTheme="minorEastAsia" w:hAnsiTheme="minorEastAsia" w:eastAsiaTheme="minorEastAsia" w:cstheme="minorEastAsia"/>
          <w:sz w:val="24"/>
          <w:szCs w:val="24"/>
        </w:rPr>
        <w:t>：</w:t>
      </w:r>
      <w:r>
        <w:rPr>
          <w:rFonts w:hint="eastAsia" w:ascii="宋体" w:hAnsi="宋体" w:cs="宋体"/>
          <w:sz w:val="24"/>
          <w:lang w:eastAsia="zh-CN"/>
        </w:rPr>
        <w:t>人力资源服务采购</w:t>
      </w:r>
      <w:r>
        <w:rPr>
          <w:rFonts w:hint="eastAsia" w:asciiTheme="minorEastAsia" w:hAnsiTheme="minorEastAsia" w:eastAsiaTheme="minorEastAsia" w:cstheme="minorEastAsia"/>
          <w:sz w:val="24"/>
          <w:szCs w:val="24"/>
        </w:rPr>
        <w:t>，详见</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文件。</w:t>
      </w:r>
    </w:p>
    <w:p w14:paraId="2DD3E4CA">
      <w:pPr>
        <w:spacing w:line="500" w:lineRule="exact"/>
        <w:ind w:firstLine="480" w:firstLineChars="2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合同履行期限：</w:t>
      </w:r>
      <w:r>
        <w:rPr>
          <w:rFonts w:hint="eastAsia" w:asciiTheme="minorEastAsia" w:hAnsiTheme="minorEastAsia" w:eastAsiaTheme="minorEastAsia" w:cstheme="minorEastAsia"/>
          <w:b w:val="0"/>
          <w:bCs/>
          <w:kern w:val="2"/>
          <w:sz w:val="24"/>
          <w:szCs w:val="24"/>
          <w:lang w:val="en-US" w:eastAsia="zh-CN" w:bidi="ar-SA"/>
        </w:rPr>
        <w:t>2026年7月1日至2027年6月30日。</w:t>
      </w:r>
    </w:p>
    <w:p w14:paraId="7F1FD039">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w:t>
      </w:r>
    </w:p>
    <w:p w14:paraId="04D2FA6D">
      <w:pPr>
        <w:pStyle w:val="3"/>
        <w:spacing w:before="0" w:after="0" w:line="500" w:lineRule="exact"/>
        <w:ind w:firstLine="482" w:firstLineChars="200"/>
        <w:rPr>
          <w:rFonts w:hint="eastAsia" w:asciiTheme="minorEastAsia" w:hAnsiTheme="minorEastAsia" w:eastAsiaTheme="minorEastAsia" w:cstheme="minorEastAsia"/>
          <w:bCs w:val="0"/>
          <w:sz w:val="24"/>
          <w:szCs w:val="24"/>
        </w:rPr>
      </w:pPr>
      <w:bookmarkStart w:id="10" w:name="_Toc35393630"/>
      <w:bookmarkStart w:id="11" w:name="_Toc28359090"/>
      <w:bookmarkStart w:id="12" w:name="_Toc35393799"/>
      <w:bookmarkStart w:id="13" w:name="_Toc28359013"/>
      <w:r>
        <w:rPr>
          <w:rFonts w:hint="eastAsia" w:asciiTheme="minorEastAsia" w:hAnsiTheme="minorEastAsia" w:eastAsiaTheme="minorEastAsia" w:cstheme="minorEastAsia"/>
          <w:bCs w:val="0"/>
          <w:sz w:val="24"/>
          <w:szCs w:val="24"/>
        </w:rPr>
        <w:t>二、申请人的资格要求：</w:t>
      </w:r>
      <w:bookmarkEnd w:id="10"/>
      <w:bookmarkEnd w:id="11"/>
      <w:bookmarkEnd w:id="12"/>
      <w:bookmarkEnd w:id="13"/>
    </w:p>
    <w:p w14:paraId="25E7B00E">
      <w:pPr>
        <w:pStyle w:val="3"/>
        <w:spacing w:before="0" w:after="0" w:line="500" w:lineRule="exact"/>
        <w:ind w:firstLine="480" w:firstLineChars="200"/>
        <w:rPr>
          <w:rFonts w:hint="eastAsia" w:asciiTheme="minorEastAsia" w:hAnsiTheme="minorEastAsia" w:eastAsiaTheme="minorEastAsia" w:cstheme="minorEastAsia"/>
          <w:b w:val="0"/>
          <w:bCs/>
          <w:sz w:val="24"/>
          <w:szCs w:val="24"/>
        </w:rPr>
      </w:pPr>
      <w:bookmarkStart w:id="14" w:name="_Toc35393800"/>
      <w:bookmarkStart w:id="15" w:name="_Toc35393631"/>
      <w:bookmarkStart w:id="16" w:name="_Toc28359091"/>
      <w:bookmarkStart w:id="17" w:name="_Toc28359014"/>
      <w:r>
        <w:rPr>
          <w:rFonts w:hint="eastAsia" w:asciiTheme="minorEastAsia" w:hAnsiTheme="minorEastAsia" w:eastAsiaTheme="minorEastAsia" w:cstheme="minorEastAsia"/>
          <w:b w:val="0"/>
          <w:bCs/>
          <w:sz w:val="24"/>
          <w:szCs w:val="24"/>
        </w:rPr>
        <w:t>1、满足《中华人民共和国政府采购法》第二十二条规定；</w:t>
      </w:r>
    </w:p>
    <w:p w14:paraId="5D5EF2FB">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71BAE8C6">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（1）财政部、工业和信息化部关于印发《政府采购促进中小企业发展管理办法》的通知（财库〔2020〕46号）； </w:t>
      </w:r>
    </w:p>
    <w:p w14:paraId="2DDB9EEF">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（2）《财政部、司法部关于政府采购支持监狱企业发展有关问题的通知》（财库[2014]68号）； </w:t>
      </w:r>
    </w:p>
    <w:p w14:paraId="35005C75">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（3）《国务院办公厅关于建立政府强制采购节能产品制度的通知》（国发办[2007]51号）； </w:t>
      </w:r>
    </w:p>
    <w:p w14:paraId="4B858EE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（4）《财政部 民政部 中国残疾人联合会关于促进残疾人就业政府采购政策的通知》财库[2017]141号； </w:t>
      </w:r>
    </w:p>
    <w:p w14:paraId="16D86B28">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14:paraId="0F727924">
      <w:pPr>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6）按照《财政部关于在政府采购活动中查询及使用信用记录有关问题的 </w:t>
      </w:r>
    </w:p>
    <w:p w14:paraId="742E3758">
      <w:pPr>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通知》（财库〔2016〕125 号）的要求，根据响应文件开启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采购人或者采购代理机构对信用信息查询记录和证据进行打印存档；</w:t>
      </w:r>
    </w:p>
    <w:p w14:paraId="20249B65">
      <w:pPr>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（7）本项目专门面向小微企业，需按要求提供《中小企业声明函》，详见本项目采购文件</w:t>
      </w:r>
      <w:r>
        <w:rPr>
          <w:rFonts w:hint="eastAsia" w:ascii="宋体" w:hAnsi="宋体" w:eastAsia="宋体" w:cs="宋体"/>
          <w:sz w:val="24"/>
          <w:szCs w:val="24"/>
          <w:lang w:val="en-US" w:eastAsia="zh-CN"/>
        </w:rPr>
        <w:t>。</w:t>
      </w:r>
    </w:p>
    <w:p w14:paraId="175030A3">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4F15AA0C">
      <w:pPr>
        <w:pStyle w:val="16"/>
        <w:spacing w:line="500" w:lineRule="exact"/>
        <w:ind w:firstLine="480" w:firstLineChars="200"/>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具备人社局颁发的有效的《人力资源服务许可证》。</w:t>
      </w:r>
    </w:p>
    <w:p w14:paraId="06242FB6">
      <w:pPr>
        <w:pStyle w:val="16"/>
        <w:spacing w:line="5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三、获取招标文件</w:t>
      </w:r>
      <w:bookmarkEnd w:id="14"/>
      <w:bookmarkEnd w:id="15"/>
      <w:bookmarkEnd w:id="16"/>
      <w:bookmarkEnd w:id="17"/>
    </w:p>
    <w:p w14:paraId="4816F494">
      <w:pPr>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日至202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14:textFill>
            <w14:solidFill>
              <w14:schemeClr w14:val="tx1"/>
            </w14:solidFill>
          </w14:textFill>
        </w:rPr>
        <w:t>，每天上午</w:t>
      </w:r>
      <w:r>
        <w:rPr>
          <w:rFonts w:hint="eastAsia" w:asciiTheme="minorEastAsia" w:hAnsiTheme="minorEastAsia" w:eastAsiaTheme="minorEastAsia" w:cstheme="minorEastAsia"/>
          <w:color w:val="auto"/>
          <w:sz w:val="24"/>
          <w:szCs w:val="24"/>
        </w:rPr>
        <w:t>10:00至14:00，下午1</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0至</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0（北京时间，法定节假日除外）</w:t>
      </w:r>
    </w:p>
    <w:p w14:paraId="227EAE73">
      <w:pPr>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地点：政采云平台线上</w:t>
      </w:r>
    </w:p>
    <w:p w14:paraId="218457A1">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EE3354A">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售价：0元/份</w:t>
      </w:r>
    </w:p>
    <w:p w14:paraId="2A33749B">
      <w:pPr>
        <w:pStyle w:val="3"/>
        <w:spacing w:before="0" w:after="0" w:line="500" w:lineRule="exact"/>
        <w:ind w:firstLine="482" w:firstLineChars="200"/>
        <w:rPr>
          <w:rFonts w:hint="eastAsia" w:asciiTheme="minorEastAsia" w:hAnsiTheme="minorEastAsia" w:eastAsiaTheme="minorEastAsia" w:cstheme="minorEastAsia"/>
          <w:bCs w:val="0"/>
          <w:sz w:val="24"/>
          <w:szCs w:val="24"/>
        </w:rPr>
      </w:pPr>
      <w:bookmarkStart w:id="18" w:name="_Toc28359015"/>
      <w:bookmarkStart w:id="19" w:name="_Toc35393801"/>
      <w:bookmarkStart w:id="20" w:name="_Toc28359092"/>
      <w:bookmarkStart w:id="21" w:name="_Toc35393632"/>
      <w:r>
        <w:rPr>
          <w:rFonts w:hint="eastAsia" w:asciiTheme="minorEastAsia" w:hAnsiTheme="minorEastAsia" w:eastAsiaTheme="minorEastAsia" w:cstheme="minorEastAsia"/>
          <w:bCs w:val="0"/>
          <w:sz w:val="24"/>
          <w:szCs w:val="24"/>
        </w:rPr>
        <w:t>四、</w:t>
      </w:r>
      <w:bookmarkEnd w:id="18"/>
      <w:bookmarkEnd w:id="19"/>
      <w:bookmarkEnd w:id="20"/>
      <w:bookmarkEnd w:id="21"/>
      <w:r>
        <w:rPr>
          <w:rFonts w:hint="eastAsia" w:asciiTheme="minorEastAsia" w:hAnsiTheme="minorEastAsia" w:eastAsiaTheme="minorEastAsia" w:cstheme="minorEastAsia"/>
          <w:bCs w:val="0"/>
          <w:sz w:val="24"/>
          <w:szCs w:val="24"/>
        </w:rPr>
        <w:t>提交投标文件截止时间、开标时间和地点</w:t>
      </w:r>
    </w:p>
    <w:p w14:paraId="2B54FD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val="0"/>
          <w:color w:val="auto"/>
          <w:sz w:val="24"/>
          <w:szCs w:val="24"/>
        </w:rPr>
        <w:t>提交投标文件</w:t>
      </w:r>
      <w:r>
        <w:rPr>
          <w:rFonts w:hint="eastAsia" w:asciiTheme="minorEastAsia" w:hAnsiTheme="minorEastAsia" w:eastAsiaTheme="minorEastAsia" w:cstheme="minorEastAsia"/>
          <w:color w:val="auto"/>
          <w:sz w:val="24"/>
          <w:szCs w:val="24"/>
        </w:rPr>
        <w:t>截止时间：</w:t>
      </w:r>
      <w:r>
        <w:rPr>
          <w:rFonts w:hint="eastAsia" w:asciiTheme="minorEastAsia" w:hAnsiTheme="minorEastAsia" w:eastAsiaTheme="minorEastAsia" w:cstheme="minorEastAsia"/>
          <w:color w:val="auto"/>
          <w:sz w:val="24"/>
          <w:lang w:eastAsia="zh-CN"/>
        </w:rPr>
        <w:t>2026年06月24日10点30分</w:t>
      </w:r>
      <w:r>
        <w:rPr>
          <w:rFonts w:hint="eastAsia" w:asciiTheme="minorEastAsia" w:hAnsiTheme="minorEastAsia" w:eastAsiaTheme="minorEastAsia" w:cstheme="minorEastAsia"/>
          <w:bCs/>
          <w:color w:val="auto"/>
          <w:sz w:val="24"/>
          <w:szCs w:val="24"/>
        </w:rPr>
        <w:t>（北京时间）</w:t>
      </w:r>
    </w:p>
    <w:p w14:paraId="7E879B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地点：请登录政采云投标客户端投标</w:t>
      </w:r>
    </w:p>
    <w:p w14:paraId="6A1710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color w:val="auto"/>
          <w:sz w:val="24"/>
          <w:szCs w:val="24"/>
          <w:lang w:eastAsia="zh-CN"/>
        </w:rPr>
        <w:t>开标时间：</w:t>
      </w:r>
      <w:r>
        <w:rPr>
          <w:rFonts w:hint="eastAsia" w:asciiTheme="minorEastAsia" w:hAnsiTheme="minorEastAsia" w:eastAsiaTheme="minorEastAsia" w:cstheme="minorEastAsia"/>
          <w:color w:val="auto"/>
          <w:sz w:val="24"/>
          <w:lang w:eastAsia="zh-CN"/>
        </w:rPr>
        <w:t>2026年06月24日10点30分</w:t>
      </w:r>
      <w:r>
        <w:rPr>
          <w:rFonts w:hint="eastAsia" w:asciiTheme="minorEastAsia" w:hAnsiTheme="minorEastAsia" w:eastAsiaTheme="minorEastAsia" w:cstheme="minorEastAsia"/>
          <w:b w:val="0"/>
          <w:bCs w:val="0"/>
          <w:color w:val="auto"/>
          <w:sz w:val="24"/>
          <w:szCs w:val="24"/>
          <w:lang w:eastAsia="zh-CN"/>
        </w:rPr>
        <w:t>（北京时间）</w:t>
      </w:r>
    </w:p>
    <w:p w14:paraId="1887A1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eastAsia="zh-CN"/>
        </w:rPr>
        <w:t>开标地点：</w:t>
      </w:r>
      <w:bookmarkStart w:id="22" w:name="_Toc35393803"/>
      <w:bookmarkStart w:id="23" w:name="_Toc35393634"/>
      <w:bookmarkStart w:id="24" w:name="_Toc28359094"/>
      <w:bookmarkStart w:id="25" w:name="_Toc28359017"/>
      <w:r>
        <w:rPr>
          <w:rFonts w:hint="eastAsia" w:asciiTheme="minorEastAsia" w:hAnsiTheme="minorEastAsia" w:eastAsiaTheme="minorEastAsia" w:cstheme="minorEastAsia"/>
          <w:bCs/>
          <w:color w:val="auto"/>
          <w:sz w:val="24"/>
          <w:szCs w:val="24"/>
          <w:lang w:eastAsia="zh-CN"/>
        </w:rPr>
        <w:t>投标人登录政采云平台https://www.zcygov.cn/，进入“项目采购-开标评标-右边选择对应项目点击“进入项目”进入开标大厅。</w:t>
      </w:r>
    </w:p>
    <w:p w14:paraId="6CB3AFCE">
      <w:pPr>
        <w:spacing w:line="500" w:lineRule="exact"/>
        <w:ind w:firstLine="482" w:firstLineChars="200"/>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
          <w:bCs w:val="0"/>
          <w:kern w:val="2"/>
          <w:sz w:val="24"/>
          <w:szCs w:val="24"/>
          <w:lang w:val="en-US" w:eastAsia="zh-CN" w:bidi="ar-SA"/>
        </w:rPr>
        <w:t>五、公告期限</w:t>
      </w:r>
      <w:bookmarkEnd w:id="22"/>
      <w:bookmarkEnd w:id="23"/>
      <w:bookmarkEnd w:id="24"/>
      <w:bookmarkEnd w:id="25"/>
    </w:p>
    <w:p w14:paraId="2EB81740">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自本公告发布之日起5个工作日。</w:t>
      </w:r>
    </w:p>
    <w:p w14:paraId="56B25C52">
      <w:pPr>
        <w:pStyle w:val="3"/>
        <w:spacing w:before="0" w:after="0" w:line="500" w:lineRule="exact"/>
        <w:ind w:firstLine="482" w:firstLineChars="200"/>
        <w:rPr>
          <w:rFonts w:hint="eastAsia" w:asciiTheme="minorEastAsia" w:hAnsiTheme="minorEastAsia" w:eastAsiaTheme="minorEastAsia" w:cstheme="minorEastAsia"/>
          <w:b w:val="0"/>
          <w:sz w:val="24"/>
          <w:szCs w:val="24"/>
        </w:rPr>
      </w:pPr>
      <w:bookmarkStart w:id="26" w:name="_Toc35393635"/>
      <w:bookmarkStart w:id="27" w:name="_Toc35393804"/>
      <w:r>
        <w:rPr>
          <w:rFonts w:hint="eastAsia" w:asciiTheme="minorEastAsia" w:hAnsiTheme="minorEastAsia" w:eastAsiaTheme="minorEastAsia" w:cstheme="minorEastAsia"/>
          <w:bCs w:val="0"/>
          <w:sz w:val="24"/>
          <w:szCs w:val="24"/>
        </w:rPr>
        <w:t>六、其他补充事宜</w:t>
      </w:r>
      <w:bookmarkEnd w:id="26"/>
      <w:bookmarkEnd w:id="27"/>
    </w:p>
    <w:p w14:paraId="3CC48C3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本公告</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新疆政府采购网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发布。</w:t>
      </w:r>
    </w:p>
    <w:p w14:paraId="1677D529">
      <w:pPr>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2.请供应商随时关注本项目的澄清、答疑、变更事项。</w:t>
      </w:r>
    </w:p>
    <w:p w14:paraId="6B17E1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lang w:val="en-US" w:eastAsia="zh-CN"/>
        </w:rPr>
        <w:t>3.</w:t>
      </w:r>
      <w:r>
        <w:rPr>
          <w:rFonts w:hint="eastAsia" w:ascii="宋体" w:hAnsi="宋体" w:eastAsia="宋体" w:cs="宋体"/>
          <w:b w:val="0"/>
          <w:bCs w:val="0"/>
          <w:color w:val="auto"/>
          <w:kern w:val="0"/>
          <w:sz w:val="24"/>
          <w:szCs w:val="24"/>
          <w:u w:val="none"/>
        </w:rPr>
        <w:t>本项目实行电子招投标，供应商须登录政采云平台申请获取</w:t>
      </w:r>
      <w:r>
        <w:rPr>
          <w:rFonts w:hint="eastAsia" w:ascii="宋体" w:hAnsi="宋体" w:eastAsia="宋体" w:cs="宋体"/>
          <w:b w:val="0"/>
          <w:bCs w:val="0"/>
          <w:color w:val="auto"/>
          <w:kern w:val="0"/>
          <w:sz w:val="24"/>
          <w:szCs w:val="24"/>
          <w:u w:val="none"/>
          <w:lang w:val="en-US" w:eastAsia="zh-CN"/>
        </w:rPr>
        <w:t>采购</w:t>
      </w:r>
      <w:r>
        <w:rPr>
          <w:rFonts w:hint="eastAsia" w:ascii="宋体" w:hAnsi="宋体" w:eastAsia="宋体" w:cs="宋体"/>
          <w:b w:val="0"/>
          <w:bCs w:val="0"/>
          <w:color w:val="auto"/>
          <w:kern w:val="0"/>
          <w:sz w:val="24"/>
          <w:szCs w:val="24"/>
          <w:u w:val="none"/>
        </w:rPr>
        <w:t>文件，并通过政采云电子投标客户端制作响应文件，同时自行承担与投标有关的一切费用。</w:t>
      </w:r>
    </w:p>
    <w:p w14:paraId="626BC2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rPr>
        <w:t>4</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14:paraId="2A6A89A1">
      <w:pPr>
        <w:keepNext w:val="0"/>
        <w:keepLines w:val="0"/>
        <w:pageBreakBefore w:val="0"/>
        <w:widowControl w:val="0"/>
        <w:kinsoku/>
        <w:wordWrap w:val="0"/>
        <w:overflowPunct/>
        <w:topLinePunct/>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rPr>
        <w:t>5</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42DCF9F5">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rPr>
        <w:t>6</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本项目采用不见面开标，供应商须在投标截止时间前通过CA锁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B7721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rPr>
      </w:pPr>
      <w:r>
        <w:rPr>
          <w:rFonts w:hint="eastAsia" w:ascii="宋体" w:hAnsi="宋体" w:eastAsia="宋体" w:cs="宋体"/>
          <w:b w:val="0"/>
          <w:bCs w:val="0"/>
          <w:color w:val="auto"/>
          <w:kern w:val="0"/>
          <w:sz w:val="24"/>
          <w:szCs w:val="24"/>
          <w:u w:val="none"/>
        </w:rPr>
        <w:t>7</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7EFC60A5">
      <w:pPr>
        <w:pStyle w:val="3"/>
        <w:spacing w:before="0" w:after="0" w:line="500" w:lineRule="exact"/>
        <w:ind w:firstLine="482" w:firstLineChars="200"/>
        <w:rPr>
          <w:rFonts w:hint="eastAsia" w:asciiTheme="minorEastAsia" w:hAnsiTheme="minorEastAsia" w:eastAsiaTheme="minorEastAsia" w:cstheme="minorEastAsia"/>
          <w:bCs w:val="0"/>
          <w:sz w:val="24"/>
          <w:szCs w:val="24"/>
        </w:rPr>
      </w:pPr>
      <w:bookmarkStart w:id="28" w:name="_Toc35393636"/>
      <w:bookmarkStart w:id="29" w:name="_Toc28359018"/>
      <w:bookmarkStart w:id="30" w:name="_Toc35393805"/>
      <w:bookmarkStart w:id="31" w:name="_Toc28359095"/>
      <w:r>
        <w:rPr>
          <w:rFonts w:hint="eastAsia" w:asciiTheme="minorEastAsia" w:hAnsiTheme="minorEastAsia" w:eastAsiaTheme="minorEastAsia" w:cstheme="minorEastAsia"/>
          <w:bCs w:val="0"/>
          <w:sz w:val="24"/>
          <w:szCs w:val="24"/>
        </w:rPr>
        <w:t>八、对本次招标提出询问，请按以下方式联系。</w:t>
      </w:r>
      <w:bookmarkEnd w:id="28"/>
      <w:bookmarkEnd w:id="29"/>
      <w:bookmarkEnd w:id="30"/>
      <w:bookmarkEnd w:id="31"/>
    </w:p>
    <w:p w14:paraId="28542058">
      <w:pPr>
        <w:spacing w:line="500" w:lineRule="exact"/>
        <w:ind w:firstLine="480" w:firstLineChars="200"/>
        <w:rPr>
          <w:rFonts w:hint="eastAsia" w:asciiTheme="minorEastAsia" w:hAnsiTheme="minorEastAsia" w:eastAsiaTheme="minorEastAsia" w:cstheme="minorEastAsia"/>
          <w:kern w:val="0"/>
          <w:sz w:val="24"/>
          <w:szCs w:val="24"/>
        </w:rPr>
      </w:pPr>
      <w:bookmarkStart w:id="32" w:name="_Toc28359019"/>
      <w:bookmarkStart w:id="33" w:name="_Toc35393806"/>
      <w:bookmarkStart w:id="34" w:name="_Toc28359096"/>
      <w:bookmarkStart w:id="35" w:name="_Toc35393637"/>
      <w:r>
        <w:rPr>
          <w:rFonts w:hint="eastAsia" w:asciiTheme="minorEastAsia" w:hAnsiTheme="minorEastAsia" w:eastAsiaTheme="minorEastAsia" w:cstheme="minorEastAsia"/>
          <w:kern w:val="0"/>
          <w:sz w:val="24"/>
          <w:szCs w:val="24"/>
        </w:rPr>
        <w:t>1、采购人信息</w:t>
      </w:r>
      <w:bookmarkEnd w:id="32"/>
      <w:bookmarkEnd w:id="33"/>
      <w:bookmarkEnd w:id="34"/>
      <w:bookmarkEnd w:id="35"/>
    </w:p>
    <w:p w14:paraId="5676D55A">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    称：</w:t>
      </w:r>
      <w:r>
        <w:rPr>
          <w:rFonts w:hint="eastAsia" w:ascii="宋体" w:hAnsi="宋体" w:cs="宋体"/>
          <w:sz w:val="24"/>
          <w:lang w:val="en-US" w:eastAsia="zh-CN"/>
        </w:rPr>
        <w:t>阿克苏地区妇幼保健院（地区卫生健康服务中心）</w:t>
      </w:r>
    </w:p>
    <w:p w14:paraId="1A87B572">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    址：</w:t>
      </w:r>
      <w:r>
        <w:rPr>
          <w:rFonts w:hint="eastAsia" w:asciiTheme="minorEastAsia" w:hAnsiTheme="minorEastAsia" w:eastAsiaTheme="minorEastAsia" w:cstheme="minorEastAsia"/>
          <w:kern w:val="0"/>
          <w:sz w:val="24"/>
          <w:szCs w:val="24"/>
          <w:lang w:eastAsia="zh-CN"/>
        </w:rPr>
        <w:t>阿克苏市晶水路39号</w:t>
      </w:r>
    </w:p>
    <w:p w14:paraId="49640970">
      <w:pPr>
        <w:spacing w:line="500" w:lineRule="exact"/>
        <w:ind w:firstLine="480" w:firstLineChars="200"/>
        <w:rPr>
          <w:rFonts w:hint="eastAsia" w:asciiTheme="minorEastAsia" w:hAnsiTheme="minorEastAsia" w:eastAsiaTheme="minorEastAsia" w:cstheme="minorEastAsia"/>
          <w:color w:val="FF0000"/>
          <w:kern w:val="0"/>
          <w:sz w:val="24"/>
          <w:szCs w:val="24"/>
          <w:lang w:eastAsia="zh-CN"/>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项目联系方式：</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13579382223</w:t>
      </w:r>
    </w:p>
    <w:p w14:paraId="7CB861C7">
      <w:pPr>
        <w:spacing w:line="500" w:lineRule="exact"/>
        <w:ind w:firstLine="480" w:firstLineChars="200"/>
        <w:rPr>
          <w:rFonts w:hint="eastAsia" w:asciiTheme="minorEastAsia" w:hAnsiTheme="minorEastAsia" w:eastAsiaTheme="minorEastAsia" w:cstheme="minorEastAsia"/>
          <w:kern w:val="0"/>
          <w:sz w:val="24"/>
          <w:szCs w:val="24"/>
        </w:rPr>
      </w:pPr>
      <w:bookmarkStart w:id="36" w:name="_Toc28359020"/>
      <w:bookmarkStart w:id="37" w:name="_Toc35393638"/>
      <w:bookmarkStart w:id="38" w:name="_Toc28359097"/>
      <w:bookmarkStart w:id="39" w:name="_Toc35393807"/>
      <w:r>
        <w:rPr>
          <w:rFonts w:hint="eastAsia" w:asciiTheme="minorEastAsia" w:hAnsiTheme="minorEastAsia" w:eastAsiaTheme="minorEastAsia" w:cstheme="minorEastAsia"/>
          <w:kern w:val="0"/>
          <w:sz w:val="24"/>
          <w:szCs w:val="24"/>
        </w:rPr>
        <w:t>2、采购代理机构信息</w:t>
      </w:r>
      <w:bookmarkEnd w:id="36"/>
      <w:bookmarkEnd w:id="37"/>
      <w:bookmarkEnd w:id="38"/>
      <w:bookmarkEnd w:id="39"/>
    </w:p>
    <w:p w14:paraId="338C8114">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  称：</w:t>
      </w:r>
      <w:r>
        <w:rPr>
          <w:rFonts w:hint="eastAsia" w:asciiTheme="minorEastAsia" w:hAnsiTheme="minorEastAsia" w:eastAsiaTheme="minorEastAsia" w:cstheme="minorEastAsia"/>
          <w:kern w:val="0"/>
          <w:sz w:val="24"/>
          <w:szCs w:val="24"/>
          <w:lang w:eastAsia="zh-CN"/>
        </w:rPr>
        <w:t>新疆华玫睿项目管理有限公司</w:t>
      </w:r>
    </w:p>
    <w:p w14:paraId="76086861">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　址：</w:t>
      </w:r>
      <w:r>
        <w:rPr>
          <w:rFonts w:hint="eastAsia" w:asciiTheme="minorEastAsia" w:hAnsiTheme="minorEastAsia" w:eastAsiaTheme="minorEastAsia" w:cstheme="minorEastAsia"/>
          <w:kern w:val="0"/>
          <w:sz w:val="24"/>
          <w:szCs w:val="24"/>
          <w:lang w:eastAsia="zh-CN"/>
        </w:rPr>
        <w:t>阿克苏市交通路28号南城新天地14-122（二楼）</w:t>
      </w:r>
    </w:p>
    <w:p w14:paraId="18122167">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项目联系方式：</w:t>
      </w:r>
      <w:r>
        <w:rPr>
          <w:rFonts w:hint="eastAsia" w:asciiTheme="minorEastAsia" w:hAnsiTheme="minorEastAsia" w:eastAsiaTheme="minorEastAsia" w:cstheme="minorEastAsia"/>
          <w:kern w:val="0"/>
          <w:sz w:val="24"/>
          <w:szCs w:val="24"/>
          <w:lang w:eastAsia="zh-CN"/>
        </w:rPr>
        <w:t>13579399515、19590199019</w:t>
      </w:r>
    </w:p>
    <w:p w14:paraId="588BF097">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3、项目联系方式</w:t>
      </w:r>
    </w:p>
    <w:p w14:paraId="48A55972">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项目联系人：</w:t>
      </w:r>
      <w:r>
        <w:rPr>
          <w:rFonts w:hint="eastAsia" w:asciiTheme="minorEastAsia" w:hAnsiTheme="minorEastAsia" w:eastAsiaTheme="minorEastAsia" w:cstheme="minorEastAsia"/>
          <w:kern w:val="0"/>
          <w:sz w:val="24"/>
          <w:szCs w:val="24"/>
          <w:lang w:eastAsia="zh-CN"/>
        </w:rPr>
        <w:t>张恩慈、谷玫瑰</w:t>
      </w:r>
    </w:p>
    <w:p w14:paraId="57F5F35C">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　　  话：</w:t>
      </w:r>
      <w:r>
        <w:rPr>
          <w:rFonts w:hint="eastAsia" w:asciiTheme="minorEastAsia" w:hAnsiTheme="minorEastAsia" w:eastAsiaTheme="minorEastAsia" w:cstheme="minorEastAsia"/>
          <w:kern w:val="0"/>
          <w:sz w:val="24"/>
          <w:szCs w:val="24"/>
          <w:lang w:eastAsia="zh-CN"/>
        </w:rPr>
        <w:t>13579399515、19590199019</w:t>
      </w:r>
    </w:p>
    <w:p w14:paraId="4BD4B7EA">
      <w:pPr>
        <w:ind w:firstLine="643" w:firstLineChars="200"/>
        <w:rPr>
          <w:rFonts w:hint="eastAsia"/>
          <w:b/>
          <w:bCs/>
          <w:color w:val="auto"/>
          <w:sz w:val="32"/>
          <w:szCs w:val="32"/>
        </w:rPr>
      </w:pPr>
      <w:bookmarkStart w:id="40" w:name="_Toc15822"/>
      <w:bookmarkStart w:id="41" w:name="_Toc12237"/>
      <w:bookmarkStart w:id="42" w:name="_Toc22718"/>
      <w:bookmarkStart w:id="43" w:name="_Toc5659"/>
      <w:r>
        <w:rPr>
          <w:rFonts w:hint="eastAsia"/>
          <w:b/>
          <w:bCs/>
          <w:color w:val="auto"/>
          <w:sz w:val="32"/>
          <w:szCs w:val="32"/>
        </w:rPr>
        <w:br w:type="page"/>
      </w:r>
    </w:p>
    <w:p w14:paraId="75C804E3">
      <w:pPr>
        <w:pStyle w:val="68"/>
        <w:snapToGrid w:val="0"/>
        <w:spacing w:line="360" w:lineRule="exact"/>
        <w:jc w:val="center"/>
        <w:outlineLvl w:val="0"/>
        <w:rPr>
          <w:b/>
          <w:bCs/>
          <w:color w:val="auto"/>
          <w:sz w:val="32"/>
          <w:szCs w:val="32"/>
        </w:rPr>
      </w:pPr>
      <w:r>
        <w:rPr>
          <w:rFonts w:hint="eastAsia"/>
          <w:b/>
          <w:bCs/>
          <w:color w:val="auto"/>
          <w:sz w:val="32"/>
          <w:szCs w:val="32"/>
        </w:rPr>
        <w:t>第二章  投标人须知</w:t>
      </w:r>
      <w:bookmarkEnd w:id="40"/>
      <w:bookmarkEnd w:id="41"/>
      <w:bookmarkEnd w:id="42"/>
      <w:bookmarkEnd w:id="43"/>
    </w:p>
    <w:p w14:paraId="0E06AC41">
      <w:pPr>
        <w:pStyle w:val="68"/>
        <w:snapToGrid w:val="0"/>
        <w:spacing w:line="276" w:lineRule="auto"/>
        <w:jc w:val="center"/>
        <w:outlineLvl w:val="0"/>
        <w:rPr>
          <w:rFonts w:ascii="宋体" w:hAnsi="宋体"/>
          <w:b/>
          <w:bCs/>
          <w:color w:val="auto"/>
          <w:sz w:val="28"/>
          <w:szCs w:val="28"/>
        </w:rPr>
      </w:pPr>
      <w:bookmarkStart w:id="44" w:name="_Toc29499"/>
      <w:bookmarkStart w:id="45" w:name="_Toc6979"/>
      <w:bookmarkStart w:id="46" w:name="_Toc7971"/>
      <w:bookmarkStart w:id="47" w:name="_Toc10574"/>
      <w:r>
        <w:rPr>
          <w:rFonts w:hint="eastAsia" w:ascii="宋体" w:hAnsi="宋体"/>
          <w:b/>
          <w:bCs/>
          <w:color w:val="auto"/>
          <w:sz w:val="28"/>
          <w:szCs w:val="28"/>
        </w:rPr>
        <w:t>投标人须知前附表</w:t>
      </w:r>
      <w:bookmarkEnd w:id="44"/>
      <w:bookmarkEnd w:id="45"/>
      <w:bookmarkEnd w:id="46"/>
      <w:bookmarkEnd w:id="47"/>
    </w:p>
    <w:tbl>
      <w:tblPr>
        <w:tblStyle w:val="42"/>
        <w:tblW w:w="9791"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21"/>
        <w:gridCol w:w="9070"/>
      </w:tblGrid>
      <w:tr w14:paraId="4D77CAD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1" w:type="dxa"/>
            <w:vAlign w:val="center"/>
          </w:tcPr>
          <w:p w14:paraId="4A43D742">
            <w:pPr>
              <w:spacing w:line="276" w:lineRule="auto"/>
              <w:jc w:val="center"/>
              <w:rPr>
                <w:rFonts w:ascii="宋体" w:hAnsi="宋体"/>
                <w:b/>
                <w:sz w:val="24"/>
              </w:rPr>
            </w:pPr>
            <w:bookmarkStart w:id="48" w:name="_Toc811"/>
            <w:r>
              <w:rPr>
                <w:rFonts w:hint="eastAsia" w:ascii="宋体" w:hAnsi="宋体"/>
                <w:b/>
                <w:sz w:val="24"/>
              </w:rPr>
              <w:t>序号</w:t>
            </w:r>
          </w:p>
        </w:tc>
        <w:tc>
          <w:tcPr>
            <w:tcW w:w="9070" w:type="dxa"/>
            <w:vAlign w:val="center"/>
          </w:tcPr>
          <w:p w14:paraId="705F3751">
            <w:pPr>
              <w:spacing w:line="276" w:lineRule="auto"/>
              <w:ind w:firstLine="482" w:firstLineChars="200"/>
              <w:jc w:val="center"/>
              <w:rPr>
                <w:rFonts w:ascii="宋体" w:hAnsi="宋体"/>
                <w:b/>
                <w:sz w:val="24"/>
              </w:rPr>
            </w:pPr>
            <w:r>
              <w:rPr>
                <w:rFonts w:hint="eastAsia" w:ascii="宋体" w:hAnsi="宋体"/>
                <w:b/>
                <w:sz w:val="24"/>
              </w:rPr>
              <w:t>内   容   规   定</w:t>
            </w:r>
          </w:p>
        </w:tc>
      </w:tr>
      <w:tr w14:paraId="1D944FC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21" w:type="dxa"/>
            <w:vAlign w:val="center"/>
          </w:tcPr>
          <w:p w14:paraId="613E1204">
            <w:pPr>
              <w:spacing w:line="276" w:lineRule="auto"/>
              <w:jc w:val="center"/>
              <w:textAlignment w:val="baseline"/>
              <w:rPr>
                <w:rFonts w:ascii="宋体" w:hAnsi="宋体"/>
                <w:sz w:val="24"/>
              </w:rPr>
            </w:pPr>
            <w:r>
              <w:rPr>
                <w:rFonts w:hint="eastAsia" w:ascii="宋体" w:hAnsi="宋体"/>
                <w:sz w:val="24"/>
              </w:rPr>
              <w:t>1</w:t>
            </w:r>
          </w:p>
        </w:tc>
        <w:tc>
          <w:tcPr>
            <w:tcW w:w="9070" w:type="dxa"/>
            <w:vAlign w:val="center"/>
          </w:tcPr>
          <w:p w14:paraId="5ABE3BD6">
            <w:pPr>
              <w:spacing w:line="360" w:lineRule="auto"/>
              <w:jc w:val="left"/>
              <w:textAlignment w:val="baseline"/>
              <w:rPr>
                <w:rFonts w:hint="eastAsia" w:ascii="宋体" w:hAnsi="宋体" w:eastAsia="宋体" w:cs="Times New Roman"/>
                <w:color w:val="000000"/>
                <w:sz w:val="24"/>
                <w:lang w:val="en-US" w:eastAsia="zh-CN"/>
              </w:rPr>
            </w:pPr>
            <w:r>
              <w:rPr>
                <w:rFonts w:hint="eastAsia" w:ascii="宋体" w:hAnsi="宋体" w:eastAsia="宋体" w:cs="Times New Roman"/>
                <w:b/>
                <w:bCs/>
                <w:color w:val="000000"/>
                <w:sz w:val="24"/>
                <w:lang w:val="en-US" w:eastAsia="zh-CN"/>
              </w:rPr>
              <w:t>项目名称：</w:t>
            </w:r>
            <w:r>
              <w:rPr>
                <w:rFonts w:hint="eastAsia" w:ascii="宋体" w:hAnsi="宋体" w:cs="Times New Roman"/>
                <w:color w:val="000000"/>
                <w:sz w:val="24"/>
                <w:lang w:val="en-US" w:eastAsia="zh-CN"/>
              </w:rPr>
              <w:t>阿克苏地区妇幼保健院（地区卫生健康服务中心）人力资源服务采购项目（二次）</w:t>
            </w:r>
          </w:p>
          <w:p w14:paraId="4121557A">
            <w:pPr>
              <w:pStyle w:val="79"/>
              <w:spacing w:line="360" w:lineRule="auto"/>
              <w:ind w:firstLine="0" w:firstLineChars="0"/>
              <w:jc w:val="left"/>
              <w:rPr>
                <w:rFonts w:ascii="宋体" w:hAnsi="宋体"/>
                <w:sz w:val="24"/>
              </w:rPr>
            </w:pPr>
            <w:r>
              <w:rPr>
                <w:rFonts w:hint="eastAsia" w:ascii="宋体" w:hAnsi="宋体" w:cs="宋体"/>
                <w:b/>
                <w:color w:val="000000" w:themeColor="text1"/>
                <w:kern w:val="0"/>
                <w:sz w:val="24"/>
                <w14:textFill>
                  <w14:solidFill>
                    <w14:schemeClr w14:val="tx1"/>
                  </w14:solidFill>
                </w14:textFill>
              </w:rPr>
              <w:t>合同履行期限：</w:t>
            </w:r>
            <w:r>
              <w:rPr>
                <w:rFonts w:hint="eastAsia" w:asciiTheme="minorEastAsia" w:hAnsiTheme="minorEastAsia" w:eastAsiaTheme="minorEastAsia" w:cstheme="minorEastAsia"/>
                <w:b w:val="0"/>
                <w:bCs/>
                <w:kern w:val="2"/>
                <w:sz w:val="24"/>
                <w:szCs w:val="24"/>
                <w:lang w:val="en-US" w:eastAsia="zh-CN" w:bidi="ar-SA"/>
              </w:rPr>
              <w:t>2026年7月1日至2027年6月30日。</w:t>
            </w:r>
          </w:p>
        </w:tc>
      </w:tr>
      <w:tr w14:paraId="1741B8E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14:paraId="39AA185B">
            <w:pPr>
              <w:spacing w:line="276" w:lineRule="auto"/>
              <w:jc w:val="center"/>
              <w:textAlignment w:val="baseline"/>
              <w:rPr>
                <w:rFonts w:ascii="宋体" w:hAnsi="宋体"/>
                <w:sz w:val="24"/>
              </w:rPr>
            </w:pPr>
            <w:r>
              <w:rPr>
                <w:rFonts w:hint="eastAsia" w:ascii="宋体" w:hAnsi="宋体"/>
                <w:sz w:val="24"/>
              </w:rPr>
              <w:t>2</w:t>
            </w:r>
          </w:p>
        </w:tc>
        <w:tc>
          <w:tcPr>
            <w:tcW w:w="9070" w:type="dxa"/>
            <w:vAlign w:val="center"/>
          </w:tcPr>
          <w:p w14:paraId="5AA44757">
            <w:pPr>
              <w:spacing w:line="360" w:lineRule="auto"/>
              <w:rPr>
                <w:rFonts w:hint="eastAsia" w:ascii="宋体" w:hAnsi="宋体" w:eastAsia="宋体" w:cs="宋体"/>
                <w:kern w:val="1"/>
                <w:sz w:val="24"/>
                <w:lang w:eastAsia="zh-CN"/>
              </w:rPr>
            </w:pPr>
            <w:r>
              <w:rPr>
                <w:rFonts w:hint="eastAsia" w:ascii="宋体" w:hAnsi="宋体"/>
                <w:b/>
                <w:sz w:val="24"/>
              </w:rPr>
              <w:t>招标人：</w:t>
            </w:r>
            <w:r>
              <w:rPr>
                <w:rFonts w:hint="eastAsia" w:ascii="宋体" w:hAnsi="宋体" w:cs="宋体"/>
                <w:sz w:val="24"/>
                <w:lang w:val="en-US" w:eastAsia="zh-CN"/>
              </w:rPr>
              <w:t>阿克苏地区妇幼保健院（地区卫生健康服务中心）</w:t>
            </w:r>
          </w:p>
          <w:p w14:paraId="4A8D5E66">
            <w:pPr>
              <w:spacing w:line="360" w:lineRule="auto"/>
              <w:rPr>
                <w:rFonts w:hint="eastAsia" w:ascii="宋体" w:hAnsi="宋体" w:eastAsia="宋体"/>
                <w:sz w:val="24"/>
                <w:lang w:eastAsia="zh-CN"/>
              </w:rPr>
            </w:pPr>
            <w:r>
              <w:rPr>
                <w:rFonts w:hint="eastAsia" w:ascii="宋体" w:hAnsi="宋体"/>
                <w:b/>
                <w:sz w:val="24"/>
              </w:rPr>
              <w:t>地址：</w:t>
            </w:r>
            <w:r>
              <w:rPr>
                <w:rFonts w:hint="eastAsia" w:ascii="宋体" w:hAnsi="宋体"/>
                <w:b w:val="0"/>
                <w:bCs/>
                <w:sz w:val="24"/>
                <w:lang w:eastAsia="zh-CN"/>
              </w:rPr>
              <w:t>阿克苏市晶水路39号</w:t>
            </w:r>
          </w:p>
          <w:p w14:paraId="6D8178D8">
            <w:pPr>
              <w:spacing w:line="360" w:lineRule="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联系人</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田雪</w:t>
            </w:r>
          </w:p>
          <w:p w14:paraId="38C21985">
            <w:pPr>
              <w:spacing w:line="360" w:lineRule="auto"/>
              <w:rPr>
                <w:rFonts w:hint="eastAsia" w:ascii="宋体" w:hAnsi="宋体" w:eastAsia="宋体"/>
                <w:sz w:val="24"/>
                <w:lang w:eastAsia="zh-CN"/>
              </w:rPr>
            </w:pPr>
            <w:r>
              <w:rPr>
                <w:rFonts w:hint="eastAsia" w:ascii="宋体" w:hAnsi="宋体"/>
                <w:b/>
                <w:color w:val="000000" w:themeColor="text1"/>
                <w:sz w:val="24"/>
                <w14:textFill>
                  <w14:solidFill>
                    <w14:schemeClr w14:val="tx1"/>
                  </w14:solidFill>
                </w14:textFill>
              </w:rPr>
              <w:t>电话：</w:t>
            </w:r>
            <w:r>
              <w:rPr>
                <w:rFonts w:hint="eastAsia" w:ascii="宋体" w:hAnsi="宋体"/>
                <w:b w:val="0"/>
                <w:bCs/>
                <w:color w:val="000000" w:themeColor="text1"/>
                <w:sz w:val="24"/>
                <w:lang w:eastAsia="zh-CN"/>
                <w14:textFill>
                  <w14:solidFill>
                    <w14:schemeClr w14:val="tx1"/>
                  </w14:solidFill>
                </w14:textFill>
              </w:rPr>
              <w:t>13579382223</w:t>
            </w:r>
          </w:p>
        </w:tc>
      </w:tr>
      <w:tr w14:paraId="02705CF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Align w:val="center"/>
          </w:tcPr>
          <w:p w14:paraId="1C946143">
            <w:pPr>
              <w:spacing w:line="276" w:lineRule="auto"/>
              <w:jc w:val="center"/>
              <w:textAlignment w:val="baseline"/>
              <w:rPr>
                <w:rFonts w:ascii="宋体" w:hAnsi="宋体"/>
                <w:sz w:val="24"/>
              </w:rPr>
            </w:pPr>
            <w:r>
              <w:rPr>
                <w:rFonts w:hint="eastAsia" w:ascii="宋体" w:hAnsi="宋体"/>
                <w:sz w:val="24"/>
              </w:rPr>
              <w:t>3</w:t>
            </w:r>
          </w:p>
        </w:tc>
        <w:tc>
          <w:tcPr>
            <w:tcW w:w="9070" w:type="dxa"/>
            <w:vAlign w:val="center"/>
          </w:tcPr>
          <w:p w14:paraId="633C839C">
            <w:pPr>
              <w:spacing w:line="360" w:lineRule="auto"/>
              <w:textAlignment w:val="baseline"/>
              <w:rPr>
                <w:rFonts w:hint="eastAsia" w:ascii="宋体" w:hAnsi="宋体" w:eastAsia="宋体"/>
                <w:sz w:val="24"/>
                <w:lang w:eastAsia="zh-CN"/>
              </w:rPr>
            </w:pPr>
            <w:r>
              <w:rPr>
                <w:rFonts w:hint="eastAsia" w:ascii="宋体" w:hAnsi="宋体"/>
                <w:b/>
                <w:sz w:val="24"/>
                <w:lang w:eastAsia="zh-CN"/>
              </w:rPr>
              <w:t>采购代理机构</w:t>
            </w:r>
            <w:r>
              <w:rPr>
                <w:rFonts w:hint="eastAsia" w:ascii="宋体" w:hAnsi="宋体"/>
                <w:b/>
                <w:sz w:val="24"/>
              </w:rPr>
              <w:t>：</w:t>
            </w:r>
            <w:r>
              <w:rPr>
                <w:rFonts w:hint="eastAsia" w:ascii="宋体" w:hAnsi="宋体"/>
                <w:sz w:val="24"/>
                <w:lang w:eastAsia="zh-CN"/>
              </w:rPr>
              <w:t>新疆华玫睿项目管理有限公司</w:t>
            </w:r>
          </w:p>
          <w:p w14:paraId="1882551C">
            <w:pPr>
              <w:spacing w:line="360" w:lineRule="auto"/>
              <w:textAlignment w:val="baseline"/>
              <w:rPr>
                <w:rFonts w:ascii="宋体" w:hAnsi="宋体"/>
                <w:sz w:val="24"/>
              </w:rPr>
            </w:pPr>
            <w:r>
              <w:rPr>
                <w:rFonts w:hint="eastAsia" w:ascii="宋体" w:hAnsi="宋体"/>
                <w:b/>
                <w:sz w:val="24"/>
              </w:rPr>
              <w:t>地  址：</w:t>
            </w:r>
            <w:r>
              <w:rPr>
                <w:rFonts w:hint="eastAsia" w:ascii="宋体" w:hAnsi="宋体"/>
                <w:sz w:val="24"/>
                <w:lang w:eastAsia="zh-CN"/>
              </w:rPr>
              <w:t>阿克苏市交通路28号南城新天地14-122（二楼）</w:t>
            </w:r>
          </w:p>
          <w:p w14:paraId="5B01C3DE">
            <w:pPr>
              <w:spacing w:line="360" w:lineRule="auto"/>
              <w:textAlignment w:val="baseline"/>
              <w:rPr>
                <w:rFonts w:hint="eastAsia" w:ascii="宋体" w:hAnsi="宋体" w:eastAsia="宋体"/>
                <w:sz w:val="24"/>
                <w:lang w:eastAsia="zh-CN"/>
              </w:rPr>
            </w:pPr>
            <w:r>
              <w:rPr>
                <w:rFonts w:hint="eastAsia" w:ascii="宋体" w:hAnsi="宋体"/>
                <w:b/>
                <w:sz w:val="24"/>
              </w:rPr>
              <w:t>联系人：</w:t>
            </w:r>
            <w:r>
              <w:rPr>
                <w:rFonts w:hint="eastAsia" w:ascii="宋体" w:hAnsi="宋体"/>
                <w:sz w:val="24"/>
                <w:lang w:eastAsia="zh-CN"/>
              </w:rPr>
              <w:t>张恩慈、谷玫瑰</w:t>
            </w:r>
          </w:p>
          <w:p w14:paraId="06C7F6EE">
            <w:pPr>
              <w:spacing w:line="360" w:lineRule="auto"/>
              <w:textAlignment w:val="baseline"/>
              <w:rPr>
                <w:rFonts w:hint="eastAsia" w:ascii="宋体" w:hAnsi="宋体" w:eastAsia="宋体"/>
                <w:sz w:val="24"/>
                <w:lang w:eastAsia="zh-CN"/>
              </w:rPr>
            </w:pPr>
            <w:r>
              <w:rPr>
                <w:rFonts w:hint="eastAsia" w:ascii="宋体" w:hAnsi="宋体"/>
                <w:b/>
                <w:sz w:val="24"/>
              </w:rPr>
              <w:t>联系电话：</w:t>
            </w:r>
            <w:r>
              <w:rPr>
                <w:rFonts w:hint="eastAsia" w:ascii="宋体" w:hAnsi="宋体"/>
                <w:sz w:val="24"/>
                <w:lang w:eastAsia="zh-CN"/>
              </w:rPr>
              <w:t>13579399515、19590199019</w:t>
            </w:r>
          </w:p>
        </w:tc>
      </w:tr>
      <w:tr w14:paraId="0D24BDB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vAlign w:val="center"/>
          </w:tcPr>
          <w:p w14:paraId="53757F0E">
            <w:pPr>
              <w:spacing w:line="276" w:lineRule="auto"/>
              <w:jc w:val="center"/>
              <w:textAlignment w:val="baseline"/>
              <w:rPr>
                <w:rFonts w:ascii="宋体" w:hAnsi="宋体"/>
                <w:sz w:val="24"/>
              </w:rPr>
            </w:pPr>
            <w:r>
              <w:rPr>
                <w:rFonts w:hint="eastAsia" w:ascii="宋体" w:hAnsi="宋体"/>
                <w:sz w:val="24"/>
              </w:rPr>
              <w:t>4</w:t>
            </w:r>
          </w:p>
        </w:tc>
        <w:tc>
          <w:tcPr>
            <w:tcW w:w="9070" w:type="dxa"/>
            <w:vAlign w:val="center"/>
          </w:tcPr>
          <w:p w14:paraId="36251C22">
            <w:pPr>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宋体" w:hAnsi="宋体" w:eastAsia="宋体" w:cs="Times New Roman"/>
                <w:b/>
                <w:bCs/>
                <w:color w:val="000000"/>
                <w:sz w:val="24"/>
                <w:lang w:val="en-US" w:eastAsia="zh-CN"/>
              </w:rPr>
              <w:t>招标内容：</w:t>
            </w:r>
            <w:r>
              <w:rPr>
                <w:rFonts w:hint="eastAsia" w:ascii="宋体" w:hAnsi="宋体" w:cs="宋体"/>
                <w:sz w:val="24"/>
                <w:lang w:eastAsia="zh-CN"/>
              </w:rPr>
              <w:t>阿克苏地区妇幼保健院（地区卫生健康服务中心）人力资源服务采购项目（二次）</w:t>
            </w:r>
            <w:r>
              <w:rPr>
                <w:rFonts w:hint="eastAsia" w:asciiTheme="minorEastAsia" w:hAnsiTheme="minorEastAsia" w:eastAsiaTheme="minorEastAsia" w:cstheme="minorEastAsia"/>
                <w:sz w:val="24"/>
                <w:szCs w:val="24"/>
              </w:rPr>
              <w:t>，详见</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文件。</w:t>
            </w:r>
          </w:p>
        </w:tc>
      </w:tr>
      <w:tr w14:paraId="0BA2A1E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21" w:type="dxa"/>
            <w:vAlign w:val="center"/>
          </w:tcPr>
          <w:p w14:paraId="7633E919">
            <w:pPr>
              <w:spacing w:line="276" w:lineRule="auto"/>
              <w:jc w:val="center"/>
              <w:textAlignment w:val="baseline"/>
              <w:rPr>
                <w:rFonts w:ascii="宋体" w:hAnsi="宋体"/>
                <w:sz w:val="24"/>
              </w:rPr>
            </w:pPr>
            <w:r>
              <w:rPr>
                <w:rFonts w:hint="eastAsia" w:ascii="宋体" w:hAnsi="宋体"/>
                <w:sz w:val="24"/>
              </w:rPr>
              <w:t>5</w:t>
            </w:r>
          </w:p>
        </w:tc>
        <w:tc>
          <w:tcPr>
            <w:tcW w:w="9070" w:type="dxa"/>
            <w:vAlign w:val="center"/>
          </w:tcPr>
          <w:p w14:paraId="21A1F2C3">
            <w:pPr>
              <w:adjustRightInd w:val="0"/>
              <w:snapToGrid w:val="0"/>
              <w:spacing w:line="360" w:lineRule="auto"/>
              <w:jc w:val="left"/>
              <w:textAlignment w:val="baseline"/>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最高限价</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eastAsia="zh-CN"/>
                <w14:textFill>
                  <w14:solidFill>
                    <w14:schemeClr w14:val="tx1"/>
                  </w14:solidFill>
                </w14:textFill>
              </w:rPr>
              <w:t>3784400</w:t>
            </w:r>
            <w:r>
              <w:rPr>
                <w:rFonts w:hint="eastAsia" w:ascii="宋体" w:hAnsi="宋体"/>
                <w:b/>
                <w:color w:val="000000" w:themeColor="text1"/>
                <w:sz w:val="24"/>
                <w14:textFill>
                  <w14:solidFill>
                    <w14:schemeClr w14:val="tx1"/>
                  </w14:solidFill>
                </w14:textFill>
              </w:rPr>
              <w:t>.00元</w:t>
            </w:r>
          </w:p>
          <w:p w14:paraId="1B735CCD">
            <w:pPr>
              <w:adjustRightInd w:val="0"/>
              <w:snapToGrid w:val="0"/>
              <w:spacing w:line="360" w:lineRule="auto"/>
              <w:jc w:val="left"/>
              <w:textAlignment w:val="baseline"/>
              <w:rPr>
                <w:rFonts w:hint="eastAsia" w:ascii="宋体" w:hAnsi="宋体"/>
                <w:b/>
                <w:color w:val="FF0000"/>
                <w:sz w:val="24"/>
                <w:lang w:val="en-US" w:eastAsia="zh-CN"/>
              </w:rPr>
            </w:pPr>
            <w:r>
              <w:rPr>
                <w:rFonts w:hint="eastAsia" w:ascii="宋体" w:hAnsi="宋体"/>
                <w:b/>
                <w:color w:val="auto"/>
                <w:sz w:val="24"/>
                <w:lang w:val="en-US" w:eastAsia="zh-CN"/>
              </w:rPr>
              <w:t>注：1.报价时总投标金额不得高于最高限价。</w:t>
            </w:r>
          </w:p>
          <w:p w14:paraId="33CC41D6">
            <w:pPr>
              <w:adjustRightInd w:val="0"/>
              <w:snapToGrid w:val="0"/>
              <w:spacing w:line="360" w:lineRule="auto"/>
              <w:ind w:firstLine="482" w:firstLineChars="200"/>
              <w:jc w:val="left"/>
              <w:textAlignment w:val="baseline"/>
              <w:rPr>
                <w:rFonts w:hint="default" w:ascii="宋体" w:hAnsi="宋体"/>
                <w:b/>
                <w:color w:val="000000" w:themeColor="text1"/>
                <w:sz w:val="24"/>
                <w:lang w:val="en-US" w:eastAsia="zh-CN"/>
                <w14:textFill>
                  <w14:solidFill>
                    <w14:schemeClr w14:val="tx1"/>
                  </w14:solidFill>
                </w14:textFill>
              </w:rPr>
            </w:pPr>
            <w:r>
              <w:rPr>
                <w:rFonts w:hint="eastAsia" w:ascii="宋体" w:hAnsi="宋体"/>
                <w:b/>
                <w:color w:val="auto"/>
                <w:sz w:val="24"/>
                <w:lang w:val="en-US" w:eastAsia="zh-CN"/>
              </w:rPr>
              <w:t>2.最终结算价格以实际发生金额为准。</w:t>
            </w:r>
          </w:p>
        </w:tc>
      </w:tr>
      <w:tr w14:paraId="13E7C06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1" w:type="dxa"/>
            <w:vAlign w:val="center"/>
          </w:tcPr>
          <w:p w14:paraId="29DB5DA8">
            <w:pPr>
              <w:spacing w:line="276" w:lineRule="auto"/>
              <w:jc w:val="center"/>
              <w:textAlignment w:val="baseline"/>
              <w:rPr>
                <w:rFonts w:ascii="宋体" w:hAnsi="宋体"/>
                <w:sz w:val="24"/>
              </w:rPr>
            </w:pPr>
            <w:r>
              <w:rPr>
                <w:rFonts w:hint="eastAsia" w:ascii="宋体" w:hAnsi="宋体"/>
                <w:sz w:val="24"/>
              </w:rPr>
              <w:t>6</w:t>
            </w:r>
          </w:p>
        </w:tc>
        <w:tc>
          <w:tcPr>
            <w:tcW w:w="9070" w:type="dxa"/>
            <w:vAlign w:val="center"/>
          </w:tcPr>
          <w:p w14:paraId="37A81F5B">
            <w:pPr>
              <w:spacing w:line="360" w:lineRule="auto"/>
              <w:textAlignment w:val="baseline"/>
              <w:rPr>
                <w:rFonts w:ascii="宋体" w:hAnsi="宋体"/>
                <w:b/>
                <w:sz w:val="24"/>
              </w:rPr>
            </w:pPr>
            <w:r>
              <w:rPr>
                <w:rFonts w:hint="eastAsia" w:ascii="宋体" w:hAnsi="宋体"/>
                <w:b/>
                <w:sz w:val="24"/>
              </w:rPr>
              <w:t>投标人资格要求：</w:t>
            </w:r>
          </w:p>
          <w:p w14:paraId="24B82597">
            <w:pPr>
              <w:spacing w:line="360" w:lineRule="auto"/>
              <w:ind w:firstLine="480" w:firstLineChars="200"/>
              <w:textAlignment w:val="baseline"/>
              <w:rPr>
                <w:rFonts w:ascii="宋体" w:hAnsi="宋体"/>
                <w:bCs/>
                <w:sz w:val="24"/>
              </w:rPr>
            </w:pPr>
            <w:r>
              <w:rPr>
                <w:rFonts w:hint="eastAsia" w:ascii="宋体" w:hAnsi="宋体"/>
                <w:bCs/>
                <w:sz w:val="24"/>
              </w:rPr>
              <w:t>1、满足《中华人民共和国政府采购法》第二十二条规定；</w:t>
            </w:r>
          </w:p>
          <w:p w14:paraId="2415077F">
            <w:pPr>
              <w:spacing w:line="360" w:lineRule="auto"/>
              <w:ind w:firstLine="240" w:firstLineChars="100"/>
              <w:textAlignment w:val="baseline"/>
              <w:rPr>
                <w:rFonts w:ascii="宋体" w:hAnsi="宋体"/>
                <w:bCs/>
                <w:sz w:val="24"/>
              </w:rPr>
            </w:pPr>
            <w:r>
              <w:rPr>
                <w:rFonts w:hint="eastAsia" w:ascii="宋体" w:hAnsi="宋体"/>
                <w:bCs/>
                <w:sz w:val="24"/>
              </w:rPr>
              <w:t>（1）</w:t>
            </w:r>
            <w:r>
              <w:rPr>
                <w:rFonts w:hint="eastAsia" w:ascii="宋体" w:hAnsi="宋体"/>
                <w:bCs/>
                <w:sz w:val="24"/>
                <w:lang w:eastAsia="zh-CN"/>
              </w:rPr>
              <w:t>具有有效的三证合一的营业执照</w:t>
            </w:r>
            <w:r>
              <w:rPr>
                <w:rFonts w:hint="eastAsia" w:ascii="宋体" w:hAnsi="宋体"/>
                <w:bCs/>
                <w:sz w:val="24"/>
              </w:rPr>
              <w:t>；</w:t>
            </w:r>
          </w:p>
          <w:p w14:paraId="77B1269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bCs/>
                <w:sz w:val="24"/>
              </w:rPr>
              <w:t>（2）</w:t>
            </w:r>
            <w:r>
              <w:rPr>
                <w:rFonts w:hint="eastAsia" w:ascii="宋体" w:hAnsi="宋体" w:eastAsia="宋体" w:cs="宋体"/>
                <w:sz w:val="24"/>
                <w:szCs w:val="24"/>
              </w:rPr>
              <w:t>具有</w:t>
            </w:r>
            <w:r>
              <w:rPr>
                <w:rFonts w:hint="eastAsia" w:ascii="宋体" w:hAnsi="宋体" w:eastAsia="宋体" w:cs="宋体"/>
                <w:sz w:val="24"/>
                <w:szCs w:val="24"/>
                <w:lang w:val="en-US" w:eastAsia="zh-CN"/>
              </w:rPr>
              <w:t>2024</w:t>
            </w:r>
            <w:r>
              <w:rPr>
                <w:rFonts w:hint="eastAsia" w:ascii="宋体" w:hAnsi="宋体" w:cs="宋体"/>
                <w:sz w:val="24"/>
                <w:szCs w:val="24"/>
                <w:lang w:val="en-US" w:eastAsia="zh-CN"/>
              </w:rPr>
              <w:t>或2025</w:t>
            </w:r>
            <w:r>
              <w:rPr>
                <w:rFonts w:hint="eastAsia" w:ascii="宋体" w:hAnsi="宋体" w:eastAsia="宋体" w:cs="宋体"/>
                <w:sz w:val="24"/>
                <w:szCs w:val="24"/>
                <w:lang w:eastAsia="zh-CN"/>
              </w:rPr>
              <w:t>年度经审计的财务报告（包含审计报告和审计报告中所涉及的财务报表和报表附注）或供应商注册时间至文件递交截止日不足一年的提供注册时间至文件递交截止日前供应商内部财务报表（至少包含资产负债表）</w:t>
            </w:r>
            <w:r>
              <w:rPr>
                <w:rFonts w:hint="eastAsia" w:ascii="宋体" w:hAnsi="宋体" w:eastAsia="宋体" w:cs="宋体"/>
                <w:sz w:val="24"/>
                <w:szCs w:val="24"/>
              </w:rPr>
              <w:t>；</w:t>
            </w:r>
          </w:p>
          <w:p w14:paraId="3A86BC2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bCs/>
                <w:sz w:val="24"/>
              </w:rPr>
              <w:t>（3）</w:t>
            </w:r>
            <w:r>
              <w:rPr>
                <w:rFonts w:hint="eastAsia" w:ascii="宋体" w:hAnsi="宋体" w:eastAsia="宋体" w:cs="宋体"/>
                <w:sz w:val="24"/>
                <w:szCs w:val="24"/>
              </w:rPr>
              <w:t>具有</w:t>
            </w:r>
            <w:r>
              <w:rPr>
                <w:rFonts w:hint="eastAsia" w:ascii="宋体" w:hAnsi="宋体"/>
                <w:bCs/>
                <w:sz w:val="24"/>
                <w:lang w:val="en-US" w:eastAsia="zh-CN"/>
              </w:rPr>
              <w:t>近三个月内任意一个月</w:t>
            </w:r>
            <w:r>
              <w:rPr>
                <w:rFonts w:hint="eastAsia" w:ascii="宋体" w:hAnsi="宋体"/>
                <w:bCs/>
                <w:sz w:val="24"/>
                <w:lang w:eastAsia="zh-CN"/>
              </w:rPr>
              <w:t>完税证明</w:t>
            </w:r>
            <w:r>
              <w:rPr>
                <w:rFonts w:hint="eastAsia" w:ascii="宋体" w:hAnsi="宋体"/>
                <w:bCs/>
                <w:sz w:val="24"/>
              </w:rPr>
              <w:t>和盖有社保局公章的社保缴纳证明（社保缴纳证明中含法人</w:t>
            </w:r>
            <w:r>
              <w:rPr>
                <w:rFonts w:hint="eastAsia" w:ascii="宋体" w:hAnsi="宋体"/>
                <w:bCs/>
                <w:sz w:val="24"/>
                <w:lang w:val="en-US" w:eastAsia="zh-CN"/>
              </w:rPr>
              <w:t>或</w:t>
            </w:r>
            <w:r>
              <w:rPr>
                <w:rFonts w:hint="eastAsia" w:ascii="宋体" w:hAnsi="宋体"/>
                <w:bCs/>
                <w:sz w:val="24"/>
              </w:rPr>
              <w:t>委托人的社保明细）；</w:t>
            </w:r>
          </w:p>
          <w:p w14:paraId="51D056F4">
            <w:pPr>
              <w:spacing w:line="360" w:lineRule="auto"/>
              <w:ind w:firstLine="240" w:firstLineChars="100"/>
              <w:textAlignment w:val="baseline"/>
              <w:rPr>
                <w:rFonts w:ascii="宋体" w:hAnsi="宋体"/>
                <w:bCs/>
                <w:sz w:val="24"/>
              </w:rPr>
            </w:pPr>
            <w:r>
              <w:rPr>
                <w:rFonts w:hint="eastAsia" w:ascii="宋体" w:hAnsi="宋体"/>
                <w:bCs/>
                <w:sz w:val="24"/>
              </w:rPr>
              <w:t>（4）</w:t>
            </w:r>
            <w:r>
              <w:rPr>
                <w:rFonts w:hint="eastAsia" w:ascii="宋体" w:hAnsi="宋体"/>
                <w:bCs/>
                <w:sz w:val="24"/>
                <w:lang w:eastAsia="zh-CN"/>
              </w:rPr>
              <w:t>法定代表人参加本项目时需提供法定代表人身份证明，授权委托人参加本项目时需提供附有法定代表人身份证明的授权委托书</w:t>
            </w:r>
            <w:r>
              <w:rPr>
                <w:rFonts w:hint="eastAsia" w:ascii="宋体" w:hAnsi="宋体"/>
                <w:bCs/>
                <w:sz w:val="24"/>
              </w:rPr>
              <w:t>；</w:t>
            </w:r>
          </w:p>
          <w:p w14:paraId="203D587E">
            <w:pPr>
              <w:spacing w:line="360" w:lineRule="auto"/>
              <w:ind w:firstLine="240" w:firstLineChars="100"/>
              <w:textAlignment w:val="baseline"/>
              <w:rPr>
                <w:rFonts w:hint="default" w:ascii="宋体" w:hAnsi="宋体" w:eastAsia="宋体"/>
                <w:bCs/>
                <w:sz w:val="24"/>
                <w:lang w:val="en-US" w:eastAsia="zh-CN"/>
              </w:rPr>
            </w:pPr>
            <w:r>
              <w:rPr>
                <w:rFonts w:hint="eastAsia" w:ascii="宋体" w:hAnsi="宋体"/>
                <w:bCs/>
                <w:sz w:val="24"/>
                <w:lang w:eastAsia="zh-CN"/>
              </w:rPr>
              <w:t>（</w:t>
            </w:r>
            <w:r>
              <w:rPr>
                <w:rFonts w:hint="eastAsia" w:ascii="宋体" w:hAnsi="宋体"/>
                <w:bCs/>
                <w:sz w:val="24"/>
                <w:lang w:val="en-US" w:eastAsia="zh-CN"/>
              </w:rPr>
              <w:t>5）具有履行合同所必需的设备和专业技术能力（提供声明函）</w:t>
            </w:r>
          </w:p>
          <w:p w14:paraId="777AD1E1">
            <w:pPr>
              <w:spacing w:line="360" w:lineRule="auto"/>
              <w:ind w:firstLine="240" w:firstLineChars="100"/>
              <w:textAlignment w:val="baseline"/>
              <w:rPr>
                <w:rFonts w:hint="eastAsia" w:ascii="宋体" w:hAnsi="宋体"/>
                <w:bCs/>
                <w:sz w:val="24"/>
              </w:rPr>
            </w:pP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w:t>
            </w:r>
            <w:r>
              <w:rPr>
                <w:rFonts w:hint="eastAsia" w:ascii="宋体" w:hAnsi="宋体"/>
                <w:bCs/>
                <w:sz w:val="24"/>
                <w:lang w:val="en-US" w:eastAsia="zh-CN"/>
              </w:rPr>
              <w:t>提供</w:t>
            </w:r>
            <w:r>
              <w:rPr>
                <w:rFonts w:hint="eastAsia" w:ascii="宋体" w:hAnsi="宋体" w:eastAsia="宋体" w:cs="Times New Roman"/>
                <w:bCs/>
                <w:sz w:val="24"/>
                <w:lang w:val="en-US" w:eastAsia="zh-CN"/>
              </w:rPr>
              <w:t>参加政府采购活动前三年内，在经营</w:t>
            </w:r>
            <w:r>
              <w:rPr>
                <w:rFonts w:hint="eastAsia" w:ascii="宋体" w:hAnsi="宋体" w:cs="Times New Roman"/>
                <w:bCs/>
                <w:sz w:val="24"/>
                <w:lang w:val="en-US" w:eastAsia="zh-CN"/>
              </w:rPr>
              <w:t>活动中没有重大违法记录声明</w:t>
            </w:r>
            <w:r>
              <w:rPr>
                <w:rFonts w:hint="eastAsia" w:ascii="宋体" w:hAnsi="宋体"/>
                <w:bCs/>
                <w:sz w:val="24"/>
              </w:rPr>
              <w:t>；</w:t>
            </w:r>
          </w:p>
          <w:p w14:paraId="45F273F5">
            <w:pPr>
              <w:spacing w:line="360" w:lineRule="auto"/>
              <w:ind w:firstLine="480" w:firstLineChars="200"/>
              <w:textAlignment w:val="baseline"/>
              <w:rPr>
                <w:rFonts w:ascii="宋体" w:hAnsi="宋体"/>
                <w:bCs/>
                <w:sz w:val="24"/>
              </w:rPr>
            </w:pPr>
            <w:r>
              <w:rPr>
                <w:rFonts w:hint="eastAsia" w:ascii="宋体" w:hAnsi="宋体"/>
                <w:bCs/>
                <w:sz w:val="24"/>
              </w:rPr>
              <w:t>2、落实政府采购政策需满足的资格要求：</w:t>
            </w:r>
          </w:p>
          <w:p w14:paraId="311102C9">
            <w:pPr>
              <w:spacing w:line="360" w:lineRule="auto"/>
              <w:ind w:firstLine="480" w:firstLineChars="200"/>
              <w:textAlignment w:val="baseline"/>
              <w:rPr>
                <w:rFonts w:ascii="宋体" w:hAnsi="宋体"/>
                <w:bCs/>
                <w:sz w:val="24"/>
              </w:rPr>
            </w:pPr>
            <w:r>
              <w:rPr>
                <w:rFonts w:hint="eastAsia" w:ascii="宋体" w:hAnsi="宋体"/>
                <w:bCs/>
                <w:sz w:val="24"/>
              </w:rPr>
              <w:t>（1）财政部、工业和信息化部关于印发《政府采购促进中小企业发展管理办法》的通知（财库〔2020〕46号）； </w:t>
            </w:r>
          </w:p>
          <w:p w14:paraId="77BE58D5">
            <w:pPr>
              <w:spacing w:line="360" w:lineRule="auto"/>
              <w:ind w:firstLine="480" w:firstLineChars="200"/>
              <w:textAlignment w:val="baseline"/>
              <w:rPr>
                <w:rFonts w:ascii="宋体" w:hAnsi="宋体"/>
                <w:bCs/>
                <w:sz w:val="24"/>
              </w:rPr>
            </w:pPr>
            <w:r>
              <w:rPr>
                <w:rFonts w:hint="eastAsia" w:ascii="宋体" w:hAnsi="宋体"/>
                <w:bCs/>
                <w:sz w:val="24"/>
              </w:rPr>
              <w:t>（2）《财政部、司法部关于政府采购支持监狱企业发展有关问题的通知》（财库[2014]68号）； </w:t>
            </w:r>
          </w:p>
          <w:p w14:paraId="652949CF">
            <w:pPr>
              <w:spacing w:line="360" w:lineRule="auto"/>
              <w:ind w:firstLine="480" w:firstLineChars="200"/>
              <w:textAlignment w:val="baseline"/>
              <w:rPr>
                <w:rFonts w:ascii="宋体" w:hAnsi="宋体"/>
                <w:bCs/>
                <w:sz w:val="24"/>
              </w:rPr>
            </w:pPr>
            <w:r>
              <w:rPr>
                <w:rFonts w:hint="eastAsia" w:ascii="宋体" w:hAnsi="宋体"/>
                <w:bCs/>
                <w:sz w:val="24"/>
              </w:rPr>
              <w:t>（3）《国务院办公厅关于建立政府强制采购节能产品制度的通知》（国发办[2007]51号）； </w:t>
            </w:r>
          </w:p>
          <w:p w14:paraId="5A8274F0">
            <w:pPr>
              <w:spacing w:line="360" w:lineRule="auto"/>
              <w:ind w:firstLine="480" w:firstLineChars="200"/>
              <w:textAlignment w:val="baseline"/>
              <w:rPr>
                <w:rFonts w:ascii="宋体" w:hAnsi="宋体"/>
                <w:bCs/>
                <w:sz w:val="24"/>
              </w:rPr>
            </w:pPr>
            <w:r>
              <w:rPr>
                <w:rFonts w:hint="eastAsia" w:ascii="宋体" w:hAnsi="宋体"/>
                <w:bCs/>
                <w:sz w:val="24"/>
              </w:rPr>
              <w:t>（4）《财政部 民政部 中国残疾人联合会关于促进残疾人就业政府采购政策的通知》财库[2017]141号； </w:t>
            </w:r>
          </w:p>
          <w:p w14:paraId="4578B885">
            <w:pPr>
              <w:spacing w:line="360" w:lineRule="auto"/>
              <w:ind w:firstLine="480" w:firstLineChars="200"/>
              <w:textAlignment w:val="baseline"/>
              <w:rPr>
                <w:rFonts w:hint="eastAsia" w:ascii="宋体" w:hAnsi="宋体"/>
                <w:bCs/>
                <w:sz w:val="24"/>
                <w:lang w:eastAsia="zh-CN"/>
              </w:rPr>
            </w:pPr>
            <w:r>
              <w:rPr>
                <w:rFonts w:hint="eastAsia" w:ascii="宋体" w:hAnsi="宋体"/>
                <w:bCs/>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eastAsia" w:ascii="宋体" w:hAnsi="宋体"/>
                <w:bCs/>
                <w:sz w:val="24"/>
                <w:lang w:eastAsia="zh-CN"/>
              </w:rPr>
              <w:t>；</w:t>
            </w:r>
          </w:p>
          <w:p w14:paraId="14AB6323">
            <w:pPr>
              <w:spacing w:line="360" w:lineRule="auto"/>
              <w:ind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eastAsia="zh-CN"/>
              </w:rPr>
              <w:t>（</w:t>
            </w:r>
            <w:r>
              <w:rPr>
                <w:rFonts w:hint="eastAsia" w:ascii="宋体" w:hAnsi="宋体" w:eastAsia="宋体" w:cs="Times New Roman"/>
                <w:bCs/>
                <w:sz w:val="24"/>
                <w:lang w:val="en-US" w:eastAsia="zh-CN"/>
              </w:rPr>
              <w:t>6）按照《财政部关于在政府采购活动中查询及使用信用记录有关问题的通知》（财库〔2016〕125 号）的要求，根据响应文件开启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采购人或者采购代理机构对信用信息查询记录和证据进行打印存档；</w:t>
            </w:r>
          </w:p>
          <w:p w14:paraId="153BE9C2">
            <w:pPr>
              <w:spacing w:line="360" w:lineRule="auto"/>
              <w:ind w:firstLine="480" w:firstLineChars="200"/>
              <w:textAlignment w:val="baseline"/>
              <w:rPr>
                <w:rFonts w:hint="eastAsia" w:ascii="宋体" w:hAnsi="宋体" w:eastAsia="宋体" w:cs="Times New Roman"/>
                <w:bCs/>
                <w:color w:val="000000" w:themeColor="text1"/>
                <w:sz w:val="24"/>
                <w:lang w:eastAsia="zh-CN"/>
                <w14:textFill>
                  <w14:solidFill>
                    <w14:schemeClr w14:val="tx1"/>
                  </w14:solidFill>
                </w14:textFill>
              </w:rPr>
            </w:pPr>
            <w:r>
              <w:rPr>
                <w:rFonts w:hint="eastAsia" w:ascii="宋体" w:hAnsi="宋体" w:eastAsia="宋体" w:cs="Times New Roman"/>
                <w:bCs/>
                <w:color w:val="000000" w:themeColor="text1"/>
                <w:sz w:val="24"/>
                <w:lang w:val="en-US" w:eastAsia="zh-CN"/>
                <w14:textFill>
                  <w14:solidFill>
                    <w14:schemeClr w14:val="tx1"/>
                  </w14:solidFill>
                </w14:textFill>
              </w:rPr>
              <w:t>（7）本项目专门面向小微企业，需按要求提供《中小企业声明函》（监狱企业、残疾人福利性单位视同小型、微型企业），行业划分为</w:t>
            </w:r>
            <w:r>
              <w:rPr>
                <w:rFonts w:hint="eastAsia" w:ascii="宋体" w:hAnsi="宋体" w:eastAsia="宋体" w:cs="Times New Roman"/>
                <w:bCs/>
                <w:color w:val="000000" w:themeColor="text1"/>
                <w:sz w:val="24"/>
                <w:u w:val="single"/>
                <w:lang w:val="en-US" w:eastAsia="zh-CN"/>
                <w14:textFill>
                  <w14:solidFill>
                    <w14:schemeClr w14:val="tx1"/>
                  </w14:solidFill>
                </w14:textFill>
              </w:rPr>
              <w:t>租赁和商务服务业</w:t>
            </w:r>
            <w:r>
              <w:rPr>
                <w:rFonts w:hint="eastAsia" w:ascii="宋体" w:hAnsi="宋体" w:eastAsia="宋体" w:cs="Times New Roman"/>
                <w:bCs/>
                <w:color w:val="000000" w:themeColor="text1"/>
                <w:sz w:val="24"/>
                <w:lang w:val="en-US" w:eastAsia="zh-CN"/>
                <w14:textFill>
                  <w14:solidFill>
                    <w14:schemeClr w14:val="tx1"/>
                  </w14:solidFill>
                </w14:textFill>
              </w:rPr>
              <w:t>。</w:t>
            </w:r>
          </w:p>
          <w:p w14:paraId="5B415AA0">
            <w:pPr>
              <w:spacing w:line="360" w:lineRule="auto"/>
              <w:ind w:firstLine="480" w:firstLineChars="200"/>
              <w:textAlignment w:val="baseline"/>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3、本项目的特定资格要求：</w:t>
            </w:r>
          </w:p>
          <w:p w14:paraId="68E2F687">
            <w:pPr>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具备人社局颁发的有效的《人力资源服务许可证》</w:t>
            </w:r>
            <w:r>
              <w:rPr>
                <w:rFonts w:hint="eastAsia" w:ascii="宋体" w:hAnsi="宋体" w:eastAsia="宋体" w:cs="宋体"/>
                <w:color w:val="auto"/>
                <w:sz w:val="24"/>
                <w:szCs w:val="24"/>
                <w:lang w:eastAsia="zh-CN"/>
              </w:rPr>
              <w:t>。</w:t>
            </w:r>
          </w:p>
          <w:p w14:paraId="0A625257">
            <w:pPr>
              <w:spacing w:line="360" w:lineRule="auto"/>
              <w:ind w:firstLine="480" w:firstLineChars="200"/>
              <w:textAlignment w:val="baseline"/>
              <w:rPr>
                <w:rFonts w:ascii="宋体" w:hAnsi="宋体"/>
                <w:bCs/>
                <w:sz w:val="24"/>
              </w:rPr>
            </w:pPr>
            <w:r>
              <w:rPr>
                <w:rFonts w:hint="eastAsia" w:ascii="宋体" w:hAnsi="宋体"/>
                <w:bCs/>
                <w:sz w:val="24"/>
              </w:rPr>
              <w:t>4</w:t>
            </w:r>
            <w:r>
              <w:rPr>
                <w:rFonts w:hint="eastAsia" w:ascii="宋体" w:hAnsi="宋体"/>
                <w:bCs/>
                <w:sz w:val="24"/>
                <w:lang w:eastAsia="zh-CN"/>
              </w:rPr>
              <w:t>、</w:t>
            </w:r>
            <w:r>
              <w:rPr>
                <w:rFonts w:hint="eastAsia" w:ascii="宋体" w:hAnsi="宋体"/>
                <w:bCs/>
                <w:sz w:val="24"/>
              </w:rPr>
              <w:t xml:space="preserve">本项目不接受联合体参加。 </w:t>
            </w:r>
          </w:p>
          <w:p w14:paraId="5C7748AE">
            <w:pPr>
              <w:spacing w:line="360" w:lineRule="auto"/>
              <w:textAlignment w:val="baseline"/>
              <w:rPr>
                <w:rFonts w:ascii="宋体" w:hAnsi="宋体"/>
                <w:b/>
                <w:sz w:val="24"/>
              </w:rPr>
            </w:pPr>
            <w:r>
              <w:rPr>
                <w:rFonts w:hint="eastAsia" w:ascii="宋体" w:hAnsi="宋体"/>
                <w:b/>
                <w:sz w:val="24"/>
                <w:szCs w:val="21"/>
              </w:rPr>
              <w:t>注：投标人提交的所有证明文件及材料必须清晰、准确、真实。</w:t>
            </w:r>
          </w:p>
        </w:tc>
      </w:tr>
      <w:tr w14:paraId="0630254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1" w:type="dxa"/>
            <w:vAlign w:val="center"/>
          </w:tcPr>
          <w:p w14:paraId="63DF551A">
            <w:pPr>
              <w:spacing w:line="276" w:lineRule="auto"/>
              <w:jc w:val="center"/>
              <w:textAlignment w:val="baseline"/>
              <w:rPr>
                <w:rFonts w:ascii="宋体" w:hAnsi="宋体"/>
                <w:sz w:val="24"/>
              </w:rPr>
            </w:pPr>
            <w:r>
              <w:rPr>
                <w:rFonts w:hint="eastAsia" w:ascii="宋体" w:hAnsi="宋体"/>
                <w:sz w:val="24"/>
              </w:rPr>
              <w:t>7</w:t>
            </w:r>
          </w:p>
        </w:tc>
        <w:tc>
          <w:tcPr>
            <w:tcW w:w="9070" w:type="dxa"/>
            <w:vAlign w:val="bottom"/>
          </w:tcPr>
          <w:p w14:paraId="53156CAC">
            <w:pPr>
              <w:spacing w:line="360" w:lineRule="auto"/>
              <w:rPr>
                <w:rFonts w:ascii="宋体" w:hAnsi="宋体"/>
                <w:sz w:val="24"/>
              </w:rPr>
            </w:pPr>
            <w:r>
              <w:rPr>
                <w:rFonts w:hint="eastAsia" w:ascii="宋体" w:hAnsi="宋体"/>
                <w:b/>
                <w:bCs/>
                <w:sz w:val="24"/>
              </w:rPr>
              <w:t>资格审查方式：</w:t>
            </w:r>
            <w:r>
              <w:rPr>
                <w:rFonts w:hint="eastAsia" w:ascii="宋体" w:hAnsi="宋体"/>
                <w:sz w:val="24"/>
              </w:rPr>
              <w:t>资格后审</w:t>
            </w:r>
          </w:p>
        </w:tc>
      </w:tr>
      <w:tr w14:paraId="522D92A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21" w:type="dxa"/>
            <w:vAlign w:val="center"/>
          </w:tcPr>
          <w:p w14:paraId="2C83BB42">
            <w:pPr>
              <w:spacing w:line="276" w:lineRule="auto"/>
              <w:jc w:val="center"/>
              <w:textAlignment w:val="baseline"/>
              <w:rPr>
                <w:rFonts w:ascii="宋体" w:hAnsi="宋体"/>
                <w:sz w:val="24"/>
              </w:rPr>
            </w:pPr>
            <w:r>
              <w:rPr>
                <w:rFonts w:hint="eastAsia" w:ascii="宋体" w:hAnsi="宋体"/>
                <w:sz w:val="24"/>
              </w:rPr>
              <w:t>8</w:t>
            </w:r>
          </w:p>
        </w:tc>
        <w:tc>
          <w:tcPr>
            <w:tcW w:w="9070" w:type="dxa"/>
            <w:vAlign w:val="bottom"/>
          </w:tcPr>
          <w:p w14:paraId="74121804">
            <w:pPr>
              <w:spacing w:line="360" w:lineRule="auto"/>
              <w:rPr>
                <w:rFonts w:ascii="宋体" w:hAnsi="宋体"/>
                <w:sz w:val="24"/>
              </w:rPr>
            </w:pPr>
            <w:r>
              <w:rPr>
                <w:rFonts w:hint="eastAsia" w:ascii="宋体" w:hAnsi="宋体"/>
                <w:b/>
                <w:sz w:val="24"/>
              </w:rPr>
              <w:t>投标语言：</w:t>
            </w:r>
            <w:r>
              <w:rPr>
                <w:rFonts w:hint="eastAsia" w:ascii="宋体" w:hAnsi="宋体"/>
                <w:sz w:val="24"/>
              </w:rPr>
              <w:t>中文</w:t>
            </w:r>
          </w:p>
        </w:tc>
      </w:tr>
      <w:tr w14:paraId="7C0D9EA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1" w:type="dxa"/>
            <w:vAlign w:val="center"/>
          </w:tcPr>
          <w:p w14:paraId="742C3095">
            <w:pPr>
              <w:spacing w:line="276" w:lineRule="auto"/>
              <w:jc w:val="center"/>
              <w:textAlignment w:val="baseline"/>
              <w:rPr>
                <w:rFonts w:ascii="宋体" w:hAnsi="宋体"/>
                <w:sz w:val="24"/>
              </w:rPr>
            </w:pPr>
            <w:r>
              <w:rPr>
                <w:rFonts w:hint="eastAsia" w:ascii="宋体" w:hAnsi="宋体"/>
                <w:sz w:val="24"/>
              </w:rPr>
              <w:t>9</w:t>
            </w:r>
          </w:p>
        </w:tc>
        <w:tc>
          <w:tcPr>
            <w:tcW w:w="9070" w:type="dxa"/>
            <w:vAlign w:val="bottom"/>
          </w:tcPr>
          <w:p w14:paraId="336D0439">
            <w:pPr>
              <w:spacing w:line="360" w:lineRule="auto"/>
              <w:textAlignment w:val="baseline"/>
              <w:rPr>
                <w:rFonts w:ascii="宋体" w:hAnsi="宋体"/>
                <w:b/>
                <w:sz w:val="24"/>
              </w:rPr>
            </w:pPr>
            <w:r>
              <w:rPr>
                <w:rFonts w:hint="eastAsia" w:ascii="宋体" w:hAnsi="宋体"/>
                <w:b/>
                <w:sz w:val="24"/>
              </w:rPr>
              <w:t>投标有效期：</w:t>
            </w:r>
            <w:r>
              <w:rPr>
                <w:rFonts w:hint="eastAsia" w:ascii="宋体" w:hAnsi="宋体"/>
                <w:bCs/>
                <w:sz w:val="24"/>
              </w:rPr>
              <w:t>90</w:t>
            </w:r>
            <w:r>
              <w:rPr>
                <w:rFonts w:hint="eastAsia" w:ascii="宋体" w:hAnsi="宋体"/>
                <w:sz w:val="24"/>
              </w:rPr>
              <w:t>日历天；（从投标截止之日算起）</w:t>
            </w:r>
          </w:p>
        </w:tc>
      </w:tr>
      <w:tr w14:paraId="2C00EC5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1" w:type="dxa"/>
            <w:vAlign w:val="center"/>
          </w:tcPr>
          <w:p w14:paraId="2603F680">
            <w:pPr>
              <w:spacing w:line="276" w:lineRule="auto"/>
              <w:jc w:val="center"/>
              <w:textAlignment w:val="baseline"/>
              <w:rPr>
                <w:rFonts w:ascii="宋体" w:hAnsi="宋体"/>
                <w:sz w:val="24"/>
              </w:rPr>
            </w:pPr>
            <w:r>
              <w:rPr>
                <w:rFonts w:hint="eastAsia" w:ascii="宋体" w:hAnsi="宋体"/>
                <w:sz w:val="24"/>
              </w:rPr>
              <w:t>10</w:t>
            </w:r>
          </w:p>
        </w:tc>
        <w:tc>
          <w:tcPr>
            <w:tcW w:w="9070" w:type="dxa"/>
            <w:vAlign w:val="bottom"/>
          </w:tcPr>
          <w:p w14:paraId="328163B3">
            <w:pPr>
              <w:tabs>
                <w:tab w:val="left" w:pos="7665"/>
              </w:tabs>
              <w:spacing w:line="360" w:lineRule="auto"/>
              <w:rPr>
                <w:rFonts w:ascii="宋体" w:hAnsi="宋体"/>
                <w:b/>
                <w:kern w:val="0"/>
                <w:sz w:val="24"/>
              </w:rPr>
            </w:pPr>
            <w:r>
              <w:rPr>
                <w:rFonts w:hint="eastAsia" w:ascii="宋体" w:hAnsi="宋体"/>
                <w:b/>
                <w:kern w:val="0"/>
                <w:sz w:val="24"/>
              </w:rPr>
              <w:t>采购方式：</w:t>
            </w:r>
            <w:r>
              <w:rPr>
                <w:rFonts w:hint="eastAsia" w:ascii="宋体" w:hAnsi="宋体"/>
                <w:sz w:val="24"/>
              </w:rPr>
              <w:t>公开招标</w:t>
            </w:r>
          </w:p>
        </w:tc>
      </w:tr>
      <w:tr w14:paraId="17B6685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Align w:val="center"/>
          </w:tcPr>
          <w:p w14:paraId="359BF09B">
            <w:pPr>
              <w:adjustRightInd w:val="0"/>
              <w:snapToGrid w:val="0"/>
              <w:spacing w:line="276" w:lineRule="auto"/>
              <w:jc w:val="center"/>
              <w:textAlignment w:val="baseline"/>
              <w:rPr>
                <w:rFonts w:ascii="宋体" w:hAnsi="宋体"/>
                <w:sz w:val="24"/>
              </w:rPr>
            </w:pPr>
            <w:r>
              <w:rPr>
                <w:rFonts w:hint="eastAsia" w:ascii="宋体" w:hAnsi="宋体"/>
                <w:sz w:val="24"/>
              </w:rPr>
              <w:t>11</w:t>
            </w:r>
          </w:p>
        </w:tc>
        <w:tc>
          <w:tcPr>
            <w:tcW w:w="9070" w:type="dxa"/>
            <w:vAlign w:val="bottom"/>
          </w:tcPr>
          <w:p w14:paraId="1FB416DE">
            <w:pPr>
              <w:tabs>
                <w:tab w:val="left" w:pos="7665"/>
              </w:tabs>
              <w:spacing w:line="360" w:lineRule="auto"/>
              <w:rPr>
                <w:rFonts w:ascii="宋体" w:hAnsi="宋体"/>
                <w:b/>
                <w:sz w:val="24"/>
              </w:rPr>
            </w:pPr>
            <w:r>
              <w:rPr>
                <w:rFonts w:hint="eastAsia" w:ascii="宋体" w:hAnsi="宋体"/>
                <w:b/>
                <w:kern w:val="0"/>
                <w:sz w:val="24"/>
              </w:rPr>
              <w:t>评标办法：</w:t>
            </w:r>
            <w:r>
              <w:rPr>
                <w:rFonts w:hint="eastAsia" w:ascii="宋体" w:hAnsi="宋体"/>
                <w:sz w:val="24"/>
              </w:rPr>
              <w:t>综合评分法</w:t>
            </w:r>
          </w:p>
        </w:tc>
      </w:tr>
      <w:tr w14:paraId="1AA0F7B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21" w:type="dxa"/>
            <w:vAlign w:val="center"/>
          </w:tcPr>
          <w:p w14:paraId="64DD333D">
            <w:pPr>
              <w:adjustRightInd w:val="0"/>
              <w:snapToGrid w:val="0"/>
              <w:spacing w:line="276" w:lineRule="auto"/>
              <w:jc w:val="center"/>
              <w:textAlignment w:val="baseline"/>
              <w:rPr>
                <w:rFonts w:ascii="宋体" w:hAnsi="宋体"/>
                <w:sz w:val="24"/>
              </w:rPr>
            </w:pPr>
            <w:r>
              <w:rPr>
                <w:rFonts w:hint="eastAsia" w:ascii="宋体" w:hAnsi="宋体"/>
                <w:sz w:val="24"/>
              </w:rPr>
              <w:t>12</w:t>
            </w:r>
          </w:p>
        </w:tc>
        <w:tc>
          <w:tcPr>
            <w:tcW w:w="9070" w:type="dxa"/>
            <w:vAlign w:val="bottom"/>
          </w:tcPr>
          <w:p w14:paraId="7A9B5A46">
            <w:pPr>
              <w:spacing w:line="360" w:lineRule="auto"/>
              <w:ind w:left="2125" w:hanging="2125" w:hangingChars="882"/>
              <w:textAlignment w:val="baseline"/>
              <w:rPr>
                <w:rFonts w:ascii="宋体" w:hAnsi="宋体"/>
                <w:kern w:val="0"/>
                <w:sz w:val="24"/>
              </w:rPr>
            </w:pPr>
            <w:r>
              <w:rPr>
                <w:rFonts w:hint="eastAsia" w:ascii="宋体" w:hAnsi="宋体"/>
                <w:b/>
                <w:color w:val="000000" w:themeColor="text1"/>
                <w:kern w:val="0"/>
                <w:sz w:val="24"/>
                <w14:textFill>
                  <w14:solidFill>
                    <w14:schemeClr w14:val="tx1"/>
                  </w14:solidFill>
                </w14:textFill>
              </w:rPr>
              <w:t>评标委员会的组建：</w:t>
            </w:r>
            <w:r>
              <w:rPr>
                <w:rFonts w:hint="eastAsia" w:ascii="宋体" w:hAnsi="宋体"/>
                <w:color w:val="000000" w:themeColor="text1"/>
                <w:kern w:val="0"/>
                <w:sz w:val="24"/>
                <w14:textFill>
                  <w14:solidFill>
                    <w14:schemeClr w14:val="tx1"/>
                  </w14:solidFill>
                </w14:textFill>
              </w:rPr>
              <w:t>评标委员会由评审专家</w:t>
            </w:r>
            <w:r>
              <w:rPr>
                <w:rFonts w:hint="eastAsia" w:ascii="宋体" w:hAnsi="宋体"/>
                <w:color w:val="000000" w:themeColor="text1"/>
                <w:kern w:val="0"/>
                <w:sz w:val="24"/>
                <w:lang w:val="en-US" w:eastAsia="zh-CN"/>
                <w14:textFill>
                  <w14:solidFill>
                    <w14:schemeClr w14:val="tx1"/>
                  </w14:solidFill>
                </w14:textFill>
              </w:rPr>
              <w:t>4名、采购人代表1名构成</w:t>
            </w:r>
            <w:r>
              <w:rPr>
                <w:rFonts w:hint="eastAsia" w:ascii="宋体" w:hAnsi="宋体"/>
                <w:color w:val="000000" w:themeColor="text1"/>
                <w:kern w:val="0"/>
                <w:sz w:val="24"/>
                <w14:textFill>
                  <w14:solidFill>
                    <w14:schemeClr w14:val="tx1"/>
                  </w14:solidFill>
                </w14:textFill>
              </w:rPr>
              <w:t>。</w:t>
            </w:r>
          </w:p>
          <w:p w14:paraId="698EE536">
            <w:pPr>
              <w:spacing w:line="360" w:lineRule="auto"/>
              <w:ind w:left="2125" w:hanging="2125" w:hangingChars="882"/>
              <w:textAlignment w:val="baseline"/>
              <w:rPr>
                <w:rFonts w:ascii="宋体" w:hAnsi="宋体"/>
                <w:kern w:val="0"/>
                <w:sz w:val="24"/>
              </w:rPr>
            </w:pPr>
            <w:r>
              <w:rPr>
                <w:rFonts w:hint="eastAsia" w:ascii="宋体" w:hAnsi="宋体"/>
                <w:b/>
                <w:kern w:val="0"/>
                <w:sz w:val="24"/>
              </w:rPr>
              <w:t>评标专家确定方式：</w:t>
            </w:r>
            <w:r>
              <w:rPr>
                <w:rFonts w:hint="eastAsia" w:ascii="宋体" w:hAnsi="宋体"/>
                <w:color w:val="auto"/>
                <w:kern w:val="0"/>
                <w:sz w:val="24"/>
              </w:rPr>
              <w:t>随机抽取</w:t>
            </w:r>
          </w:p>
          <w:p w14:paraId="0597CDE4">
            <w:pPr>
              <w:spacing w:line="360" w:lineRule="auto"/>
              <w:ind w:left="2125" w:hanging="2125" w:hangingChars="882"/>
              <w:textAlignment w:val="baseline"/>
              <w:rPr>
                <w:rFonts w:hint="eastAsia" w:ascii="宋体" w:hAnsi="宋体" w:eastAsia="宋体"/>
                <w:b/>
                <w:kern w:val="0"/>
                <w:sz w:val="24"/>
                <w:lang w:eastAsia="zh-CN"/>
              </w:rPr>
            </w:pPr>
            <w:r>
              <w:rPr>
                <w:rFonts w:ascii="宋体" w:hAnsi="宋体"/>
                <w:b/>
                <w:kern w:val="0"/>
                <w:sz w:val="24"/>
              </w:rPr>
              <w:t>监督</w:t>
            </w:r>
            <w:r>
              <w:rPr>
                <w:rFonts w:hint="eastAsia" w:ascii="宋体" w:hAnsi="宋体"/>
                <w:b/>
                <w:kern w:val="0"/>
                <w:sz w:val="24"/>
              </w:rPr>
              <w:t>单位：</w:t>
            </w:r>
            <w:r>
              <w:rPr>
                <w:rFonts w:hint="eastAsia" w:ascii="宋体" w:hAnsi="宋体"/>
                <w:b w:val="0"/>
                <w:bCs/>
                <w:kern w:val="0"/>
                <w:sz w:val="24"/>
                <w:lang w:val="en-US" w:eastAsia="zh-CN"/>
              </w:rPr>
              <w:t>阿克苏地区财政局</w:t>
            </w:r>
          </w:p>
        </w:tc>
      </w:tr>
      <w:tr w14:paraId="1255906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1" w:type="dxa"/>
            <w:vAlign w:val="center"/>
          </w:tcPr>
          <w:p w14:paraId="54D0A40C">
            <w:pPr>
              <w:adjustRightInd w:val="0"/>
              <w:snapToGrid w:val="0"/>
              <w:spacing w:line="276" w:lineRule="auto"/>
              <w:jc w:val="center"/>
              <w:textAlignment w:val="baseline"/>
              <w:rPr>
                <w:rFonts w:ascii="宋体" w:hAnsi="宋体"/>
                <w:sz w:val="24"/>
              </w:rPr>
            </w:pPr>
            <w:r>
              <w:rPr>
                <w:rFonts w:hint="eastAsia" w:ascii="宋体" w:hAnsi="宋体"/>
                <w:sz w:val="24"/>
              </w:rPr>
              <w:t>13</w:t>
            </w:r>
          </w:p>
        </w:tc>
        <w:tc>
          <w:tcPr>
            <w:tcW w:w="9070" w:type="dxa"/>
            <w:vAlign w:val="bottom"/>
          </w:tcPr>
          <w:p w14:paraId="7F31DB1A">
            <w:pPr>
              <w:spacing w:line="360" w:lineRule="auto"/>
              <w:ind w:left="2125" w:hanging="2125" w:hangingChars="882"/>
              <w:textAlignment w:val="baseline"/>
              <w:rPr>
                <w:rFonts w:ascii="宋体" w:hAnsi="宋体"/>
                <w:kern w:val="0"/>
                <w:sz w:val="24"/>
              </w:rPr>
            </w:pPr>
            <w:r>
              <w:rPr>
                <w:rFonts w:hint="eastAsia" w:ascii="宋体" w:hAnsi="宋体"/>
                <w:b/>
                <w:kern w:val="0"/>
                <w:sz w:val="24"/>
              </w:rPr>
              <w:t>是否授权评标委员会确定中标投标人：</w:t>
            </w:r>
            <w:r>
              <w:rPr>
                <w:rFonts w:hint="eastAsia" w:ascii="宋体" w:hAnsi="宋体"/>
                <w:kern w:val="0"/>
                <w:sz w:val="24"/>
              </w:rPr>
              <w:t xml:space="preserve"> </w:t>
            </w:r>
            <w:r>
              <w:rPr>
                <w:rFonts w:hint="eastAsia" w:ascii="宋体" w:hAnsi="宋体"/>
                <w:kern w:val="0"/>
                <w:sz w:val="24"/>
              </w:rPr>
              <w:fldChar w:fldCharType="begin"/>
            </w:r>
            <w:r>
              <w:rPr>
                <w:rFonts w:hint="eastAsia" w:ascii="宋体" w:hAnsi="宋体"/>
                <w:kern w:val="0"/>
                <w:sz w:val="24"/>
              </w:rPr>
              <w:instrText xml:space="preserve"> eq \o\ac(□)</w:instrText>
            </w:r>
            <w:r>
              <w:rPr>
                <w:rFonts w:hint="eastAsia" w:ascii="宋体" w:hAnsi="宋体"/>
                <w:kern w:val="0"/>
                <w:sz w:val="24"/>
              </w:rPr>
              <w:fldChar w:fldCharType="end"/>
            </w:r>
            <w:r>
              <w:rPr>
                <w:rFonts w:hint="eastAsia" w:ascii="宋体" w:hAnsi="宋体"/>
                <w:kern w:val="0"/>
                <w:sz w:val="24"/>
              </w:rPr>
              <w:t>是</w:t>
            </w:r>
          </w:p>
          <w:p w14:paraId="665E7828">
            <w:pPr>
              <w:spacing w:line="360" w:lineRule="auto"/>
              <w:ind w:left="2153" w:leftChars="1025" w:firstLine="1972" w:firstLineChars="822"/>
              <w:textAlignment w:val="baseline"/>
              <w:rPr>
                <w:rFonts w:ascii="宋体" w:hAnsi="宋体"/>
                <w:b/>
                <w:sz w:val="24"/>
              </w:rPr>
            </w:pPr>
            <w:r>
              <w:rPr>
                <w:rFonts w:hint="eastAsia" w:ascii="宋体" w:hAnsi="宋体"/>
                <w:kern w:val="0"/>
                <w:sz w:val="24"/>
              </w:rPr>
              <w:t>☑否，推荐的成交候选人数：3人</w:t>
            </w:r>
          </w:p>
        </w:tc>
      </w:tr>
      <w:tr w14:paraId="008A5A9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1" w:type="dxa"/>
            <w:vAlign w:val="center"/>
          </w:tcPr>
          <w:p w14:paraId="173EC67C">
            <w:pPr>
              <w:adjustRightInd w:val="0"/>
              <w:snapToGrid w:val="0"/>
              <w:spacing w:line="276" w:lineRule="auto"/>
              <w:jc w:val="center"/>
              <w:textAlignment w:val="baseline"/>
              <w:rPr>
                <w:rFonts w:ascii="宋体" w:hAnsi="宋体"/>
                <w:sz w:val="24"/>
              </w:rPr>
            </w:pPr>
            <w:r>
              <w:rPr>
                <w:rFonts w:hint="eastAsia" w:ascii="宋体" w:hAnsi="宋体"/>
                <w:sz w:val="24"/>
              </w:rPr>
              <w:t>14</w:t>
            </w:r>
          </w:p>
        </w:tc>
        <w:tc>
          <w:tcPr>
            <w:tcW w:w="9070" w:type="dxa"/>
            <w:vAlign w:val="bottom"/>
          </w:tcPr>
          <w:p w14:paraId="2A78AC4E">
            <w:pPr>
              <w:tabs>
                <w:tab w:val="left" w:pos="7665"/>
              </w:tabs>
              <w:spacing w:line="360" w:lineRule="auto"/>
              <w:rPr>
                <w:rFonts w:ascii="宋体" w:hAnsi="宋体"/>
                <w:b/>
                <w:kern w:val="0"/>
                <w:sz w:val="24"/>
              </w:rPr>
            </w:pPr>
            <w:r>
              <w:rPr>
                <w:rFonts w:ascii="宋体" w:hAnsi="宋体"/>
                <w:b/>
                <w:sz w:val="24"/>
                <w:lang w:val="zh-CN"/>
              </w:rPr>
              <w:t>考察现场、标前答疑会</w:t>
            </w:r>
            <w:r>
              <w:rPr>
                <w:rFonts w:hint="eastAsia" w:ascii="宋体" w:hAnsi="宋体"/>
                <w:b/>
                <w:kern w:val="0"/>
                <w:sz w:val="24"/>
              </w:rPr>
              <w:t>：</w:t>
            </w:r>
            <w:r>
              <w:rPr>
                <w:rFonts w:ascii="宋体" w:hAnsi="宋体"/>
                <w:sz w:val="24"/>
                <w:lang w:val="zh-CN"/>
              </w:rPr>
              <w:t>招标采购单位认为有必要，另行通知。</w:t>
            </w:r>
          </w:p>
        </w:tc>
      </w:tr>
      <w:tr w14:paraId="26623DD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1" w:type="dxa"/>
            <w:vAlign w:val="center"/>
          </w:tcPr>
          <w:p w14:paraId="0A507CBE">
            <w:pPr>
              <w:adjustRightInd w:val="0"/>
              <w:snapToGrid w:val="0"/>
              <w:spacing w:line="276" w:lineRule="auto"/>
              <w:jc w:val="center"/>
              <w:textAlignment w:val="baseline"/>
              <w:rPr>
                <w:rFonts w:ascii="宋体" w:hAnsi="宋体"/>
                <w:sz w:val="24"/>
              </w:rPr>
            </w:pPr>
            <w:r>
              <w:rPr>
                <w:rFonts w:hint="eastAsia" w:ascii="宋体" w:hAnsi="宋体"/>
                <w:sz w:val="24"/>
              </w:rPr>
              <w:t>15</w:t>
            </w:r>
          </w:p>
        </w:tc>
        <w:tc>
          <w:tcPr>
            <w:tcW w:w="9070" w:type="dxa"/>
            <w:vAlign w:val="bottom"/>
          </w:tcPr>
          <w:p w14:paraId="0FFE5FF7">
            <w:pPr>
              <w:tabs>
                <w:tab w:val="left" w:pos="7665"/>
              </w:tabs>
              <w:spacing w:line="360" w:lineRule="auto"/>
              <w:rPr>
                <w:rFonts w:ascii="宋体" w:hAnsi="宋体"/>
                <w:b/>
                <w:kern w:val="0"/>
                <w:sz w:val="24"/>
              </w:rPr>
            </w:pPr>
            <w:r>
              <w:rPr>
                <w:rFonts w:ascii="宋体" w:hAnsi="宋体"/>
                <w:b/>
                <w:sz w:val="24"/>
                <w:lang w:val="zh-CN"/>
              </w:rPr>
              <w:t>投标</w:t>
            </w:r>
            <w:r>
              <w:rPr>
                <w:rFonts w:hint="eastAsia" w:ascii="宋体" w:hAnsi="宋体"/>
                <w:b/>
                <w:sz w:val="24"/>
                <w:lang w:val="zh-CN"/>
              </w:rPr>
              <w:t>投标人</w:t>
            </w:r>
            <w:r>
              <w:rPr>
                <w:rFonts w:ascii="宋体" w:hAnsi="宋体"/>
                <w:b/>
                <w:sz w:val="24"/>
                <w:lang w:val="zh-CN"/>
              </w:rPr>
              <w:t>对</w:t>
            </w:r>
            <w:r>
              <w:rPr>
                <w:rFonts w:hint="eastAsia" w:ascii="宋体" w:hAnsi="宋体"/>
                <w:b/>
                <w:sz w:val="24"/>
                <w:lang w:val="zh-CN"/>
              </w:rPr>
              <w:t>招标文件</w:t>
            </w:r>
            <w:r>
              <w:rPr>
                <w:rFonts w:ascii="宋体" w:hAnsi="宋体"/>
                <w:b/>
                <w:sz w:val="24"/>
                <w:lang w:val="zh-CN"/>
              </w:rPr>
              <w:t>提出质疑的时间</w:t>
            </w:r>
            <w:r>
              <w:rPr>
                <w:rFonts w:hint="eastAsia" w:ascii="宋体" w:hAnsi="宋体"/>
                <w:b/>
                <w:sz w:val="24"/>
                <w:lang w:val="zh-CN"/>
              </w:rPr>
              <w:t>：</w:t>
            </w:r>
            <w:r>
              <w:rPr>
                <w:rFonts w:hint="eastAsia" w:ascii="宋体" w:hAnsi="宋体"/>
                <w:color w:val="auto"/>
                <w:sz w:val="24"/>
              </w:rPr>
              <w:t>投标人下载招标文件</w:t>
            </w:r>
            <w:r>
              <w:rPr>
                <w:rFonts w:hint="eastAsia" w:ascii="宋体" w:hAnsi="宋体"/>
                <w:color w:val="auto"/>
                <w:sz w:val="24"/>
                <w:lang w:val="zh-CN"/>
              </w:rPr>
              <w:t>之日起7个工作日内，以书面形式向采购人、采购代理机构提出质疑。</w:t>
            </w:r>
          </w:p>
        </w:tc>
      </w:tr>
      <w:tr w14:paraId="6DC375D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21" w:type="dxa"/>
            <w:vAlign w:val="center"/>
          </w:tcPr>
          <w:p w14:paraId="0176C105">
            <w:pPr>
              <w:adjustRightInd w:val="0"/>
              <w:snapToGrid w:val="0"/>
              <w:spacing w:line="276" w:lineRule="auto"/>
              <w:jc w:val="center"/>
              <w:textAlignment w:val="baseline"/>
              <w:rPr>
                <w:rFonts w:ascii="宋体" w:hAnsi="宋体"/>
                <w:sz w:val="24"/>
              </w:rPr>
            </w:pPr>
            <w:r>
              <w:rPr>
                <w:rFonts w:hint="eastAsia" w:ascii="宋体" w:hAnsi="宋体"/>
                <w:sz w:val="24"/>
              </w:rPr>
              <w:t>16</w:t>
            </w:r>
          </w:p>
        </w:tc>
        <w:tc>
          <w:tcPr>
            <w:tcW w:w="9070" w:type="dxa"/>
            <w:vAlign w:val="center"/>
          </w:tcPr>
          <w:p w14:paraId="65FCF6F9">
            <w:pPr>
              <w:tabs>
                <w:tab w:val="left" w:pos="7665"/>
              </w:tabs>
              <w:spacing w:line="360" w:lineRule="auto"/>
              <w:rPr>
                <w:rFonts w:ascii="宋体" w:hAnsi="宋体"/>
                <w:b/>
                <w:sz w:val="24"/>
                <w:lang w:val="zh-CN"/>
              </w:rPr>
            </w:pPr>
            <w:r>
              <w:rPr>
                <w:rFonts w:ascii="宋体" w:hAnsi="宋体"/>
                <w:b/>
                <w:sz w:val="24"/>
                <w:lang w:val="zh-CN"/>
              </w:rPr>
              <w:t>构成</w:t>
            </w:r>
            <w:r>
              <w:rPr>
                <w:rFonts w:hint="eastAsia" w:ascii="宋体" w:hAnsi="宋体"/>
                <w:b/>
                <w:sz w:val="24"/>
                <w:lang w:val="zh-CN"/>
              </w:rPr>
              <w:t>招标文件</w:t>
            </w:r>
            <w:r>
              <w:rPr>
                <w:rFonts w:ascii="宋体" w:hAnsi="宋体"/>
                <w:b/>
                <w:sz w:val="24"/>
                <w:lang w:val="zh-CN"/>
              </w:rPr>
              <w:t>的其他文件</w:t>
            </w:r>
            <w:r>
              <w:rPr>
                <w:rFonts w:hint="eastAsia" w:ascii="宋体" w:hAnsi="宋体"/>
                <w:b/>
                <w:sz w:val="24"/>
                <w:lang w:val="zh-CN"/>
              </w:rPr>
              <w:t>：</w:t>
            </w:r>
            <w:r>
              <w:rPr>
                <w:rFonts w:hint="eastAsia" w:ascii="宋体" w:hAnsi="宋体"/>
                <w:b w:val="0"/>
                <w:bCs/>
                <w:sz w:val="24"/>
                <w:lang w:val="zh-CN"/>
              </w:rPr>
              <w:t>招标文件</w:t>
            </w:r>
            <w:r>
              <w:rPr>
                <w:rFonts w:ascii="宋体" w:hAnsi="宋体"/>
                <w:b w:val="0"/>
                <w:bCs/>
                <w:sz w:val="24"/>
                <w:lang w:val="zh-CN"/>
              </w:rPr>
              <w:t>的澄清、修改书及有关补充通知为</w:t>
            </w:r>
            <w:r>
              <w:rPr>
                <w:rFonts w:hint="eastAsia" w:ascii="宋体" w:hAnsi="宋体"/>
                <w:b w:val="0"/>
                <w:bCs/>
                <w:sz w:val="24"/>
                <w:lang w:val="zh-CN"/>
              </w:rPr>
              <w:t>招标文件</w:t>
            </w:r>
            <w:r>
              <w:rPr>
                <w:rFonts w:ascii="宋体" w:hAnsi="宋体"/>
                <w:b w:val="0"/>
                <w:bCs/>
                <w:sz w:val="24"/>
                <w:lang w:val="zh-CN"/>
              </w:rPr>
              <w:t>的有效组成部分。</w:t>
            </w:r>
          </w:p>
        </w:tc>
      </w:tr>
      <w:tr w14:paraId="75EE410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21" w:type="dxa"/>
            <w:vAlign w:val="center"/>
          </w:tcPr>
          <w:p w14:paraId="4CEF426D">
            <w:pPr>
              <w:adjustRightInd w:val="0"/>
              <w:snapToGrid w:val="0"/>
              <w:spacing w:line="276" w:lineRule="auto"/>
              <w:jc w:val="center"/>
              <w:textAlignment w:val="baseline"/>
              <w:rPr>
                <w:rFonts w:ascii="宋体" w:hAnsi="宋体"/>
                <w:sz w:val="24"/>
              </w:rPr>
            </w:pPr>
            <w:r>
              <w:rPr>
                <w:rFonts w:hint="eastAsia" w:ascii="宋体" w:hAnsi="宋体"/>
                <w:sz w:val="24"/>
              </w:rPr>
              <w:t>17</w:t>
            </w:r>
          </w:p>
        </w:tc>
        <w:tc>
          <w:tcPr>
            <w:tcW w:w="9070" w:type="dxa"/>
            <w:vAlign w:val="bottom"/>
          </w:tcPr>
          <w:p w14:paraId="1757B421">
            <w:pPr>
              <w:adjustRightInd w:val="0"/>
              <w:snapToGrid w:val="0"/>
              <w:spacing w:line="360" w:lineRule="auto"/>
              <w:rPr>
                <w:rFonts w:ascii="宋体" w:hAnsi="宋体"/>
                <w:b/>
                <w:sz w:val="24"/>
              </w:rPr>
            </w:pPr>
            <w:r>
              <w:rPr>
                <w:rFonts w:hint="eastAsia" w:ascii="宋体" w:hAnsi="宋体" w:cs="仿宋_GB2312"/>
                <w:b/>
                <w:sz w:val="24"/>
              </w:rPr>
              <w:t>报名要求</w:t>
            </w:r>
            <w:r>
              <w:rPr>
                <w:rFonts w:hint="eastAsia" w:ascii="宋体" w:hAnsi="宋体"/>
                <w:b/>
                <w:sz w:val="24"/>
              </w:rPr>
              <w:t>：</w:t>
            </w:r>
            <w:r>
              <w:rPr>
                <w:rFonts w:hint="eastAsia" w:ascii="宋体" w:hAnsi="宋体"/>
                <w:sz w:val="24"/>
              </w:rPr>
              <w:t>见公告内容。</w:t>
            </w:r>
          </w:p>
        </w:tc>
      </w:tr>
      <w:tr w14:paraId="4759358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1" w:type="dxa"/>
            <w:vAlign w:val="center"/>
          </w:tcPr>
          <w:p w14:paraId="71627412">
            <w:pPr>
              <w:adjustRightInd w:val="0"/>
              <w:snapToGrid w:val="0"/>
              <w:spacing w:line="276" w:lineRule="auto"/>
              <w:jc w:val="center"/>
              <w:textAlignment w:val="baseline"/>
              <w:rPr>
                <w:rFonts w:ascii="宋体" w:hAnsi="宋体"/>
                <w:sz w:val="24"/>
              </w:rPr>
            </w:pPr>
            <w:r>
              <w:rPr>
                <w:rFonts w:hint="eastAsia" w:ascii="宋体" w:hAnsi="宋体"/>
                <w:sz w:val="24"/>
              </w:rPr>
              <w:t>18</w:t>
            </w:r>
          </w:p>
        </w:tc>
        <w:tc>
          <w:tcPr>
            <w:tcW w:w="9070" w:type="dxa"/>
            <w:vAlign w:val="bottom"/>
          </w:tcPr>
          <w:p w14:paraId="2A73A230">
            <w:pPr>
              <w:tabs>
                <w:tab w:val="left" w:pos="7665"/>
              </w:tabs>
              <w:spacing w:line="360" w:lineRule="auto"/>
              <w:rPr>
                <w:rFonts w:ascii="宋体" w:hAnsi="宋体"/>
                <w:b/>
                <w:sz w:val="24"/>
              </w:rPr>
            </w:pPr>
            <w:r>
              <w:rPr>
                <w:rFonts w:hint="eastAsia" w:ascii="宋体" w:hAnsi="宋体"/>
                <w:b/>
                <w:sz w:val="24"/>
              </w:rPr>
              <w:t>踏勘现场：</w:t>
            </w:r>
            <w:r>
              <w:rPr>
                <w:rFonts w:hint="eastAsia" w:ascii="宋体" w:hAnsi="宋体"/>
                <w:bCs/>
                <w:sz w:val="24"/>
              </w:rPr>
              <w:t>本项目不组织。</w:t>
            </w:r>
          </w:p>
        </w:tc>
      </w:tr>
      <w:tr w14:paraId="3C1C0D3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1" w:type="dxa"/>
            <w:vAlign w:val="center"/>
          </w:tcPr>
          <w:p w14:paraId="54820B4F">
            <w:pPr>
              <w:adjustRightInd w:val="0"/>
              <w:snapToGrid w:val="0"/>
              <w:spacing w:line="276" w:lineRule="auto"/>
              <w:jc w:val="center"/>
              <w:textAlignment w:val="baseline"/>
              <w:rPr>
                <w:rFonts w:ascii="宋体" w:hAnsi="宋体"/>
                <w:sz w:val="24"/>
              </w:rPr>
            </w:pPr>
            <w:r>
              <w:rPr>
                <w:rFonts w:hint="eastAsia" w:ascii="宋体" w:hAnsi="宋体"/>
                <w:sz w:val="24"/>
              </w:rPr>
              <w:t>19</w:t>
            </w:r>
          </w:p>
        </w:tc>
        <w:tc>
          <w:tcPr>
            <w:tcW w:w="9070" w:type="dxa"/>
            <w:vAlign w:val="bottom"/>
          </w:tcPr>
          <w:p w14:paraId="45CFC911">
            <w:pPr>
              <w:tabs>
                <w:tab w:val="left" w:pos="7665"/>
              </w:tabs>
              <w:spacing w:line="360" w:lineRule="auto"/>
              <w:rPr>
                <w:rFonts w:ascii="宋体" w:hAnsi="宋体"/>
                <w:b/>
                <w:sz w:val="24"/>
              </w:rPr>
            </w:pPr>
            <w:r>
              <w:rPr>
                <w:rFonts w:hint="eastAsia" w:ascii="宋体" w:hAnsi="宋体"/>
                <w:b/>
                <w:sz w:val="24"/>
              </w:rPr>
              <w:t>分包（转让）：</w:t>
            </w:r>
            <w:r>
              <w:rPr>
                <w:rFonts w:hint="eastAsia" w:ascii="宋体" w:hAnsi="宋体"/>
                <w:sz w:val="24"/>
              </w:rPr>
              <w:t>不允许。</w:t>
            </w:r>
          </w:p>
        </w:tc>
      </w:tr>
      <w:tr w14:paraId="2ACE883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21" w:type="dxa"/>
            <w:vAlign w:val="center"/>
          </w:tcPr>
          <w:p w14:paraId="2815894B">
            <w:pPr>
              <w:adjustRightInd w:val="0"/>
              <w:snapToGrid w:val="0"/>
              <w:spacing w:line="276" w:lineRule="auto"/>
              <w:jc w:val="center"/>
              <w:textAlignment w:val="baseline"/>
              <w:rPr>
                <w:rFonts w:ascii="宋体" w:hAnsi="宋体"/>
                <w:sz w:val="24"/>
              </w:rPr>
            </w:pPr>
            <w:r>
              <w:rPr>
                <w:rFonts w:hint="eastAsia" w:ascii="宋体" w:hAnsi="宋体"/>
                <w:sz w:val="24"/>
              </w:rPr>
              <w:t>20</w:t>
            </w:r>
          </w:p>
        </w:tc>
        <w:tc>
          <w:tcPr>
            <w:tcW w:w="9070" w:type="dxa"/>
            <w:vAlign w:val="bottom"/>
          </w:tcPr>
          <w:p w14:paraId="55C23885">
            <w:pPr>
              <w:tabs>
                <w:tab w:val="left" w:pos="7665"/>
              </w:tabs>
              <w:spacing w:line="360" w:lineRule="auto"/>
              <w:rPr>
                <w:rFonts w:ascii="宋体" w:hAnsi="宋体"/>
                <w:b/>
                <w:sz w:val="24"/>
              </w:rPr>
            </w:pPr>
            <w:r>
              <w:rPr>
                <w:rFonts w:hint="eastAsia" w:ascii="宋体" w:hAnsi="宋体"/>
                <w:b/>
                <w:sz w:val="24"/>
              </w:rPr>
              <w:t>联合投标：</w:t>
            </w:r>
            <w:r>
              <w:rPr>
                <w:rFonts w:hint="eastAsia" w:ascii="宋体" w:hAnsi="宋体"/>
                <w:sz w:val="24"/>
              </w:rPr>
              <w:t>本项目不接受联合体投标。</w:t>
            </w:r>
          </w:p>
        </w:tc>
      </w:tr>
      <w:tr w14:paraId="33530DE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1" w:type="dxa"/>
            <w:vAlign w:val="center"/>
          </w:tcPr>
          <w:p w14:paraId="252ECAAA">
            <w:pPr>
              <w:adjustRightInd w:val="0"/>
              <w:snapToGrid w:val="0"/>
              <w:spacing w:line="276" w:lineRule="auto"/>
              <w:jc w:val="center"/>
              <w:textAlignment w:val="baseline"/>
              <w:rPr>
                <w:rFonts w:ascii="宋体" w:hAnsi="宋体"/>
                <w:sz w:val="24"/>
              </w:rPr>
            </w:pPr>
            <w:r>
              <w:rPr>
                <w:rFonts w:hint="eastAsia" w:ascii="宋体" w:hAnsi="宋体"/>
                <w:sz w:val="24"/>
              </w:rPr>
              <w:t>21</w:t>
            </w:r>
          </w:p>
        </w:tc>
        <w:tc>
          <w:tcPr>
            <w:tcW w:w="9070" w:type="dxa"/>
            <w:vAlign w:val="bottom"/>
          </w:tcPr>
          <w:p w14:paraId="652873D6">
            <w:pPr>
              <w:adjustRightInd w:val="0"/>
              <w:snapToGrid w:val="0"/>
              <w:spacing w:line="360" w:lineRule="auto"/>
              <w:textAlignment w:val="baseline"/>
              <w:rPr>
                <w:rFonts w:ascii="宋体" w:hAnsi="宋体"/>
                <w:b/>
                <w:sz w:val="24"/>
              </w:rPr>
            </w:pPr>
            <w:r>
              <w:rPr>
                <w:rFonts w:hint="eastAsia" w:ascii="宋体" w:hAnsi="宋体"/>
                <w:b/>
                <w:sz w:val="24"/>
              </w:rPr>
              <w:t>是否退还投标文件：</w:t>
            </w:r>
            <w:r>
              <w:rPr>
                <w:rFonts w:hint="eastAsia" w:ascii="宋体" w:hAnsi="宋体"/>
                <w:sz w:val="24"/>
              </w:rPr>
              <w:t>否</w:t>
            </w:r>
          </w:p>
        </w:tc>
      </w:tr>
      <w:tr w14:paraId="77AF413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21" w:type="dxa"/>
            <w:vAlign w:val="center"/>
          </w:tcPr>
          <w:p w14:paraId="0BF587B2">
            <w:pPr>
              <w:spacing w:line="276" w:lineRule="auto"/>
              <w:jc w:val="center"/>
              <w:textAlignment w:val="baseline"/>
              <w:rPr>
                <w:rFonts w:ascii="宋体" w:hAnsi="宋体"/>
                <w:sz w:val="24"/>
              </w:rPr>
            </w:pPr>
            <w:r>
              <w:rPr>
                <w:rFonts w:hint="eastAsia" w:ascii="宋体" w:hAnsi="宋体"/>
                <w:sz w:val="24"/>
              </w:rPr>
              <w:t>22</w:t>
            </w:r>
          </w:p>
        </w:tc>
        <w:tc>
          <w:tcPr>
            <w:tcW w:w="9070" w:type="dxa"/>
            <w:vAlign w:val="center"/>
          </w:tcPr>
          <w:p w14:paraId="6C39262E">
            <w:pPr>
              <w:numPr>
                <w:ilvl w:val="0"/>
                <w:numId w:val="0"/>
              </w:numPr>
              <w:spacing w:line="360" w:lineRule="auto"/>
              <w:textAlignment w:val="baseline"/>
              <w:rPr>
                <w:rFonts w:ascii="宋体" w:hAnsi="宋体"/>
                <w:b/>
                <w:bCs/>
                <w:color w:val="FF0000"/>
                <w:sz w:val="24"/>
              </w:rPr>
            </w:pPr>
            <w:r>
              <w:rPr>
                <w:rFonts w:hint="eastAsia" w:ascii="宋体" w:hAnsi="宋体"/>
                <w:b/>
                <w:color w:val="000000" w:themeColor="text1"/>
                <w:sz w:val="24"/>
                <w14:textFill>
                  <w14:solidFill>
                    <w14:schemeClr w14:val="tx1"/>
                  </w14:solidFill>
                </w14:textFill>
              </w:rPr>
              <w:t>投标保证金递交说明：</w:t>
            </w:r>
            <w:r>
              <w:rPr>
                <w:rFonts w:hint="eastAsia" w:ascii="宋体" w:hAnsi="宋体"/>
                <w:b/>
                <w:bCs/>
                <w:sz w:val="24"/>
              </w:rPr>
              <w:t>金额：</w:t>
            </w:r>
            <w:r>
              <w:rPr>
                <w:rFonts w:hint="eastAsia" w:ascii="宋体" w:hAnsi="宋体"/>
                <w:b/>
                <w:bCs/>
                <w:sz w:val="24"/>
                <w:lang w:val="en-US" w:eastAsia="zh-CN"/>
              </w:rPr>
              <w:t>50000</w:t>
            </w:r>
            <w:r>
              <w:rPr>
                <w:rFonts w:hint="eastAsia" w:ascii="宋体" w:hAnsi="宋体"/>
                <w:b/>
                <w:bCs/>
                <w:sz w:val="24"/>
              </w:rPr>
              <w:t>.00元  大写：</w:t>
            </w:r>
            <w:r>
              <w:rPr>
                <w:rFonts w:hint="eastAsia" w:ascii="宋体" w:hAnsi="宋体"/>
                <w:b/>
                <w:bCs/>
                <w:sz w:val="24"/>
                <w:lang w:val="en-US" w:eastAsia="zh-CN"/>
              </w:rPr>
              <w:t>伍</w:t>
            </w:r>
            <w:r>
              <w:rPr>
                <w:rFonts w:hint="eastAsia" w:ascii="宋体" w:hAnsi="宋体"/>
                <w:b/>
                <w:bCs/>
                <w:sz w:val="24"/>
              </w:rPr>
              <w:t>万元整</w:t>
            </w:r>
          </w:p>
          <w:p w14:paraId="7F9F5F32">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交纳账户信息如下：</w:t>
            </w:r>
          </w:p>
          <w:p w14:paraId="61D0E002">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开 户 名：新疆华玫睿项目管理有限公司</w:t>
            </w:r>
          </w:p>
          <w:p w14:paraId="272A4A9A">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开户银行：中国银行股份有限公司阿克苏地区分行</w:t>
            </w:r>
          </w:p>
          <w:p w14:paraId="0C400CEB">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帐    号：1070 8446 9929</w:t>
            </w:r>
          </w:p>
          <w:p w14:paraId="15FECF91">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1.投标保证金的交纳单位必须与投标人名称一致，投标人应按照标项缴纳投标保证金，并备注所投标项的项目编号，投标保证金缴存方式：投标保证金应当以支票、汇票、本票或者电子保函等非现金形式提交。投标人未按照采购文件要求提交投标保证金的视为投标无效；</w:t>
            </w:r>
          </w:p>
          <w:p w14:paraId="577E4534">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2.投标人以支票、汇票、本票、网上银行支付等形式提交投标保证金的，应在投标截止时间前到账；</w:t>
            </w:r>
          </w:p>
          <w:p w14:paraId="461E7889">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3.电子保函</w:t>
            </w:r>
          </w:p>
          <w:p w14:paraId="3885F285">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投标保证金还可以采用电子保函形式按以下要求办理：</w:t>
            </w:r>
          </w:p>
          <w:p w14:paraId="081FE34C">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(1）电子保函按照“一标项一保函”的原则。</w:t>
            </w:r>
          </w:p>
          <w:p w14:paraId="23BDA6DF">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(2）电子保函须在投标截止时间前办理完成。</w:t>
            </w:r>
          </w:p>
          <w:p w14:paraId="545C87E8">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(3）保函的有效期不得少于本项目投标有效期。</w:t>
            </w:r>
          </w:p>
          <w:p w14:paraId="461DA67D">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(4）投标单位通过的电子保函必须真实有效，否则后果自负</w:t>
            </w:r>
          </w:p>
          <w:p w14:paraId="1B20B7B6">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(5）投标人以电子保函形式缴纳投标保证金的，应通过“新疆政府采购网电子保函”的模块申请购买。</w:t>
            </w:r>
          </w:p>
          <w:p w14:paraId="1DD5702B">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 xml:space="preserve">电子担保凭证需作为电子投标文件组成部分在递交投标文件时一并提交。 </w:t>
            </w:r>
          </w:p>
          <w:p w14:paraId="7090909B">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注：因投标人原因投标保证金到账时间晚于投标截止时间的，或者因投标人的票据错误、印鉴不清等原因导致保证金不能到账的，其投标按无效投标（响应）处理。</w:t>
            </w:r>
          </w:p>
          <w:p w14:paraId="487ED774">
            <w:pPr>
              <w:spacing w:line="360" w:lineRule="auto"/>
              <w:ind w:firstLine="480" w:firstLineChars="200"/>
              <w:textAlignment w:val="baseline"/>
              <w:rPr>
                <w:rFonts w:ascii="宋体" w:hAnsi="宋体"/>
                <w:sz w:val="24"/>
              </w:rPr>
            </w:pPr>
            <w:r>
              <w:rPr>
                <w:rFonts w:hint="eastAsia" w:ascii="宋体" w:hAnsi="宋体"/>
                <w:sz w:val="24"/>
                <w:lang w:val="en-US" w:eastAsia="zh-CN"/>
              </w:rPr>
              <w:t>4</w:t>
            </w:r>
            <w:r>
              <w:rPr>
                <w:rFonts w:hint="eastAsia" w:ascii="宋体" w:hAnsi="宋体"/>
                <w:sz w:val="24"/>
              </w:rPr>
              <w:t>.发生以下情况的，招标方将不予退还其投标保证金，并取消其以后参与招标方所组织的政府采购活动的资格：</w:t>
            </w:r>
          </w:p>
          <w:p w14:paraId="649F8E40">
            <w:pPr>
              <w:spacing w:line="360" w:lineRule="auto"/>
              <w:ind w:firstLine="480" w:firstLineChars="200"/>
              <w:textAlignment w:val="baseline"/>
              <w:rPr>
                <w:rFonts w:ascii="宋体" w:hAnsi="宋体"/>
                <w:sz w:val="24"/>
              </w:rPr>
            </w:pPr>
            <w:r>
              <w:rPr>
                <w:rFonts w:hint="eastAsia" w:ascii="宋体" w:hAnsi="宋体"/>
                <w:sz w:val="24"/>
              </w:rPr>
              <w:t>①投标截至时间后开标前投标投标人撤回投标的；</w:t>
            </w:r>
          </w:p>
          <w:p w14:paraId="45943EF3">
            <w:pPr>
              <w:spacing w:line="360" w:lineRule="auto"/>
              <w:ind w:firstLine="480" w:firstLineChars="200"/>
              <w:textAlignment w:val="baseline"/>
              <w:rPr>
                <w:rFonts w:ascii="宋体" w:hAnsi="宋体"/>
                <w:sz w:val="24"/>
              </w:rPr>
            </w:pPr>
            <w:r>
              <w:rPr>
                <w:rFonts w:hint="eastAsia" w:ascii="宋体" w:hAnsi="宋体"/>
                <w:sz w:val="24"/>
              </w:rPr>
              <w:t>②中标后无正当理由不与招标人签订合同的；</w:t>
            </w:r>
          </w:p>
          <w:p w14:paraId="0B675938">
            <w:pPr>
              <w:spacing w:line="360" w:lineRule="auto"/>
              <w:ind w:firstLine="480" w:firstLineChars="200"/>
              <w:textAlignment w:val="baseline"/>
              <w:rPr>
                <w:rFonts w:ascii="宋体" w:hAnsi="宋体"/>
                <w:sz w:val="24"/>
              </w:rPr>
            </w:pPr>
            <w:r>
              <w:rPr>
                <w:rFonts w:hint="eastAsia" w:ascii="宋体" w:hAnsi="宋体"/>
                <w:sz w:val="24"/>
              </w:rPr>
              <w:t xml:space="preserve">③将中标项目转让给他人，或者在竞标文件中未说明，且未经招标人同意，将中标项目分包给他人的； </w:t>
            </w:r>
          </w:p>
          <w:p w14:paraId="19E280F8">
            <w:pPr>
              <w:spacing w:line="360" w:lineRule="auto"/>
              <w:ind w:firstLine="480" w:firstLineChars="200"/>
              <w:textAlignment w:val="baseline"/>
              <w:rPr>
                <w:rFonts w:ascii="宋体" w:hAnsi="宋体"/>
                <w:sz w:val="24"/>
              </w:rPr>
            </w:pPr>
            <w:r>
              <w:rPr>
                <w:rFonts w:hint="eastAsia" w:ascii="宋体" w:hAnsi="宋体"/>
                <w:sz w:val="24"/>
              </w:rPr>
              <w:t>④拒绝或不完全履行合同义务的；</w:t>
            </w:r>
          </w:p>
          <w:p w14:paraId="5C0722F9">
            <w:pPr>
              <w:spacing w:line="360" w:lineRule="auto"/>
              <w:ind w:firstLine="480" w:firstLineChars="200"/>
              <w:rPr>
                <w:rFonts w:hint="default" w:ascii="宋体" w:hAnsi="宋体" w:eastAsia="宋体"/>
                <w:b/>
                <w:kern w:val="0"/>
                <w:sz w:val="24"/>
                <w:lang w:val="en-US" w:eastAsia="zh-CN"/>
              </w:rPr>
            </w:pPr>
            <w:r>
              <w:rPr>
                <w:rFonts w:hint="eastAsia" w:ascii="宋体" w:hAnsi="宋体"/>
                <w:sz w:val="24"/>
              </w:rPr>
              <w:t>⑤提供虚假材料谋取中标的。</w:t>
            </w:r>
          </w:p>
        </w:tc>
      </w:tr>
      <w:tr w14:paraId="1C40F92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1" w:type="dxa"/>
            <w:vAlign w:val="center"/>
          </w:tcPr>
          <w:p w14:paraId="24D2706E">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3</w:t>
            </w:r>
          </w:p>
        </w:tc>
        <w:tc>
          <w:tcPr>
            <w:tcW w:w="9070" w:type="dxa"/>
            <w:vAlign w:val="center"/>
          </w:tcPr>
          <w:p w14:paraId="3AE86BE6">
            <w:pPr>
              <w:adjustRightInd w:val="0"/>
              <w:snapToGrid w:val="0"/>
              <w:spacing w:line="360" w:lineRule="auto"/>
              <w:jc w:val="left"/>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投标</w:t>
            </w:r>
            <w:r>
              <w:rPr>
                <w:rFonts w:hint="eastAsia" w:ascii="宋体" w:hAnsi="宋体" w:eastAsia="宋体" w:cs="宋体"/>
                <w:b/>
                <w:bCs w:val="0"/>
                <w:color w:val="000000" w:themeColor="text1"/>
                <w:sz w:val="24"/>
                <w:szCs w:val="24"/>
                <w:lang w:eastAsia="zh-CN"/>
                <w14:textFill>
                  <w14:solidFill>
                    <w14:schemeClr w14:val="tx1"/>
                  </w14:solidFill>
                </w14:textFill>
              </w:rPr>
              <w:t>文件</w:t>
            </w:r>
            <w:r>
              <w:rPr>
                <w:rFonts w:hint="eastAsia" w:ascii="宋体" w:hAnsi="宋体" w:eastAsia="宋体" w:cs="宋体"/>
                <w:b/>
                <w:bCs w:val="0"/>
                <w:color w:val="000000" w:themeColor="text1"/>
                <w:sz w:val="24"/>
                <w:szCs w:val="24"/>
                <w14:textFill>
                  <w14:solidFill>
                    <w14:schemeClr w14:val="tx1"/>
                  </w14:solidFill>
                </w14:textFill>
              </w:rPr>
              <w:t>》递交份数、时间及地点：</w:t>
            </w:r>
          </w:p>
          <w:p w14:paraId="4BCC73CC">
            <w:pPr>
              <w:spacing w:line="360" w:lineRule="auto"/>
              <w:ind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 xml:space="preserve">文件电子版要求：按照本采购文件“第五章 </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文件格式”编写（第五章未附格式的，由供应商自行拟定），不可涂改并在规定加盖公章处加盖电子公章，否则</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文件按无效处理。</w:t>
            </w:r>
          </w:p>
          <w:p w14:paraId="49684417">
            <w:pPr>
              <w:spacing w:line="360" w:lineRule="auto"/>
              <w:ind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文件电子版密封方式：电子</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文件通过平台有效 CA 加密后在“政采云”平台投送。（操作方式见公告</w:t>
            </w:r>
            <w:r>
              <w:rPr>
                <w:rFonts w:hint="eastAsia" w:ascii="宋体" w:hAnsi="宋体" w:eastAsia="宋体" w:cs="宋体"/>
                <w:b w:val="0"/>
                <w:bCs/>
                <w:color w:val="000000" w:themeColor="text1"/>
                <w:sz w:val="24"/>
                <w:szCs w:val="24"/>
                <w:lang w:val="en-US" w:eastAsia="zh-CN"/>
                <w14:textFill>
                  <w14:solidFill>
                    <w14:schemeClr w14:val="tx1"/>
                  </w14:solidFill>
                </w14:textFill>
              </w:rPr>
              <w:t>要求</w:t>
            </w:r>
            <w:r>
              <w:rPr>
                <w:rFonts w:hint="eastAsia" w:ascii="宋体" w:hAnsi="宋体" w:eastAsia="宋体" w:cs="宋体"/>
                <w:b w:val="0"/>
                <w:bCs/>
                <w:color w:val="000000" w:themeColor="text1"/>
                <w:sz w:val="24"/>
                <w:szCs w:val="24"/>
                <w14:textFill>
                  <w14:solidFill>
                    <w14:schemeClr w14:val="tx1"/>
                  </w14:solidFill>
                </w14:textFill>
              </w:rPr>
              <w:t>“电子</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文件制作与投送教程”）</w:t>
            </w:r>
          </w:p>
          <w:p w14:paraId="237B777C">
            <w:pPr>
              <w:spacing w:line="360" w:lineRule="auto"/>
              <w:ind w:firstLine="482" w:firstLineChars="200"/>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3.政采云投标文件递交截止时间：</w:t>
            </w:r>
            <w:r>
              <w:rPr>
                <w:rFonts w:hint="eastAsia" w:asciiTheme="minorEastAsia" w:hAnsiTheme="minorEastAsia" w:eastAsiaTheme="minorEastAsia" w:cstheme="minorEastAsia"/>
                <w:b/>
                <w:bCs w:val="0"/>
                <w:color w:val="auto"/>
                <w:sz w:val="24"/>
                <w:lang w:eastAsia="zh-CN"/>
              </w:rPr>
              <w:t>2026年06月24日10点30分</w:t>
            </w:r>
            <w:r>
              <w:rPr>
                <w:rFonts w:hint="eastAsia" w:asciiTheme="minorEastAsia" w:hAnsiTheme="minorEastAsia" w:eastAsiaTheme="minorEastAsia" w:cstheme="minorEastAsia"/>
                <w:b/>
                <w:bCs w:val="0"/>
                <w:color w:val="000000" w:themeColor="text1"/>
                <w:sz w:val="24"/>
                <w:szCs w:val="24"/>
                <w:lang w:eastAsia="zh-CN"/>
                <w14:textFill>
                  <w14:solidFill>
                    <w14:schemeClr w14:val="tx1"/>
                  </w14:solidFill>
                </w14:textFill>
              </w:rPr>
              <w:t>（北京时间）</w:t>
            </w:r>
          </w:p>
          <w:p w14:paraId="20CD1B3E">
            <w:pPr>
              <w:spacing w:line="360" w:lineRule="auto"/>
              <w:ind w:firstLine="482" w:firstLineChars="200"/>
              <w:rPr>
                <w:rFonts w:hint="eastAsia" w:ascii="宋体" w:hAnsi="宋体" w:eastAsia="宋体"/>
                <w:color w:val="000000" w:themeColor="text1"/>
                <w:sz w:val="24"/>
                <w:lang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4.</w:t>
            </w:r>
            <w:r>
              <w:rPr>
                <w:rFonts w:hint="eastAsia" w:ascii="宋体" w:hAnsi="宋体" w:eastAsia="宋体" w:cs="宋体"/>
                <w:b/>
                <w:bCs w:val="0"/>
                <w:color w:val="000000" w:themeColor="text1"/>
                <w:sz w:val="24"/>
                <w:szCs w:val="24"/>
                <w:lang w:val="en-US" w:eastAsia="zh-CN"/>
                <w14:textFill>
                  <w14:solidFill>
                    <w14:schemeClr w14:val="tx1"/>
                  </w14:solidFill>
                </w14:textFill>
              </w:rPr>
              <w:t>递交地点：请登录政采云投标客户端投标</w:t>
            </w:r>
          </w:p>
        </w:tc>
      </w:tr>
      <w:tr w14:paraId="1EFBFE2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14:paraId="1AB2B417">
            <w:pPr>
              <w:spacing w:line="276" w:lineRule="auto"/>
              <w:jc w:val="center"/>
              <w:textAlignment w:val="baseline"/>
              <w:rPr>
                <w:rFonts w:hint="eastAsia" w:ascii="宋体" w:hAnsi="宋体" w:eastAsia="宋体"/>
                <w:color w:val="auto"/>
                <w:sz w:val="24"/>
                <w:lang w:eastAsia="zh-CN"/>
              </w:rPr>
            </w:pPr>
            <w:r>
              <w:rPr>
                <w:rFonts w:hint="eastAsia" w:ascii="宋体" w:hAnsi="宋体"/>
                <w:color w:val="auto"/>
                <w:sz w:val="24"/>
              </w:rPr>
              <w:t>2</w:t>
            </w:r>
            <w:r>
              <w:rPr>
                <w:rFonts w:hint="eastAsia" w:ascii="宋体" w:hAnsi="宋体"/>
                <w:color w:val="auto"/>
                <w:sz w:val="24"/>
                <w:lang w:val="en-US" w:eastAsia="zh-CN"/>
              </w:rPr>
              <w:t>4</w:t>
            </w:r>
          </w:p>
        </w:tc>
        <w:tc>
          <w:tcPr>
            <w:tcW w:w="9070" w:type="dxa"/>
            <w:vAlign w:val="center"/>
          </w:tcPr>
          <w:p w14:paraId="04368966">
            <w:pPr>
              <w:adjustRightInd w:val="0"/>
              <w:snapToGrid w:val="0"/>
              <w:spacing w:line="360" w:lineRule="auto"/>
              <w:jc w:val="left"/>
              <w:rPr>
                <w:rFonts w:ascii="宋体" w:hAnsi="宋体"/>
                <w:b/>
                <w:color w:val="auto"/>
                <w:sz w:val="24"/>
              </w:rPr>
            </w:pPr>
            <w:r>
              <w:rPr>
                <w:rFonts w:hint="eastAsia" w:ascii="宋体" w:hAnsi="宋体"/>
                <w:b/>
                <w:color w:val="auto"/>
                <w:sz w:val="24"/>
              </w:rPr>
              <w:t>开标时间及地点：</w:t>
            </w:r>
          </w:p>
          <w:p w14:paraId="1D364D67">
            <w:pPr>
              <w:widowControl/>
              <w:shd w:val="clear" w:color="auto" w:fill="FFFFFF"/>
              <w:spacing w:line="360" w:lineRule="auto"/>
              <w:jc w:val="left"/>
              <w:rPr>
                <w:rFonts w:ascii="宋体" w:hAnsi="宋体"/>
                <w:color w:val="auto"/>
                <w:sz w:val="24"/>
              </w:rPr>
            </w:pPr>
            <w:r>
              <w:rPr>
                <w:rFonts w:hint="eastAsia" w:ascii="宋体" w:hAnsi="宋体"/>
                <w:b/>
                <w:bCs/>
                <w:color w:val="auto"/>
                <w:sz w:val="24"/>
              </w:rPr>
              <w:t>开标时间：</w:t>
            </w:r>
            <w:r>
              <w:rPr>
                <w:rFonts w:hint="eastAsia" w:asciiTheme="minorEastAsia" w:hAnsiTheme="minorEastAsia" w:eastAsiaTheme="minorEastAsia" w:cstheme="minorEastAsia"/>
                <w:b/>
                <w:bCs w:val="0"/>
                <w:color w:val="auto"/>
                <w:sz w:val="24"/>
                <w:lang w:eastAsia="zh-CN"/>
              </w:rPr>
              <w:t>2026年06月24日10点30分</w:t>
            </w:r>
            <w:r>
              <w:rPr>
                <w:rFonts w:hint="eastAsia" w:ascii="宋体" w:hAnsi="宋体"/>
                <w:b/>
                <w:bCs/>
                <w:color w:val="auto"/>
                <w:sz w:val="24"/>
                <w:lang w:eastAsia="zh-CN"/>
              </w:rPr>
              <w:t>（北京时间）</w:t>
            </w:r>
          </w:p>
          <w:p w14:paraId="13E2CACC">
            <w:pPr>
              <w:tabs>
                <w:tab w:val="left" w:pos="400"/>
              </w:tabs>
              <w:spacing w:line="360" w:lineRule="auto"/>
              <w:textAlignment w:val="baseline"/>
              <w:rPr>
                <w:rFonts w:ascii="宋体" w:hAnsi="宋体"/>
                <w:color w:val="auto"/>
                <w:sz w:val="24"/>
              </w:rPr>
            </w:pPr>
            <w:r>
              <w:rPr>
                <w:rFonts w:hint="eastAsia" w:ascii="宋体" w:hAnsi="宋体"/>
                <w:b/>
                <w:color w:val="auto"/>
                <w:sz w:val="24"/>
              </w:rPr>
              <w:t>开标地点：投标人登录政采云平台https://www.zcygov.cn/，进入“项目采购-开标评标-右边选择对应项目点击“进入项目”进入开标大厅。</w:t>
            </w:r>
          </w:p>
        </w:tc>
      </w:tr>
      <w:tr w14:paraId="066214A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1" w:type="dxa"/>
            <w:vAlign w:val="center"/>
          </w:tcPr>
          <w:p w14:paraId="40A1BFF8">
            <w:pPr>
              <w:spacing w:line="276" w:lineRule="auto"/>
              <w:jc w:val="center"/>
              <w:textAlignment w:val="baseline"/>
              <w:rPr>
                <w:rFonts w:hint="eastAsia" w:ascii="宋体" w:hAnsi="宋体" w:eastAsia="宋体"/>
                <w:color w:val="auto"/>
                <w:sz w:val="24"/>
                <w:lang w:eastAsia="zh-CN"/>
              </w:rPr>
            </w:pPr>
            <w:r>
              <w:rPr>
                <w:rFonts w:hint="eastAsia" w:ascii="宋体" w:hAnsi="宋体"/>
                <w:color w:val="auto"/>
                <w:sz w:val="24"/>
              </w:rPr>
              <w:t>2</w:t>
            </w:r>
            <w:r>
              <w:rPr>
                <w:rFonts w:hint="eastAsia" w:ascii="宋体" w:hAnsi="宋体"/>
                <w:color w:val="auto"/>
                <w:sz w:val="24"/>
                <w:lang w:val="en-US" w:eastAsia="zh-CN"/>
              </w:rPr>
              <w:t>5</w:t>
            </w:r>
          </w:p>
        </w:tc>
        <w:tc>
          <w:tcPr>
            <w:tcW w:w="9070" w:type="dxa"/>
            <w:vAlign w:val="center"/>
          </w:tcPr>
          <w:p w14:paraId="71AFC4DF">
            <w:pPr>
              <w:pStyle w:val="93"/>
              <w:numPr>
                <w:ilvl w:val="0"/>
                <w:numId w:val="0"/>
              </w:numPr>
              <w:spacing w:line="360" w:lineRule="auto"/>
              <w:rPr>
                <w:color w:val="auto"/>
                <w:sz w:val="24"/>
                <w:szCs w:val="24"/>
              </w:rPr>
            </w:pPr>
            <w:r>
              <w:rPr>
                <w:rFonts w:hint="eastAsia"/>
                <w:b/>
                <w:color w:val="auto"/>
                <w:sz w:val="24"/>
              </w:rPr>
              <w:t>履约保证金：</w:t>
            </w:r>
            <w:r>
              <w:rPr>
                <w:rFonts w:hint="eastAsia"/>
                <w:b/>
                <w:color w:val="auto"/>
                <w:sz w:val="24"/>
                <w:lang w:val="en-US" w:eastAsia="zh-CN"/>
              </w:rPr>
              <w:t>本项目不收取。</w:t>
            </w:r>
          </w:p>
        </w:tc>
      </w:tr>
      <w:tr w14:paraId="6E8A957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1" w:type="dxa"/>
            <w:vAlign w:val="center"/>
          </w:tcPr>
          <w:p w14:paraId="55A0B64A">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6</w:t>
            </w:r>
          </w:p>
        </w:tc>
        <w:tc>
          <w:tcPr>
            <w:tcW w:w="9070" w:type="dxa"/>
            <w:vAlign w:val="center"/>
          </w:tcPr>
          <w:p w14:paraId="39AF046F">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lang w:val="zh-CN"/>
              </w:rPr>
              <w:t>开标程序：</w:t>
            </w:r>
          </w:p>
          <w:p w14:paraId="28D266CD">
            <w:pPr>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在</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文件确定的</w:t>
            </w:r>
            <w:r>
              <w:rPr>
                <w:rFonts w:hint="eastAsia" w:ascii="宋体" w:hAnsi="宋体" w:eastAsia="宋体" w:cs="宋体"/>
                <w:b w:val="0"/>
                <w:bCs/>
                <w:sz w:val="24"/>
                <w:szCs w:val="24"/>
                <w:lang w:val="en-US" w:eastAsia="zh-CN"/>
              </w:rPr>
              <w:t>投标</w:t>
            </w:r>
            <w:r>
              <w:rPr>
                <w:rFonts w:hint="eastAsia" w:ascii="宋体" w:hAnsi="宋体" w:eastAsia="宋体" w:cs="宋体"/>
                <w:b w:val="0"/>
                <w:bCs w:val="0"/>
                <w:sz w:val="24"/>
                <w:szCs w:val="24"/>
                <w:lang w:val="en-US" w:eastAsia="zh-CN"/>
              </w:rPr>
              <w:t>文件提交</w:t>
            </w:r>
            <w:r>
              <w:rPr>
                <w:rFonts w:hint="eastAsia" w:ascii="宋体" w:hAnsi="宋体" w:eastAsia="宋体" w:cs="宋体"/>
                <w:b w:val="0"/>
                <w:bCs w:val="0"/>
                <w:sz w:val="24"/>
                <w:szCs w:val="24"/>
              </w:rPr>
              <w:t>截止时间停止接受投标文件。开标会主持人确定投标</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数量是否符合开标要求（要求所有投标</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提前一小时准备好开标相关资料</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调试好电脑设备。</w:t>
            </w:r>
            <w:r>
              <w:rPr>
                <w:rFonts w:hint="eastAsia" w:ascii="宋体" w:hAnsi="宋体" w:eastAsia="宋体" w:cs="宋体"/>
                <w:b w:val="0"/>
                <w:bCs w:val="0"/>
                <w:sz w:val="24"/>
                <w:szCs w:val="24"/>
              </w:rPr>
              <w:t>）；</w:t>
            </w:r>
          </w:p>
          <w:p w14:paraId="69026498">
            <w:pPr>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本项目采用“</w:t>
            </w:r>
            <w:r>
              <w:rPr>
                <w:rFonts w:hint="eastAsia" w:ascii="宋体" w:hAnsi="宋体" w:eastAsia="宋体" w:cs="宋体"/>
                <w:b w:val="0"/>
                <w:bCs w:val="0"/>
                <w:sz w:val="24"/>
                <w:szCs w:val="24"/>
                <w:lang w:val="en-US" w:eastAsia="zh-CN"/>
              </w:rPr>
              <w:t>政采云</w:t>
            </w:r>
            <w:r>
              <w:rPr>
                <w:rFonts w:hint="eastAsia" w:ascii="宋体" w:hAnsi="宋体" w:eastAsia="宋体" w:cs="宋体"/>
                <w:b w:val="0"/>
                <w:bCs w:val="0"/>
                <w:sz w:val="24"/>
                <w:szCs w:val="24"/>
              </w:rPr>
              <w:t xml:space="preserve">不见面”开标，投标人须在投标截止时间前登录政采云平台http://www.zcygov.cn/进行签到。 </w:t>
            </w:r>
          </w:p>
          <w:p w14:paraId="585DEDCD">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 xml:space="preserve">.主持人宣布开标会开始，宣布开标纪律； </w:t>
            </w:r>
          </w:p>
          <w:p w14:paraId="73BCFFD3">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.宣布主持人、开标人、唱标人、记录人、监督人等工作人员姓名；</w:t>
            </w:r>
          </w:p>
          <w:p w14:paraId="3CC2BC95">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5.解密：法定代表人或</w:t>
            </w:r>
            <w:r>
              <w:rPr>
                <w:rFonts w:hint="eastAsia" w:ascii="宋体" w:hAnsi="宋体" w:eastAsia="宋体" w:cs="宋体"/>
                <w:b w:val="0"/>
                <w:bCs w:val="0"/>
                <w:sz w:val="24"/>
                <w:szCs w:val="24"/>
              </w:rPr>
              <w:t>授权委托人</w:t>
            </w:r>
            <w:r>
              <w:rPr>
                <w:rFonts w:hint="eastAsia" w:ascii="宋体" w:hAnsi="宋体" w:eastAsia="宋体" w:cs="宋体"/>
                <w:b w:val="0"/>
                <w:bCs w:val="0"/>
                <w:sz w:val="24"/>
                <w:szCs w:val="24"/>
                <w:lang w:val="en-US" w:eastAsia="zh-CN"/>
              </w:rPr>
              <w:t>须</w:t>
            </w:r>
            <w:r>
              <w:rPr>
                <w:rFonts w:hint="eastAsia" w:ascii="宋体" w:hAnsi="宋体" w:eastAsia="宋体" w:cs="宋体"/>
                <w:b w:val="0"/>
                <w:bCs w:val="0"/>
                <w:sz w:val="24"/>
                <w:szCs w:val="24"/>
              </w:rPr>
              <w:t xml:space="preserve">全程在线准时参加开标活动进行文件解密、异议、质疑及澄清等。 </w:t>
            </w:r>
          </w:p>
          <w:p w14:paraId="6F2D3465">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参与“</w:t>
            </w:r>
            <w:r>
              <w:rPr>
                <w:rFonts w:hint="eastAsia" w:ascii="宋体" w:hAnsi="宋体" w:eastAsia="宋体" w:cs="宋体"/>
                <w:b w:val="0"/>
                <w:bCs w:val="0"/>
                <w:sz w:val="24"/>
                <w:szCs w:val="24"/>
                <w:lang w:val="en-US" w:eastAsia="zh-CN"/>
              </w:rPr>
              <w:t>政采云</w:t>
            </w:r>
            <w:r>
              <w:rPr>
                <w:rFonts w:hint="eastAsia" w:ascii="宋体" w:hAnsi="宋体" w:eastAsia="宋体" w:cs="宋体"/>
                <w:b w:val="0"/>
                <w:bCs w:val="0"/>
                <w:sz w:val="24"/>
                <w:szCs w:val="24"/>
              </w:rPr>
              <w:t>不见面”开标的各</w:t>
            </w:r>
            <w:r>
              <w:rPr>
                <w:rFonts w:hint="eastAsia" w:ascii="宋体" w:hAnsi="宋体" w:eastAsia="宋体" w:cs="宋体"/>
                <w:b w:val="0"/>
                <w:bCs/>
                <w:sz w:val="24"/>
                <w:szCs w:val="24"/>
                <w:lang w:val="en-US" w:eastAsia="zh-CN"/>
              </w:rPr>
              <w:t>投标人</w:t>
            </w:r>
            <w:r>
              <w:rPr>
                <w:rFonts w:hint="eastAsia" w:ascii="宋体" w:hAnsi="宋体" w:eastAsia="宋体" w:cs="宋体"/>
                <w:b w:val="0"/>
                <w:bCs w:val="0"/>
                <w:sz w:val="24"/>
                <w:szCs w:val="24"/>
              </w:rPr>
              <w:t>，请在互联网网络环境较好的电脑端登录</w:t>
            </w:r>
            <w:r>
              <w:rPr>
                <w:rFonts w:hint="eastAsia" w:ascii="宋体" w:hAnsi="宋体" w:eastAsia="宋体" w:cs="宋体"/>
                <w:b w:val="0"/>
                <w:bCs w:val="0"/>
                <w:sz w:val="24"/>
                <w:szCs w:val="24"/>
                <w:lang w:val="en-US" w:eastAsia="zh-CN"/>
              </w:rPr>
              <w:t>政采云</w:t>
            </w:r>
            <w:r>
              <w:rPr>
                <w:rFonts w:hint="eastAsia" w:ascii="宋体" w:hAnsi="宋体" w:eastAsia="宋体" w:cs="宋体"/>
                <w:b w:val="0"/>
                <w:bCs w:val="0"/>
                <w:sz w:val="24"/>
                <w:szCs w:val="24"/>
              </w:rPr>
              <w:t xml:space="preserve">不见面开标大厅参与开标；不要在电脑进行下载、安装等工作，认真耐心等待指令并及时操作，并保持手机畅通；因投标人网络环境或硬件配备不达标等原因，影响开标的，造成的后果由投标人自行承担。 </w:t>
            </w:r>
          </w:p>
          <w:p w14:paraId="553664D3">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.开标结束。</w:t>
            </w:r>
          </w:p>
          <w:p w14:paraId="4241BA47">
            <w:pPr>
              <w:spacing w:line="360" w:lineRule="auto"/>
              <w:rPr>
                <w:rFonts w:ascii="宋体" w:hAnsi="宋体"/>
                <w:b/>
                <w:sz w:val="24"/>
              </w:rPr>
            </w:pPr>
            <w:r>
              <w:rPr>
                <w:rFonts w:hint="eastAsia" w:ascii="宋体" w:hAnsi="宋体" w:eastAsia="宋体" w:cs="宋体"/>
                <w:b w:val="0"/>
                <w:bCs w:val="0"/>
                <w:sz w:val="24"/>
                <w:szCs w:val="24"/>
              </w:rPr>
              <w:t>招标代理机构应当对上述开标过程做好记录，存档备查。</w:t>
            </w:r>
          </w:p>
        </w:tc>
      </w:tr>
      <w:tr w14:paraId="04BBCE0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vAlign w:val="center"/>
          </w:tcPr>
          <w:p w14:paraId="376A23DE">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7</w:t>
            </w:r>
          </w:p>
        </w:tc>
        <w:tc>
          <w:tcPr>
            <w:tcW w:w="9070" w:type="dxa"/>
            <w:vAlign w:val="center"/>
          </w:tcPr>
          <w:p w14:paraId="140E3C63">
            <w:pPr>
              <w:spacing w:line="360" w:lineRule="auto"/>
              <w:rPr>
                <w:rFonts w:ascii="宋体" w:hAnsi="宋体"/>
                <w:sz w:val="24"/>
              </w:rPr>
            </w:pPr>
            <w:r>
              <w:rPr>
                <w:rFonts w:hint="eastAsia" w:ascii="宋体" w:hAnsi="宋体"/>
                <w:b/>
                <w:sz w:val="24"/>
                <w:lang w:val="zh-CN"/>
              </w:rPr>
              <w:t>中标结果公告：</w:t>
            </w:r>
            <w:r>
              <w:rPr>
                <w:rFonts w:hint="eastAsia" w:ascii="宋体" w:hAnsi="宋体"/>
                <w:sz w:val="24"/>
                <w:lang w:val="en-US" w:eastAsia="zh-CN"/>
              </w:rPr>
              <w:t>中标</w:t>
            </w:r>
            <w:r>
              <w:rPr>
                <w:rFonts w:hint="eastAsia" w:ascii="宋体" w:hAnsi="宋体"/>
                <w:sz w:val="24"/>
              </w:rPr>
              <w:t>结果公告在</w:t>
            </w:r>
            <w:r>
              <w:rPr>
                <w:rFonts w:hint="eastAsia" w:ascii="宋体" w:hAnsi="宋体"/>
                <w:sz w:val="24"/>
                <w:lang w:eastAsia="zh-CN"/>
              </w:rPr>
              <w:t>新疆政府采购网</w:t>
            </w:r>
            <w:r>
              <w:rPr>
                <w:rFonts w:hint="eastAsia" w:ascii="宋体" w:hAnsi="宋体"/>
                <w:sz w:val="24"/>
              </w:rPr>
              <w:t>予以公告，公告期不少于1个工作日。</w:t>
            </w:r>
          </w:p>
        </w:tc>
      </w:tr>
      <w:tr w14:paraId="4B70995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14:paraId="1E89CAEF">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8</w:t>
            </w:r>
          </w:p>
        </w:tc>
        <w:tc>
          <w:tcPr>
            <w:tcW w:w="9070" w:type="dxa"/>
            <w:vAlign w:val="center"/>
          </w:tcPr>
          <w:p w14:paraId="50DF849B">
            <w:pPr>
              <w:spacing w:line="360" w:lineRule="auto"/>
              <w:rPr>
                <w:rFonts w:hint="eastAsia" w:ascii="宋体" w:hAnsi="宋体" w:eastAsia="宋体"/>
                <w:b/>
                <w:sz w:val="24"/>
                <w:lang w:val="zh-CN" w:eastAsia="zh-CN"/>
              </w:rPr>
            </w:pPr>
            <w:r>
              <w:rPr>
                <w:rFonts w:hint="eastAsia" w:ascii="宋体" w:hAnsi="宋体"/>
                <w:b/>
                <w:sz w:val="24"/>
                <w:lang w:val="zh-CN"/>
              </w:rPr>
              <w:t>相关费用：</w:t>
            </w:r>
            <w:r>
              <w:rPr>
                <w:rFonts w:hint="eastAsia" w:ascii="宋体" w:hAnsi="宋体"/>
                <w:sz w:val="24"/>
              </w:rPr>
              <w:t>代理服务费：</w:t>
            </w:r>
            <w:r>
              <w:rPr>
                <w:rFonts w:hint="eastAsia" w:ascii="宋体" w:hAnsi="宋体"/>
                <w:sz w:val="24"/>
                <w:lang w:val="en-US" w:eastAsia="zh-CN"/>
              </w:rPr>
              <w:t>中标/成交供应商参照</w:t>
            </w:r>
            <w:r>
              <w:rPr>
                <w:rFonts w:hint="eastAsia" w:ascii="宋体" w:hAnsi="宋体"/>
                <w:sz w:val="24"/>
              </w:rPr>
              <w:t>《招标代理服务收费管理暂行办法》（计价格[2002]1980号）向采购代理机构交纳成交服务费</w:t>
            </w:r>
            <w:r>
              <w:rPr>
                <w:rFonts w:hint="eastAsia" w:ascii="宋体" w:hAnsi="宋体"/>
                <w:sz w:val="24"/>
                <w:lang w:eastAsia="zh-CN"/>
              </w:rPr>
              <w:t>。</w:t>
            </w:r>
          </w:p>
        </w:tc>
      </w:tr>
      <w:tr w14:paraId="2E881AB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1" w:type="dxa"/>
            <w:vAlign w:val="center"/>
          </w:tcPr>
          <w:p w14:paraId="7B519FCE">
            <w:pPr>
              <w:spacing w:line="276" w:lineRule="auto"/>
              <w:jc w:val="center"/>
              <w:textAlignment w:val="baseline"/>
              <w:rPr>
                <w:rFonts w:hint="default" w:ascii="宋体" w:hAnsi="宋体"/>
                <w:sz w:val="24"/>
                <w:lang w:val="en-US" w:eastAsia="zh-CN"/>
              </w:rPr>
            </w:pPr>
            <w:r>
              <w:rPr>
                <w:rFonts w:hint="eastAsia" w:ascii="宋体" w:hAnsi="宋体"/>
                <w:sz w:val="24"/>
                <w:lang w:val="en-US" w:eastAsia="zh-CN"/>
              </w:rPr>
              <w:t>29</w:t>
            </w:r>
          </w:p>
        </w:tc>
        <w:tc>
          <w:tcPr>
            <w:tcW w:w="9070" w:type="dxa"/>
            <w:vAlign w:val="center"/>
          </w:tcPr>
          <w:p w14:paraId="51C776E6">
            <w:pPr>
              <w:pStyle w:val="16"/>
              <w:spacing w:line="360" w:lineRule="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低于成本价不正当竞争预防措施（实质性要求）</w:t>
            </w:r>
            <w:r>
              <w:rPr>
                <w:rFonts w:hint="eastAsia" w:ascii="宋体" w:hAnsi="宋体" w:cs="宋体"/>
                <w:b/>
                <w:bCs/>
                <w:sz w:val="24"/>
                <w:szCs w:val="24"/>
                <w:lang w:val="en-US" w:eastAsia="zh-CN"/>
              </w:rPr>
              <w:t>：</w:t>
            </w:r>
          </w:p>
          <w:p w14:paraId="13E6EA64">
            <w:pPr>
              <w:pStyle w:val="16"/>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一、依据《关于推动解决政府采购异常低价问题的通知》财库〔2026〕2号文件通知，评审中出现下列情形之一的，评审委员会将启动异常低价投标（响应）审查：</w:t>
            </w:r>
          </w:p>
          <w:p w14:paraId="5C822299">
            <w:pPr>
              <w:pStyle w:val="16"/>
              <w:spacing w:line="360" w:lineRule="auto"/>
              <w:ind w:firstLine="480" w:firstLineChars="200"/>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1.投标（响应）报价低于全部通过符合性审查供应商投标（响应）报价平均值65%的，即投标（响应）报价&lt;全部通过符合性审查供应商投标（响应）报价平均值×65%；</w:t>
            </w:r>
          </w:p>
          <w:p w14:paraId="32C7C504">
            <w:pPr>
              <w:pStyle w:val="16"/>
              <w:spacing w:line="360" w:lineRule="auto"/>
              <w:ind w:firstLine="480" w:firstLineChars="200"/>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2.投标（响应）报价低于通过符合性审查的次低报价供应商投标（响应）报价65%的，即投标（响应）报价&lt;通过符合性审查的次低报价供应商投标（响应）报价×65%；</w:t>
            </w:r>
          </w:p>
          <w:p w14:paraId="2EA78C3F">
            <w:pPr>
              <w:pStyle w:val="16"/>
              <w:spacing w:line="360" w:lineRule="auto"/>
              <w:ind w:firstLine="480" w:firstLineChars="200"/>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3.投标（响应）报价低于采购项目最高限价65%的，即投标（响应）报价&lt;采购项目最高限价×65%；</w:t>
            </w:r>
          </w:p>
          <w:p w14:paraId="07F63D3E">
            <w:pPr>
              <w:pStyle w:val="16"/>
              <w:spacing w:line="360" w:lineRule="auto"/>
              <w:ind w:firstLine="480" w:firstLineChars="200"/>
              <w:rPr>
                <w:rFonts w:hint="eastAsia" w:ascii="宋体" w:hAnsi="宋体" w:cs="宋体"/>
                <w:b w:val="0"/>
                <w:bCs w:val="0"/>
                <w:color w:val="auto"/>
                <w:sz w:val="24"/>
                <w:szCs w:val="24"/>
                <w:highlight w:val="red"/>
                <w:lang w:val="en-US" w:eastAsia="zh-CN"/>
              </w:rPr>
            </w:pPr>
            <w:r>
              <w:rPr>
                <w:rFonts w:hint="eastAsia" w:ascii="宋体" w:hAnsi="宋体" w:cs="宋体"/>
                <w:b w:val="0"/>
                <w:bCs w:val="0"/>
                <w:color w:val="auto"/>
                <w:sz w:val="24"/>
                <w:szCs w:val="24"/>
                <w:highlight w:val="none"/>
                <w:lang w:val="en-US" w:eastAsia="zh-CN"/>
              </w:rPr>
              <w:t>4.评审委员会基于专业判断，认为供应商报价过低，有可能影响产品质量或者不能诚信履约的其他情形。</w:t>
            </w:r>
          </w:p>
          <w:p w14:paraId="088ABF8F">
            <w:pPr>
              <w:pStyle w:val="16"/>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二、评审委员会启动异常低价投标（响应）审查后，属于前述第1项至第4项情形的，相关供应商需在评审现场合理的时间内（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7448A51A">
            <w:pPr>
              <w:pStyle w:val="16"/>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rPr>
              <w:t>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B9F9EC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1" w:type="dxa"/>
            <w:vAlign w:val="center"/>
          </w:tcPr>
          <w:p w14:paraId="58ED730D">
            <w:pPr>
              <w:spacing w:line="276" w:lineRule="auto"/>
              <w:jc w:val="center"/>
              <w:textAlignment w:val="baseline"/>
              <w:rPr>
                <w:rFonts w:hint="default" w:ascii="宋体" w:hAnsi="宋体" w:eastAsia="宋体"/>
                <w:sz w:val="24"/>
                <w:lang w:val="en-US" w:eastAsia="zh-CN"/>
              </w:rPr>
            </w:pPr>
            <w:r>
              <w:rPr>
                <w:rFonts w:hint="eastAsia" w:ascii="宋体" w:hAnsi="宋体"/>
                <w:sz w:val="24"/>
                <w:lang w:val="en-US" w:eastAsia="zh-CN"/>
              </w:rPr>
              <w:t>31</w:t>
            </w:r>
          </w:p>
        </w:tc>
        <w:tc>
          <w:tcPr>
            <w:tcW w:w="9070" w:type="dxa"/>
            <w:vAlign w:val="center"/>
          </w:tcPr>
          <w:p w14:paraId="6A8669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1.电子投标文件使用“新疆维吾尔自治区全流程电子招投标项目管理系统--供应商客户端”制作完成，生成电子加密标书（.jmbs）上传至政采云平台。</w:t>
            </w:r>
          </w:p>
          <w:p w14:paraId="2E2B60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备份标书：投标人根据自身情况自愿制作备份标书（.bfbs）,备份标书在开标时，因开标系统原因解密不成功时方可上传备份标书。其他因投标人制作标书失误问题，数字证书（CA锁）问题导致不能现场解密的情况不允许上传备份文件。  </w:t>
            </w:r>
          </w:p>
          <w:p w14:paraId="73B065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3.投标人制作电子投标书加密文件应与开标现场解密时的数字证书（CA锁）同为一把，若因数字证书（CA锁）不是同一把锁导致现场解密失败的，投标人自行承担后果。</w:t>
            </w:r>
          </w:p>
          <w:p w14:paraId="6A913A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4.数字证书办理：投标人须自行办理政采云数字证书（CA锁）联系方式：政采云热线400-881-7190或阿克苏市（卢俊达0997-2151777）</w:t>
            </w:r>
          </w:p>
          <w:p w14:paraId="3A52E239">
            <w:pPr>
              <w:pStyle w:val="16"/>
              <w:spacing w:line="360" w:lineRule="auto"/>
              <w:ind w:firstLine="480" w:firstLineChars="200"/>
              <w:rPr>
                <w:rFonts w:hint="default" w:eastAsia="宋体"/>
                <w:lang w:val="en-US" w:eastAsia="zh-CN"/>
              </w:rPr>
            </w:pPr>
            <w:r>
              <w:rPr>
                <w:rFonts w:hint="eastAsia" w:ascii="宋体" w:hAnsi="宋体" w:eastAsia="宋体" w:cs="宋体"/>
                <w:sz w:val="24"/>
                <w:szCs w:val="24"/>
                <w:lang w:val="en-US" w:eastAsia="zh-CN"/>
              </w:rPr>
              <w:t>5.投标人应认真学习关于开展自治区政府采购“不见面开标系统”网络培训的通知，制作电子投标书。</w:t>
            </w:r>
          </w:p>
        </w:tc>
      </w:tr>
    </w:tbl>
    <w:p w14:paraId="2371654A">
      <w:pPr>
        <w:pStyle w:val="3"/>
        <w:spacing w:line="480" w:lineRule="exact"/>
        <w:jc w:val="center"/>
        <w:rPr>
          <w:rFonts w:ascii="Times New Roman" w:hAnsi="Times New Roman"/>
          <w:sz w:val="21"/>
          <w:szCs w:val="21"/>
        </w:rPr>
      </w:pPr>
      <w:r>
        <w:rPr>
          <w:rFonts w:hint="eastAsia" w:ascii="宋体" w:hAnsi="宋体"/>
        </w:rPr>
        <w:br w:type="page"/>
      </w:r>
      <w:bookmarkEnd w:id="48"/>
      <w:bookmarkStart w:id="49" w:name="_Toc26518"/>
      <w:bookmarkStart w:id="50" w:name="_Toc17204479"/>
      <w:bookmarkStart w:id="51" w:name="_Toc8301"/>
      <w:r>
        <w:rPr>
          <w:rFonts w:hint="eastAsia" w:asciiTheme="minorEastAsia" w:hAnsiTheme="minorEastAsia" w:eastAsiaTheme="minorEastAsia" w:cstheme="minorEastAsia"/>
          <w:sz w:val="28"/>
          <w:szCs w:val="28"/>
        </w:rPr>
        <w:t>一、总则</w:t>
      </w:r>
      <w:bookmarkEnd w:id="49"/>
      <w:bookmarkEnd w:id="50"/>
    </w:p>
    <w:p w14:paraId="0C5D64BE">
      <w:pPr>
        <w:numPr>
          <w:ilvl w:val="0"/>
          <w:numId w:val="0"/>
        </w:numPr>
        <w:spacing w:line="360" w:lineRule="auto"/>
        <w:ind w:leftChars="0" w:firstLine="482" w:firstLineChars="200"/>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适用法律、法规</w:t>
      </w:r>
    </w:p>
    <w:p w14:paraId="1EC90603">
      <w:pPr>
        <w:numPr>
          <w:ilvl w:val="0"/>
          <w:numId w:val="0"/>
        </w:numPr>
        <w:spacing w:line="360" w:lineRule="auto"/>
        <w:ind w:leftChars="0" w:firstLine="480" w:firstLineChars="20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color w:val="auto"/>
          <w:sz w:val="24"/>
          <w:szCs w:val="24"/>
          <w:lang w:val="en-GB"/>
        </w:rPr>
        <w:t>本招标文件是</w:t>
      </w:r>
      <w:r>
        <w:rPr>
          <w:rFonts w:hint="eastAsia" w:asciiTheme="minorEastAsia" w:hAnsiTheme="minorEastAsia" w:eastAsiaTheme="minorEastAsia" w:cstheme="minorEastAsia"/>
          <w:color w:val="auto"/>
          <w:sz w:val="24"/>
          <w:szCs w:val="24"/>
          <w:lang w:val="en-US" w:eastAsia="zh-CN"/>
        </w:rPr>
        <w:t>按照</w:t>
      </w:r>
      <w:r>
        <w:rPr>
          <w:rFonts w:hint="eastAsia" w:asciiTheme="minorEastAsia" w:hAnsiTheme="minorEastAsia" w:eastAsiaTheme="minorEastAsia" w:cstheme="minorEastAsia"/>
          <w:sz w:val="24"/>
          <w:szCs w:val="24"/>
          <w:lang w:val="en-GB"/>
        </w:rPr>
        <w:t>《中华人民共和国政府采购法》《中华人民共和国政府采购法实施条例》《政府采购货物和服务招标投标管理办法》</w:t>
      </w:r>
      <w:r>
        <w:rPr>
          <w:rFonts w:hint="eastAsia" w:asciiTheme="minorEastAsia" w:hAnsiTheme="minorEastAsia" w:eastAsiaTheme="minorEastAsia" w:cstheme="minorEastAsia"/>
          <w:color w:val="auto"/>
          <w:sz w:val="24"/>
          <w:szCs w:val="24"/>
          <w:lang w:val="en-GB"/>
        </w:rPr>
        <w:t>等有关法律、法规、规章和规范性文件的规定，根据本招标项目的特点和需要编制的。</w:t>
      </w:r>
    </w:p>
    <w:p w14:paraId="12E8C755">
      <w:pPr>
        <w:numPr>
          <w:ilvl w:val="0"/>
          <w:numId w:val="0"/>
        </w:numPr>
        <w:spacing w:line="480" w:lineRule="exact"/>
        <w:ind w:leftChars="0" w:firstLine="482" w:firstLineChars="200"/>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资金</w:t>
      </w:r>
    </w:p>
    <w:p w14:paraId="38375145">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t>本项目实施资金来源为</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2026、2027年人力资源服务费 </w:t>
      </w:r>
      <w:r>
        <w:rPr>
          <w:rFonts w:hint="eastAsia" w:asciiTheme="minorEastAsia" w:hAnsiTheme="minorEastAsia" w:eastAsiaTheme="minorEastAsia" w:cstheme="minorEastAsia"/>
          <w:color w:val="auto"/>
          <w:sz w:val="24"/>
          <w:szCs w:val="24"/>
          <w:lang w:val="en-GB"/>
        </w:rPr>
        <w:t>，计</w:t>
      </w:r>
      <w:r>
        <w:rPr>
          <w:rFonts w:hint="eastAsia" w:asciiTheme="minorEastAsia" w:hAnsiTheme="minorEastAsia" w:eastAsiaTheme="minorEastAsia" w:cstheme="minorEastAsia"/>
          <w:sz w:val="24"/>
          <w:szCs w:val="24"/>
          <w:lang w:val="en-GB"/>
        </w:rPr>
        <w:t>划用于支付本次采购后所签订的合同项下的款项。</w:t>
      </w:r>
    </w:p>
    <w:p w14:paraId="63A74CBE">
      <w:pPr>
        <w:numPr>
          <w:ilvl w:val="0"/>
          <w:numId w:val="0"/>
        </w:numPr>
        <w:spacing w:line="360" w:lineRule="auto"/>
        <w:ind w:leftChars="0" w:firstLine="482" w:firstLineChars="200"/>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释义</w:t>
      </w:r>
    </w:p>
    <w:p w14:paraId="09CEF084">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“招标人、买方、甲方”指</w:t>
      </w:r>
      <w:r>
        <w:rPr>
          <w:rFonts w:hint="eastAsia" w:asciiTheme="minorEastAsia" w:hAnsiTheme="minorEastAsia" w:eastAsiaTheme="minorEastAsia" w:cstheme="minorEastAsia"/>
          <w:b/>
          <w:bCs/>
          <w:sz w:val="24"/>
          <w:szCs w:val="24"/>
          <w:lang w:val="en-US" w:eastAsia="zh-CN"/>
        </w:rPr>
        <w:t>阿克苏地区妇幼保健院（地区卫生健康服务中心）</w:t>
      </w:r>
      <w:r>
        <w:rPr>
          <w:rFonts w:hint="eastAsia" w:asciiTheme="minorEastAsia" w:hAnsiTheme="minorEastAsia" w:eastAsiaTheme="minorEastAsia" w:cstheme="minorEastAsia"/>
          <w:bCs/>
          <w:sz w:val="24"/>
          <w:szCs w:val="24"/>
        </w:rPr>
        <w:t>；</w:t>
      </w:r>
    </w:p>
    <w:p w14:paraId="578B792D">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val="en-US" w:eastAsia="zh-CN"/>
        </w:rPr>
        <w:t>3.2</w:t>
      </w:r>
      <w:r>
        <w:rPr>
          <w:rFonts w:hint="eastAsia" w:asciiTheme="minorEastAsia" w:hAnsiTheme="minorEastAsia" w:eastAsiaTheme="minorEastAsia" w:cstheme="minorEastAsia"/>
          <w:bCs/>
          <w:sz w:val="24"/>
          <w:szCs w:val="24"/>
          <w:lang w:eastAsia="zh-CN"/>
        </w:rPr>
        <w:t>采购代理机构</w:t>
      </w:r>
      <w:r>
        <w:rPr>
          <w:rFonts w:hint="eastAsia" w:asciiTheme="minorEastAsia" w:hAnsiTheme="minorEastAsia" w:eastAsiaTheme="minorEastAsia" w:cstheme="minorEastAsia"/>
          <w:bCs/>
          <w:sz w:val="24"/>
          <w:szCs w:val="24"/>
        </w:rPr>
        <w:t>：指为本次招标项目提供招投标服务组织工作的机构，即</w:t>
      </w:r>
      <w:r>
        <w:rPr>
          <w:rFonts w:hint="eastAsia" w:asciiTheme="minorEastAsia" w:hAnsiTheme="minorEastAsia" w:eastAsiaTheme="minorEastAsia" w:cstheme="minorEastAsia"/>
          <w:b/>
          <w:bCs w:val="0"/>
          <w:sz w:val="24"/>
          <w:szCs w:val="24"/>
          <w:lang w:eastAsia="zh-CN"/>
        </w:rPr>
        <w:t>新疆华玫睿项目管理有限公司</w:t>
      </w:r>
      <w:r>
        <w:rPr>
          <w:rFonts w:hint="eastAsia" w:asciiTheme="minorEastAsia" w:hAnsiTheme="minorEastAsia" w:eastAsiaTheme="minorEastAsia" w:cstheme="minorEastAsia"/>
          <w:bCs/>
          <w:sz w:val="24"/>
          <w:szCs w:val="24"/>
        </w:rPr>
        <w:t>；</w:t>
      </w:r>
    </w:p>
    <w:p w14:paraId="19C5D573">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投标人：指按照招标文件要求投标并向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或招标代理机构提交投标文件的法人或者其它组织；</w:t>
      </w:r>
    </w:p>
    <w:p w14:paraId="2BC06C5F">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法人：包括企业法人、机关法人、事业单位法人和社会团体法人；</w:t>
      </w:r>
    </w:p>
    <w:p w14:paraId="643C64A6">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其他组织：包括合伙企业、非企业专业服务机构、个体工商户、农村承包经营户；</w:t>
      </w:r>
    </w:p>
    <w:p w14:paraId="0861EC9C">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自然人：指《</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"https://baike.baidu.com/item/%E4%B8%AD%E5%8D%8E%E4%BA%BA%E6%B0%91%E5%85%B1%E5%92%8C%E5%9B%BD%E6%B0%91%E6%B3%95%E5%85%B8/19435116" \t "https://baike.baidu.com/item/%E4%B8%AD%E5%8D%8E%E4%BA%BA%E6%B0%91%E5%85%B1%E5%92%8C%E5%9B%BD%E6%B0%91%E6%B3%95%E6%80%BB%E5%88%99/_blank"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中华人民共和国民法典</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》规定的具有完全民事行为能力、能够承担民事责任和义务的中国公民。</w:t>
      </w:r>
    </w:p>
    <w:p w14:paraId="26A738B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3.7</w:t>
      </w:r>
      <w:r>
        <w:rPr>
          <w:rFonts w:hint="eastAsia" w:asciiTheme="minorEastAsia" w:hAnsiTheme="minorEastAsia" w:eastAsiaTheme="minorEastAsia" w:cstheme="minorEastAsia"/>
          <w:sz w:val="24"/>
          <w:szCs w:val="24"/>
        </w:rPr>
        <w:t>中标人、卖方：指依法确定成交资格并授予合同的投标人；</w:t>
      </w:r>
    </w:p>
    <w:p w14:paraId="19E9998D">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货物：系指投标人按招标文件要求，向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提供的各种形态和种类的物品，包括原材料、设备、产品(包括软件)及相关的备品备件、工具、手册及其它技术资料和材料。</w:t>
      </w:r>
    </w:p>
    <w:p w14:paraId="61B42C5C">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服务：系指招标文件规定投标人须承担的系统集成、安装、调试、技术协助、校准、培训以及其它类似的义务。</w:t>
      </w:r>
    </w:p>
    <w:p w14:paraId="764DD17C">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3.10</w:t>
      </w:r>
      <w:r>
        <w:rPr>
          <w:rFonts w:hint="eastAsia" w:asciiTheme="minorEastAsia" w:hAnsiTheme="minorEastAsia" w:eastAsiaTheme="minorEastAsia" w:cstheme="minorEastAsia"/>
          <w:sz w:val="24"/>
          <w:szCs w:val="24"/>
        </w:rPr>
        <w:t>偏离：是指投标文件对招标文件的偏离，即不满足、或不响应招标文件的要求。偏离分为对招标文件的实质性要求条款偏离和对招标文件的一般商务和技术条款（参数）偏离。</w:t>
      </w:r>
    </w:p>
    <w:p w14:paraId="0A37BF9A">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3.11</w:t>
      </w:r>
      <w:r>
        <w:rPr>
          <w:rFonts w:hint="eastAsia" w:asciiTheme="minorEastAsia" w:hAnsiTheme="minorEastAsia" w:eastAsiaTheme="minorEastAsia" w:cstheme="minorEastAsia"/>
          <w:sz w:val="24"/>
          <w:szCs w:val="24"/>
        </w:rPr>
        <w:t>日期、天数、时间：未有特别说明时，均为公历日（天）及北京时间。</w:t>
      </w:r>
    </w:p>
    <w:p w14:paraId="31348348">
      <w:pPr>
        <w:numPr>
          <w:ilvl w:val="0"/>
          <w:numId w:val="0"/>
        </w:numPr>
        <w:spacing w:line="360" w:lineRule="auto"/>
        <w:ind w:firstLine="240" w:firstLineChars="100"/>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sz w:val="24"/>
          <w:szCs w:val="24"/>
        </w:rPr>
        <w:t>投标人资格条件</w:t>
      </w:r>
    </w:p>
    <w:p w14:paraId="1A26C01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详见投标人须知前附表；</w:t>
      </w:r>
    </w:p>
    <w:p w14:paraId="65429831">
      <w:pPr>
        <w:spacing w:line="360" w:lineRule="auto"/>
        <w:ind w:firstLine="482" w:firstLineChars="200"/>
        <w:rPr>
          <w:rFonts w:hint="eastAsia" w:ascii="宋体" w:hAnsi="宋体" w:eastAsia="宋体" w:cs="宋体"/>
          <w:sz w:val="24"/>
          <w:szCs w:val="24"/>
          <w:lang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rPr>
        <w:t>充分、公平竞争保障措施</w:t>
      </w:r>
      <w:r>
        <w:rPr>
          <w:rFonts w:hint="eastAsia" w:ascii="宋体" w:hAnsi="宋体" w:eastAsia="宋体" w:cs="宋体"/>
          <w:b/>
          <w:bCs/>
          <w:sz w:val="24"/>
          <w:szCs w:val="24"/>
          <w:lang w:eastAsia="zh-CN"/>
        </w:rPr>
        <w:t>：</w:t>
      </w:r>
    </w:p>
    <w:p w14:paraId="4BB52C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17D261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4.2利害关系授权代表处理。两家以上的供应商不得在同一合同项下的采购项目中，委托同一个自然人、同一家庭的人员、同一单位的人员作为其授权代表，否则，其响应文件作为无效处理。</w:t>
      </w:r>
    </w:p>
    <w:p w14:paraId="07320E9E">
      <w:pPr>
        <w:spacing w:line="360" w:lineRule="auto"/>
        <w:ind w:firstLine="480" w:firstLineChars="200"/>
        <w:rPr>
          <w:rFonts w:hint="default" w:ascii="宋体" w:hAnsi="宋体" w:eastAsia="宋体" w:cs="宋体"/>
          <w:b/>
          <w:bCs/>
          <w:color w:val="FF0000"/>
          <w:sz w:val="24"/>
          <w:szCs w:val="24"/>
          <w:lang w:val="en-US" w:eastAsia="zh-CN"/>
        </w:rPr>
      </w:pPr>
      <w:r>
        <w:rPr>
          <w:rFonts w:hint="eastAsia" w:ascii="宋体" w:hAnsi="宋体" w:eastAsia="宋体" w:cs="宋体"/>
          <w:sz w:val="24"/>
          <w:szCs w:val="24"/>
        </w:rPr>
        <w:t>4.3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239609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4.5供应商实际控制人或者中高级管理人员，同时是采购代理机构工作人员，不得参与本项目政府采购活动。</w:t>
      </w:r>
    </w:p>
    <w:p w14:paraId="2CA343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4.6同一母公司的两家以上的子公司只能组成联合体参加本项目同一合同项下的采购活动，不得以不同供应商身份同时参加本项目同一合同项下的采购活动。</w:t>
      </w:r>
    </w:p>
    <w:p w14:paraId="20E7EB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4.7供应商与采购代理机构存在关联关系，或者是采购代理机构的母公司或子公司，不得参加本项目政府采购活动。</w:t>
      </w:r>
    </w:p>
    <w:p w14:paraId="1082C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4.8回避。政府采购活动中，采购人员及相关人员与供应商有下列利害关系之一的，应当回避：</w:t>
      </w:r>
    </w:p>
    <w:p w14:paraId="295781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（1）参加采购活动前3年内与供应商存在劳动关系；</w:t>
      </w:r>
    </w:p>
    <w:p w14:paraId="7C9576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（2）参加采购活动前3年内担任供应商的董事、监事；</w:t>
      </w:r>
    </w:p>
    <w:p w14:paraId="3772E4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（3）参加采购活动前3年内是供应商的控股股东或者实际控制人；</w:t>
      </w:r>
    </w:p>
    <w:p w14:paraId="2E05F0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（4）与供应商的法定代表人或者负责人有夫妻、直系血亲、三代以内旁系血亲或者近姻亲关系；</w:t>
      </w:r>
    </w:p>
    <w:p w14:paraId="12C810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（5）与供应商有其他可能影响政府采购活动公平、公正进行的关系。</w:t>
      </w:r>
    </w:p>
    <w:p w14:paraId="50B14E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宋体" w:hAnsi="宋体" w:eastAsia="宋体" w:cs="宋体"/>
          <w:sz w:val="24"/>
          <w:szCs w:val="24"/>
          <w:lang w:val="en-US" w:eastAsia="zh-CN"/>
        </w:rPr>
        <w:t>评审小组</w:t>
      </w:r>
      <w:r>
        <w:rPr>
          <w:rFonts w:hint="eastAsia" w:ascii="宋体" w:hAnsi="宋体" w:eastAsia="宋体" w:cs="宋体"/>
          <w:sz w:val="24"/>
          <w:szCs w:val="24"/>
        </w:rPr>
        <w:t>成员。</w:t>
      </w:r>
    </w:p>
    <w:p w14:paraId="20439D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252AFD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4.9验收。</w:t>
      </w:r>
    </w:p>
    <w:p w14:paraId="373DE2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4.9.1验收工作由采购人（或采购人指定的单位）与供应商共同进行。</w:t>
      </w:r>
    </w:p>
    <w:p w14:paraId="23E004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4.9.2在验收时，供应商应向采购人提供货物或服务的相关资料，按采购人提出的方式验收。</w:t>
      </w:r>
    </w:p>
    <w:p w14:paraId="50C4A5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4.9.3由采购人对货物或服务的质量、规格和数量及其他进行检验。如发现质量、规格和数量等任何一项与招标要求规定不符，采购人有权拒绝接受。</w:t>
      </w:r>
    </w:p>
    <w:p w14:paraId="3ADAF510">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投标人领取了招标文件并非意味着完全满足了合格投标人的条件，一切均以评标委员会审核的结果为准。</w:t>
      </w:r>
    </w:p>
    <w:p w14:paraId="69EA60CD">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本项目</w:t>
      </w:r>
      <w:r>
        <w:rPr>
          <w:rFonts w:hint="eastAsia" w:asciiTheme="minorEastAsia" w:hAnsiTheme="minorEastAsia" w:eastAsiaTheme="minorEastAsia" w:cstheme="minorEastAsia"/>
          <w:sz w:val="24"/>
          <w:szCs w:val="24"/>
        </w:rPr>
        <w:t>不接受联合体投标。</w:t>
      </w:r>
    </w:p>
    <w:p w14:paraId="06D43A6F">
      <w:pPr>
        <w:numPr>
          <w:ilvl w:val="0"/>
          <w:numId w:val="0"/>
        </w:numPr>
        <w:spacing w:line="360" w:lineRule="auto"/>
        <w:ind w:leftChars="0" w:firstLine="482" w:firstLineChars="200"/>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授权委托</w:t>
      </w:r>
    </w:p>
    <w:p w14:paraId="6B67C6AC">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投标人代表不是投标人的法定代表人或其他组织负责人，应持有授权委托书，并附法定代表人或负责人身份证明。</w:t>
      </w:r>
    </w:p>
    <w:p w14:paraId="67098FC1">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5.2</w:t>
      </w:r>
      <w:r>
        <w:rPr>
          <w:rFonts w:hint="eastAsia" w:asciiTheme="minorEastAsia" w:hAnsiTheme="minorEastAsia" w:eastAsiaTheme="minorEastAsia" w:cstheme="minorEastAsia"/>
          <w:sz w:val="24"/>
          <w:szCs w:val="24"/>
        </w:rPr>
        <w:t>自然人参与本项目投标时不得再委托其他自然人进行投标，且持自然人身份证明投标。</w:t>
      </w:r>
    </w:p>
    <w:p w14:paraId="06126D0D">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w:t>
      </w:r>
      <w:r>
        <w:rPr>
          <w:rFonts w:hint="eastAsia" w:asciiTheme="minorEastAsia" w:hAnsiTheme="minorEastAsia" w:eastAsiaTheme="minorEastAsia" w:cstheme="minorEastAsia"/>
          <w:sz w:val="24"/>
          <w:szCs w:val="24"/>
        </w:rPr>
        <w:t>法定代表人或其他组织负责人出席开标仪式或者直接办理投标相关事宜者无须提供授权委托书，但须提供法定代表人或其他组织负责人身份证明。</w:t>
      </w:r>
    </w:p>
    <w:p w14:paraId="77E383F4">
      <w:pPr>
        <w:numPr>
          <w:ilvl w:val="0"/>
          <w:numId w:val="0"/>
        </w:numPr>
        <w:spacing w:line="360" w:lineRule="auto"/>
        <w:ind w:leftChars="0" w:firstLine="482" w:firstLineChars="200"/>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投标费用</w:t>
      </w:r>
    </w:p>
    <w:p w14:paraId="0060A33E">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投标人应承担所有与准备和参加投标有关的费用。不论投标的结果如何，招标代理机构和</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在任何情况下均无义务和责任承担这些费用。</w:t>
      </w:r>
    </w:p>
    <w:p w14:paraId="0821BC6A">
      <w:pPr>
        <w:pStyle w:val="3"/>
        <w:spacing w:line="480" w:lineRule="exact"/>
        <w:jc w:val="center"/>
        <w:rPr>
          <w:rFonts w:hint="eastAsia" w:asciiTheme="minorEastAsia" w:hAnsiTheme="minorEastAsia" w:eastAsiaTheme="minorEastAsia" w:cstheme="minorEastAsia"/>
          <w:sz w:val="28"/>
          <w:szCs w:val="28"/>
        </w:rPr>
      </w:pPr>
      <w:bookmarkStart w:id="52" w:name="_Toc17204480"/>
      <w:bookmarkStart w:id="53" w:name="_Toc388260475"/>
      <w:bookmarkStart w:id="54" w:name="_Toc25738"/>
      <w:r>
        <w:rPr>
          <w:rFonts w:hint="eastAsia" w:asciiTheme="minorEastAsia" w:hAnsiTheme="minorEastAsia" w:eastAsiaTheme="minorEastAsia" w:cstheme="minorEastAsia"/>
          <w:sz w:val="28"/>
          <w:szCs w:val="28"/>
        </w:rPr>
        <w:t>二、招标文件</w:t>
      </w:r>
      <w:bookmarkEnd w:id="52"/>
      <w:bookmarkEnd w:id="53"/>
      <w:bookmarkEnd w:id="54"/>
    </w:p>
    <w:p w14:paraId="5E68C18C">
      <w:pPr>
        <w:numPr>
          <w:ilvl w:val="0"/>
          <w:numId w:val="0"/>
        </w:numPr>
        <w:spacing w:line="480" w:lineRule="exact"/>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招标文件组成</w:t>
      </w:r>
    </w:p>
    <w:p w14:paraId="033C0C98">
      <w:pPr>
        <w:numPr>
          <w:ilvl w:val="0"/>
          <w:numId w:val="0"/>
        </w:numPr>
        <w:spacing w:line="480" w:lineRule="exact"/>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招标文件共分六章，其内容如下：</w:t>
      </w:r>
    </w:p>
    <w:p w14:paraId="160F85B2">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招标公告</w:t>
      </w:r>
    </w:p>
    <w:p w14:paraId="01B5D9B8">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投标须知</w:t>
      </w:r>
    </w:p>
    <w:p w14:paraId="0096B43C">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评标办法</w:t>
      </w:r>
    </w:p>
    <w:p w14:paraId="38A35BDF">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合同条款</w:t>
      </w:r>
    </w:p>
    <w:p w14:paraId="3BE84EA7">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采购需求</w:t>
      </w:r>
    </w:p>
    <w:p w14:paraId="2B9CF250">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投标文件格式</w:t>
      </w:r>
    </w:p>
    <w:p w14:paraId="784C78C4">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对招标文件所作的澄清、修改，构成招标文件的组成部分。</w:t>
      </w:r>
    </w:p>
    <w:p w14:paraId="2A426BA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投标人应仔细阅读招标文件的全部内容，按照招标文件要求编制投标文件。任何对招标文件的忽略或误解不能作为投标文件存在缺陷或瑕疵的理由，其风险由投标人自行承担。</w:t>
      </w:r>
    </w:p>
    <w:p w14:paraId="61ACD938">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招标文件的澄清、修改</w:t>
      </w:r>
    </w:p>
    <w:p w14:paraId="175537D3">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任何要求对招标文件进行澄清的投标人，均应以书面形式通知招标代理机构。招标代理机构联系方式见“投标须知前附表”。招标代理机构对其招标公告自发布之日起七个工作日内收到的对招标文件的澄清要求，如认为有必要，将以书面形式予以答复，同时将书面答复发给每个领取招标文件的投标人(答复中不包括问题的来源)，否则将视为所有投标人已详细阅读招标文件并能够响应招标文件实质性要求。</w:t>
      </w:r>
    </w:p>
    <w:p w14:paraId="37AEC3CA">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投标截止期前十五（15）天，无论出于何种原因，招标代理机构可主动地或在解答投标人提出的澄清问题时对招标文件进行修改，招标文件的修改书将构成招标文件的一部分。</w:t>
      </w:r>
    </w:p>
    <w:p w14:paraId="0EA2F550">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招标文件的修改将以书面形式通知所有领取招标文件的投标人，并对其具有约束力。投标人在收到上述通知后，应立即以传真形式向招标代理机构予以确认；在规定时间内未收到回复确认的，将视为默认接受。</w:t>
      </w:r>
    </w:p>
    <w:p w14:paraId="1A75561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为使投标人准备投标时有充分时间对招标文件的修改部分进行研究，招标人可自行决定是否延长投标截止日期和推迟开标时间。</w:t>
      </w:r>
    </w:p>
    <w:p w14:paraId="34D78FA6">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投标人投标文件内出现组价、开标阶段报价或投标文件内前后报价出现不一致，使得评审工作无法继续者，评标委员会可以要求该投标人做出书面澄清，投标人拒不履行评标委员会澄清要求的将视为无效投标；投标文件其他应予修正范围和标准以《政府采购货物和服务招标投标管理办法》第五十九条执行。</w:t>
      </w:r>
    </w:p>
    <w:p w14:paraId="46BB1FBC">
      <w:pPr>
        <w:rPr>
          <w:rFonts w:hint="eastAsia" w:asciiTheme="minorEastAsia" w:hAnsiTheme="minorEastAsia" w:eastAsiaTheme="minorEastAsia" w:cstheme="minorEastAsia"/>
          <w:sz w:val="28"/>
          <w:szCs w:val="28"/>
        </w:rPr>
      </w:pPr>
      <w:bookmarkStart w:id="55" w:name="_Toc388260476"/>
      <w:bookmarkStart w:id="56" w:name="_Toc10230"/>
      <w:bookmarkStart w:id="57" w:name="_Toc17204481"/>
      <w:r>
        <w:rPr>
          <w:rFonts w:hint="eastAsia" w:asciiTheme="minorEastAsia" w:hAnsiTheme="minorEastAsia" w:eastAsiaTheme="minorEastAsia" w:cstheme="minorEastAsia"/>
          <w:sz w:val="28"/>
          <w:szCs w:val="28"/>
        </w:rPr>
        <w:br w:type="page"/>
      </w:r>
    </w:p>
    <w:p w14:paraId="46F8914E">
      <w:pPr>
        <w:pStyle w:val="3"/>
        <w:spacing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三、投标文件</w:t>
      </w:r>
      <w:bookmarkEnd w:id="55"/>
      <w:r>
        <w:rPr>
          <w:rFonts w:hint="eastAsia" w:asciiTheme="minorEastAsia" w:hAnsiTheme="minorEastAsia" w:eastAsiaTheme="minorEastAsia" w:cstheme="minorEastAsia"/>
          <w:sz w:val="28"/>
          <w:szCs w:val="28"/>
        </w:rPr>
        <w:t>的组成及编制</w:t>
      </w:r>
      <w:bookmarkEnd w:id="56"/>
      <w:bookmarkEnd w:id="57"/>
    </w:p>
    <w:p w14:paraId="39C7A226">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投标文件的组成</w:t>
      </w:r>
    </w:p>
    <w:p w14:paraId="44EFFB9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投标文件由内容如下组成：</w:t>
      </w:r>
    </w:p>
    <w:p w14:paraId="3F5C0B3D">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58" w:name="_Toc9004"/>
      <w:bookmarkStart w:id="59" w:name="_Toc11276"/>
      <w:bookmarkStart w:id="60" w:name="_Toc364"/>
      <w:bookmarkStart w:id="61" w:name="_Toc11325"/>
      <w:r>
        <w:rPr>
          <w:rFonts w:hint="eastAsia" w:asciiTheme="minorEastAsia" w:hAnsiTheme="minorEastAsia" w:eastAsiaTheme="minorEastAsia" w:cstheme="minorEastAsia"/>
          <w:bCs/>
          <w:color w:val="auto"/>
          <w:sz w:val="24"/>
          <w:szCs w:val="24"/>
        </w:rPr>
        <w:t>投标函</w:t>
      </w:r>
      <w:bookmarkEnd w:id="58"/>
      <w:bookmarkEnd w:id="59"/>
      <w:bookmarkEnd w:id="60"/>
      <w:bookmarkEnd w:id="61"/>
    </w:p>
    <w:p w14:paraId="679EBF9F">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62" w:name="_Toc24022"/>
      <w:bookmarkStart w:id="63" w:name="_Toc19207"/>
      <w:bookmarkStart w:id="64" w:name="_Toc18334"/>
      <w:bookmarkStart w:id="65" w:name="_Toc13481"/>
      <w:r>
        <w:rPr>
          <w:rFonts w:hint="eastAsia" w:asciiTheme="minorEastAsia" w:hAnsiTheme="minorEastAsia" w:eastAsiaTheme="minorEastAsia" w:cstheme="minorEastAsia"/>
          <w:bCs/>
          <w:color w:val="auto"/>
          <w:sz w:val="24"/>
          <w:szCs w:val="24"/>
        </w:rPr>
        <w:t>投标报价一览表</w:t>
      </w:r>
      <w:bookmarkEnd w:id="62"/>
      <w:bookmarkEnd w:id="63"/>
      <w:bookmarkEnd w:id="64"/>
      <w:bookmarkEnd w:id="65"/>
    </w:p>
    <w:p w14:paraId="15804A5E">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66" w:name="_Toc22960"/>
      <w:bookmarkStart w:id="67" w:name="_Toc3882"/>
      <w:bookmarkStart w:id="68" w:name="_Toc4278"/>
      <w:bookmarkStart w:id="69" w:name="_Toc12035"/>
      <w:r>
        <w:rPr>
          <w:rFonts w:hint="eastAsia" w:asciiTheme="minorEastAsia" w:hAnsiTheme="minorEastAsia" w:eastAsiaTheme="minorEastAsia" w:cstheme="minorEastAsia"/>
          <w:bCs/>
          <w:color w:val="auto"/>
          <w:sz w:val="24"/>
          <w:szCs w:val="24"/>
        </w:rPr>
        <w:t>报价明细表</w:t>
      </w:r>
      <w:bookmarkEnd w:id="66"/>
      <w:bookmarkEnd w:id="67"/>
      <w:bookmarkEnd w:id="68"/>
      <w:bookmarkEnd w:id="69"/>
    </w:p>
    <w:p w14:paraId="665EBBA6">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70" w:name="_Toc674"/>
      <w:bookmarkStart w:id="71" w:name="_Toc28733"/>
      <w:bookmarkStart w:id="72" w:name="_Toc23504"/>
      <w:bookmarkStart w:id="73" w:name="_Toc1766"/>
      <w:r>
        <w:rPr>
          <w:rFonts w:hint="eastAsia" w:asciiTheme="minorEastAsia" w:hAnsiTheme="minorEastAsia" w:eastAsiaTheme="minorEastAsia" w:cstheme="minorEastAsia"/>
          <w:bCs/>
          <w:color w:val="auto"/>
          <w:sz w:val="24"/>
          <w:szCs w:val="24"/>
        </w:rPr>
        <w:t>法定代表人身份证明</w:t>
      </w:r>
      <w:bookmarkEnd w:id="70"/>
      <w:bookmarkEnd w:id="71"/>
      <w:bookmarkEnd w:id="72"/>
      <w:bookmarkEnd w:id="73"/>
    </w:p>
    <w:p w14:paraId="67996FB3">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74" w:name="_Toc20368"/>
      <w:bookmarkStart w:id="75" w:name="_Toc23312"/>
      <w:bookmarkStart w:id="76" w:name="_Toc5427"/>
      <w:bookmarkStart w:id="77" w:name="_Toc25810"/>
      <w:r>
        <w:rPr>
          <w:rFonts w:hint="eastAsia" w:asciiTheme="minorEastAsia" w:hAnsiTheme="minorEastAsia" w:eastAsiaTheme="minorEastAsia" w:cstheme="minorEastAsia"/>
          <w:bCs/>
          <w:color w:val="auto"/>
          <w:sz w:val="24"/>
          <w:szCs w:val="24"/>
        </w:rPr>
        <w:t>法定代表人授权委托书</w:t>
      </w:r>
      <w:bookmarkEnd w:id="74"/>
      <w:bookmarkEnd w:id="75"/>
      <w:bookmarkEnd w:id="76"/>
      <w:bookmarkEnd w:id="77"/>
    </w:p>
    <w:p w14:paraId="6CDF672D">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78" w:name="_Toc7121"/>
      <w:bookmarkStart w:id="79" w:name="_Toc29602"/>
      <w:bookmarkStart w:id="80" w:name="_Toc154"/>
      <w:bookmarkStart w:id="81" w:name="_Toc11031"/>
      <w:r>
        <w:rPr>
          <w:rFonts w:hint="eastAsia" w:asciiTheme="minorEastAsia" w:hAnsiTheme="minorEastAsia" w:eastAsiaTheme="minorEastAsia" w:cstheme="minorEastAsia"/>
          <w:bCs/>
          <w:color w:val="auto"/>
          <w:sz w:val="24"/>
          <w:szCs w:val="24"/>
        </w:rPr>
        <w:t>投标人基本情况</w:t>
      </w:r>
      <w:bookmarkEnd w:id="78"/>
      <w:bookmarkEnd w:id="79"/>
      <w:bookmarkEnd w:id="80"/>
      <w:bookmarkEnd w:id="81"/>
    </w:p>
    <w:p w14:paraId="4D4D6DC9">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82" w:name="_Toc5965"/>
      <w:bookmarkStart w:id="83" w:name="_Toc22821"/>
      <w:bookmarkStart w:id="84" w:name="_Toc17945"/>
      <w:bookmarkStart w:id="85" w:name="_Toc23349"/>
      <w:r>
        <w:rPr>
          <w:rFonts w:hint="eastAsia" w:asciiTheme="minorEastAsia" w:hAnsiTheme="minorEastAsia" w:eastAsiaTheme="minorEastAsia" w:cstheme="minorEastAsia"/>
          <w:bCs/>
          <w:color w:val="auto"/>
          <w:sz w:val="24"/>
          <w:szCs w:val="24"/>
          <w:lang w:eastAsia="zh-CN"/>
        </w:rPr>
        <w:t>近三年</w:t>
      </w:r>
      <w:r>
        <w:rPr>
          <w:rFonts w:hint="eastAsia" w:asciiTheme="minorEastAsia" w:hAnsiTheme="minorEastAsia" w:eastAsiaTheme="minorEastAsia" w:cstheme="minorEastAsia"/>
          <w:bCs/>
          <w:color w:val="auto"/>
          <w:sz w:val="24"/>
          <w:szCs w:val="24"/>
        </w:rPr>
        <w:t>已完成或在执行类似项目一览表</w:t>
      </w:r>
      <w:bookmarkEnd w:id="82"/>
      <w:bookmarkEnd w:id="83"/>
      <w:bookmarkEnd w:id="84"/>
      <w:bookmarkEnd w:id="85"/>
    </w:p>
    <w:p w14:paraId="27639A65">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86" w:name="_Toc22672"/>
      <w:bookmarkStart w:id="87" w:name="_Toc10673"/>
      <w:bookmarkStart w:id="88" w:name="_Toc16852"/>
      <w:bookmarkStart w:id="89" w:name="_Toc10528"/>
      <w:r>
        <w:rPr>
          <w:rFonts w:hint="eastAsia" w:asciiTheme="minorEastAsia" w:hAnsiTheme="minorEastAsia" w:eastAsiaTheme="minorEastAsia" w:cstheme="minorEastAsia"/>
          <w:bCs/>
          <w:color w:val="auto"/>
          <w:sz w:val="24"/>
          <w:szCs w:val="24"/>
        </w:rPr>
        <w:t>商务条款偏离表</w:t>
      </w:r>
      <w:bookmarkEnd w:id="86"/>
      <w:bookmarkEnd w:id="87"/>
      <w:bookmarkEnd w:id="88"/>
      <w:bookmarkEnd w:id="89"/>
    </w:p>
    <w:p w14:paraId="2E4C0BC8">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90" w:name="_Toc5109"/>
      <w:bookmarkStart w:id="91" w:name="_Toc31748"/>
      <w:bookmarkStart w:id="92" w:name="_Toc29369"/>
      <w:bookmarkStart w:id="93" w:name="_Toc23181"/>
      <w:r>
        <w:rPr>
          <w:rFonts w:hint="eastAsia" w:asciiTheme="minorEastAsia" w:hAnsiTheme="minorEastAsia" w:eastAsiaTheme="minorEastAsia" w:cstheme="minorEastAsia"/>
          <w:bCs/>
          <w:color w:val="auto"/>
          <w:sz w:val="24"/>
          <w:szCs w:val="24"/>
          <w:lang w:val="en-US" w:eastAsia="zh-CN"/>
        </w:rPr>
        <w:t>服务条款</w:t>
      </w:r>
      <w:r>
        <w:rPr>
          <w:rFonts w:hint="eastAsia" w:asciiTheme="minorEastAsia" w:hAnsiTheme="minorEastAsia" w:eastAsiaTheme="minorEastAsia" w:cstheme="minorEastAsia"/>
          <w:bCs/>
          <w:color w:val="auto"/>
          <w:sz w:val="24"/>
          <w:szCs w:val="24"/>
        </w:rPr>
        <w:t>偏离表</w:t>
      </w:r>
      <w:bookmarkEnd w:id="90"/>
      <w:bookmarkEnd w:id="91"/>
      <w:bookmarkEnd w:id="92"/>
      <w:bookmarkEnd w:id="93"/>
    </w:p>
    <w:p w14:paraId="0B468EAE">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94" w:name="_Toc7142"/>
      <w:bookmarkStart w:id="95" w:name="_Toc9841"/>
      <w:bookmarkStart w:id="96" w:name="_Toc14105"/>
      <w:bookmarkStart w:id="97" w:name="_Toc19400"/>
      <w:r>
        <w:rPr>
          <w:rFonts w:hint="eastAsia" w:asciiTheme="minorEastAsia" w:hAnsiTheme="minorEastAsia" w:eastAsiaTheme="minorEastAsia" w:cstheme="minorEastAsia"/>
          <w:bCs/>
          <w:color w:val="auto"/>
          <w:sz w:val="24"/>
          <w:szCs w:val="24"/>
        </w:rPr>
        <w:t>实施方案</w:t>
      </w:r>
      <w:bookmarkEnd w:id="94"/>
      <w:bookmarkEnd w:id="95"/>
      <w:bookmarkEnd w:id="96"/>
      <w:bookmarkEnd w:id="97"/>
    </w:p>
    <w:p w14:paraId="48547B8F">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98" w:name="_Toc6642"/>
      <w:bookmarkStart w:id="99" w:name="_Toc2788"/>
      <w:bookmarkStart w:id="100" w:name="_Toc127"/>
      <w:bookmarkStart w:id="101" w:name="_Toc10025"/>
      <w:r>
        <w:rPr>
          <w:rFonts w:hint="eastAsia" w:asciiTheme="minorEastAsia" w:hAnsiTheme="minorEastAsia" w:eastAsiaTheme="minorEastAsia" w:cstheme="minorEastAsia"/>
          <w:bCs/>
          <w:color w:val="auto"/>
          <w:sz w:val="24"/>
          <w:szCs w:val="24"/>
        </w:rPr>
        <w:t>售后服务承诺书</w:t>
      </w:r>
      <w:bookmarkEnd w:id="98"/>
      <w:bookmarkEnd w:id="99"/>
      <w:bookmarkEnd w:id="100"/>
      <w:bookmarkEnd w:id="101"/>
    </w:p>
    <w:p w14:paraId="0696713E">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102" w:name="_Toc14121"/>
      <w:bookmarkStart w:id="103" w:name="_Toc23426"/>
      <w:bookmarkStart w:id="104" w:name="_Toc11849"/>
      <w:bookmarkStart w:id="105" w:name="_Toc1374"/>
      <w:r>
        <w:rPr>
          <w:rFonts w:hint="eastAsia" w:asciiTheme="minorEastAsia" w:hAnsiTheme="minorEastAsia" w:eastAsiaTheme="minorEastAsia" w:cstheme="minorEastAsia"/>
          <w:bCs/>
          <w:color w:val="auto"/>
          <w:sz w:val="24"/>
          <w:szCs w:val="24"/>
        </w:rPr>
        <w:t>其它证明材料</w:t>
      </w:r>
      <w:bookmarkEnd w:id="102"/>
      <w:bookmarkEnd w:id="103"/>
      <w:bookmarkEnd w:id="104"/>
      <w:bookmarkEnd w:id="105"/>
    </w:p>
    <w:p w14:paraId="0E2B1227">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106" w:name="_Toc9804"/>
      <w:bookmarkStart w:id="107" w:name="_Toc15030"/>
      <w:bookmarkStart w:id="108" w:name="_Toc6393"/>
      <w:bookmarkStart w:id="109" w:name="_Toc18465"/>
      <w:r>
        <w:rPr>
          <w:rFonts w:hint="eastAsia" w:asciiTheme="minorEastAsia" w:hAnsiTheme="minorEastAsia" w:eastAsiaTheme="minorEastAsia" w:cstheme="minorEastAsia"/>
          <w:bCs/>
          <w:color w:val="auto"/>
          <w:sz w:val="24"/>
          <w:szCs w:val="24"/>
        </w:rPr>
        <w:t>声明函</w:t>
      </w:r>
      <w:bookmarkEnd w:id="106"/>
      <w:bookmarkEnd w:id="107"/>
      <w:bookmarkEnd w:id="108"/>
      <w:bookmarkEnd w:id="109"/>
    </w:p>
    <w:p w14:paraId="5BD5BDD3">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编制原则</w:t>
      </w:r>
    </w:p>
    <w:p w14:paraId="0DCC8295">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投标人应在认真阅读招标文件所有内容的基础上，按照招标文件的要求编制完整的投标文件。★招标文件中对投标文件格式有要求的，应按格式逐项填写内容，不准有空项；无相应内容可填的项应填写“无”、 “没有相应指标”等明确的回答文字。投标文件中留有空项的，将被视为不完整响应的投标文件，其投标将有可能被视为无效投标。</w:t>
      </w:r>
    </w:p>
    <w:p w14:paraId="13C59D86">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投标人必须保证投标文件所提供的全部资料真实可靠，并接受评标委员会对其中任何资料进一步审查的要求。</w:t>
      </w:r>
    </w:p>
    <w:p w14:paraId="165F27E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投标文件须对招标文件中的内容做出实质性和完整的响应，否则其投标将被视为无效投标。</w:t>
      </w:r>
    </w:p>
    <w:p w14:paraId="1AF4641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投标文件的编制及相关参数、证明材料、认证或报告等投标文件组成部分均应为简体中文版或中英文双语版否则在评审时将不予认可。</w:t>
      </w:r>
    </w:p>
    <w:p w14:paraId="3BDEA470">
      <w:pPr>
        <w:numPr>
          <w:ilvl w:val="0"/>
          <w:numId w:val="0"/>
        </w:numPr>
        <w:spacing w:line="360" w:lineRule="auto"/>
        <w:ind w:leftChars="0" w:firstLine="240"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sz w:val="24"/>
          <w:szCs w:val="24"/>
        </w:rPr>
        <w:t>投标文件编制要求</w:t>
      </w:r>
    </w:p>
    <w:p w14:paraId="1CE25C70">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投标文件应按照“投标文件格式”的要求</w:t>
      </w:r>
      <w:r>
        <w:rPr>
          <w:rFonts w:hint="eastAsia" w:asciiTheme="minorEastAsia" w:hAnsiTheme="minorEastAsia" w:eastAsiaTheme="minorEastAsia" w:cstheme="minorEastAsia"/>
          <w:sz w:val="24"/>
          <w:szCs w:val="24"/>
          <w:lang w:val="en-US" w:eastAsia="zh-CN"/>
        </w:rPr>
        <w:t>进行</w:t>
      </w:r>
      <w:r>
        <w:rPr>
          <w:rFonts w:hint="eastAsia" w:asciiTheme="minorEastAsia" w:hAnsiTheme="minorEastAsia" w:eastAsiaTheme="minorEastAsia" w:cstheme="minorEastAsia"/>
          <w:sz w:val="24"/>
          <w:szCs w:val="24"/>
        </w:rPr>
        <w:t>编制。</w:t>
      </w:r>
    </w:p>
    <w:p w14:paraId="6D0EC2D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对于有特定格式要求的，不允许改动其内容，否则，其投标无效。</w:t>
      </w:r>
    </w:p>
    <w:p w14:paraId="5061A29C">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投标文件的制作，应使用简体中文（包括投标人对其投标文件进行支持的第三方证明文件，如审计报告、产品说明书、检验报告、评估报告等，均须采用简体中文进行编制或提交）。</w:t>
      </w:r>
    </w:p>
    <w:p w14:paraId="792B620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任何行间插字、涂改和增删，须由投标人法定代表人（或其他组织负责人，或自然人直接签字）或其授权委托书在旁边签字、盖章后方为有效；否则其内容将不被认可，涉及资格认定的未进行签字盖章的行间插字、涂改和增删均不予认可，并一同视为无效投标。</w:t>
      </w:r>
    </w:p>
    <w:p w14:paraId="2274E1CC">
      <w:pPr>
        <w:numPr>
          <w:ilvl w:val="0"/>
          <w:numId w:val="0"/>
        </w:numPr>
        <w:spacing w:line="360" w:lineRule="auto"/>
        <w:ind w:lef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3.6</w:t>
      </w:r>
      <w:r>
        <w:rPr>
          <w:rFonts w:hint="eastAsia" w:asciiTheme="minorEastAsia" w:hAnsiTheme="minorEastAsia" w:eastAsiaTheme="minorEastAsia" w:cstheme="minorEastAsia"/>
          <w:b/>
          <w:sz w:val="24"/>
          <w:szCs w:val="24"/>
        </w:rPr>
        <w:t>《投标文件》应根据《招标文件》的要求编制，签署、盖章和内容应完整，如有遗漏或与《招标文件》要求不否的将被视为无效投标。</w:t>
      </w:r>
    </w:p>
    <w:p w14:paraId="420B24EB">
      <w:pPr>
        <w:numPr>
          <w:ilvl w:val="0"/>
          <w:numId w:val="0"/>
        </w:numPr>
        <w:spacing w:line="360" w:lineRule="auto"/>
        <w:ind w:leftChars="0" w:firstLine="240"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sz w:val="24"/>
          <w:szCs w:val="24"/>
        </w:rPr>
        <w:t>投标报价</w:t>
      </w:r>
    </w:p>
    <w:p w14:paraId="33AB46A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投标人应按招标文件规定的供货及服务要求、责任范围和合同条件，以人民币进行报价。</w:t>
      </w:r>
    </w:p>
    <w:p w14:paraId="0A57728E">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投标人应按投标报价一览表和分项价格表的内容和格式要求填写各项货物及服务的分项价格和总价。投标总价中不得包含招标文件要求以外的内容，否则，在评审时不予核减。投标总价中也不得缺漏招标文件所要求的内容，否则，在评审时将其视为无效投标。</w:t>
      </w:r>
    </w:p>
    <w:p w14:paraId="5805CA05">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w:t>
      </w:r>
      <w:r>
        <w:rPr>
          <w:rFonts w:hint="eastAsia" w:asciiTheme="minorEastAsia" w:hAnsiTheme="minorEastAsia" w:eastAsiaTheme="minorEastAsia" w:cstheme="minorEastAsia"/>
          <w:sz w:val="24"/>
          <w:szCs w:val="24"/>
        </w:rPr>
        <w:t>投标人对每种货物及服务只允许有一个报价，不接受选择性报价，否则，在评审时将其视为无效投标。</w:t>
      </w:r>
    </w:p>
    <w:p w14:paraId="2A09F106">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4.4</w:t>
      </w:r>
      <w:r>
        <w:rPr>
          <w:rFonts w:hint="eastAsia" w:asciiTheme="minorEastAsia" w:hAnsiTheme="minorEastAsia" w:eastAsiaTheme="minorEastAsia" w:cstheme="minorEastAsia"/>
          <w:sz w:val="24"/>
          <w:szCs w:val="24"/>
        </w:rPr>
        <w:t>投标报价范围及说明：报价包括完成采购内容中全部服务等全过程的全部费用</w:t>
      </w:r>
      <w:r>
        <w:rPr>
          <w:rFonts w:hint="eastAsia" w:asciiTheme="minorEastAsia" w:hAnsiTheme="minorEastAsia" w:eastAsiaTheme="minorEastAsia" w:cstheme="minorEastAsia"/>
          <w:b/>
          <w:sz w:val="24"/>
          <w:szCs w:val="24"/>
        </w:rPr>
        <w:t>。</w:t>
      </w:r>
    </w:p>
    <w:p w14:paraId="6F7B0857">
      <w:pPr>
        <w:numPr>
          <w:ilvl w:val="0"/>
          <w:numId w:val="0"/>
        </w:numPr>
        <w:spacing w:line="360" w:lineRule="auto"/>
        <w:ind w:leftChars="0" w:firstLine="482" w:firstLineChars="200"/>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采购项目需要落实的政府采购政策：依据《中华人民共和国政府采购法》和《中华人民共和国政府采购实施条例》的有关规定，落实政府采购政策。</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本项目专门面向</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小微企业</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，需按要求提供《中小企业声明函》（监狱企业、残疾人福利性单位视同小型、微型企业），行业划分为</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租赁和商务服务业</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w:t>
      </w:r>
    </w:p>
    <w:p w14:paraId="18AEC3A6">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5.1</w:t>
      </w:r>
      <w:r>
        <w:rPr>
          <w:rFonts w:hint="eastAsia" w:asciiTheme="minorEastAsia" w:hAnsiTheme="minorEastAsia" w:eastAsiaTheme="minorEastAsia" w:cstheme="minorEastAsia"/>
          <w:b w:val="0"/>
          <w:bCs/>
          <w:sz w:val="24"/>
          <w:szCs w:val="24"/>
        </w:rPr>
        <w:t>财政部、工业和信息化部关于印发《政府采购促进中小企业发展管理办法》的通知（财库〔2020〕46号）；</w:t>
      </w:r>
    </w:p>
    <w:p w14:paraId="7801355B">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5.2</w:t>
      </w:r>
      <w:r>
        <w:rPr>
          <w:rFonts w:hint="eastAsia" w:asciiTheme="minorEastAsia" w:hAnsiTheme="minorEastAsia" w:eastAsiaTheme="minorEastAsia" w:cstheme="minorEastAsia"/>
          <w:b w:val="0"/>
          <w:bCs/>
          <w:sz w:val="24"/>
          <w:szCs w:val="24"/>
        </w:rPr>
        <w:t>《财政部、司法部关于政府采购支持监狱企业发展有关问题的通知》（财库[2014]68号）；</w:t>
      </w:r>
    </w:p>
    <w:p w14:paraId="1DC80FE9">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5.3</w:t>
      </w:r>
      <w:r>
        <w:rPr>
          <w:rFonts w:hint="eastAsia" w:asciiTheme="minorEastAsia" w:hAnsiTheme="minorEastAsia" w:eastAsiaTheme="minorEastAsia" w:cstheme="minorEastAsia"/>
          <w:b w:val="0"/>
          <w:bCs/>
          <w:sz w:val="24"/>
          <w:szCs w:val="24"/>
        </w:rPr>
        <w:t>《国务院办公厅关于建立政府强制采购节能产品制度的通知》（国发办[2007]51号）； </w:t>
      </w:r>
    </w:p>
    <w:p w14:paraId="6401737B">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5.4</w:t>
      </w:r>
      <w:r>
        <w:rPr>
          <w:rFonts w:hint="eastAsia" w:asciiTheme="minorEastAsia" w:hAnsiTheme="minorEastAsia" w:eastAsiaTheme="minorEastAsia" w:cstheme="minorEastAsia"/>
          <w:b w:val="0"/>
          <w:bCs/>
          <w:sz w:val="24"/>
          <w:szCs w:val="24"/>
        </w:rPr>
        <w:t>《财政部 民政部 中国残疾人联合会关于促进残疾人就业政府采购政策的通知》财库[2017]141号； </w:t>
      </w:r>
    </w:p>
    <w:p w14:paraId="6BE41536">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5.5</w:t>
      </w:r>
      <w:r>
        <w:rPr>
          <w:rFonts w:hint="eastAsia" w:asciiTheme="minorEastAsia" w:hAnsiTheme="minorEastAsia" w:eastAsiaTheme="minorEastAsia" w:cstheme="minorEastAsia"/>
          <w:b w:val="0"/>
          <w:bCs/>
          <w:sz w:val="24"/>
          <w:szCs w:val="24"/>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14:paraId="37624EEB">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5.6</w:t>
      </w:r>
      <w:r>
        <w:rPr>
          <w:rFonts w:hint="eastAsia" w:asciiTheme="minorEastAsia" w:hAnsiTheme="minorEastAsia" w:eastAsiaTheme="minorEastAsia" w:cstheme="minorEastAsia"/>
          <w:b w:val="0"/>
          <w:bCs/>
          <w:sz w:val="24"/>
          <w:szCs w:val="24"/>
        </w:rPr>
        <w:t>对中小微企业执行（财库〔2020〕46号）文件的规定，对其价格给予一定比例扣除，其评标价为按规定比例扣除后的价格，扣除比例为其投标报价按</w:t>
      </w:r>
      <w:r>
        <w:rPr>
          <w:rFonts w:hint="eastAsia" w:asciiTheme="minorEastAsia" w:hAnsiTheme="minorEastAsia" w:eastAsia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rPr>
        <w:t>%扣除后的价格作为其评标价</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本项目不做扣除</w:t>
      </w:r>
      <w:r>
        <w:rPr>
          <w:rFonts w:hint="eastAsia" w:asciiTheme="minorEastAsia" w:hAnsiTheme="minorEastAsia" w:eastAsiaTheme="minorEastAsia" w:cstheme="minorEastAsia"/>
          <w:b w:val="0"/>
          <w:bCs/>
          <w:sz w:val="24"/>
          <w:szCs w:val="24"/>
          <w:lang w:eastAsia="zh-CN"/>
        </w:rPr>
        <w:t>）。</w:t>
      </w:r>
    </w:p>
    <w:p w14:paraId="16D2ECAA">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5.7</w:t>
      </w:r>
      <w:r>
        <w:rPr>
          <w:rFonts w:hint="eastAsia" w:asciiTheme="minorEastAsia" w:hAnsiTheme="minorEastAsia" w:eastAsiaTheme="minorEastAsia" w:cstheme="minorEastAsia"/>
          <w:b w:val="0"/>
          <w:bCs/>
          <w:sz w:val="24"/>
          <w:szCs w:val="24"/>
        </w:rPr>
        <w:t>对满足财政部、民政部、中国残疾人联合会发布的《关于促进残疾人就业政府采购政策的通知》规定，本项目对残疾人福利性单位产品的价格给予</w:t>
      </w:r>
      <w:r>
        <w:rPr>
          <w:rFonts w:hint="eastAsia" w:asciiTheme="minorEastAsia" w:hAnsiTheme="minorEastAsia" w:eastAsia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rPr>
        <w:t>%的扣除，其评标价为按规定比例扣除后的价格，扣除比例为其投标报价按</w:t>
      </w:r>
      <w:r>
        <w:rPr>
          <w:rFonts w:hint="eastAsia" w:asciiTheme="minorEastAsia" w:hAnsiTheme="minorEastAsia" w:eastAsia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rPr>
        <w:t>%扣除后的价格作为其评标价</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本项目不做扣除</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w:t>
      </w:r>
    </w:p>
    <w:p w14:paraId="7FEAA278">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5.8</w:t>
      </w:r>
      <w:r>
        <w:rPr>
          <w:rFonts w:hint="eastAsia" w:asciiTheme="minorEastAsia" w:hAnsiTheme="minorEastAsia" w:eastAsiaTheme="minorEastAsia" w:cstheme="minorEastAsia"/>
          <w:b w:val="0"/>
          <w:bCs/>
          <w:sz w:val="24"/>
          <w:szCs w:val="24"/>
        </w:rPr>
        <w:t>对满足《政府采购促进中小企业发展暂行办法》（财库〔2020〕46号）和《财政部司法部关于政府采购支持监狱企业发展有关问题的通知》（财库（2015）68号）的规定，对满足价格扣除条件且在投标文件中提交了《投标人企业类型声明函》或者省级以上监狱管理局、戒毒管理局（含新疆生产建设兵团）出具的属于监狱企业的证明文件的投标人，其投标报价扣除</w:t>
      </w:r>
      <w:r>
        <w:rPr>
          <w:rFonts w:hint="eastAsia" w:asciiTheme="minorEastAsia" w:hAnsiTheme="minorEastAsia" w:eastAsia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rPr>
        <w:t>%后参与评审</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本项目不做扣除</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w:t>
      </w:r>
    </w:p>
    <w:p w14:paraId="2D4B72F9">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5.9</w:t>
      </w:r>
      <w:r>
        <w:rPr>
          <w:rFonts w:hint="eastAsia" w:asciiTheme="minorEastAsia" w:hAnsiTheme="minorEastAsia" w:eastAsiaTheme="minorEastAsia" w:cstheme="minorEastAsia"/>
          <w:b w:val="0"/>
          <w:bCs/>
          <w:sz w:val="24"/>
          <w:szCs w:val="24"/>
        </w:rPr>
        <w:t>不符合下列要求的除外：</w:t>
      </w:r>
    </w:p>
    <w:p w14:paraId="4E897FE4">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（1）不符合招标文件规定格式要求提供声明函的。</w:t>
      </w:r>
    </w:p>
    <w:p w14:paraId="41354E5C">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（2）不符合（财库〔2020〕46号）文件的规定企业的产品价格不予扣除。</w:t>
      </w:r>
    </w:p>
    <w:p w14:paraId="5B128636">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（3）不符合招标文件规定格式要求并未提供“残疾人福利性单位声明函”声明函及证明材料的。</w:t>
      </w:r>
    </w:p>
    <w:p w14:paraId="22402F30">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（4）不符合财政部、民政部、中国残疾人联合会发布的《关于促进残疾人就业政府采购政策的通知》规定的不予扣除。</w:t>
      </w:r>
    </w:p>
    <w:p w14:paraId="5F889DF8">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（5）不符合《政府采购促进中小企业发展暂行办法》（财库〔2020〕46号）和《财政部司法部关于政府采购支持监狱企业发展有关问题的通知》（财库（2015）68号）的规定的不予扣除。</w:t>
      </w:r>
    </w:p>
    <w:p w14:paraId="21AC8264">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 xml:space="preserve">（6）不符合《国务院办公厅关于建立政府强制采购节能产品制度的通知》--国办发[2007]51号规定的不予扣除。 </w:t>
      </w:r>
    </w:p>
    <w:p w14:paraId="11D02D63">
      <w:pPr>
        <w:numPr>
          <w:ilvl w:val="0"/>
          <w:numId w:val="0"/>
        </w:numPr>
        <w:spacing w:line="360" w:lineRule="auto"/>
        <w:ind w:firstLine="0" w:firstLineChars="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不符合《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的不予扣除。</w:t>
      </w:r>
    </w:p>
    <w:p w14:paraId="6FE108F2">
      <w:pPr>
        <w:numPr>
          <w:ilvl w:val="0"/>
          <w:numId w:val="0"/>
        </w:numPr>
        <w:spacing w:line="360" w:lineRule="auto"/>
        <w:ind w:firstLine="482" w:firstLineChars="200"/>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6.备选方案</w:t>
      </w:r>
    </w:p>
    <w:p w14:paraId="08562024">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6.1</w:t>
      </w:r>
      <w:r>
        <w:rPr>
          <w:rFonts w:hint="eastAsia" w:asciiTheme="minorEastAsia" w:hAnsiTheme="minorEastAsia" w:eastAsiaTheme="minorEastAsia" w:cstheme="minorEastAsia"/>
          <w:sz w:val="24"/>
          <w:szCs w:val="24"/>
        </w:rPr>
        <w:t>备选方案是指在本招标文件已明确的货物（设备）或服务的基本要求，如货物（设备）或服务的用途、用意、服务基本需求等；但投标人应标的货物（设备）或服务分部分项内容优于招标文件基本要求的，不在备选方案之列。</w:t>
      </w:r>
    </w:p>
    <w:p w14:paraId="75562BB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6.2</w:t>
      </w:r>
      <w:r>
        <w:rPr>
          <w:rFonts w:hint="eastAsia" w:asciiTheme="minorEastAsia" w:hAnsiTheme="minorEastAsia" w:eastAsiaTheme="minorEastAsia" w:cstheme="minorEastAsia"/>
          <w:sz w:val="24"/>
          <w:szCs w:val="24"/>
        </w:rPr>
        <w:t>本采购项目不接受备选方案投标。</w:t>
      </w:r>
    </w:p>
    <w:p w14:paraId="218592CD">
      <w:pPr>
        <w:numPr>
          <w:ilvl w:val="0"/>
          <w:numId w:val="0"/>
        </w:numPr>
        <w:spacing w:line="360" w:lineRule="auto"/>
        <w:ind w:leftChars="0" w:firstLine="240"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b/>
          <w:sz w:val="24"/>
          <w:szCs w:val="24"/>
        </w:rPr>
        <w:t>投标人的资格证明文件</w:t>
      </w:r>
    </w:p>
    <w:p w14:paraId="2B64C30D">
      <w:pPr>
        <w:spacing w:line="360" w:lineRule="auto"/>
        <w:ind w:left="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投标人应提交满足资格条件要求的证明文件，该证明文件作为投标文件的一部分。</w:t>
      </w:r>
    </w:p>
    <w:p w14:paraId="1DD3E789">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投标保证金</w:t>
      </w:r>
    </w:p>
    <w:p w14:paraId="1AA225B5">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投标保证金金额及缴纳方式详见“投标须知前附表”。</w:t>
      </w:r>
    </w:p>
    <w:p w14:paraId="0B0D494F">
      <w:pPr>
        <w:numPr>
          <w:ilvl w:val="0"/>
          <w:numId w:val="0"/>
        </w:numPr>
        <w:spacing w:line="360" w:lineRule="auto"/>
        <w:ind w:leftChars="0" w:firstLine="240" w:firstLineChars="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b/>
          <w:bCs/>
          <w:sz w:val="24"/>
          <w:szCs w:val="24"/>
        </w:rPr>
        <w:t>投标有效期</w:t>
      </w:r>
    </w:p>
    <w:p w14:paraId="256EB043">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9.1</w:t>
      </w:r>
      <w:r>
        <w:rPr>
          <w:rFonts w:hint="eastAsia" w:asciiTheme="minorEastAsia" w:hAnsiTheme="minorEastAsia" w:eastAsiaTheme="minorEastAsia" w:cstheme="minorEastAsia"/>
          <w:sz w:val="24"/>
          <w:szCs w:val="24"/>
        </w:rPr>
        <w:t>投标有效期为90天，在此期间投标文件对投标人具有法律约束力，以保证招标人有足够的时间完成评审、定标以及签订合同。投标有效期从规定的投标文件递交截止之日起计算。投标有效期不足的，在评审时将其视为无效投标。</w:t>
      </w:r>
    </w:p>
    <w:p w14:paraId="69C1247D">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9.2</w:t>
      </w:r>
      <w:r>
        <w:rPr>
          <w:rFonts w:hint="eastAsia" w:asciiTheme="minorEastAsia" w:hAnsiTheme="minorEastAsia" w:eastAsiaTheme="minorEastAsia" w:cstheme="minorEastAsia"/>
          <w:sz w:val="24"/>
          <w:szCs w:val="24"/>
        </w:rPr>
        <w:t>特殊情况需延长投标有效期的，招标代理机构可于投标有效期届满之前，要求投标人同意延长有效期，招标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14:paraId="3080D911">
      <w:pPr>
        <w:numPr>
          <w:ilvl w:val="0"/>
          <w:numId w:val="0"/>
        </w:numPr>
        <w:spacing w:line="360" w:lineRule="auto"/>
        <w:ind w:leftChars="0" w:firstLine="240"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b/>
          <w:sz w:val="24"/>
          <w:szCs w:val="24"/>
        </w:rPr>
        <w:t>投标文件份数和签署、盖章</w:t>
      </w:r>
    </w:p>
    <w:p w14:paraId="1A2DD7AE">
      <w:pPr>
        <w:spacing w:line="360" w:lineRule="auto"/>
        <w:ind w:firstLine="480" w:firstLineChars="200"/>
        <w:rPr>
          <w:rFonts w:hint="eastAsia" w:ascii="宋体" w:hAnsi="宋体"/>
          <w:bCs/>
          <w:sz w:val="24"/>
        </w:rPr>
      </w:pPr>
      <w:bookmarkStart w:id="110" w:name="_Toc17204482"/>
      <w:bookmarkStart w:id="111" w:name="_Toc19085"/>
      <w:bookmarkStart w:id="112" w:name="_Toc388260477"/>
      <w:r>
        <w:rPr>
          <w:rFonts w:hint="eastAsia" w:ascii="宋体" w:hAnsi="宋体"/>
          <w:sz w:val="24"/>
          <w:lang w:val="en-US" w:eastAsia="zh-CN"/>
        </w:rPr>
        <w:t>10</w:t>
      </w:r>
      <w:r>
        <w:rPr>
          <w:rFonts w:hint="eastAsia" w:ascii="宋体" w:hAnsi="宋体"/>
          <w:sz w:val="24"/>
        </w:rPr>
        <w:t>.1供应商</w:t>
      </w:r>
      <w:r>
        <w:rPr>
          <w:rFonts w:hint="eastAsia" w:ascii="宋体" w:hAnsi="宋体"/>
          <w:bCs/>
          <w:sz w:val="24"/>
        </w:rPr>
        <w:t>应按“</w:t>
      </w:r>
      <w:r>
        <w:rPr>
          <w:rFonts w:hint="eastAsia" w:ascii="宋体" w:hAnsi="宋体"/>
          <w:sz w:val="24"/>
        </w:rPr>
        <w:t>供应商</w:t>
      </w:r>
      <w:r>
        <w:rPr>
          <w:rFonts w:hint="eastAsia" w:ascii="宋体" w:hAnsi="宋体"/>
          <w:bCs/>
          <w:sz w:val="24"/>
        </w:rPr>
        <w:t>须知前附表”规定的份数提交《</w:t>
      </w:r>
      <w:r>
        <w:rPr>
          <w:rFonts w:hint="eastAsia" w:ascii="宋体" w:hAnsi="宋体"/>
          <w:bCs/>
          <w:sz w:val="24"/>
          <w:lang w:val="en-US" w:eastAsia="zh-CN"/>
        </w:rPr>
        <w:t>投标</w:t>
      </w:r>
      <w:r>
        <w:rPr>
          <w:rFonts w:hint="eastAsia" w:ascii="宋体" w:hAnsi="宋体"/>
          <w:bCs/>
          <w:sz w:val="24"/>
          <w:lang w:eastAsia="zh-CN"/>
        </w:rPr>
        <w:t>文件</w:t>
      </w:r>
      <w:r>
        <w:rPr>
          <w:rFonts w:hint="eastAsia" w:ascii="宋体" w:hAnsi="宋体"/>
          <w:bCs/>
          <w:sz w:val="24"/>
        </w:rPr>
        <w:t>》，否则视为无效投标。</w:t>
      </w:r>
    </w:p>
    <w:p w14:paraId="567A0393">
      <w:pPr>
        <w:spacing w:line="360" w:lineRule="auto"/>
        <w:ind w:firstLine="480" w:firstLineChars="200"/>
        <w:rPr>
          <w:rFonts w:hint="eastAsia" w:ascii="宋体" w:hAnsi="宋体"/>
          <w:sz w:val="24"/>
        </w:rPr>
      </w:pPr>
      <w:r>
        <w:rPr>
          <w:rFonts w:hint="eastAsia" w:ascii="宋体" w:hAnsi="宋体"/>
          <w:sz w:val="24"/>
          <w:lang w:val="en-US" w:eastAsia="zh-CN"/>
        </w:rPr>
        <w:t>10</w:t>
      </w:r>
      <w:r>
        <w:rPr>
          <w:rFonts w:hint="eastAsia" w:ascii="宋体" w:hAnsi="宋体"/>
          <w:sz w:val="24"/>
        </w:rPr>
        <w:t xml:space="preserve">.2 </w:t>
      </w:r>
      <w:r>
        <w:rPr>
          <w:rFonts w:hint="eastAsia" w:ascii="宋体" w:hAnsi="宋体"/>
          <w:bCs/>
          <w:sz w:val="24"/>
          <w:lang w:val="en-US" w:eastAsia="zh-CN"/>
        </w:rPr>
        <w:t>投标</w:t>
      </w:r>
      <w:r>
        <w:rPr>
          <w:rFonts w:hint="eastAsia" w:ascii="宋体" w:hAnsi="宋体"/>
          <w:sz w:val="24"/>
        </w:rPr>
        <w:t xml:space="preserve">文件电子版要求：按照本采购文件“第五章 </w:t>
      </w:r>
      <w:r>
        <w:rPr>
          <w:rFonts w:hint="eastAsia" w:ascii="宋体" w:hAnsi="宋体"/>
          <w:bCs/>
          <w:sz w:val="24"/>
          <w:lang w:val="en-US" w:eastAsia="zh-CN"/>
        </w:rPr>
        <w:t>投标</w:t>
      </w:r>
      <w:r>
        <w:rPr>
          <w:rFonts w:hint="eastAsia" w:ascii="宋体" w:hAnsi="宋体"/>
          <w:sz w:val="24"/>
        </w:rPr>
        <w:t>文件格式”编写（第五章未附格式的，由供应商自行拟定），不可涂改并在规定加盖公章处加盖电子公章，否则</w:t>
      </w:r>
      <w:r>
        <w:rPr>
          <w:rFonts w:hint="eastAsia" w:ascii="宋体" w:hAnsi="宋体"/>
          <w:bCs/>
          <w:sz w:val="24"/>
          <w:lang w:val="en-US" w:eastAsia="zh-CN"/>
        </w:rPr>
        <w:t>投标</w:t>
      </w:r>
      <w:r>
        <w:rPr>
          <w:rFonts w:hint="eastAsia" w:ascii="宋体" w:hAnsi="宋体"/>
          <w:sz w:val="24"/>
        </w:rPr>
        <w:t>文件按无效</w:t>
      </w:r>
      <w:r>
        <w:rPr>
          <w:rFonts w:hint="eastAsia" w:ascii="宋体" w:hAnsi="宋体"/>
          <w:bCs/>
          <w:sz w:val="24"/>
          <w:lang w:val="en-US" w:eastAsia="zh-CN"/>
        </w:rPr>
        <w:t>投标</w:t>
      </w:r>
      <w:r>
        <w:rPr>
          <w:rFonts w:hint="eastAsia" w:ascii="宋体" w:hAnsi="宋体"/>
          <w:sz w:val="24"/>
        </w:rPr>
        <w:t>处理。</w:t>
      </w:r>
    </w:p>
    <w:p w14:paraId="511F99C6">
      <w:pPr>
        <w:spacing w:line="360" w:lineRule="auto"/>
        <w:ind w:firstLine="480" w:firstLineChars="200"/>
        <w:rPr>
          <w:rFonts w:hint="eastAsia" w:ascii="宋体" w:hAnsi="宋体"/>
          <w:sz w:val="24"/>
        </w:rPr>
      </w:pPr>
      <w:r>
        <w:rPr>
          <w:rFonts w:hint="eastAsia" w:ascii="宋体" w:hAnsi="宋体"/>
          <w:sz w:val="24"/>
          <w:lang w:val="en-US" w:eastAsia="zh-CN"/>
        </w:rPr>
        <w:t>10.3</w:t>
      </w:r>
      <w:r>
        <w:rPr>
          <w:rFonts w:hint="eastAsia" w:ascii="宋体" w:hAnsi="宋体"/>
          <w:bCs/>
          <w:sz w:val="24"/>
          <w:lang w:val="en-US" w:eastAsia="zh-CN"/>
        </w:rPr>
        <w:t>投标</w:t>
      </w:r>
      <w:r>
        <w:rPr>
          <w:rFonts w:hint="eastAsia" w:ascii="宋体" w:hAnsi="宋体"/>
          <w:sz w:val="24"/>
        </w:rPr>
        <w:t>文件电子版密封方式：电子</w:t>
      </w:r>
      <w:r>
        <w:rPr>
          <w:rFonts w:hint="eastAsia" w:ascii="宋体" w:hAnsi="宋体"/>
          <w:bCs/>
          <w:sz w:val="24"/>
          <w:lang w:val="en-US" w:eastAsia="zh-CN"/>
        </w:rPr>
        <w:t>投标</w:t>
      </w:r>
      <w:r>
        <w:rPr>
          <w:rFonts w:hint="eastAsia" w:ascii="宋体" w:hAnsi="宋体"/>
          <w:sz w:val="24"/>
        </w:rPr>
        <w:t>文件通过平台有效 CA 加密后在 “政采云”平台投送。（操作方式见公告要求“电子</w:t>
      </w:r>
      <w:r>
        <w:rPr>
          <w:rFonts w:hint="eastAsia" w:ascii="宋体" w:hAnsi="宋体"/>
          <w:bCs/>
          <w:sz w:val="24"/>
          <w:lang w:val="en-US" w:eastAsia="zh-CN"/>
        </w:rPr>
        <w:t>投标</w:t>
      </w:r>
      <w:r>
        <w:rPr>
          <w:rFonts w:hint="eastAsia" w:ascii="宋体" w:hAnsi="宋体"/>
          <w:sz w:val="24"/>
        </w:rPr>
        <w:t>文件制作与投送教程” ）</w:t>
      </w:r>
    </w:p>
    <w:p w14:paraId="62B4956D">
      <w:pPr>
        <w:spacing w:line="360" w:lineRule="auto"/>
        <w:ind w:firstLine="480" w:firstLineChars="200"/>
        <w:rPr>
          <w:rFonts w:hint="eastAsia" w:ascii="宋体" w:hAnsi="宋体"/>
          <w:sz w:val="24"/>
        </w:rPr>
      </w:pPr>
      <w:r>
        <w:rPr>
          <w:rFonts w:hint="eastAsia" w:ascii="宋体" w:hAnsi="宋体"/>
          <w:sz w:val="24"/>
          <w:lang w:val="en-US" w:eastAsia="zh-CN"/>
        </w:rPr>
        <w:t>10.4</w:t>
      </w:r>
      <w:r>
        <w:rPr>
          <w:rFonts w:hint="eastAsia" w:ascii="宋体" w:hAnsi="宋体"/>
          <w:sz w:val="24"/>
        </w:rPr>
        <w:t>本项目采用电子招投标，开标现场无需提供纸质版投标文件。</w:t>
      </w:r>
    </w:p>
    <w:p w14:paraId="568581FF">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5</w:t>
      </w:r>
      <w:r>
        <w:rPr>
          <w:rFonts w:hint="eastAsia" w:ascii="宋体" w:hAnsi="宋体"/>
          <w:sz w:val="24"/>
        </w:rPr>
        <w:t xml:space="preserve"> 除供应商对错误处须修改外，全套《</w:t>
      </w:r>
      <w:r>
        <w:rPr>
          <w:rFonts w:hint="eastAsia" w:ascii="宋体" w:hAnsi="宋体"/>
          <w:bCs/>
          <w:sz w:val="24"/>
          <w:lang w:val="en-US" w:eastAsia="zh-CN"/>
        </w:rPr>
        <w:t>投标</w:t>
      </w:r>
      <w:r>
        <w:rPr>
          <w:rFonts w:hint="eastAsia" w:ascii="宋体" w:hAnsi="宋体"/>
          <w:sz w:val="24"/>
          <w:lang w:eastAsia="zh-CN"/>
        </w:rPr>
        <w:t>文件</w:t>
      </w:r>
      <w:r>
        <w:rPr>
          <w:rFonts w:hint="eastAsia" w:ascii="宋体" w:hAnsi="宋体"/>
          <w:sz w:val="24"/>
        </w:rPr>
        <w:t>》应无涂改或行间插字和增删。如有修改，修改处应由供应商加盖投标单位的印章或由《</w:t>
      </w:r>
      <w:r>
        <w:rPr>
          <w:rFonts w:hint="eastAsia" w:ascii="宋体" w:hAnsi="宋体"/>
          <w:bCs/>
          <w:sz w:val="24"/>
          <w:lang w:val="en-US" w:eastAsia="zh-CN"/>
        </w:rPr>
        <w:t>投标</w:t>
      </w:r>
      <w:r>
        <w:rPr>
          <w:rFonts w:hint="eastAsia" w:ascii="宋体" w:hAnsi="宋体"/>
          <w:sz w:val="24"/>
          <w:lang w:eastAsia="zh-CN"/>
        </w:rPr>
        <w:t>文件</w:t>
      </w:r>
      <w:r>
        <w:rPr>
          <w:rFonts w:hint="eastAsia" w:ascii="宋体" w:hAnsi="宋体"/>
          <w:sz w:val="24"/>
        </w:rPr>
        <w:t>》签字人签字或盖章。字迹潦草、表达不清或可能导致非唯一理解的</w:t>
      </w:r>
      <w:r>
        <w:rPr>
          <w:rFonts w:hint="eastAsia" w:ascii="宋体" w:hAnsi="宋体"/>
          <w:bCs/>
          <w:sz w:val="24"/>
          <w:lang w:val="en-US" w:eastAsia="zh-CN"/>
        </w:rPr>
        <w:t>投标</w:t>
      </w:r>
      <w:r>
        <w:rPr>
          <w:rFonts w:hint="eastAsia" w:ascii="宋体" w:hAnsi="宋体"/>
          <w:sz w:val="24"/>
          <w:lang w:eastAsia="zh-CN"/>
        </w:rPr>
        <w:t>文件</w:t>
      </w:r>
      <w:r>
        <w:rPr>
          <w:rFonts w:hint="eastAsia" w:ascii="宋体" w:hAnsi="宋体"/>
          <w:sz w:val="24"/>
        </w:rPr>
        <w:t>可能视为无效投标。</w:t>
      </w:r>
    </w:p>
    <w:p w14:paraId="3540AD46">
      <w:pPr>
        <w:autoSpaceDE w:val="0"/>
        <w:autoSpaceDN w:val="0"/>
        <w:adjustRightInd w:val="0"/>
        <w:snapToGrid w:val="0"/>
        <w:spacing w:line="360" w:lineRule="auto"/>
        <w:ind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cs="Times New Roman"/>
          <w:sz w:val="24"/>
          <w:lang w:val="en-US" w:eastAsia="zh-CN"/>
        </w:rPr>
        <w:t>0</w:t>
      </w:r>
      <w:r>
        <w:rPr>
          <w:rFonts w:hint="eastAsia" w:ascii="宋体" w:hAnsi="宋体" w:eastAsia="宋体" w:cs="Times New Roman"/>
          <w:sz w:val="24"/>
          <w:lang w:val="en-US" w:eastAsia="zh-CN"/>
        </w:rPr>
        <w:t>.6《</w:t>
      </w:r>
      <w:r>
        <w:rPr>
          <w:rFonts w:hint="eastAsia" w:ascii="宋体" w:hAnsi="宋体"/>
          <w:bCs/>
          <w:sz w:val="24"/>
          <w:lang w:val="en-US" w:eastAsia="zh-CN"/>
        </w:rPr>
        <w:t>投标</w:t>
      </w:r>
      <w:r>
        <w:rPr>
          <w:rFonts w:hint="eastAsia" w:ascii="宋体" w:hAnsi="宋体" w:eastAsia="宋体" w:cs="Times New Roman"/>
          <w:sz w:val="24"/>
          <w:lang w:val="en-US" w:eastAsia="zh-CN"/>
        </w:rPr>
        <w:t>文件》应根据《招标文件》的要求签署及盖章，内容应完整详细，如有遗漏，将被视为无效投标。</w:t>
      </w:r>
    </w:p>
    <w:p w14:paraId="32FD714A">
      <w:pPr>
        <w:pStyle w:val="3"/>
        <w:spacing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四、投标文件的密封标记和递交</w:t>
      </w:r>
      <w:bookmarkEnd w:id="110"/>
      <w:bookmarkEnd w:id="111"/>
      <w:bookmarkEnd w:id="112"/>
    </w:p>
    <w:p w14:paraId="20FE852D">
      <w:pPr>
        <w:numPr>
          <w:ilvl w:val="0"/>
          <w:numId w:val="0"/>
        </w:numPr>
        <w:spacing w:line="480" w:lineRule="exact"/>
        <w:ind w:leftChars="0" w:firstLine="240"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b/>
          <w:sz w:val="24"/>
          <w:szCs w:val="24"/>
        </w:rPr>
        <w:t>投标文件的密封</w:t>
      </w:r>
    </w:p>
    <w:p w14:paraId="575D45AC">
      <w:pPr>
        <w:adjustRightInd w:val="0"/>
        <w:snapToGrid w:val="0"/>
        <w:spacing w:line="360" w:lineRule="auto"/>
        <w:ind w:firstLine="480" w:firstLineChars="200"/>
        <w:rPr>
          <w:rFonts w:hint="eastAsia" w:ascii="宋体" w:hAnsi="宋体" w:eastAsia="宋体" w:cs="Times New Roman"/>
          <w:bCs/>
          <w:color w:val="auto"/>
          <w:sz w:val="24"/>
          <w:lang w:eastAsia="zh-CN"/>
        </w:rPr>
      </w:pPr>
      <w:r>
        <w:rPr>
          <w:rFonts w:hint="eastAsia" w:ascii="宋体" w:hAnsi="宋体" w:eastAsia="宋体" w:cs="Times New Roman"/>
          <w:bCs/>
          <w:color w:val="auto"/>
          <w:sz w:val="24"/>
          <w:lang w:val="en-US" w:eastAsia="zh-CN"/>
        </w:rPr>
        <w:t>1.</w:t>
      </w:r>
      <w:r>
        <w:rPr>
          <w:rFonts w:hint="eastAsia" w:ascii="宋体" w:hAnsi="宋体" w:eastAsia="宋体" w:cs="Times New Roman"/>
          <w:bCs/>
          <w:color w:val="auto"/>
          <w:sz w:val="24"/>
          <w:lang w:eastAsia="zh-CN"/>
        </w:rPr>
        <w:t>1.电子投标文件使用“新疆维吾尔自治区全流程电子招投标项目管理系统--供应商客户端”制作完成，生成电子加密标书（.jmbs）上传至政采云平台。</w:t>
      </w:r>
    </w:p>
    <w:p w14:paraId="51358CAA">
      <w:pPr>
        <w:adjustRightInd w:val="0"/>
        <w:snapToGrid w:val="0"/>
        <w:spacing w:line="360" w:lineRule="auto"/>
        <w:ind w:firstLine="480" w:firstLineChars="200"/>
        <w:rPr>
          <w:rFonts w:hint="eastAsia" w:ascii="宋体" w:hAnsi="宋体" w:eastAsia="宋体" w:cs="Times New Roman"/>
          <w:bCs/>
          <w:color w:val="auto"/>
          <w:sz w:val="24"/>
          <w:lang w:eastAsia="zh-CN"/>
        </w:rPr>
      </w:pPr>
      <w:r>
        <w:rPr>
          <w:rFonts w:hint="eastAsia" w:ascii="宋体" w:hAnsi="宋体" w:eastAsia="宋体" w:cs="Times New Roman"/>
          <w:bCs/>
          <w:color w:val="auto"/>
          <w:sz w:val="24"/>
          <w:lang w:val="en-US" w:eastAsia="zh-CN"/>
        </w:rPr>
        <w:t>1.</w:t>
      </w:r>
      <w:r>
        <w:rPr>
          <w:rFonts w:hint="eastAsia" w:ascii="宋体" w:hAnsi="宋体" w:eastAsia="宋体" w:cs="Times New Roman"/>
          <w:bCs/>
          <w:color w:val="auto"/>
          <w:sz w:val="24"/>
          <w:lang w:eastAsia="zh-CN"/>
        </w:rPr>
        <w:t xml:space="preserve">2.备份标书：投标人根据自身情况自愿制作备份标书（.bfbs）,备份标书在开标时，因开标系统原因解密不成功时方可上传备份标书。其他因投标人制作标书失误问题，数字证书（CA锁）问题导致不能现场解密的情况不允许上传备份文件。  </w:t>
      </w:r>
    </w:p>
    <w:p w14:paraId="26687C7B">
      <w:pPr>
        <w:adjustRightInd w:val="0"/>
        <w:snapToGrid w:val="0"/>
        <w:spacing w:line="360" w:lineRule="auto"/>
        <w:ind w:firstLine="480" w:firstLineChars="200"/>
        <w:rPr>
          <w:rFonts w:hint="eastAsia" w:ascii="宋体" w:hAnsi="宋体" w:eastAsia="宋体" w:cs="Times New Roman"/>
          <w:bCs/>
          <w:color w:val="auto"/>
          <w:sz w:val="24"/>
          <w:lang w:eastAsia="zh-CN"/>
        </w:rPr>
      </w:pPr>
      <w:r>
        <w:rPr>
          <w:rFonts w:hint="eastAsia" w:ascii="宋体" w:hAnsi="宋体" w:eastAsia="宋体" w:cs="Times New Roman"/>
          <w:bCs/>
          <w:color w:val="auto"/>
          <w:sz w:val="24"/>
          <w:lang w:val="en-US" w:eastAsia="zh-CN"/>
        </w:rPr>
        <w:t>1.</w:t>
      </w:r>
      <w:r>
        <w:rPr>
          <w:rFonts w:hint="eastAsia" w:ascii="宋体" w:hAnsi="宋体" w:eastAsia="宋体" w:cs="Times New Roman"/>
          <w:bCs/>
          <w:color w:val="auto"/>
          <w:sz w:val="24"/>
          <w:lang w:eastAsia="zh-CN"/>
        </w:rPr>
        <w:t>3.投标人制作电子投标书加密文件应与开标现场解密时的数字证书（CA锁）同为一把，若因数字证书（CA锁）不是同一把锁导致现场解密失败的，投标人自行承担后果。</w:t>
      </w:r>
    </w:p>
    <w:p w14:paraId="28B63F0D">
      <w:pPr>
        <w:numPr>
          <w:ilvl w:val="0"/>
          <w:numId w:val="0"/>
        </w:numPr>
        <w:spacing w:line="480" w:lineRule="exact"/>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投标文件的递交</w:t>
      </w:r>
    </w:p>
    <w:p w14:paraId="72C76A1E">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lang w:val="en-US" w:eastAsia="zh-CN"/>
        </w:rPr>
        <w:t>2.1投标人</w:t>
      </w:r>
      <w:r>
        <w:rPr>
          <w:rFonts w:hint="eastAsia" w:ascii="宋体" w:hAnsi="宋体"/>
          <w:bCs/>
          <w:color w:val="auto"/>
          <w:sz w:val="24"/>
        </w:rPr>
        <w:t>应按本须知前附表所规定的地点，于递交截止时间前提交</w:t>
      </w:r>
      <w:r>
        <w:rPr>
          <w:rFonts w:hint="eastAsia" w:ascii="宋体" w:hAnsi="宋体"/>
          <w:bCs/>
          <w:color w:val="auto"/>
          <w:sz w:val="24"/>
          <w:lang w:val="en-US" w:eastAsia="zh-CN"/>
        </w:rPr>
        <w:t>投标</w:t>
      </w:r>
      <w:r>
        <w:rPr>
          <w:rFonts w:hint="eastAsia" w:ascii="宋体" w:hAnsi="宋体"/>
          <w:bCs/>
          <w:color w:val="auto"/>
          <w:sz w:val="24"/>
          <w:lang w:eastAsia="zh-CN"/>
        </w:rPr>
        <w:t>文件</w:t>
      </w:r>
      <w:r>
        <w:rPr>
          <w:rFonts w:hint="eastAsia" w:ascii="宋体" w:hAnsi="宋体"/>
          <w:bCs/>
          <w:color w:val="auto"/>
          <w:sz w:val="24"/>
        </w:rPr>
        <w:t>。</w:t>
      </w:r>
      <w:bookmarkStart w:id="113" w:name="_Toc17216810"/>
    </w:p>
    <w:bookmarkEnd w:id="113"/>
    <w:p w14:paraId="2BC4C1D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2</w:t>
      </w:r>
      <w:r>
        <w:rPr>
          <w:rFonts w:hint="eastAsia" w:ascii="宋体" w:hAnsi="宋体"/>
          <w:bCs/>
          <w:color w:val="auto"/>
          <w:sz w:val="24"/>
        </w:rPr>
        <w:t>.2超过“投标须知前附表”规定的“投标文件递交截止时间”的投标文件将不予接收。</w:t>
      </w:r>
    </w:p>
    <w:p w14:paraId="6DFD2D81">
      <w:pPr>
        <w:adjustRightInd w:val="0"/>
        <w:snapToGrid w:val="0"/>
        <w:spacing w:line="360" w:lineRule="auto"/>
        <w:ind w:firstLine="480" w:firstLineChars="200"/>
        <w:rPr>
          <w:rFonts w:hint="eastAsia" w:ascii="宋体" w:hAnsi="宋体"/>
          <w:color w:val="auto"/>
          <w:sz w:val="24"/>
        </w:rPr>
      </w:pPr>
      <w:r>
        <w:rPr>
          <w:rFonts w:hint="eastAsia" w:ascii="宋体" w:hAnsi="宋体"/>
          <w:bCs/>
          <w:color w:val="auto"/>
          <w:sz w:val="24"/>
          <w:lang w:val="en-US" w:eastAsia="zh-CN"/>
        </w:rPr>
        <w:t>2</w:t>
      </w:r>
      <w:r>
        <w:rPr>
          <w:rFonts w:hint="eastAsia" w:ascii="宋体" w:hAnsi="宋体"/>
          <w:bCs/>
          <w:color w:val="auto"/>
          <w:sz w:val="24"/>
        </w:rPr>
        <w:t>.3</w:t>
      </w:r>
      <w:r>
        <w:rPr>
          <w:rFonts w:ascii="宋体" w:hAnsi="宋体"/>
          <w:bCs/>
          <w:color w:val="auto"/>
          <w:sz w:val="24"/>
        </w:rPr>
        <w:t xml:space="preserve"> </w:t>
      </w:r>
      <w:bookmarkStart w:id="114" w:name="_Toc440010896"/>
      <w:bookmarkStart w:id="115" w:name="_Toc440006357"/>
      <w:bookmarkStart w:id="116" w:name="_Toc440618813"/>
      <w:bookmarkStart w:id="117" w:name="_Toc443313401"/>
      <w:bookmarkStart w:id="118" w:name="_Toc457219459"/>
      <w:bookmarkStart w:id="119" w:name="_Toc443313552"/>
      <w:bookmarkStart w:id="120" w:name="_Toc440062301"/>
      <w:r>
        <w:rPr>
          <w:rFonts w:hint="eastAsia" w:ascii="宋体" w:hAnsi="宋体"/>
          <w:color w:val="auto"/>
          <w:sz w:val="24"/>
        </w:rPr>
        <w:t>到投标截止时间止，采购人收到的</w:t>
      </w:r>
      <w:r>
        <w:rPr>
          <w:rFonts w:hint="eastAsia" w:ascii="宋体" w:hAnsi="宋体"/>
          <w:color w:val="auto"/>
          <w:sz w:val="24"/>
          <w:lang w:val="en-US" w:eastAsia="zh-CN"/>
        </w:rPr>
        <w:t>投标</w:t>
      </w:r>
      <w:r>
        <w:rPr>
          <w:rFonts w:hint="eastAsia" w:ascii="宋体" w:hAnsi="宋体"/>
          <w:color w:val="auto"/>
          <w:sz w:val="24"/>
          <w:lang w:eastAsia="zh-CN"/>
        </w:rPr>
        <w:t>文件</w:t>
      </w:r>
      <w:r>
        <w:rPr>
          <w:rFonts w:hint="eastAsia" w:ascii="宋体" w:hAnsi="宋体"/>
          <w:color w:val="auto"/>
          <w:sz w:val="24"/>
        </w:rPr>
        <w:t>少于</w:t>
      </w:r>
      <w:r>
        <w:rPr>
          <w:rFonts w:ascii="宋体" w:hAnsi="宋体"/>
          <w:color w:val="auto"/>
          <w:sz w:val="24"/>
        </w:rPr>
        <w:t>3</w:t>
      </w:r>
      <w:r>
        <w:rPr>
          <w:rFonts w:hint="eastAsia" w:ascii="宋体" w:hAnsi="宋体"/>
          <w:color w:val="auto"/>
          <w:sz w:val="24"/>
        </w:rPr>
        <w:t>个的，采购人将依法重新组织招标。</w:t>
      </w:r>
      <w:bookmarkEnd w:id="114"/>
      <w:bookmarkEnd w:id="115"/>
      <w:bookmarkEnd w:id="116"/>
      <w:bookmarkEnd w:id="117"/>
      <w:bookmarkEnd w:id="118"/>
      <w:bookmarkEnd w:id="119"/>
      <w:bookmarkEnd w:id="120"/>
    </w:p>
    <w:p w14:paraId="697F3CDD">
      <w:pPr>
        <w:pStyle w:val="79"/>
        <w:adjustRightInd w:val="0"/>
        <w:snapToGrid w:val="0"/>
        <w:spacing w:line="360" w:lineRule="auto"/>
        <w:ind w:left="0" w:leftChars="0" w:firstLine="480" w:firstLineChars="200"/>
        <w:rPr>
          <w:rFonts w:hint="eastAsia" w:ascii="宋体" w:hAnsi="宋体"/>
          <w:color w:val="auto"/>
          <w:sz w:val="24"/>
        </w:rPr>
      </w:pPr>
      <w:bookmarkStart w:id="121" w:name="_Toc440010897"/>
      <w:bookmarkStart w:id="122" w:name="_Toc440618814"/>
      <w:bookmarkStart w:id="123" w:name="_Toc457219460"/>
      <w:bookmarkStart w:id="124" w:name="_Toc440062302"/>
      <w:bookmarkStart w:id="125" w:name="_Toc443313402"/>
      <w:bookmarkStart w:id="126" w:name="_Toc440006358"/>
      <w:bookmarkStart w:id="127" w:name="_Toc443313553"/>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本次招标不接受邮寄的</w:t>
      </w:r>
      <w:r>
        <w:rPr>
          <w:rFonts w:hint="eastAsia" w:ascii="宋体" w:hAnsi="宋体"/>
          <w:bCs/>
          <w:color w:val="auto"/>
          <w:sz w:val="24"/>
        </w:rPr>
        <w:t>投标</w:t>
      </w:r>
      <w:r>
        <w:rPr>
          <w:rFonts w:hint="eastAsia" w:ascii="宋体" w:hAnsi="宋体"/>
          <w:color w:val="auto"/>
          <w:sz w:val="24"/>
          <w:lang w:eastAsia="zh-CN"/>
        </w:rPr>
        <w:t>文件</w:t>
      </w:r>
      <w:r>
        <w:rPr>
          <w:rFonts w:hint="eastAsia" w:ascii="宋体" w:hAnsi="宋体"/>
          <w:color w:val="auto"/>
          <w:sz w:val="24"/>
        </w:rPr>
        <w:t>。</w:t>
      </w:r>
      <w:bookmarkEnd w:id="121"/>
      <w:bookmarkEnd w:id="122"/>
      <w:bookmarkEnd w:id="123"/>
      <w:bookmarkEnd w:id="124"/>
      <w:bookmarkEnd w:id="125"/>
      <w:bookmarkEnd w:id="126"/>
      <w:bookmarkEnd w:id="127"/>
    </w:p>
    <w:p w14:paraId="60B43DEF">
      <w:pPr>
        <w:pStyle w:val="3"/>
        <w:spacing w:line="480" w:lineRule="exact"/>
        <w:jc w:val="center"/>
        <w:rPr>
          <w:rFonts w:hint="eastAsia" w:asciiTheme="minorEastAsia" w:hAnsiTheme="minorEastAsia" w:eastAsiaTheme="minorEastAsia" w:cstheme="minorEastAsia"/>
          <w:sz w:val="28"/>
          <w:szCs w:val="28"/>
        </w:rPr>
      </w:pPr>
      <w:bookmarkStart w:id="128" w:name="_Toc388260478"/>
      <w:bookmarkStart w:id="129" w:name="_Toc23456"/>
      <w:bookmarkStart w:id="130" w:name="_Toc17204483"/>
      <w:r>
        <w:rPr>
          <w:rFonts w:hint="eastAsia" w:asciiTheme="minorEastAsia" w:hAnsiTheme="minorEastAsia" w:eastAsiaTheme="minorEastAsia" w:cstheme="minorEastAsia"/>
          <w:sz w:val="28"/>
          <w:szCs w:val="28"/>
        </w:rPr>
        <w:t>五、开标、</w:t>
      </w:r>
      <w:bookmarkEnd w:id="128"/>
      <w:r>
        <w:rPr>
          <w:rFonts w:hint="eastAsia" w:asciiTheme="minorEastAsia" w:hAnsiTheme="minorEastAsia" w:eastAsiaTheme="minorEastAsia" w:cstheme="minorEastAsia"/>
          <w:sz w:val="28"/>
          <w:szCs w:val="28"/>
        </w:rPr>
        <w:t>评标、定标</w:t>
      </w:r>
      <w:bookmarkEnd w:id="129"/>
      <w:bookmarkEnd w:id="130"/>
    </w:p>
    <w:p w14:paraId="6A54BF2E">
      <w:pPr>
        <w:numPr>
          <w:ilvl w:val="0"/>
          <w:numId w:val="0"/>
        </w:numPr>
        <w:spacing w:line="480" w:lineRule="exact"/>
        <w:ind w:leftChars="0" w:firstLine="964" w:firstLineChars="4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开标</w:t>
      </w:r>
    </w:p>
    <w:p w14:paraId="4B817004">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代理机构按招标文件规定的时间、地点组织公开开标；开标大会由代理机构主持，</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人参会人员、</w:t>
      </w:r>
      <w:r>
        <w:rPr>
          <w:rFonts w:hint="eastAsia" w:ascii="宋体" w:hAnsi="宋体"/>
          <w:bCs/>
          <w:color w:val="auto"/>
          <w:sz w:val="24"/>
        </w:rPr>
        <w:t>投标</w:t>
      </w:r>
      <w:r>
        <w:rPr>
          <w:rFonts w:hint="eastAsia" w:asciiTheme="minorEastAsia" w:hAnsiTheme="minorEastAsia" w:eastAsiaTheme="minorEastAsia" w:cstheme="minorEastAsia"/>
          <w:sz w:val="24"/>
          <w:szCs w:val="24"/>
        </w:rPr>
        <w:t>人代表及有关工作人员参加，并检查其授权委托书或法人身份证明，以证明其出席；</w:t>
      </w:r>
    </w:p>
    <w:p w14:paraId="595C0075">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开标后，由采购代理机构</w:t>
      </w:r>
      <w:r>
        <w:rPr>
          <w:rFonts w:hint="eastAsia" w:asciiTheme="minorEastAsia" w:hAnsiTheme="minorEastAsia" w:eastAsiaTheme="minorEastAsia" w:cstheme="minorEastAsia"/>
          <w:sz w:val="24"/>
          <w:szCs w:val="24"/>
          <w:lang w:val="en-US" w:eastAsia="zh-CN"/>
        </w:rPr>
        <w:t>进行投标文件解密，</w:t>
      </w:r>
      <w:r>
        <w:rPr>
          <w:rFonts w:hint="eastAsia" w:asciiTheme="minorEastAsia" w:hAnsiTheme="minorEastAsia" w:eastAsiaTheme="minorEastAsia" w:cstheme="minorEastAsia"/>
          <w:sz w:val="24"/>
          <w:szCs w:val="24"/>
        </w:rPr>
        <w:t>以公开唱价的形式进行公布，宣布投标人名称、投标价格和招标文件中规定的需要宣布的其他内容，由参加开标的各投标人代表和相关工作人员签字确认后并存档备案。</w:t>
      </w:r>
    </w:p>
    <w:p w14:paraId="7842BE80">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开标时，投标文件中出现下列情况，修正原则为：</w:t>
      </w:r>
    </w:p>
    <w:p w14:paraId="09805727">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A、大写金额和小写金额不一致的，以大写金额为准；</w:t>
      </w:r>
    </w:p>
    <w:p w14:paraId="466F409B">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B、单价金额小数点或者百分比有明显错位的，以投标报价一览表的总价为准，并修改单价；</w:t>
      </w:r>
    </w:p>
    <w:p w14:paraId="352027B9">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C、总价金额与按单价汇总金额不一致的，以单价金额计算结果为准；</w:t>
      </w:r>
    </w:p>
    <w:p w14:paraId="4F7EBBD2">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D、投标文件正本与副本不一致的，以正本为准；</w:t>
      </w:r>
    </w:p>
    <w:p w14:paraId="037EC710">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E、多处内容交叉不符的，以评标委员会评审结果为准；</w:t>
      </w:r>
    </w:p>
    <w:p w14:paraId="3E2B6601">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F、文字与图表不符的，以文字为准。</w:t>
      </w:r>
    </w:p>
    <w:p w14:paraId="0DE52746">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14:paraId="1FFCE602">
      <w:pPr>
        <w:spacing w:line="480" w:lineRule="exact"/>
        <w:ind w:left="425"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公开开标后，直到向中标的投标人授予合同为止，凡审查、澄清、评价和比较投标的有关资料及被授标意见等内容，评标委员会成员均不得向投标人及与评标无关的其他人透露。</w:t>
      </w:r>
    </w:p>
    <w:p w14:paraId="2F2B16C5">
      <w:pPr>
        <w:numPr>
          <w:ilvl w:val="0"/>
          <w:numId w:val="0"/>
        </w:numPr>
        <w:spacing w:line="480" w:lineRule="exact"/>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评标委员会</w:t>
      </w:r>
    </w:p>
    <w:p w14:paraId="149CA6BC">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为确保评标工作公开、公平、公正，依法成立评标委员会。评标委员会由5人以上单数评审专家组成，专家名单从政府采购评审专家库中随机抽取，评标委员会成员应当遵守并履行下列责任和义务：</w:t>
      </w:r>
    </w:p>
    <w:p w14:paraId="4B046DCA">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要严格遵守政府采购相关法律制度，依法履行各自职责，公正、客观、审慎地组织和参与评审工作；</w:t>
      </w:r>
    </w:p>
    <w:p w14:paraId="3BC7215A">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审查、评价投标文件是否符合招标文件的商务、技术等实质性要求；</w:t>
      </w:r>
    </w:p>
    <w:p w14:paraId="27545857">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要求投标人对投标文件有关事项作出澄清或说明；</w:t>
      </w:r>
    </w:p>
    <w:p w14:paraId="6C46C9C9">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按招标文件规定的评审方法和标准，对投标文件进行比较和评价；对投标人的客观评分项的评分应当一致；</w:t>
      </w:r>
    </w:p>
    <w:p w14:paraId="6AAB7641">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要依法独立评审，按照招标文件的要求和评标标准进行评标，推荐中标候选人名单，对评审意见承担个人责任；</w:t>
      </w:r>
    </w:p>
    <w:p w14:paraId="2D5496B1">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 xml:space="preserve">对需要共同认定的事项存在争议的，按照少数服从多数的原则做出结论。持不同意见的评审委员会成员应当在评审报告上签署不同意见并说明理由，否则视为同意； </w:t>
      </w:r>
    </w:p>
    <w:p w14:paraId="53625D26">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对评审情况以及在评审过程中获悉的国家秘密、商业秘密负有保密责任；</w:t>
      </w:r>
    </w:p>
    <w:p w14:paraId="7197D9F6">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向招标人、代理机构或者有关部门报告评标中发现的违法行为；</w:t>
      </w:r>
    </w:p>
    <w:p w14:paraId="66298628">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配合招标人、代理机构答复投标人提出的质疑；</w:t>
      </w:r>
    </w:p>
    <w:p w14:paraId="5D3DE11D">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2.10</w:t>
      </w:r>
      <w:r>
        <w:rPr>
          <w:rFonts w:hint="eastAsia" w:asciiTheme="minorEastAsia" w:hAnsiTheme="minorEastAsia" w:eastAsiaTheme="minorEastAsia" w:cstheme="minorEastAsia"/>
          <w:sz w:val="24"/>
          <w:szCs w:val="24"/>
        </w:rPr>
        <w:t>配合处理投诉工作；</w:t>
      </w:r>
    </w:p>
    <w:p w14:paraId="17A2D68D">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2.11遵守</w:t>
      </w:r>
      <w:r>
        <w:rPr>
          <w:rFonts w:hint="eastAsia" w:asciiTheme="minorEastAsia" w:hAnsiTheme="minorEastAsia" w:eastAsiaTheme="minorEastAsia" w:cstheme="minorEastAsia"/>
          <w:sz w:val="24"/>
          <w:szCs w:val="24"/>
        </w:rPr>
        <w:t>招标文件及法律法律规定的其他评标委员会须履行的义务。</w:t>
      </w:r>
    </w:p>
    <w:p w14:paraId="6BE79513">
      <w:pPr>
        <w:numPr>
          <w:ilvl w:val="0"/>
          <w:numId w:val="0"/>
        </w:numPr>
        <w:spacing w:line="480" w:lineRule="exact"/>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评审</w:t>
      </w:r>
    </w:p>
    <w:p w14:paraId="5E05BA9F">
      <w:pPr>
        <w:numPr>
          <w:ilvl w:val="0"/>
          <w:numId w:val="0"/>
        </w:numPr>
        <w:spacing w:line="480" w:lineRule="exact"/>
        <w:ind w:leftChars="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评标委员会按照</w:t>
      </w:r>
      <w:r>
        <w:rPr>
          <w:rFonts w:hint="eastAsia" w:asciiTheme="minorEastAsia" w:hAnsiTheme="minorEastAsia" w:eastAsiaTheme="minorEastAsia" w:cstheme="minorEastAsia"/>
          <w:bCs/>
          <w:sz w:val="24"/>
          <w:szCs w:val="24"/>
        </w:rPr>
        <w:t xml:space="preserve"> “评标办法”</w:t>
      </w:r>
      <w:r>
        <w:rPr>
          <w:rFonts w:hint="eastAsia" w:asciiTheme="minorEastAsia" w:hAnsiTheme="minorEastAsia" w:eastAsiaTheme="minorEastAsia" w:cstheme="minorEastAsia"/>
          <w:sz w:val="24"/>
          <w:szCs w:val="24"/>
        </w:rPr>
        <w:t>规定的评审标准对投标文件进行评审。</w:t>
      </w:r>
    </w:p>
    <w:p w14:paraId="2D338940">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无效投标的情形</w:t>
      </w:r>
    </w:p>
    <w:p w14:paraId="70E49426">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投标人未按招标文件要求提供法人（（或其他组织负责人，或自然人））身份证复印件，被授权人身份证复印件和法人授权委托书等证明文件和资料的，或提供的证件不齐或无效；</w:t>
      </w:r>
    </w:p>
    <w:p w14:paraId="32C12B8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4.2</w:t>
      </w:r>
      <w:r>
        <w:rPr>
          <w:rFonts w:hint="eastAsia" w:asciiTheme="minorEastAsia" w:hAnsiTheme="minorEastAsia" w:eastAsiaTheme="minorEastAsia" w:cstheme="minorEastAsia"/>
          <w:kern w:val="0"/>
          <w:sz w:val="24"/>
          <w:szCs w:val="24"/>
        </w:rPr>
        <w:t>《投标文件》</w:t>
      </w:r>
      <w:r>
        <w:rPr>
          <w:rFonts w:hint="eastAsia" w:asciiTheme="minorEastAsia" w:hAnsiTheme="minorEastAsia" w:eastAsiaTheme="minorEastAsia" w:cstheme="minorEastAsia"/>
          <w:sz w:val="24"/>
          <w:szCs w:val="24"/>
        </w:rPr>
        <w:t>未按照《招标文件》规定要求签署、盖章或提交的；</w:t>
      </w:r>
    </w:p>
    <w:p w14:paraId="571D7B7A">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w:t>
      </w:r>
      <w:r>
        <w:rPr>
          <w:rFonts w:hint="eastAsia" w:asciiTheme="minorEastAsia" w:hAnsiTheme="minorEastAsia" w:eastAsiaTheme="minorEastAsia" w:cstheme="minorEastAsia"/>
          <w:sz w:val="24"/>
          <w:szCs w:val="24"/>
        </w:rPr>
        <w:t>投标文件未按照招标文件规定的格式填写，或者填写的内容不全，或者辨认不清产生歧义，或者涂改处未加盖投标人公章及法人或法人授权委托人的印章或签字的；</w:t>
      </w:r>
    </w:p>
    <w:p w14:paraId="151D9237">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4.4</w:t>
      </w:r>
      <w:r>
        <w:rPr>
          <w:rFonts w:hint="eastAsia" w:asciiTheme="minorEastAsia" w:hAnsiTheme="minorEastAsia" w:eastAsiaTheme="minorEastAsia" w:cstheme="minorEastAsia"/>
          <w:kern w:val="0"/>
          <w:sz w:val="24"/>
          <w:szCs w:val="24"/>
        </w:rPr>
        <w:t>《投标文件》不符合</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kern w:val="0"/>
          <w:sz w:val="24"/>
          <w:szCs w:val="24"/>
        </w:rPr>
        <w:t>规定格式的；</w:t>
      </w:r>
    </w:p>
    <w:p w14:paraId="50D23C22">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4.5</w:t>
      </w:r>
      <w:r>
        <w:rPr>
          <w:rFonts w:hint="eastAsia" w:asciiTheme="minorEastAsia" w:hAnsiTheme="minorEastAsia" w:eastAsiaTheme="minorEastAsia" w:cstheme="minorEastAsia"/>
          <w:sz w:val="24"/>
          <w:szCs w:val="24"/>
        </w:rPr>
        <w:t>投标总报价超出项目采购预算的。</w:t>
      </w:r>
    </w:p>
    <w:p w14:paraId="146AF2C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w:t>
      </w:r>
      <w:r>
        <w:rPr>
          <w:rFonts w:hint="eastAsia" w:asciiTheme="minorEastAsia" w:hAnsiTheme="minorEastAsia" w:eastAsiaTheme="minorEastAsia" w:cstheme="minorEastAsia"/>
          <w:sz w:val="24"/>
          <w:szCs w:val="24"/>
        </w:rPr>
        <w:t>应交未交投标保证金或不能提供有效缴纳凭证的；</w:t>
      </w:r>
    </w:p>
    <w:p w14:paraId="44FF7900">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4.7</w:t>
      </w:r>
      <w:r>
        <w:rPr>
          <w:rFonts w:hint="eastAsia" w:asciiTheme="minorEastAsia" w:hAnsiTheme="minorEastAsia" w:eastAsiaTheme="minorEastAsia" w:cstheme="minorEastAsia"/>
          <w:sz w:val="24"/>
          <w:szCs w:val="24"/>
        </w:rPr>
        <w:t>不具备招标文件中规定资格要求或</w:t>
      </w:r>
      <w:r>
        <w:rPr>
          <w:rFonts w:hint="eastAsia" w:asciiTheme="minorEastAsia" w:hAnsiTheme="minorEastAsia" w:eastAsiaTheme="minorEastAsia" w:cstheme="minorEastAsia"/>
          <w:kern w:val="0"/>
          <w:sz w:val="24"/>
          <w:szCs w:val="24"/>
        </w:rPr>
        <w:t>资格证明文件不全或是虚假的</w:t>
      </w:r>
      <w:r>
        <w:rPr>
          <w:rFonts w:hint="eastAsia" w:asciiTheme="minorEastAsia" w:hAnsiTheme="minorEastAsia" w:eastAsiaTheme="minorEastAsia" w:cstheme="minorEastAsia"/>
          <w:sz w:val="24"/>
          <w:szCs w:val="24"/>
        </w:rPr>
        <w:t>；</w:t>
      </w:r>
    </w:p>
    <w:p w14:paraId="69EAA3D7">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4.8</w:t>
      </w:r>
      <w:r>
        <w:rPr>
          <w:rFonts w:hint="eastAsia" w:asciiTheme="minorEastAsia" w:hAnsiTheme="minorEastAsia" w:eastAsiaTheme="minorEastAsia" w:cstheme="minorEastAsia"/>
          <w:kern w:val="0"/>
          <w:sz w:val="24"/>
          <w:szCs w:val="24"/>
        </w:rPr>
        <w:t>投标有效期不符合</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kern w:val="0"/>
          <w:sz w:val="24"/>
          <w:szCs w:val="24"/>
        </w:rPr>
        <w:t>要求的；</w:t>
      </w:r>
    </w:p>
    <w:p w14:paraId="655077E4">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4.9</w:t>
      </w:r>
      <w:r>
        <w:rPr>
          <w:rFonts w:hint="eastAsia" w:asciiTheme="minorEastAsia" w:hAnsiTheme="minorEastAsia" w:eastAsiaTheme="minorEastAsia" w:cstheme="minorEastAsia"/>
          <w:kern w:val="0"/>
          <w:sz w:val="24"/>
          <w:szCs w:val="24"/>
        </w:rPr>
        <w:t>不能按</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kern w:val="0"/>
          <w:sz w:val="24"/>
          <w:szCs w:val="24"/>
        </w:rPr>
        <w:t>要求提供相应</w:t>
      </w:r>
      <w:r>
        <w:rPr>
          <w:rFonts w:hint="eastAsia" w:asciiTheme="minorEastAsia" w:hAnsiTheme="minorEastAsia" w:eastAsiaTheme="minorEastAsia" w:cstheme="minorEastAsia"/>
          <w:kern w:val="0"/>
          <w:sz w:val="24"/>
          <w:szCs w:val="24"/>
          <w:lang w:val="en-US" w:eastAsia="zh-CN"/>
        </w:rPr>
        <w:t>证明材料</w:t>
      </w:r>
      <w:r>
        <w:rPr>
          <w:rFonts w:hint="eastAsia" w:asciiTheme="minorEastAsia" w:hAnsiTheme="minorEastAsia" w:eastAsiaTheme="minorEastAsia" w:cstheme="minorEastAsia"/>
          <w:kern w:val="0"/>
          <w:sz w:val="24"/>
          <w:szCs w:val="24"/>
        </w:rPr>
        <w:t>，且存在伪造行为的；</w:t>
      </w:r>
    </w:p>
    <w:p w14:paraId="51462721">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4.10</w:t>
      </w:r>
      <w:r>
        <w:rPr>
          <w:rFonts w:hint="eastAsia" w:asciiTheme="minorEastAsia" w:hAnsiTheme="minorEastAsia" w:eastAsiaTheme="minorEastAsia" w:cstheme="minorEastAsia"/>
          <w:sz w:val="24"/>
          <w:szCs w:val="24"/>
        </w:rPr>
        <w:t>投标人的投标报价是可变动价格的，或包含了价格调整要求的，或投标报价中提供两个（含两个）以上的报价且未声明哪个有效的（招标文件规定提交备选投标方案的除外）</w:t>
      </w:r>
      <w:r>
        <w:rPr>
          <w:rFonts w:hint="eastAsia" w:asciiTheme="minorEastAsia" w:hAnsiTheme="minorEastAsia" w:eastAsiaTheme="minorEastAsia" w:cstheme="minorEastAsia"/>
          <w:kern w:val="0"/>
          <w:sz w:val="24"/>
          <w:szCs w:val="24"/>
        </w:rPr>
        <w:t>；</w:t>
      </w:r>
    </w:p>
    <w:p w14:paraId="7F2F69DB">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4.11</w:t>
      </w:r>
      <w:r>
        <w:rPr>
          <w:rFonts w:hint="eastAsia" w:asciiTheme="minorEastAsia" w:hAnsiTheme="minorEastAsia" w:eastAsiaTheme="minorEastAsia" w:cstheme="minorEastAsia"/>
          <w:sz w:val="24"/>
          <w:szCs w:val="24"/>
        </w:rPr>
        <w:t>评审专家中有2/3认定投标人投标价格有恶意报价行为的</w:t>
      </w:r>
      <w:r>
        <w:rPr>
          <w:rFonts w:hint="eastAsia" w:asciiTheme="minorEastAsia" w:hAnsiTheme="minorEastAsia" w:eastAsiaTheme="minorEastAsia" w:cstheme="minorEastAsia"/>
          <w:kern w:val="0"/>
          <w:sz w:val="24"/>
          <w:szCs w:val="24"/>
        </w:rPr>
        <w:t>；</w:t>
      </w:r>
    </w:p>
    <w:p w14:paraId="6CB6D461">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4.12</w:t>
      </w:r>
      <w:r>
        <w:rPr>
          <w:rFonts w:hint="eastAsia" w:asciiTheme="minorEastAsia" w:hAnsiTheme="minorEastAsia" w:eastAsiaTheme="minorEastAsia" w:cstheme="minorEastAsia"/>
          <w:kern w:val="0"/>
          <w:sz w:val="24"/>
          <w:szCs w:val="24"/>
        </w:rPr>
        <w:t>《投标文件》含有招标人不能接受的条件或声明的；</w:t>
      </w:r>
    </w:p>
    <w:p w14:paraId="2F2D625F">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4.13</w:t>
      </w:r>
      <w:r>
        <w:rPr>
          <w:rFonts w:hint="eastAsia" w:asciiTheme="minorEastAsia" w:hAnsiTheme="minorEastAsia" w:eastAsiaTheme="minorEastAsia" w:cstheme="minorEastAsia"/>
          <w:sz w:val="24"/>
          <w:szCs w:val="24"/>
        </w:rPr>
        <w:t>在评标过程中，如果投标人试图在投标审查、澄清、比较及授予合同方面向招标人施加任何影响的；</w:t>
      </w:r>
    </w:p>
    <w:p w14:paraId="77191AE4">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4.14</w:t>
      </w:r>
      <w:r>
        <w:rPr>
          <w:rFonts w:hint="eastAsia" w:asciiTheme="minorEastAsia" w:hAnsiTheme="minorEastAsia" w:eastAsiaTheme="minorEastAsia" w:cstheme="minorEastAsia"/>
          <w:sz w:val="24"/>
          <w:szCs w:val="24"/>
        </w:rPr>
        <w:t>投标人以他人名义投标、串通投标、以行贿手段谋取中标或者以弄虚作假等方式投标的；</w:t>
      </w:r>
    </w:p>
    <w:p w14:paraId="24AEA6D9">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4.15</w:t>
      </w:r>
      <w:r>
        <w:rPr>
          <w:rFonts w:hint="eastAsia" w:asciiTheme="minorEastAsia" w:hAnsiTheme="minorEastAsia" w:eastAsiaTheme="minorEastAsia" w:cstheme="minorEastAsia"/>
          <w:sz w:val="24"/>
          <w:szCs w:val="24"/>
        </w:rPr>
        <w:t>经核实两个或两个以上投标人的投标文件有雷同或有抄袭行为的；</w:t>
      </w:r>
    </w:p>
    <w:p w14:paraId="05F38CE2">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4.16</w:t>
      </w:r>
      <w:r>
        <w:rPr>
          <w:rFonts w:hint="eastAsia" w:asciiTheme="minorEastAsia" w:hAnsiTheme="minorEastAsia" w:eastAsiaTheme="minorEastAsia" w:cstheme="minorEastAsia"/>
          <w:sz w:val="24"/>
          <w:szCs w:val="24"/>
        </w:rPr>
        <w:t>违反《中华人民共和国政府采购法》的投标；</w:t>
      </w:r>
    </w:p>
    <w:p w14:paraId="5909E440">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4.17</w:t>
      </w:r>
      <w:r>
        <w:rPr>
          <w:rFonts w:hint="eastAsia" w:asciiTheme="minorEastAsia" w:hAnsiTheme="minorEastAsia" w:eastAsiaTheme="minorEastAsia" w:cstheme="minorEastAsia"/>
          <w:kern w:val="0"/>
          <w:sz w:val="24"/>
          <w:szCs w:val="24"/>
        </w:rPr>
        <w:t>招标文件中已明确无效投标的其他条款。</w:t>
      </w:r>
    </w:p>
    <w:p w14:paraId="4B5CA8B1">
      <w:pPr>
        <w:numPr>
          <w:ilvl w:val="0"/>
          <w:numId w:val="0"/>
        </w:numPr>
        <w:spacing w:line="480" w:lineRule="exact"/>
        <w:ind w:leftChars="0" w:firstLine="482"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定标</w:t>
      </w:r>
    </w:p>
    <w:p w14:paraId="7590B262">
      <w:pPr>
        <w:spacing w:line="480" w:lineRule="exact"/>
        <w:ind w:firstLine="48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sz w:val="24"/>
          <w:szCs w:val="24"/>
        </w:rPr>
        <w:t>定标及确定中标人的原则：投标文件满足招标文件全部实质性要求，且按照评审因素的量化指标评审得分最高的投标人为排名第一的中标候选人即中标人。得分相同的，选择最</w:t>
      </w:r>
      <w:r>
        <w:rPr>
          <w:rFonts w:hint="eastAsia" w:asciiTheme="minorEastAsia" w:hAnsiTheme="minorEastAsia" w:eastAsiaTheme="minorEastAsia" w:cstheme="minorEastAsia"/>
          <w:b/>
          <w:sz w:val="24"/>
          <w:szCs w:val="24"/>
          <w:lang w:eastAsia="zh-CN"/>
        </w:rPr>
        <w:t>低</w:t>
      </w:r>
      <w:r>
        <w:rPr>
          <w:rFonts w:hint="eastAsia" w:asciiTheme="minorEastAsia" w:hAnsiTheme="minorEastAsia" w:eastAsiaTheme="minorEastAsia" w:cstheme="minorEastAsia"/>
          <w:b/>
          <w:sz w:val="24"/>
          <w:szCs w:val="24"/>
        </w:rPr>
        <w:t>报价的投标人为排名第一的中标候选人即中标人。</w:t>
      </w:r>
    </w:p>
    <w:p w14:paraId="1DFA2F82">
      <w:pPr>
        <w:pStyle w:val="3"/>
        <w:spacing w:line="480" w:lineRule="exact"/>
        <w:jc w:val="center"/>
        <w:rPr>
          <w:rFonts w:hint="eastAsia" w:asciiTheme="minorEastAsia" w:hAnsiTheme="minorEastAsia" w:eastAsiaTheme="minorEastAsia" w:cstheme="minorEastAsia"/>
          <w:sz w:val="28"/>
          <w:szCs w:val="28"/>
        </w:rPr>
      </w:pPr>
      <w:bookmarkStart w:id="131" w:name="_Toc17204484"/>
      <w:bookmarkStart w:id="132" w:name="_Toc1750"/>
      <w:bookmarkStart w:id="133" w:name="_Toc388260479"/>
      <w:r>
        <w:rPr>
          <w:rFonts w:hint="eastAsia" w:asciiTheme="minorEastAsia" w:hAnsiTheme="minorEastAsia" w:eastAsiaTheme="minorEastAsia" w:cstheme="minorEastAsia"/>
          <w:sz w:val="28"/>
          <w:szCs w:val="28"/>
        </w:rPr>
        <w:t>六、质疑</w:t>
      </w:r>
      <w:bookmarkEnd w:id="131"/>
      <w:bookmarkEnd w:id="132"/>
      <w:bookmarkEnd w:id="133"/>
    </w:p>
    <w:p w14:paraId="19C337B1">
      <w:pPr>
        <w:numPr>
          <w:ilvl w:val="0"/>
          <w:numId w:val="0"/>
        </w:numPr>
        <w:adjustRightInd w:val="0"/>
        <w:snapToGrid w:val="0"/>
        <w:spacing w:before="159" w:beforeLines="50" w:line="360" w:lineRule="auto"/>
        <w:ind w:leftChars="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投标人</w:t>
      </w:r>
      <w:r>
        <w:rPr>
          <w:rFonts w:hint="eastAsia" w:asciiTheme="minorEastAsia" w:hAnsiTheme="minorEastAsia" w:eastAsiaTheme="minorEastAsia" w:cstheme="minorEastAsia"/>
          <w:b/>
          <w:bCs/>
          <w:sz w:val="24"/>
          <w:szCs w:val="24"/>
        </w:rPr>
        <w:t>质疑</w:t>
      </w:r>
    </w:p>
    <w:p w14:paraId="215EDF5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bookmarkStart w:id="134" w:name="_Toc388260480"/>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投标人对政府采购活动事项有疑问的，可以向招标人或招标代理机构提出询问。招标人或招标代理机构将在三个工作日内作出答复。本次招标投标人如对招标文件或招投标过程进行质疑，投标人须一次性提出针对同一采购程序环节的所有质疑内容，多次质疑将不予受理。</w:t>
      </w:r>
    </w:p>
    <w:p w14:paraId="6991518D">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投标人若认为招标文件、采购过程和中标结果使自己的权益受到损害，应当在下列时间内以书面形式向招标人或招标代理机构提出：</w:t>
      </w:r>
    </w:p>
    <w:p w14:paraId="02A62A2A">
      <w:pPr>
        <w:numPr>
          <w:ilvl w:val="0"/>
          <w:numId w:val="0"/>
        </w:numPr>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关于招标文件的质疑，应在递交投标文件截止时间前提出。</w:t>
      </w:r>
    </w:p>
    <w:p w14:paraId="14FF2026">
      <w:pPr>
        <w:numPr>
          <w:ilvl w:val="0"/>
          <w:numId w:val="0"/>
        </w:numPr>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关于招标过程的质疑，应在招标程序环节结束之日起七个工作日内提出。</w:t>
      </w:r>
    </w:p>
    <w:p w14:paraId="47BCFCFF">
      <w:pPr>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关于中标结果的质疑，应在中标结果信息发布后七个工作日内提出。</w:t>
      </w:r>
    </w:p>
    <w:p w14:paraId="057BDAAC">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投标人提出质疑的，应提供质疑书原件。招标人或招标代理机构应当向质疑投标人签收回执。</w:t>
      </w:r>
    </w:p>
    <w:p w14:paraId="34C9114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质疑书应当包括下列内容：</w:t>
      </w:r>
    </w:p>
    <w:p w14:paraId="2E38FC9B">
      <w:pPr>
        <w:pStyle w:val="21"/>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（1）质疑投标人的名称、地址及有效联系方式；</w:t>
      </w:r>
    </w:p>
    <w:p w14:paraId="6DFDD926">
      <w:pPr>
        <w:pStyle w:val="21"/>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（2）质疑事项；</w:t>
      </w:r>
    </w:p>
    <w:p w14:paraId="7782904E">
      <w:pPr>
        <w:pStyle w:val="21"/>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（3）事实依据及相关证明材料；</w:t>
      </w:r>
    </w:p>
    <w:p w14:paraId="7F2DB6E1">
      <w:pPr>
        <w:pStyle w:val="21"/>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（4）相关请求及主张。</w:t>
      </w:r>
    </w:p>
    <w:p w14:paraId="729F9237">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质疑书应当由投标人法定代表人（或其他组织负责人，或自然人）或其授权委托人签字并加盖投标人单位章，质疑书由授权委托人签字的应附投标人授权委托书（自然人除外）。</w:t>
      </w:r>
    </w:p>
    <w:p w14:paraId="2B2B3F46">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招标人或招标代理机构将在签收回执之日起七个工作日内作出书面答复，并以书面形式通知质疑投标人和其他有关的投标人。</w:t>
      </w:r>
    </w:p>
    <w:p w14:paraId="591351E4">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投标人对招标人或招标代理机构的答复不满意，或招标人或招标代理机构未在规定的期限作出答复的，可在答复期满后十五个工作日内，按政府采购相关法律法规规章的规定及程序，向同级财政部门提出投诉。</w:t>
      </w:r>
    </w:p>
    <w:p w14:paraId="77BE95AA">
      <w:pPr>
        <w:pStyle w:val="3"/>
        <w:spacing w:line="480" w:lineRule="exact"/>
        <w:jc w:val="center"/>
        <w:rPr>
          <w:rFonts w:hint="eastAsia" w:asciiTheme="minorEastAsia" w:hAnsiTheme="minorEastAsia" w:eastAsiaTheme="minorEastAsia" w:cstheme="minorEastAsia"/>
          <w:sz w:val="28"/>
          <w:szCs w:val="28"/>
        </w:rPr>
      </w:pPr>
      <w:bookmarkStart w:id="135" w:name="_Toc8723"/>
      <w:bookmarkStart w:id="136" w:name="_Toc17204485"/>
      <w:r>
        <w:rPr>
          <w:rFonts w:hint="eastAsia" w:asciiTheme="minorEastAsia" w:hAnsiTheme="minorEastAsia" w:eastAsiaTheme="minorEastAsia" w:cstheme="minorEastAsia"/>
          <w:sz w:val="28"/>
          <w:szCs w:val="28"/>
        </w:rPr>
        <w:t>七、签订合同</w:t>
      </w:r>
      <w:bookmarkEnd w:id="134"/>
      <w:bookmarkEnd w:id="135"/>
      <w:bookmarkEnd w:id="136"/>
    </w:p>
    <w:p w14:paraId="7CCB3813">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招标代理服务费</w:t>
      </w:r>
    </w:p>
    <w:p w14:paraId="4C5BA8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b w:val="0"/>
          <w:bCs/>
          <w:sz w:val="24"/>
          <w:szCs w:val="24"/>
          <w:u w:val="none"/>
          <w:lang w:val="en-US" w:eastAsia="zh-CN"/>
        </w:rPr>
        <w:t>1.1</w:t>
      </w:r>
      <w:r>
        <w:rPr>
          <w:rFonts w:hint="eastAsia" w:asciiTheme="minorEastAsia" w:hAnsiTheme="minorEastAsia" w:eastAsiaTheme="minorEastAsia" w:cstheme="minorEastAsia"/>
          <w:b w:val="0"/>
          <w:bCs/>
          <w:sz w:val="24"/>
          <w:szCs w:val="24"/>
          <w:u w:val="none"/>
        </w:rPr>
        <w:t>招标代理服务费收取标准：</w:t>
      </w:r>
      <w:r>
        <w:rPr>
          <w:rFonts w:hint="eastAsia" w:ascii="宋体" w:hAnsi="宋体" w:eastAsia="宋体" w:cs="宋体"/>
          <w:sz w:val="24"/>
          <w:szCs w:val="24"/>
          <w:lang w:val="en-US" w:eastAsia="zh-CN"/>
        </w:rPr>
        <w:t>中标人参照《招标代理服务收费管理暂行办法》（计价格[2002]1980号）向采购代理机构交纳中标服务费。</w:t>
      </w:r>
    </w:p>
    <w:p w14:paraId="523A2E6E">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费用缴纳可采用电汇、转支（公户）的方式支付，在领取《中标通知书》前一次性支付给</w:t>
      </w:r>
      <w:r>
        <w:rPr>
          <w:rFonts w:hint="eastAsia" w:ascii="宋体" w:hAnsi="宋体" w:eastAsia="宋体" w:cs="宋体"/>
          <w:sz w:val="24"/>
          <w:szCs w:val="24"/>
          <w:lang w:val="en-US" w:eastAsia="zh-CN"/>
        </w:rPr>
        <w:t>采购</w:t>
      </w:r>
      <w:r>
        <w:rPr>
          <w:rFonts w:hint="eastAsia" w:asciiTheme="minorEastAsia" w:hAnsiTheme="minorEastAsia" w:eastAsiaTheme="minorEastAsia" w:cstheme="minorEastAsia"/>
          <w:sz w:val="24"/>
          <w:szCs w:val="24"/>
        </w:rPr>
        <w:t>代理机构。</w:t>
      </w:r>
    </w:p>
    <w:p w14:paraId="1A907226">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中标通知书</w:t>
      </w:r>
    </w:p>
    <w:p w14:paraId="5EC6E73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采购</w:t>
      </w:r>
      <w:r>
        <w:rPr>
          <w:rFonts w:hint="eastAsia" w:asciiTheme="minorEastAsia" w:hAnsiTheme="minorEastAsia" w:eastAsiaTheme="minorEastAsia" w:cstheme="minorEastAsia"/>
          <w:sz w:val="24"/>
          <w:szCs w:val="24"/>
        </w:rPr>
        <w:t>代理机构将电话通知中标人缴纳招标代理服务费。</w:t>
      </w:r>
    </w:p>
    <w:p w14:paraId="69B1E5D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未按规定缴纳招标代理服务费的中标人，则视为自动放弃成交资格。</w:t>
      </w:r>
    </w:p>
    <w:p w14:paraId="1D9C7585">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在规定的投标有效期内，</w:t>
      </w:r>
      <w:r>
        <w:rPr>
          <w:rFonts w:hint="eastAsia" w:ascii="宋体" w:hAnsi="宋体" w:eastAsia="宋体" w:cs="宋体"/>
          <w:sz w:val="24"/>
          <w:szCs w:val="24"/>
          <w:lang w:val="en-US" w:eastAsia="zh-CN"/>
        </w:rPr>
        <w:t>采购</w:t>
      </w:r>
      <w:r>
        <w:rPr>
          <w:rFonts w:hint="eastAsia" w:asciiTheme="minorEastAsia" w:hAnsiTheme="minorEastAsia" w:eastAsiaTheme="minorEastAsia" w:cstheme="minorEastAsia"/>
          <w:sz w:val="24"/>
          <w:szCs w:val="24"/>
        </w:rPr>
        <w:t>代理机构将以书面形式向中标人发出《中标通知书》。</w:t>
      </w:r>
    </w:p>
    <w:p w14:paraId="19E00DB2">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中标通知书对招标人和中标人具有同等法律效力。</w:t>
      </w:r>
    </w:p>
    <w:p w14:paraId="3E9A10A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中标通知书是中标人签订合同的依据，是合同必不可少的一个组成部分。</w:t>
      </w:r>
    </w:p>
    <w:p w14:paraId="78CD0432">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2.6</w:t>
      </w:r>
      <w:r>
        <w:rPr>
          <w:rFonts w:hint="eastAsia" w:asciiTheme="minorEastAsia" w:hAnsiTheme="minorEastAsia" w:eastAsiaTheme="minorEastAsia" w:cstheme="minorEastAsia"/>
          <w:b/>
          <w:sz w:val="24"/>
          <w:szCs w:val="24"/>
        </w:rPr>
        <w:t>中标人未按照招标文件要求与招标人签订采购采购合同或放弃中标资格的，按照《中华人民共和国政府采购法实施条例》第四十九条规定执行。</w:t>
      </w:r>
    </w:p>
    <w:p w14:paraId="608DCBE9">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签订合同</w:t>
      </w:r>
    </w:p>
    <w:p w14:paraId="17727C24">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3.1</w:t>
      </w:r>
      <w:r>
        <w:rPr>
          <w:rFonts w:hint="eastAsia" w:asciiTheme="minorEastAsia" w:hAnsiTheme="minorEastAsia" w:eastAsiaTheme="minorEastAsia" w:cstheme="minorEastAsia"/>
          <w:kern w:val="0"/>
          <w:sz w:val="24"/>
          <w:szCs w:val="24"/>
        </w:rPr>
        <w:t>招标人与中标人应当在中标通知书发出之日起30日内，按照招标文件确定的合同文本以及采购标的、规格型号、采购金额、采购数量、技术和服务要求等事项签订政府采购合同。</w:t>
      </w:r>
    </w:p>
    <w:p w14:paraId="4043451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3.2</w:t>
      </w:r>
      <w:r>
        <w:rPr>
          <w:rFonts w:hint="eastAsia" w:asciiTheme="minorEastAsia" w:hAnsiTheme="minorEastAsia" w:eastAsiaTheme="minorEastAsia" w:cstheme="minorEastAsia"/>
          <w:kern w:val="0"/>
          <w:sz w:val="24"/>
          <w:szCs w:val="24"/>
        </w:rPr>
        <w:t>招标人不得向中标人提出超出招标文件以外的任何要求作为签订合同的条件，不得与中标人订立背离招标文件确定的合同文本以及采购标的、规格型号、采购金额、采购数量、技术和服务要求等实质性内容的协议。</w:t>
      </w:r>
    </w:p>
    <w:p w14:paraId="6131F23A">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3.3</w:t>
      </w:r>
      <w:r>
        <w:rPr>
          <w:rFonts w:hint="eastAsia" w:asciiTheme="minorEastAsia" w:hAnsiTheme="minorEastAsia" w:eastAsiaTheme="minorEastAsia" w:cstheme="minorEastAsia"/>
          <w:kern w:val="0"/>
          <w:sz w:val="24"/>
          <w:szCs w:val="24"/>
        </w:rPr>
        <w:t>除不可抗力等因素外，中标通知书发出后，招标人改变成交结果，或者中标人拒绝签订政府采购合同的，应当承担相应的法律责任。</w:t>
      </w:r>
    </w:p>
    <w:p w14:paraId="7CFD4AA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3.4</w:t>
      </w:r>
      <w:r>
        <w:rPr>
          <w:rFonts w:hint="eastAsia" w:asciiTheme="minorEastAsia" w:hAnsiTheme="minorEastAsia" w:eastAsiaTheme="minorEastAsia" w:cstheme="minorEastAsia"/>
          <w:kern w:val="0"/>
          <w:sz w:val="24"/>
          <w:szCs w:val="24"/>
        </w:rPr>
        <w:t>中标人拒绝签订政府采购合同的，招标人可以按照</w:t>
      </w:r>
      <w:r>
        <w:rPr>
          <w:rFonts w:hint="eastAsia" w:asciiTheme="minorEastAsia" w:hAnsiTheme="minorEastAsia" w:eastAsiaTheme="minorEastAsia" w:cstheme="minorEastAsia"/>
          <w:sz w:val="24"/>
          <w:szCs w:val="24"/>
          <w:lang w:val="en-GB"/>
        </w:rPr>
        <w:t>《政府采购非招标招标人式管理办法》</w:t>
      </w:r>
      <w:r>
        <w:rPr>
          <w:rFonts w:hint="eastAsia" w:asciiTheme="minorEastAsia" w:hAnsiTheme="minorEastAsia" w:eastAsiaTheme="minorEastAsia" w:cstheme="minorEastAsia"/>
          <w:kern w:val="0"/>
          <w:sz w:val="24"/>
          <w:szCs w:val="24"/>
        </w:rPr>
        <w:t>第三十六条第二款、第四十九条第二款规定的原则确定其他投标人作为中标人并签订政府采购合同，也可以重新开展采购活动。拒绝签订政府采购合同的中标人不得参加对该项目重新开展的采购活动。</w:t>
      </w:r>
    </w:p>
    <w:p w14:paraId="686455C0">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招标人或者招标代理机构应当自采购合同签订之日起七个工作日内，按照有关规定将采购合同副本报同级人民政府财政部门备案。</w:t>
      </w:r>
    </w:p>
    <w:p w14:paraId="3544316D">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分包履行合同</w:t>
      </w:r>
    </w:p>
    <w:p w14:paraId="423E61C3">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如招标文件同意分包，经招标人同意，中标人可以依法采取分包方式履行合同。</w:t>
      </w:r>
    </w:p>
    <w:p w14:paraId="7209EA7D">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政府采购合同分包履行的，中标人就采购项目和分包项目向招标人负责，分包投标人就分包项目承担责任。</w:t>
      </w:r>
    </w:p>
    <w:p w14:paraId="7BED3956">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政府采购合同履行中合同标的的追加</w:t>
      </w:r>
    </w:p>
    <w:p w14:paraId="65392D5A">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政府采购合同履行中，招标人需追加与合同标的相同的货物、工程或者服务的，在不改变合同其他条款的前提下，可以与中标人协商签订补充合同，但所有补充合同的采购金额不得超过原合同采购金额的百分之十。</w:t>
      </w:r>
    </w:p>
    <w:p w14:paraId="737A0938">
      <w:pPr>
        <w:pStyle w:val="21"/>
        <w:numPr>
          <w:ilvl w:val="0"/>
          <w:numId w:val="0"/>
        </w:numPr>
        <w:adjustRightInd w:val="0"/>
        <w:snapToGrid w:val="0"/>
        <w:spacing w:before="159" w:beforeLines="50" w:line="360" w:lineRule="auto"/>
        <w:ind w:leftChars="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废标条款</w:t>
      </w:r>
    </w:p>
    <w:p w14:paraId="6CDE60F4">
      <w:pPr>
        <w:numPr>
          <w:ilvl w:val="0"/>
          <w:numId w:val="0"/>
        </w:numPr>
        <w:spacing w:line="360" w:lineRule="auto"/>
        <w:ind w:leftChars="0"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6.1</w:t>
      </w:r>
      <w:r>
        <w:rPr>
          <w:rFonts w:hint="eastAsia" w:asciiTheme="minorEastAsia" w:hAnsiTheme="minorEastAsia" w:eastAsiaTheme="minorEastAsia" w:cstheme="minorEastAsia"/>
          <w:kern w:val="0"/>
          <w:sz w:val="24"/>
          <w:szCs w:val="24"/>
        </w:rPr>
        <w:t>出现下列情形之一的，招标人或者招标代理机构应当终止采购活动，发布项目终止公告并说明原因，重新开展采购活动：</w:t>
      </w:r>
    </w:p>
    <w:p w14:paraId="200EC434">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（1）因情况变化，不再符合规定的公开招标采购方式适用情形的；</w:t>
      </w:r>
    </w:p>
    <w:p w14:paraId="41DF5CE7">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（2）出现影响采购公正的违法、违规行为的；</w:t>
      </w:r>
    </w:p>
    <w:p w14:paraId="1300DB92">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（3）在采购过程中符合竞争要求的投标人或者报价未超过采购预算的投标人不足3家的。</w:t>
      </w:r>
    </w:p>
    <w:p w14:paraId="7F782624">
      <w:pPr>
        <w:widowControl/>
        <w:spacing w:line="360" w:lineRule="auto"/>
        <w:ind w:left="0" w:leftChars="0"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6.2</w:t>
      </w:r>
      <w:r>
        <w:rPr>
          <w:rFonts w:hint="eastAsia" w:asciiTheme="minorEastAsia" w:hAnsiTheme="minorEastAsia" w:eastAsiaTheme="minorEastAsia" w:cstheme="minorEastAsia"/>
          <w:kern w:val="0"/>
          <w:sz w:val="24"/>
          <w:szCs w:val="24"/>
        </w:rPr>
        <w:t>有效投标人不足三家的，除采购任务取消外，可废标后重新组织采购；也可比照财政部《货物和服务招标投标管理办法》第43条规定，经政府采购管理部门同意，所有评委（监委）签字认可，书面通知投标人当场改作竞争性谈判或单一来源方式采购。</w:t>
      </w:r>
    </w:p>
    <w:p w14:paraId="3DADE8D0">
      <w:pPr>
        <w:pStyle w:val="21"/>
        <w:numPr>
          <w:ilvl w:val="0"/>
          <w:numId w:val="0"/>
        </w:numPr>
        <w:adjustRightInd w:val="0"/>
        <w:snapToGrid w:val="0"/>
        <w:spacing w:before="159" w:beforeLines="50" w:line="360" w:lineRule="auto"/>
        <w:ind w:leftChars="0" w:firstLine="482" w:firstLineChars="200"/>
        <w:jc w:val="left"/>
        <w:rPr>
          <w:rFonts w:hint="eastAsia" w:asciiTheme="minorEastAsia" w:hAnsiTheme="minorEastAsia" w:eastAsiaTheme="minorEastAsia" w:cstheme="minorEastAsia"/>
          <w:b/>
          <w:bCs/>
          <w:sz w:val="24"/>
          <w:szCs w:val="24"/>
        </w:rPr>
      </w:pPr>
      <w:bookmarkStart w:id="137" w:name="_Toc429734627"/>
      <w:bookmarkStart w:id="138" w:name="_Toc446605021"/>
      <w:bookmarkStart w:id="139" w:name="_Toc267645535"/>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rPr>
        <w:t>履约保证金</w:t>
      </w:r>
      <w:bookmarkEnd w:id="137"/>
      <w:bookmarkEnd w:id="138"/>
      <w:bookmarkEnd w:id="139"/>
    </w:p>
    <w:p w14:paraId="5067127C">
      <w:pPr>
        <w:numPr>
          <w:ilvl w:val="0"/>
          <w:numId w:val="0"/>
        </w:numPr>
        <w:spacing w:line="360" w:lineRule="auto"/>
        <w:ind w:leftChars="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7.1</w:t>
      </w:r>
      <w:r>
        <w:rPr>
          <w:rFonts w:hint="eastAsia" w:asciiTheme="minorEastAsia" w:hAnsiTheme="minorEastAsia" w:eastAsiaTheme="minorEastAsia" w:cstheme="minorEastAsia"/>
          <w:sz w:val="24"/>
          <w:szCs w:val="24"/>
        </w:rPr>
        <w:t>在接到中标通知书30个日历天内，中标的投标人应按合同规定向招标人提交履约保证金。</w:t>
      </w:r>
    </w:p>
    <w:p w14:paraId="1946D773">
      <w:pPr>
        <w:numPr>
          <w:ilvl w:val="0"/>
          <w:numId w:val="0"/>
        </w:numPr>
        <w:spacing w:line="360" w:lineRule="auto"/>
        <w:ind w:leftChars="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7.2</w:t>
      </w:r>
      <w:r>
        <w:rPr>
          <w:rFonts w:hint="eastAsia" w:asciiTheme="minorEastAsia" w:hAnsiTheme="minorEastAsia" w:eastAsiaTheme="minorEastAsia" w:cstheme="minorEastAsia"/>
          <w:sz w:val="24"/>
          <w:szCs w:val="24"/>
        </w:rPr>
        <w:t>如果中标人的履约保证金是以银行保函的形式提供，则该银行保函应由在中国注册的银行开具。</w:t>
      </w:r>
    </w:p>
    <w:p w14:paraId="03D8BF40">
      <w:pPr>
        <w:numPr>
          <w:ilvl w:val="0"/>
          <w:numId w:val="0"/>
        </w:numPr>
        <w:spacing w:line="360" w:lineRule="auto"/>
        <w:ind w:leftChars="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7.3</w:t>
      </w:r>
      <w:r>
        <w:rPr>
          <w:rFonts w:hint="eastAsia" w:asciiTheme="minorEastAsia" w:hAnsiTheme="minorEastAsia" w:eastAsiaTheme="minorEastAsia" w:cstheme="minorEastAsia"/>
          <w:sz w:val="24"/>
          <w:szCs w:val="24"/>
        </w:rPr>
        <w:t>如果中标人不与招标人签订合同并提交履约保证金，或者在签订合同时向招标人提出附加条件或者更改合同实质性内容的，招标人则有权没收该投标人的投标保证金，并视为其放弃中标资格；给招标人的损失超过投标保证金数额的，中标人应对超过部分予以赔偿。</w:t>
      </w:r>
    </w:p>
    <w:p w14:paraId="20009451">
      <w:pPr>
        <w:pStyle w:val="21"/>
        <w:numPr>
          <w:ilvl w:val="0"/>
          <w:numId w:val="0"/>
        </w:numPr>
        <w:adjustRightInd w:val="0"/>
        <w:snapToGrid w:val="0"/>
        <w:spacing w:before="159" w:beforeLines="50" w:line="360" w:lineRule="auto"/>
        <w:ind w:leftChars="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采购任务取消</w:t>
      </w:r>
    </w:p>
    <w:p w14:paraId="506E647E">
      <w:pPr>
        <w:numPr>
          <w:ilvl w:val="0"/>
          <w:numId w:val="0"/>
        </w:numPr>
        <w:spacing w:line="360" w:lineRule="auto"/>
        <w:ind w:leftChars="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kern w:val="0"/>
          <w:sz w:val="24"/>
          <w:szCs w:val="24"/>
        </w:rPr>
        <w:t>在采购活动中因重大变故，采购任务取消的，招标人或者招标代理机构应当终止采购活动，通知所有参加采购活动的投标人，并将项目实施情况和采购任务取消原因报送本级财政部门。</w:t>
      </w:r>
    </w:p>
    <w:p w14:paraId="6E196715">
      <w:pPr>
        <w:pStyle w:val="21"/>
        <w:numPr>
          <w:ilvl w:val="0"/>
          <w:numId w:val="0"/>
        </w:numPr>
        <w:adjustRightInd w:val="0"/>
        <w:snapToGrid w:val="0"/>
        <w:spacing w:before="159" w:beforeLines="50" w:line="360" w:lineRule="auto"/>
        <w:ind w:leftChars="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其他</w:t>
      </w:r>
    </w:p>
    <w:p w14:paraId="4E9694F6">
      <w:pPr>
        <w:numPr>
          <w:ilvl w:val="0"/>
          <w:numId w:val="0"/>
        </w:numPr>
        <w:spacing w:line="360" w:lineRule="auto"/>
        <w:ind w:leftChars="0"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9.1</w:t>
      </w:r>
      <w:r>
        <w:rPr>
          <w:rFonts w:hint="eastAsia" w:asciiTheme="minorEastAsia" w:hAnsiTheme="minorEastAsia" w:eastAsiaTheme="minorEastAsia" w:cstheme="minorEastAsia"/>
          <w:bCs/>
          <w:sz w:val="24"/>
          <w:szCs w:val="24"/>
        </w:rPr>
        <w:t>本招标文件如与网上发布的招标公告、更正公告等有差异的部分，以网上发布的为准。</w:t>
      </w:r>
    </w:p>
    <w:p w14:paraId="60577B8E">
      <w:pPr>
        <w:numPr>
          <w:ilvl w:val="0"/>
          <w:numId w:val="0"/>
        </w:numPr>
        <w:spacing w:line="360" w:lineRule="auto"/>
        <w:ind w:leftChars="0"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9.2</w:t>
      </w:r>
      <w:r>
        <w:rPr>
          <w:rFonts w:hint="eastAsia" w:asciiTheme="minorEastAsia" w:hAnsiTheme="minorEastAsia" w:eastAsiaTheme="minorEastAsia" w:cstheme="minorEastAsia"/>
          <w:bCs/>
          <w:sz w:val="24"/>
          <w:szCs w:val="24"/>
        </w:rPr>
        <w:t>投标人成功投标并不意味着其满足投标人资格，具体评判标准以本文件和评标委员会评审为依据。</w:t>
      </w:r>
    </w:p>
    <w:p w14:paraId="5748C2BC">
      <w:pPr>
        <w:widowControl/>
        <w:spacing w:line="560" w:lineRule="exact"/>
        <w:jc w:val="center"/>
        <w:outlineLvl w:val="0"/>
        <w:rPr>
          <w:b/>
          <w:bCs/>
          <w:sz w:val="32"/>
          <w:szCs w:val="32"/>
        </w:rPr>
      </w:pPr>
      <w:r>
        <w:rPr>
          <w:rFonts w:hint="eastAsia"/>
          <w:b/>
          <w:bCs/>
          <w:sz w:val="32"/>
          <w:szCs w:val="32"/>
        </w:rPr>
        <w:br w:type="page"/>
      </w:r>
      <w:bookmarkStart w:id="140" w:name="_Toc4399"/>
      <w:bookmarkStart w:id="141" w:name="_Toc3923"/>
      <w:bookmarkStart w:id="142" w:name="_Toc2336"/>
      <w:bookmarkStart w:id="143" w:name="_Toc26415"/>
      <w:r>
        <w:rPr>
          <w:rFonts w:hint="eastAsia"/>
          <w:b/>
          <w:bCs/>
          <w:sz w:val="32"/>
          <w:szCs w:val="32"/>
        </w:rPr>
        <w:t>第三章  评标办法</w:t>
      </w:r>
      <w:bookmarkEnd w:id="140"/>
      <w:bookmarkEnd w:id="141"/>
      <w:bookmarkEnd w:id="142"/>
      <w:bookmarkEnd w:id="143"/>
    </w:p>
    <w:p w14:paraId="08F53AA0">
      <w:pPr>
        <w:spacing w:line="360" w:lineRule="auto"/>
        <w:jc w:val="center"/>
        <w:rPr>
          <w:rFonts w:ascii="宋体" w:hAnsi="宋体" w:cs="宋体"/>
          <w:b/>
          <w:bCs/>
          <w:sz w:val="24"/>
          <w:szCs w:val="24"/>
        </w:rPr>
      </w:pPr>
      <w:r>
        <w:rPr>
          <w:rFonts w:hint="eastAsia" w:ascii="宋体" w:hAnsi="宋体" w:cs="宋体"/>
          <w:b/>
          <w:bCs/>
          <w:sz w:val="24"/>
          <w:szCs w:val="24"/>
        </w:rPr>
        <w:t>评标办法（综合评分法）正文部分</w:t>
      </w:r>
    </w:p>
    <w:p w14:paraId="3D0CC1BE">
      <w:pPr>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评标方式</w:t>
      </w:r>
    </w:p>
    <w:p w14:paraId="0E15587F">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1.1</w:t>
      </w:r>
      <w:r>
        <w:rPr>
          <w:rFonts w:hint="eastAsia" w:ascii="宋体" w:hAnsi="宋体" w:cs="宋体"/>
          <w:sz w:val="24"/>
          <w:szCs w:val="24"/>
        </w:rPr>
        <w:t>通过初步审查的投标人为合格的投标人。</w:t>
      </w:r>
    </w:p>
    <w:p w14:paraId="2163F0A5">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1.2</w:t>
      </w:r>
      <w:r>
        <w:rPr>
          <w:rFonts w:hint="eastAsia" w:ascii="宋体" w:hAnsi="宋体" w:cs="宋体"/>
          <w:sz w:val="24"/>
          <w:szCs w:val="24"/>
        </w:rPr>
        <w:t>本次评标采用综合评分法。根据《中华人民共和国招投标法》、《中华人民共和国政府采购法》、《评标委员会和评标方法暂行规定》所规定的标准和补充规定等法律法规和有关实施办法。评标委员会将对各投标单位的投标文件，能否最大限度的满足招标文件中规定的各项要求和评价标准进行评审和比较。</w:t>
      </w:r>
    </w:p>
    <w:p w14:paraId="1A7B01B8">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1.3</w:t>
      </w:r>
      <w:r>
        <w:rPr>
          <w:rFonts w:hint="eastAsia" w:ascii="宋体" w:hAnsi="宋体" w:cs="宋体"/>
          <w:sz w:val="24"/>
          <w:szCs w:val="24"/>
        </w:rPr>
        <w:t>综合评分法采取百分制的量化评审；由评标委员会成员依据评审标准独立打分。</w:t>
      </w:r>
    </w:p>
    <w:p w14:paraId="66CAAC7E">
      <w:pPr>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cs="宋体"/>
          <w:b/>
          <w:bCs/>
          <w:color w:val="000000" w:themeColor="text1"/>
          <w:sz w:val="24"/>
          <w:szCs w:val="24"/>
          <w14:textFill>
            <w14:solidFill>
              <w14:schemeClr w14:val="tx1"/>
            </w14:solidFill>
          </w14:textFill>
        </w:rPr>
        <w:t>评标计算规则</w:t>
      </w:r>
      <w:r>
        <w:rPr>
          <w:rFonts w:hint="eastAsia" w:ascii="宋体" w:hAnsi="宋体" w:cs="宋体"/>
          <w:color w:val="000000" w:themeColor="text1"/>
          <w:sz w:val="24"/>
          <w:szCs w:val="24"/>
          <w14:textFill>
            <w14:solidFill>
              <w14:schemeClr w14:val="tx1"/>
            </w14:solidFill>
          </w14:textFill>
        </w:rPr>
        <w:tab/>
      </w:r>
    </w:p>
    <w:p w14:paraId="7324C045">
      <w:pPr>
        <w:spacing w:line="360" w:lineRule="auto"/>
        <w:ind w:firstLine="480"/>
        <w:rPr>
          <w:rFonts w:ascii="宋体" w:hAnsi="宋体" w:cs="宋体"/>
          <w:sz w:val="24"/>
          <w:szCs w:val="24"/>
        </w:rPr>
      </w:pPr>
      <w:r>
        <w:rPr>
          <w:rFonts w:hint="eastAsia" w:ascii="宋体" w:hAnsi="宋体" w:cs="宋体"/>
          <w:sz w:val="24"/>
          <w:szCs w:val="24"/>
        </w:rPr>
        <w:t>投标报价得分=（评标基准价/投标报价）*价格权重*100</w:t>
      </w:r>
    </w:p>
    <w:p w14:paraId="5A3013FE">
      <w:pPr>
        <w:spacing w:line="360" w:lineRule="auto"/>
        <w:ind w:firstLine="480"/>
        <w:rPr>
          <w:rFonts w:ascii="宋体" w:hAnsi="宋体" w:cs="宋体"/>
          <w:sz w:val="24"/>
          <w:szCs w:val="24"/>
        </w:rPr>
      </w:pPr>
      <w:r>
        <w:rPr>
          <w:rFonts w:hint="eastAsia" w:ascii="宋体" w:hAnsi="宋体" w:cs="宋体"/>
          <w:sz w:val="24"/>
          <w:szCs w:val="24"/>
        </w:rPr>
        <w:t>基准价=响应招标文件的最低投标报价</w:t>
      </w:r>
    </w:p>
    <w:p w14:paraId="38183D4A">
      <w:pPr>
        <w:pStyle w:val="75"/>
        <w:snapToGrid w:val="0"/>
        <w:spacing w:line="440" w:lineRule="exact"/>
        <w:ind w:firstLine="480" w:firstLineChars="200"/>
        <w:rPr>
          <w:b/>
          <w:bCs/>
          <w:color w:val="auto"/>
          <w:sz w:val="32"/>
          <w:szCs w:val="32"/>
        </w:rPr>
      </w:pPr>
      <w:r>
        <w:rPr>
          <w:rFonts w:hint="eastAsia" w:ascii="宋体" w:hAnsi="宋体" w:eastAsia="宋体" w:cs="宋体"/>
          <w:color w:val="auto"/>
          <w:kern w:val="2"/>
          <w:sz w:val="24"/>
          <w:szCs w:val="24"/>
          <w:lang w:val="en-US" w:eastAsia="zh-CN" w:bidi="ar-SA"/>
        </w:rPr>
        <w:t>评标时，评标委员会各成员应当独立对每个投标人的投标文件进行评价，并汇总每个投标人的得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b/>
          <w:bCs/>
          <w:color w:val="auto"/>
          <w:sz w:val="32"/>
          <w:szCs w:val="32"/>
        </w:rPr>
        <w:br w:type="page"/>
      </w:r>
    </w:p>
    <w:p w14:paraId="06CF9B2F">
      <w:pPr>
        <w:tabs>
          <w:tab w:val="left" w:pos="900"/>
        </w:tabs>
        <w:rPr>
          <w:rFonts w:ascii="宋体" w:hAnsi="宋体"/>
          <w:szCs w:val="21"/>
        </w:rPr>
      </w:pPr>
      <w:r>
        <w:rPr>
          <w:rFonts w:hint="eastAsia" w:ascii="宋体" w:hAnsi="宋体"/>
          <w:szCs w:val="21"/>
        </w:rPr>
        <w:t>附表一</w:t>
      </w:r>
    </w:p>
    <w:p w14:paraId="69DB0A4A">
      <w:pPr>
        <w:jc w:val="center"/>
        <w:outlineLvl w:val="1"/>
        <w:rPr>
          <w:rFonts w:hint="default" w:ascii="宋体" w:hAnsi="宋体" w:eastAsia="宋体" w:cs="宋体"/>
          <w:b/>
          <w:sz w:val="28"/>
          <w:szCs w:val="28"/>
          <w:lang w:val="en-US" w:eastAsia="zh-CN"/>
        </w:rPr>
      </w:pPr>
      <w:bookmarkStart w:id="144" w:name="_Toc12120"/>
      <w:bookmarkStart w:id="145" w:name="_Toc27399"/>
      <w:bookmarkStart w:id="146" w:name="_Toc31507"/>
      <w:bookmarkStart w:id="147" w:name="_Toc7989"/>
      <w:bookmarkStart w:id="148" w:name="_Toc13054"/>
      <w:r>
        <w:rPr>
          <w:rFonts w:hint="eastAsia" w:ascii="宋体" w:hAnsi="宋体" w:cs="宋体"/>
          <w:b/>
          <w:sz w:val="28"/>
          <w:szCs w:val="28"/>
        </w:rPr>
        <w:t>初步评审标准</w:t>
      </w:r>
      <w:bookmarkEnd w:id="144"/>
      <w:bookmarkEnd w:id="145"/>
      <w:bookmarkEnd w:id="146"/>
      <w:bookmarkEnd w:id="147"/>
      <w:bookmarkEnd w:id="148"/>
    </w:p>
    <w:tbl>
      <w:tblPr>
        <w:tblStyle w:val="42"/>
        <w:tblW w:w="98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7"/>
        <w:gridCol w:w="531"/>
        <w:gridCol w:w="7340"/>
        <w:gridCol w:w="611"/>
        <w:gridCol w:w="637"/>
      </w:tblGrid>
      <w:tr w14:paraId="541B5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707" w:type="dxa"/>
            <w:vMerge w:val="restart"/>
            <w:vAlign w:val="center"/>
          </w:tcPr>
          <w:p w14:paraId="47FC15E3">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w:t>
            </w:r>
          </w:p>
        </w:tc>
        <w:tc>
          <w:tcPr>
            <w:tcW w:w="7871" w:type="dxa"/>
            <w:gridSpan w:val="2"/>
            <w:vMerge w:val="restart"/>
            <w:vAlign w:val="center"/>
          </w:tcPr>
          <w:p w14:paraId="14C49B9B">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评审内容</w:t>
            </w:r>
          </w:p>
        </w:tc>
        <w:tc>
          <w:tcPr>
            <w:tcW w:w="1248" w:type="dxa"/>
            <w:gridSpan w:val="2"/>
            <w:vAlign w:val="center"/>
          </w:tcPr>
          <w:p w14:paraId="2278867F">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w:t>
            </w:r>
          </w:p>
          <w:p w14:paraId="775B4D4F">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意见</w:t>
            </w:r>
          </w:p>
        </w:tc>
      </w:tr>
      <w:tr w14:paraId="09089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707" w:type="dxa"/>
            <w:vMerge w:val="continue"/>
            <w:vAlign w:val="center"/>
          </w:tcPr>
          <w:p w14:paraId="65CA8771">
            <w:pPr>
              <w:jc w:val="center"/>
              <w:rPr>
                <w:rFonts w:hint="eastAsia" w:asciiTheme="minorEastAsia" w:hAnsiTheme="minorEastAsia" w:eastAsiaTheme="minorEastAsia" w:cstheme="minorEastAsia"/>
                <w:b/>
                <w:sz w:val="24"/>
                <w:szCs w:val="24"/>
              </w:rPr>
            </w:pPr>
          </w:p>
        </w:tc>
        <w:tc>
          <w:tcPr>
            <w:tcW w:w="7871" w:type="dxa"/>
            <w:gridSpan w:val="2"/>
            <w:vMerge w:val="continue"/>
          </w:tcPr>
          <w:p w14:paraId="713B0BC7">
            <w:pPr>
              <w:rPr>
                <w:rFonts w:hint="eastAsia" w:asciiTheme="minorEastAsia" w:hAnsiTheme="minorEastAsia" w:eastAsiaTheme="minorEastAsia" w:cstheme="minorEastAsia"/>
                <w:b/>
                <w:sz w:val="24"/>
                <w:szCs w:val="24"/>
              </w:rPr>
            </w:pPr>
          </w:p>
        </w:tc>
        <w:tc>
          <w:tcPr>
            <w:tcW w:w="611" w:type="dxa"/>
            <w:vAlign w:val="center"/>
          </w:tcPr>
          <w:p w14:paraId="5C92D93C">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是</w:t>
            </w:r>
          </w:p>
        </w:tc>
        <w:tc>
          <w:tcPr>
            <w:tcW w:w="637" w:type="dxa"/>
            <w:vAlign w:val="center"/>
          </w:tcPr>
          <w:p w14:paraId="1EE20A2D">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否</w:t>
            </w:r>
          </w:p>
        </w:tc>
      </w:tr>
      <w:tr w14:paraId="6B865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restart"/>
            <w:vAlign w:val="center"/>
          </w:tcPr>
          <w:p w14:paraId="7FC1500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w:t>
            </w:r>
          </w:p>
          <w:p w14:paraId="07AF319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w:t>
            </w:r>
          </w:p>
          <w:p w14:paraId="63F487D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w:t>
            </w:r>
          </w:p>
          <w:p w14:paraId="64DB7C5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w:t>
            </w:r>
          </w:p>
          <w:p w14:paraId="730C46D9">
            <w:pPr>
              <w:jc w:val="center"/>
              <w:rPr>
                <w:rFonts w:hint="eastAsia" w:asciiTheme="minorEastAsia" w:hAnsiTheme="minorEastAsia" w:eastAsiaTheme="minorEastAsia" w:cstheme="minorEastAsia"/>
                <w:sz w:val="24"/>
                <w:szCs w:val="24"/>
              </w:rPr>
            </w:pPr>
          </w:p>
        </w:tc>
        <w:tc>
          <w:tcPr>
            <w:tcW w:w="531" w:type="dxa"/>
            <w:vAlign w:val="center"/>
          </w:tcPr>
          <w:p w14:paraId="07ECC22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340" w:type="dxa"/>
            <w:vAlign w:val="center"/>
          </w:tcPr>
          <w:p w14:paraId="201EE3B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eastAsia="zh-CN"/>
              </w:rPr>
              <w:t>有效的三证合一的营业执照</w:t>
            </w:r>
            <w:r>
              <w:rPr>
                <w:rFonts w:hint="eastAsia" w:asciiTheme="minorEastAsia" w:hAnsiTheme="minorEastAsia" w:eastAsiaTheme="minorEastAsia" w:cstheme="minorEastAsia"/>
                <w:sz w:val="24"/>
                <w:szCs w:val="24"/>
              </w:rPr>
              <w:t>；</w:t>
            </w:r>
          </w:p>
        </w:tc>
        <w:tc>
          <w:tcPr>
            <w:tcW w:w="611" w:type="dxa"/>
            <w:tcBorders>
              <w:right w:val="single" w:color="auto" w:sz="4" w:space="0"/>
            </w:tcBorders>
          </w:tcPr>
          <w:p w14:paraId="629FE0C4">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0066C55E">
            <w:pPr>
              <w:spacing w:line="360" w:lineRule="auto"/>
              <w:rPr>
                <w:rFonts w:hint="eastAsia" w:asciiTheme="minorEastAsia" w:hAnsiTheme="minorEastAsia" w:eastAsiaTheme="minorEastAsia" w:cstheme="minorEastAsia"/>
                <w:sz w:val="24"/>
                <w:szCs w:val="24"/>
              </w:rPr>
            </w:pPr>
          </w:p>
        </w:tc>
      </w:tr>
      <w:tr w14:paraId="47061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60BAF25D">
            <w:pPr>
              <w:jc w:val="center"/>
              <w:rPr>
                <w:rFonts w:hint="eastAsia" w:asciiTheme="minorEastAsia" w:hAnsiTheme="minorEastAsia" w:eastAsiaTheme="minorEastAsia" w:cstheme="minorEastAsia"/>
                <w:sz w:val="24"/>
                <w:szCs w:val="24"/>
              </w:rPr>
            </w:pPr>
          </w:p>
        </w:tc>
        <w:tc>
          <w:tcPr>
            <w:tcW w:w="531" w:type="dxa"/>
            <w:vAlign w:val="center"/>
          </w:tcPr>
          <w:p w14:paraId="46A7B491">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7340" w:type="dxa"/>
            <w:vAlign w:val="center"/>
          </w:tcPr>
          <w:p w14:paraId="27CADCDA">
            <w:pPr>
              <w:spacing w:line="360" w:lineRule="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具备人社局颁发的有效的《人力资源服务许可证》</w:t>
            </w:r>
            <w:r>
              <w:rPr>
                <w:rFonts w:hint="eastAsia" w:asciiTheme="minorEastAsia" w:hAnsiTheme="minorEastAsia" w:eastAsiaTheme="minorEastAsia" w:cstheme="minorEastAsia"/>
                <w:color w:val="auto"/>
                <w:kern w:val="0"/>
                <w:sz w:val="24"/>
                <w:szCs w:val="24"/>
                <w:lang w:eastAsia="zh-CN"/>
              </w:rPr>
              <w:t>；</w:t>
            </w:r>
          </w:p>
        </w:tc>
        <w:tc>
          <w:tcPr>
            <w:tcW w:w="611" w:type="dxa"/>
            <w:tcBorders>
              <w:right w:val="single" w:color="auto" w:sz="4" w:space="0"/>
            </w:tcBorders>
          </w:tcPr>
          <w:p w14:paraId="077D8797">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4B5487EF">
            <w:pPr>
              <w:spacing w:line="360" w:lineRule="auto"/>
              <w:rPr>
                <w:rFonts w:hint="eastAsia" w:asciiTheme="minorEastAsia" w:hAnsiTheme="minorEastAsia" w:eastAsiaTheme="minorEastAsia" w:cstheme="minorEastAsia"/>
                <w:sz w:val="24"/>
                <w:szCs w:val="24"/>
              </w:rPr>
            </w:pPr>
          </w:p>
        </w:tc>
      </w:tr>
      <w:tr w14:paraId="1BBE0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707" w:type="dxa"/>
            <w:vMerge w:val="continue"/>
            <w:vAlign w:val="center"/>
          </w:tcPr>
          <w:p w14:paraId="22AD48C2">
            <w:pPr>
              <w:jc w:val="center"/>
              <w:rPr>
                <w:rFonts w:hint="eastAsia" w:asciiTheme="minorEastAsia" w:hAnsiTheme="minorEastAsia" w:eastAsiaTheme="minorEastAsia" w:cstheme="minorEastAsia"/>
                <w:sz w:val="24"/>
                <w:szCs w:val="24"/>
              </w:rPr>
            </w:pPr>
          </w:p>
        </w:tc>
        <w:tc>
          <w:tcPr>
            <w:tcW w:w="531" w:type="dxa"/>
            <w:vAlign w:val="center"/>
          </w:tcPr>
          <w:p w14:paraId="3F1A3D6B">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7340" w:type="dxa"/>
            <w:vAlign w:val="center"/>
          </w:tcPr>
          <w:p w14:paraId="68E225AF">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w:t>
            </w:r>
            <w:r>
              <w:rPr>
                <w:rFonts w:hint="eastAsia" w:asciiTheme="minorEastAsia" w:hAnsiTheme="minorEastAsia" w:eastAsiaTheme="minorEastAsia" w:cstheme="minorEastAsia"/>
                <w:kern w:val="0"/>
                <w:sz w:val="24"/>
                <w:szCs w:val="24"/>
                <w:lang w:eastAsia="zh-CN"/>
              </w:rPr>
              <w:t>提供</w:t>
            </w:r>
            <w:r>
              <w:rPr>
                <w:rFonts w:hint="eastAsia" w:asciiTheme="minorEastAsia" w:hAnsiTheme="minorEastAsia" w:eastAsiaTheme="minorEastAsia" w:cstheme="minorEastAsia"/>
                <w:kern w:val="0"/>
                <w:sz w:val="24"/>
                <w:szCs w:val="24"/>
                <w:lang w:val="en-US" w:eastAsia="zh-CN"/>
              </w:rPr>
              <w:t>2024或2025年度经审计的财务报告（包含审计报告和审计报告中所涉及的财务报表和报表附注）或供应商注册时间至文件递交截止日不足一年的提供注册时间至文件递交截止日前供应商内部财务报表（至少包含资产负债表）</w:t>
            </w:r>
            <w:r>
              <w:rPr>
                <w:rFonts w:hint="eastAsia" w:asciiTheme="minorEastAsia" w:hAnsiTheme="minorEastAsia" w:eastAsiaTheme="minorEastAsia" w:cstheme="minorEastAsia"/>
                <w:kern w:val="0"/>
                <w:sz w:val="24"/>
                <w:szCs w:val="24"/>
                <w:lang w:eastAsia="zh-CN"/>
              </w:rPr>
              <w:t>；</w:t>
            </w:r>
          </w:p>
        </w:tc>
        <w:tc>
          <w:tcPr>
            <w:tcW w:w="611" w:type="dxa"/>
            <w:tcBorders>
              <w:right w:val="single" w:color="auto" w:sz="4" w:space="0"/>
            </w:tcBorders>
          </w:tcPr>
          <w:p w14:paraId="194E4E89">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0BC5D388">
            <w:pPr>
              <w:spacing w:line="360" w:lineRule="auto"/>
              <w:rPr>
                <w:rFonts w:hint="eastAsia" w:asciiTheme="minorEastAsia" w:hAnsiTheme="minorEastAsia" w:eastAsiaTheme="minorEastAsia" w:cstheme="minorEastAsia"/>
                <w:sz w:val="24"/>
                <w:szCs w:val="24"/>
              </w:rPr>
            </w:pPr>
          </w:p>
        </w:tc>
      </w:tr>
      <w:tr w14:paraId="5FD41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04E0450C">
            <w:pPr>
              <w:jc w:val="center"/>
              <w:rPr>
                <w:rFonts w:hint="eastAsia" w:asciiTheme="minorEastAsia" w:hAnsiTheme="minorEastAsia" w:eastAsiaTheme="minorEastAsia" w:cstheme="minorEastAsia"/>
                <w:sz w:val="24"/>
                <w:szCs w:val="24"/>
              </w:rPr>
            </w:pPr>
          </w:p>
        </w:tc>
        <w:tc>
          <w:tcPr>
            <w:tcW w:w="531" w:type="dxa"/>
            <w:vAlign w:val="center"/>
          </w:tcPr>
          <w:p w14:paraId="38EC65F2">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7340" w:type="dxa"/>
            <w:vAlign w:val="center"/>
          </w:tcPr>
          <w:p w14:paraId="3D3C40EF">
            <w:pPr>
              <w:autoSpaceDE w:val="0"/>
              <w:autoSpaceDN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是否提供</w:t>
            </w:r>
            <w:r>
              <w:rPr>
                <w:rFonts w:hint="eastAsia" w:ascii="宋体" w:hAnsi="宋体"/>
                <w:bCs/>
                <w:sz w:val="24"/>
                <w:lang w:val="en-US" w:eastAsia="zh-CN"/>
              </w:rPr>
              <w:t>近三个月内</w:t>
            </w:r>
            <w:r>
              <w:rPr>
                <w:rFonts w:hint="eastAsia" w:asciiTheme="minorEastAsia" w:hAnsiTheme="minorEastAsia" w:eastAsiaTheme="minorEastAsia" w:cstheme="minorEastAsia"/>
                <w:sz w:val="24"/>
                <w:szCs w:val="24"/>
                <w:lang w:eastAsia="zh-CN"/>
              </w:rPr>
              <w:t>任意一个月完税证明和盖有社保局公章的社保缴纳证明（社保缴纳证明中含法人或委托人的社保明细）；</w:t>
            </w:r>
          </w:p>
        </w:tc>
        <w:tc>
          <w:tcPr>
            <w:tcW w:w="611" w:type="dxa"/>
            <w:tcBorders>
              <w:right w:val="single" w:color="auto" w:sz="4" w:space="0"/>
            </w:tcBorders>
          </w:tcPr>
          <w:p w14:paraId="2E30EAE2">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71A36D2F">
            <w:pPr>
              <w:spacing w:line="360" w:lineRule="auto"/>
              <w:rPr>
                <w:rFonts w:hint="eastAsia" w:asciiTheme="minorEastAsia" w:hAnsiTheme="minorEastAsia" w:eastAsiaTheme="minorEastAsia" w:cstheme="minorEastAsia"/>
                <w:sz w:val="24"/>
                <w:szCs w:val="24"/>
              </w:rPr>
            </w:pPr>
          </w:p>
        </w:tc>
      </w:tr>
      <w:tr w14:paraId="1DCA5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0ADEC712">
            <w:pPr>
              <w:jc w:val="center"/>
              <w:rPr>
                <w:rFonts w:hint="eastAsia" w:asciiTheme="minorEastAsia" w:hAnsiTheme="minorEastAsia" w:eastAsiaTheme="minorEastAsia" w:cstheme="minorEastAsia"/>
                <w:sz w:val="24"/>
                <w:szCs w:val="24"/>
              </w:rPr>
            </w:pPr>
          </w:p>
        </w:tc>
        <w:tc>
          <w:tcPr>
            <w:tcW w:w="531" w:type="dxa"/>
            <w:vAlign w:val="center"/>
          </w:tcPr>
          <w:p w14:paraId="16A18EB7">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7340" w:type="dxa"/>
            <w:vAlign w:val="center"/>
          </w:tcPr>
          <w:p w14:paraId="40BCA8AA">
            <w:pPr>
              <w:autoSpaceDE w:val="0"/>
              <w:autoSpaceDN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是否提供法定代表人身份证明或法定代表人授权委托书及受托人身份证；</w:t>
            </w:r>
          </w:p>
        </w:tc>
        <w:tc>
          <w:tcPr>
            <w:tcW w:w="611" w:type="dxa"/>
            <w:tcBorders>
              <w:right w:val="single" w:color="auto" w:sz="4" w:space="0"/>
            </w:tcBorders>
          </w:tcPr>
          <w:p w14:paraId="64020968">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6F53FC01">
            <w:pPr>
              <w:spacing w:line="360" w:lineRule="auto"/>
              <w:rPr>
                <w:rFonts w:hint="eastAsia" w:asciiTheme="minorEastAsia" w:hAnsiTheme="minorEastAsia" w:eastAsiaTheme="minorEastAsia" w:cstheme="minorEastAsia"/>
                <w:sz w:val="24"/>
                <w:szCs w:val="24"/>
              </w:rPr>
            </w:pPr>
          </w:p>
        </w:tc>
      </w:tr>
      <w:tr w14:paraId="0101B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370F7E6A">
            <w:pPr>
              <w:jc w:val="center"/>
              <w:rPr>
                <w:rFonts w:hint="eastAsia" w:asciiTheme="minorEastAsia" w:hAnsiTheme="minorEastAsia" w:eastAsiaTheme="minorEastAsia" w:cstheme="minorEastAsia"/>
                <w:sz w:val="24"/>
                <w:szCs w:val="24"/>
              </w:rPr>
            </w:pPr>
          </w:p>
        </w:tc>
        <w:tc>
          <w:tcPr>
            <w:tcW w:w="531" w:type="dxa"/>
            <w:vAlign w:val="center"/>
          </w:tcPr>
          <w:p w14:paraId="49C7A5C9">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7340" w:type="dxa"/>
            <w:vAlign w:val="center"/>
          </w:tcPr>
          <w:p w14:paraId="569A5CED">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是否提供具有履行合同所必需的设备和专业技术能力（提供声明函）；</w:t>
            </w:r>
          </w:p>
        </w:tc>
        <w:tc>
          <w:tcPr>
            <w:tcW w:w="611" w:type="dxa"/>
            <w:tcBorders>
              <w:right w:val="single" w:color="auto" w:sz="4" w:space="0"/>
            </w:tcBorders>
          </w:tcPr>
          <w:p w14:paraId="0B522551">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750E67E9">
            <w:pPr>
              <w:spacing w:line="360" w:lineRule="auto"/>
              <w:rPr>
                <w:rFonts w:hint="eastAsia" w:asciiTheme="minorEastAsia" w:hAnsiTheme="minorEastAsia" w:eastAsiaTheme="minorEastAsia" w:cstheme="minorEastAsia"/>
                <w:sz w:val="24"/>
                <w:szCs w:val="24"/>
              </w:rPr>
            </w:pPr>
          </w:p>
        </w:tc>
      </w:tr>
      <w:tr w14:paraId="0471E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416DFD20">
            <w:pPr>
              <w:jc w:val="center"/>
              <w:rPr>
                <w:rFonts w:hint="eastAsia" w:asciiTheme="minorEastAsia" w:hAnsiTheme="minorEastAsia" w:eastAsiaTheme="minorEastAsia" w:cstheme="minorEastAsia"/>
                <w:sz w:val="24"/>
                <w:szCs w:val="24"/>
              </w:rPr>
            </w:pPr>
          </w:p>
        </w:tc>
        <w:tc>
          <w:tcPr>
            <w:tcW w:w="531" w:type="dxa"/>
            <w:vAlign w:val="center"/>
          </w:tcPr>
          <w:p w14:paraId="474D07E0">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340" w:type="dxa"/>
            <w:vAlign w:val="center"/>
          </w:tcPr>
          <w:p w14:paraId="31968D75">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是否提供</w:t>
            </w:r>
            <w:r>
              <w:rPr>
                <w:rFonts w:hint="eastAsia" w:asciiTheme="minorEastAsia" w:hAnsiTheme="minorEastAsia" w:eastAsiaTheme="minorEastAsia" w:cstheme="minorEastAsia"/>
                <w:kern w:val="0"/>
                <w:sz w:val="24"/>
                <w:szCs w:val="24"/>
                <w:lang w:val="en-US" w:eastAsia="zh-CN"/>
              </w:rPr>
              <w:t>参加政府采购活动前三年内，在经营活动中没有重大违法记录声明；</w:t>
            </w:r>
          </w:p>
        </w:tc>
        <w:tc>
          <w:tcPr>
            <w:tcW w:w="611" w:type="dxa"/>
            <w:tcBorders>
              <w:right w:val="single" w:color="auto" w:sz="4" w:space="0"/>
            </w:tcBorders>
          </w:tcPr>
          <w:p w14:paraId="4BFDF206">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798039DD">
            <w:pPr>
              <w:spacing w:line="360" w:lineRule="auto"/>
              <w:rPr>
                <w:rFonts w:hint="eastAsia" w:asciiTheme="minorEastAsia" w:hAnsiTheme="minorEastAsia" w:eastAsiaTheme="minorEastAsia" w:cstheme="minorEastAsia"/>
                <w:sz w:val="24"/>
                <w:szCs w:val="24"/>
              </w:rPr>
            </w:pPr>
          </w:p>
        </w:tc>
      </w:tr>
      <w:tr w14:paraId="70F6C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236FA68C">
            <w:pPr>
              <w:jc w:val="center"/>
              <w:rPr>
                <w:rFonts w:hint="eastAsia" w:asciiTheme="minorEastAsia" w:hAnsiTheme="minorEastAsia" w:eastAsiaTheme="minorEastAsia" w:cstheme="minorEastAsia"/>
                <w:sz w:val="24"/>
                <w:szCs w:val="24"/>
              </w:rPr>
            </w:pPr>
          </w:p>
        </w:tc>
        <w:tc>
          <w:tcPr>
            <w:tcW w:w="531" w:type="dxa"/>
            <w:vAlign w:val="center"/>
          </w:tcPr>
          <w:p w14:paraId="2D99EC99">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7340" w:type="dxa"/>
            <w:vAlign w:val="center"/>
          </w:tcPr>
          <w:p w14:paraId="18C071F6">
            <w:pPr>
              <w:autoSpaceDE w:val="0"/>
              <w:autoSpaceDN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是否提供《中小企业声明函》</w:t>
            </w:r>
          </w:p>
        </w:tc>
        <w:tc>
          <w:tcPr>
            <w:tcW w:w="611" w:type="dxa"/>
            <w:tcBorders>
              <w:right w:val="single" w:color="auto" w:sz="4" w:space="0"/>
            </w:tcBorders>
            <w:vAlign w:val="center"/>
          </w:tcPr>
          <w:p w14:paraId="52B4638E">
            <w:pPr>
              <w:spacing w:line="360" w:lineRule="auto"/>
              <w:jc w:val="center"/>
              <w:rPr>
                <w:rFonts w:hint="eastAsia" w:asciiTheme="minorEastAsia" w:hAnsiTheme="minorEastAsia" w:eastAsiaTheme="minorEastAsia" w:cstheme="minorEastAsia"/>
                <w:sz w:val="24"/>
                <w:szCs w:val="24"/>
              </w:rPr>
            </w:pPr>
          </w:p>
        </w:tc>
        <w:tc>
          <w:tcPr>
            <w:tcW w:w="637" w:type="dxa"/>
            <w:tcBorders>
              <w:left w:val="single" w:color="auto" w:sz="4" w:space="0"/>
            </w:tcBorders>
            <w:vAlign w:val="center"/>
          </w:tcPr>
          <w:p w14:paraId="7A7E4282">
            <w:pPr>
              <w:spacing w:line="360" w:lineRule="auto"/>
              <w:jc w:val="center"/>
              <w:rPr>
                <w:rFonts w:hint="eastAsia" w:asciiTheme="minorEastAsia" w:hAnsiTheme="minorEastAsia" w:eastAsiaTheme="minorEastAsia" w:cstheme="minorEastAsia"/>
                <w:sz w:val="24"/>
                <w:szCs w:val="24"/>
              </w:rPr>
            </w:pPr>
          </w:p>
        </w:tc>
      </w:tr>
      <w:tr w14:paraId="77820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restart"/>
            <w:vAlign w:val="center"/>
          </w:tcPr>
          <w:p w14:paraId="3844EF0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符合</w:t>
            </w:r>
            <w:r>
              <w:rPr>
                <w:rFonts w:hint="eastAsia" w:asciiTheme="minorEastAsia" w:hAnsiTheme="minorEastAsia" w:eastAsiaTheme="minorEastAsia" w:cstheme="minorEastAsia"/>
                <w:sz w:val="24"/>
                <w:szCs w:val="24"/>
              </w:rPr>
              <w:t>性评审</w:t>
            </w:r>
          </w:p>
        </w:tc>
        <w:tc>
          <w:tcPr>
            <w:tcW w:w="531" w:type="dxa"/>
            <w:vAlign w:val="center"/>
          </w:tcPr>
          <w:p w14:paraId="1937C1C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1</w:t>
            </w:r>
          </w:p>
        </w:tc>
        <w:tc>
          <w:tcPr>
            <w:tcW w:w="7340" w:type="dxa"/>
            <w:vAlign w:val="center"/>
          </w:tcPr>
          <w:p w14:paraId="7505ED04">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投标单位名称</w:t>
            </w:r>
            <w:r>
              <w:rPr>
                <w:rFonts w:hint="eastAsia" w:asciiTheme="minorEastAsia" w:hAnsiTheme="minorEastAsia" w:eastAsiaTheme="minorEastAsia" w:cstheme="minorEastAsia"/>
                <w:kern w:val="0"/>
                <w:sz w:val="24"/>
                <w:szCs w:val="24"/>
              </w:rPr>
              <w:t>与营业执照一致</w:t>
            </w:r>
          </w:p>
        </w:tc>
        <w:tc>
          <w:tcPr>
            <w:tcW w:w="611" w:type="dxa"/>
            <w:tcBorders>
              <w:right w:val="single" w:color="auto" w:sz="4" w:space="0"/>
            </w:tcBorders>
            <w:vAlign w:val="top"/>
          </w:tcPr>
          <w:p w14:paraId="752C9F00">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0C0EE9CC">
            <w:pPr>
              <w:spacing w:line="360" w:lineRule="auto"/>
              <w:rPr>
                <w:rFonts w:hint="eastAsia" w:asciiTheme="minorEastAsia" w:hAnsiTheme="minorEastAsia" w:eastAsiaTheme="minorEastAsia" w:cstheme="minorEastAsia"/>
                <w:sz w:val="24"/>
                <w:szCs w:val="24"/>
              </w:rPr>
            </w:pPr>
          </w:p>
        </w:tc>
      </w:tr>
      <w:tr w14:paraId="41670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2A6F9CC5">
            <w:pPr>
              <w:jc w:val="center"/>
              <w:rPr>
                <w:rFonts w:hint="eastAsia" w:asciiTheme="minorEastAsia" w:hAnsiTheme="minorEastAsia" w:eastAsiaTheme="minorEastAsia" w:cstheme="minorEastAsia"/>
                <w:sz w:val="24"/>
                <w:szCs w:val="24"/>
              </w:rPr>
            </w:pPr>
          </w:p>
        </w:tc>
        <w:tc>
          <w:tcPr>
            <w:tcW w:w="531" w:type="dxa"/>
            <w:vAlign w:val="center"/>
          </w:tcPr>
          <w:p w14:paraId="2A39817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2</w:t>
            </w:r>
          </w:p>
        </w:tc>
        <w:tc>
          <w:tcPr>
            <w:tcW w:w="7340" w:type="dxa"/>
            <w:vAlign w:val="center"/>
          </w:tcPr>
          <w:p w14:paraId="6FA355B6">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合同履行期限</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611" w:type="dxa"/>
            <w:tcBorders>
              <w:right w:val="single" w:color="auto" w:sz="4" w:space="0"/>
            </w:tcBorders>
            <w:vAlign w:val="top"/>
          </w:tcPr>
          <w:p w14:paraId="1770CC28">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42627F40">
            <w:pPr>
              <w:spacing w:line="360" w:lineRule="auto"/>
              <w:rPr>
                <w:rFonts w:hint="eastAsia" w:asciiTheme="minorEastAsia" w:hAnsiTheme="minorEastAsia" w:eastAsiaTheme="minorEastAsia" w:cstheme="minorEastAsia"/>
                <w:sz w:val="24"/>
                <w:szCs w:val="24"/>
              </w:rPr>
            </w:pPr>
          </w:p>
        </w:tc>
      </w:tr>
      <w:tr w14:paraId="1F192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5B610106">
            <w:pPr>
              <w:jc w:val="center"/>
              <w:rPr>
                <w:rFonts w:hint="eastAsia" w:asciiTheme="minorEastAsia" w:hAnsiTheme="minorEastAsia" w:eastAsiaTheme="minorEastAsia" w:cstheme="minorEastAsia"/>
                <w:sz w:val="24"/>
                <w:szCs w:val="24"/>
              </w:rPr>
            </w:pPr>
          </w:p>
        </w:tc>
        <w:tc>
          <w:tcPr>
            <w:tcW w:w="531" w:type="dxa"/>
            <w:vAlign w:val="center"/>
          </w:tcPr>
          <w:p w14:paraId="6A48357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3</w:t>
            </w:r>
          </w:p>
        </w:tc>
        <w:tc>
          <w:tcPr>
            <w:tcW w:w="7340" w:type="dxa"/>
            <w:vAlign w:val="center"/>
          </w:tcPr>
          <w:p w14:paraId="4AE87EA1">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投标内容</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611" w:type="dxa"/>
            <w:tcBorders>
              <w:right w:val="single" w:color="auto" w:sz="4" w:space="0"/>
            </w:tcBorders>
            <w:vAlign w:val="top"/>
          </w:tcPr>
          <w:p w14:paraId="05591C27">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07374461">
            <w:pPr>
              <w:spacing w:line="360" w:lineRule="auto"/>
              <w:rPr>
                <w:rFonts w:hint="eastAsia" w:asciiTheme="minorEastAsia" w:hAnsiTheme="minorEastAsia" w:eastAsiaTheme="minorEastAsia" w:cstheme="minorEastAsia"/>
                <w:sz w:val="24"/>
                <w:szCs w:val="24"/>
              </w:rPr>
            </w:pPr>
          </w:p>
        </w:tc>
      </w:tr>
      <w:tr w14:paraId="1312F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2E49C620">
            <w:pPr>
              <w:jc w:val="center"/>
              <w:rPr>
                <w:rFonts w:hint="eastAsia" w:asciiTheme="minorEastAsia" w:hAnsiTheme="minorEastAsia" w:eastAsiaTheme="minorEastAsia" w:cstheme="minorEastAsia"/>
                <w:sz w:val="24"/>
                <w:szCs w:val="24"/>
              </w:rPr>
            </w:pPr>
          </w:p>
        </w:tc>
        <w:tc>
          <w:tcPr>
            <w:tcW w:w="531" w:type="dxa"/>
            <w:vAlign w:val="center"/>
          </w:tcPr>
          <w:p w14:paraId="506148F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4</w:t>
            </w:r>
          </w:p>
        </w:tc>
        <w:tc>
          <w:tcPr>
            <w:tcW w:w="7340" w:type="dxa"/>
            <w:vAlign w:val="center"/>
          </w:tcPr>
          <w:p w14:paraId="670DA5B3">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投标有效期</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kern w:val="0"/>
                <w:sz w:val="24"/>
                <w:szCs w:val="24"/>
                <w:lang w:val="en-US" w:eastAsia="zh-CN"/>
              </w:rPr>
              <w:t>招标文件9</w:t>
            </w:r>
            <w:r>
              <w:rPr>
                <w:rFonts w:hint="eastAsia" w:asciiTheme="minorEastAsia" w:hAnsiTheme="minorEastAsia" w:eastAsiaTheme="minorEastAsia" w:cstheme="minorEastAsia"/>
                <w:kern w:val="0"/>
                <w:sz w:val="24"/>
                <w:szCs w:val="24"/>
              </w:rPr>
              <w:t>0日历天的规定</w:t>
            </w:r>
          </w:p>
        </w:tc>
        <w:tc>
          <w:tcPr>
            <w:tcW w:w="611" w:type="dxa"/>
            <w:tcBorders>
              <w:right w:val="single" w:color="auto" w:sz="4" w:space="0"/>
            </w:tcBorders>
            <w:vAlign w:val="top"/>
          </w:tcPr>
          <w:p w14:paraId="4B3EF805">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3322A911">
            <w:pPr>
              <w:spacing w:line="360" w:lineRule="auto"/>
              <w:rPr>
                <w:rFonts w:hint="eastAsia" w:asciiTheme="minorEastAsia" w:hAnsiTheme="minorEastAsia" w:eastAsiaTheme="minorEastAsia" w:cstheme="minorEastAsia"/>
                <w:sz w:val="24"/>
                <w:szCs w:val="24"/>
              </w:rPr>
            </w:pPr>
          </w:p>
        </w:tc>
      </w:tr>
      <w:tr w14:paraId="07211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02BB2EF3">
            <w:pPr>
              <w:jc w:val="center"/>
              <w:rPr>
                <w:rFonts w:hint="eastAsia" w:asciiTheme="minorEastAsia" w:hAnsiTheme="minorEastAsia" w:eastAsiaTheme="minorEastAsia" w:cstheme="minorEastAsia"/>
                <w:sz w:val="24"/>
                <w:szCs w:val="24"/>
              </w:rPr>
            </w:pPr>
          </w:p>
        </w:tc>
        <w:tc>
          <w:tcPr>
            <w:tcW w:w="531" w:type="dxa"/>
            <w:vAlign w:val="center"/>
          </w:tcPr>
          <w:p w14:paraId="79F1BE94">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7340" w:type="dxa"/>
            <w:vAlign w:val="center"/>
          </w:tcPr>
          <w:p w14:paraId="3019F5DD">
            <w:pPr>
              <w:spacing w:line="360" w:lineRule="auto"/>
              <w:rPr>
                <w:rFonts w:hint="eastAsia" w:asciiTheme="minorEastAsia" w:hAnsiTheme="minorEastAsia" w:eastAsiaTheme="minorEastAsia" w:cstheme="minorEastAsia"/>
                <w:kern w:val="0"/>
                <w:sz w:val="24"/>
                <w:szCs w:val="24"/>
                <w:lang w:val="en-US" w:eastAsia="zh-CN"/>
              </w:rPr>
            </w:pPr>
            <w:r>
              <w:rPr>
                <w:rFonts w:hint="eastAsia" w:ascii="宋体" w:hAnsi="宋体" w:cs="仿宋_GB2312"/>
                <w:kern w:val="0"/>
                <w:sz w:val="24"/>
              </w:rPr>
              <w:t>按照</w:t>
            </w:r>
            <w:r>
              <w:rPr>
                <w:rFonts w:hint="eastAsia" w:ascii="宋体" w:hAnsi="宋体" w:cs="仿宋_GB2312"/>
                <w:kern w:val="0"/>
                <w:sz w:val="24"/>
                <w:lang w:val="en-US" w:eastAsia="zh-CN"/>
              </w:rPr>
              <w:t>招标</w:t>
            </w:r>
            <w:r>
              <w:rPr>
                <w:rFonts w:hint="eastAsia" w:ascii="宋体" w:hAnsi="宋体" w:cs="仿宋_GB2312"/>
                <w:kern w:val="0"/>
                <w:sz w:val="24"/>
                <w:lang w:eastAsia="zh-CN"/>
              </w:rPr>
              <w:t>文件</w:t>
            </w:r>
            <w:r>
              <w:rPr>
                <w:rFonts w:hint="eastAsia" w:ascii="宋体" w:hAnsi="宋体" w:cs="仿宋_GB2312"/>
                <w:kern w:val="0"/>
                <w:sz w:val="24"/>
              </w:rPr>
              <w:t>规定报价只有一个有效报价且没有漏项</w:t>
            </w:r>
          </w:p>
        </w:tc>
        <w:tc>
          <w:tcPr>
            <w:tcW w:w="611" w:type="dxa"/>
            <w:tcBorders>
              <w:right w:val="single" w:color="auto" w:sz="4" w:space="0"/>
            </w:tcBorders>
            <w:vAlign w:val="top"/>
          </w:tcPr>
          <w:p w14:paraId="3065A55B">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2CFA66DA">
            <w:pPr>
              <w:spacing w:line="360" w:lineRule="auto"/>
              <w:rPr>
                <w:rFonts w:hint="eastAsia" w:asciiTheme="minorEastAsia" w:hAnsiTheme="minorEastAsia" w:eastAsiaTheme="minorEastAsia" w:cstheme="minorEastAsia"/>
                <w:sz w:val="24"/>
                <w:szCs w:val="24"/>
              </w:rPr>
            </w:pPr>
          </w:p>
        </w:tc>
      </w:tr>
      <w:tr w14:paraId="5250E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021BE725">
            <w:pPr>
              <w:jc w:val="center"/>
              <w:rPr>
                <w:rFonts w:hint="eastAsia" w:asciiTheme="minorEastAsia" w:hAnsiTheme="minorEastAsia" w:eastAsiaTheme="minorEastAsia" w:cstheme="minorEastAsia"/>
                <w:sz w:val="24"/>
                <w:szCs w:val="24"/>
              </w:rPr>
            </w:pPr>
          </w:p>
        </w:tc>
        <w:tc>
          <w:tcPr>
            <w:tcW w:w="531" w:type="dxa"/>
            <w:vAlign w:val="center"/>
          </w:tcPr>
          <w:p w14:paraId="362B92FB">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7340" w:type="dxa"/>
            <w:vAlign w:val="center"/>
          </w:tcPr>
          <w:p w14:paraId="57A7DCC9">
            <w:pPr>
              <w:spacing w:line="360" w:lineRule="auto"/>
              <w:rPr>
                <w:rFonts w:hint="eastAsia" w:ascii="宋体" w:hAnsi="宋体" w:cs="仿宋_GB2312"/>
                <w:kern w:val="0"/>
                <w:sz w:val="24"/>
              </w:rPr>
            </w:pPr>
            <w:r>
              <w:rPr>
                <w:rFonts w:hint="eastAsia" w:asciiTheme="minorEastAsia" w:hAnsiTheme="minorEastAsia" w:eastAsiaTheme="minorEastAsia" w:cstheme="minorEastAsia"/>
                <w:kern w:val="0"/>
                <w:sz w:val="24"/>
                <w:szCs w:val="24"/>
                <w:lang w:val="en-US" w:eastAsia="zh-CN"/>
              </w:rPr>
              <w:t>投标保证金缴纳</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611" w:type="dxa"/>
            <w:tcBorders>
              <w:right w:val="single" w:color="auto" w:sz="4" w:space="0"/>
            </w:tcBorders>
            <w:vAlign w:val="top"/>
          </w:tcPr>
          <w:p w14:paraId="4A098A40">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69FA60BE">
            <w:pPr>
              <w:spacing w:line="360" w:lineRule="auto"/>
              <w:rPr>
                <w:rFonts w:hint="eastAsia" w:asciiTheme="minorEastAsia" w:hAnsiTheme="minorEastAsia" w:eastAsiaTheme="minorEastAsia" w:cstheme="minorEastAsia"/>
                <w:sz w:val="24"/>
                <w:szCs w:val="24"/>
              </w:rPr>
            </w:pPr>
          </w:p>
        </w:tc>
      </w:tr>
      <w:tr w14:paraId="6222A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642435CF">
            <w:pPr>
              <w:jc w:val="center"/>
              <w:rPr>
                <w:rFonts w:hint="eastAsia" w:asciiTheme="minorEastAsia" w:hAnsiTheme="minorEastAsia" w:eastAsiaTheme="minorEastAsia" w:cstheme="minorEastAsia"/>
                <w:sz w:val="24"/>
                <w:szCs w:val="24"/>
              </w:rPr>
            </w:pPr>
          </w:p>
        </w:tc>
        <w:tc>
          <w:tcPr>
            <w:tcW w:w="531" w:type="dxa"/>
            <w:vAlign w:val="center"/>
          </w:tcPr>
          <w:p w14:paraId="09F5D9F2">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7340" w:type="dxa"/>
            <w:vAlign w:val="center"/>
          </w:tcPr>
          <w:p w14:paraId="2E432BB1">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其他不符合</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kern w:val="0"/>
                <w:sz w:val="24"/>
                <w:szCs w:val="24"/>
                <w:lang w:val="en-US" w:eastAsia="zh-CN"/>
              </w:rPr>
              <w:t>文件的实质性要求</w:t>
            </w:r>
          </w:p>
        </w:tc>
        <w:tc>
          <w:tcPr>
            <w:tcW w:w="611" w:type="dxa"/>
            <w:tcBorders>
              <w:right w:val="single" w:color="auto" w:sz="4" w:space="0"/>
            </w:tcBorders>
            <w:vAlign w:val="top"/>
          </w:tcPr>
          <w:p w14:paraId="1DB53051">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4C5F17CC">
            <w:pPr>
              <w:spacing w:line="360" w:lineRule="auto"/>
              <w:rPr>
                <w:rFonts w:hint="eastAsia" w:asciiTheme="minorEastAsia" w:hAnsiTheme="minorEastAsia" w:eastAsiaTheme="minorEastAsia" w:cstheme="minorEastAsia"/>
                <w:sz w:val="24"/>
                <w:szCs w:val="24"/>
              </w:rPr>
            </w:pPr>
          </w:p>
        </w:tc>
      </w:tr>
      <w:tr w14:paraId="7B83C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9826" w:type="dxa"/>
            <w:gridSpan w:val="5"/>
            <w:vAlign w:val="center"/>
          </w:tcPr>
          <w:p w14:paraId="2455C86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结论：是否通过评审</w:t>
            </w:r>
          </w:p>
        </w:tc>
      </w:tr>
    </w:tbl>
    <w:p w14:paraId="16524230">
      <w:pPr>
        <w:rPr>
          <w:rFonts w:hint="eastAsia" w:ascii="宋体" w:hAnsi="宋体"/>
          <w:szCs w:val="21"/>
        </w:rPr>
      </w:pPr>
      <w:r>
        <w:rPr>
          <w:rFonts w:hint="eastAsia" w:ascii="宋体" w:hAnsi="宋体"/>
          <w:szCs w:val="21"/>
        </w:rPr>
        <w:br w:type="page"/>
      </w:r>
    </w:p>
    <w:p w14:paraId="4F7C85AB">
      <w:pPr>
        <w:tabs>
          <w:tab w:val="left" w:pos="900"/>
        </w:tabs>
        <w:rPr>
          <w:rFonts w:hint="eastAsia" w:ascii="宋体" w:hAnsi="宋体"/>
          <w:sz w:val="28"/>
          <w:szCs w:val="28"/>
        </w:rPr>
      </w:pPr>
      <w:r>
        <w:rPr>
          <w:rFonts w:hint="eastAsia" w:ascii="宋体" w:hAnsi="宋体"/>
          <w:szCs w:val="21"/>
        </w:rPr>
        <w:t>附表二</w:t>
      </w:r>
      <w:bookmarkStart w:id="149" w:name="_Toc10870"/>
    </w:p>
    <w:p w14:paraId="5C2938E2">
      <w:pPr>
        <w:tabs>
          <w:tab w:val="left" w:pos="900"/>
        </w:tabs>
        <w:jc w:val="center"/>
        <w:rPr>
          <w:rFonts w:ascii="宋体" w:hAnsi="宋体"/>
          <w:b/>
          <w:szCs w:val="21"/>
        </w:rPr>
      </w:pPr>
      <w:r>
        <w:rPr>
          <w:rFonts w:hint="eastAsia" w:ascii="宋体" w:hAnsi="宋体"/>
          <w:b/>
          <w:sz w:val="28"/>
          <w:szCs w:val="28"/>
        </w:rPr>
        <w:t>详细评分标准表</w:t>
      </w:r>
    </w:p>
    <w:bookmarkEnd w:id="149"/>
    <w:tbl>
      <w:tblPr>
        <w:tblStyle w:val="4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248"/>
        <w:gridCol w:w="1075"/>
        <w:gridCol w:w="6624"/>
      </w:tblGrid>
      <w:tr w14:paraId="7A3F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9890C6D">
            <w:pPr>
              <w:spacing w:line="360" w:lineRule="auto"/>
              <w:jc w:val="center"/>
              <w:rPr>
                <w:vertAlign w:val="baseline"/>
              </w:rPr>
            </w:pPr>
            <w:bookmarkStart w:id="150" w:name="_Toc21096"/>
            <w:bookmarkStart w:id="151" w:name="_Toc28571"/>
            <w:bookmarkStart w:id="152" w:name="_Toc27312"/>
            <w:bookmarkStart w:id="153" w:name="_Toc31810"/>
            <w:r>
              <w:rPr>
                <w:rFonts w:hint="eastAsia" w:ascii="宋体" w:hAnsi="宋体" w:eastAsia="宋体" w:cs="宋体"/>
                <w:sz w:val="24"/>
                <w:szCs w:val="24"/>
              </w:rPr>
              <w:t>序号</w:t>
            </w:r>
          </w:p>
        </w:tc>
        <w:tc>
          <w:tcPr>
            <w:tcW w:w="1248" w:type="dxa"/>
            <w:vAlign w:val="center"/>
          </w:tcPr>
          <w:p w14:paraId="24EF3539">
            <w:pPr>
              <w:spacing w:line="360" w:lineRule="auto"/>
              <w:jc w:val="center"/>
              <w:rPr>
                <w:vertAlign w:val="baseline"/>
              </w:rPr>
            </w:pPr>
            <w:r>
              <w:rPr>
                <w:rFonts w:hint="eastAsia" w:ascii="宋体" w:hAnsi="宋体" w:eastAsia="宋体" w:cs="宋体"/>
                <w:sz w:val="24"/>
                <w:szCs w:val="24"/>
                <w:lang w:val="en-US" w:eastAsia="zh-CN"/>
              </w:rPr>
              <w:t>评分因素及权重</w:t>
            </w:r>
          </w:p>
        </w:tc>
        <w:tc>
          <w:tcPr>
            <w:tcW w:w="1075" w:type="dxa"/>
            <w:vAlign w:val="center"/>
          </w:tcPr>
          <w:p w14:paraId="717940FE">
            <w:pPr>
              <w:spacing w:line="360" w:lineRule="auto"/>
              <w:jc w:val="center"/>
              <w:rPr>
                <w:vertAlign w:val="baseline"/>
              </w:rPr>
            </w:pPr>
            <w:r>
              <w:rPr>
                <w:rFonts w:hint="eastAsia" w:ascii="宋体" w:hAnsi="宋体" w:eastAsia="宋体" w:cs="宋体"/>
                <w:sz w:val="24"/>
                <w:szCs w:val="24"/>
              </w:rPr>
              <w:t>分值</w:t>
            </w:r>
          </w:p>
        </w:tc>
        <w:tc>
          <w:tcPr>
            <w:tcW w:w="6624" w:type="dxa"/>
            <w:vAlign w:val="center"/>
          </w:tcPr>
          <w:p w14:paraId="7EE498E3">
            <w:pPr>
              <w:spacing w:line="360" w:lineRule="auto"/>
              <w:jc w:val="center"/>
              <w:rPr>
                <w:vertAlign w:val="baseline"/>
              </w:rPr>
            </w:pPr>
            <w:r>
              <w:rPr>
                <w:rFonts w:hint="eastAsia" w:ascii="宋体" w:hAnsi="宋体" w:eastAsia="宋体" w:cs="宋体"/>
                <w:sz w:val="24"/>
                <w:szCs w:val="24"/>
              </w:rPr>
              <w:t>评分标准</w:t>
            </w:r>
          </w:p>
        </w:tc>
      </w:tr>
      <w:tr w14:paraId="4A45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9691F29">
            <w:pPr>
              <w:spacing w:line="360" w:lineRule="auto"/>
              <w:jc w:val="center"/>
              <w:rPr>
                <w:rFonts w:hint="eastAsia" w:eastAsiaTheme="minorEastAsia"/>
                <w:vertAlign w:val="baseline"/>
                <w:lang w:val="en-US" w:eastAsia="zh-CN"/>
              </w:rPr>
            </w:pPr>
            <w:r>
              <w:rPr>
                <w:rFonts w:hint="eastAsia"/>
                <w:vertAlign w:val="baseline"/>
                <w:lang w:val="en-US" w:eastAsia="zh-CN"/>
              </w:rPr>
              <w:t>1</w:t>
            </w:r>
          </w:p>
        </w:tc>
        <w:tc>
          <w:tcPr>
            <w:tcW w:w="1248" w:type="dxa"/>
            <w:vAlign w:val="center"/>
          </w:tcPr>
          <w:p w14:paraId="024E8F5A">
            <w:pPr>
              <w:spacing w:line="360" w:lineRule="auto"/>
              <w:jc w:val="center"/>
              <w:rPr>
                <w:vertAlign w:val="baseline"/>
              </w:rPr>
            </w:pPr>
            <w:r>
              <w:rPr>
                <w:rFonts w:hint="eastAsia" w:ascii="宋体" w:hAnsi="宋体" w:eastAsia="宋体" w:cs="宋体"/>
                <w:sz w:val="24"/>
                <w:szCs w:val="24"/>
              </w:rPr>
              <w:t>价格</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w:t>
            </w:r>
          </w:p>
        </w:tc>
        <w:tc>
          <w:tcPr>
            <w:tcW w:w="1075" w:type="dxa"/>
            <w:vAlign w:val="center"/>
          </w:tcPr>
          <w:p w14:paraId="2829785B">
            <w:pPr>
              <w:spacing w:line="360" w:lineRule="auto"/>
              <w:jc w:val="center"/>
              <w:rPr>
                <w:vertAlign w:val="baseline"/>
              </w:rPr>
            </w:pPr>
            <w:r>
              <w:rPr>
                <w:rFonts w:hint="eastAsia" w:ascii="宋体" w:hAnsi="宋体" w:cs="宋体"/>
                <w:sz w:val="24"/>
                <w:szCs w:val="24"/>
                <w:lang w:val="en-US" w:eastAsia="zh-CN"/>
              </w:rPr>
              <w:t>0-20分</w:t>
            </w:r>
          </w:p>
        </w:tc>
        <w:tc>
          <w:tcPr>
            <w:tcW w:w="6624" w:type="dxa"/>
            <w:vAlign w:val="center"/>
          </w:tcPr>
          <w:p w14:paraId="35A6B467">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投标报价得分=（评标基准价/投标报价）*价格权重*100</w:t>
            </w:r>
          </w:p>
          <w:p w14:paraId="719D258A">
            <w:pPr>
              <w:spacing w:line="360" w:lineRule="auto"/>
              <w:jc w:val="left"/>
              <w:rPr>
                <w:vertAlign w:val="baseline"/>
              </w:rPr>
            </w:pPr>
            <w:r>
              <w:rPr>
                <w:rFonts w:hint="eastAsia" w:ascii="宋体" w:hAnsi="宋体" w:eastAsia="宋体" w:cs="宋体"/>
                <w:sz w:val="24"/>
                <w:szCs w:val="24"/>
              </w:rPr>
              <w:t>注：基准价=响应招标文件的最低投标报价</w:t>
            </w:r>
          </w:p>
        </w:tc>
      </w:tr>
      <w:tr w14:paraId="1A47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3F4F7CF">
            <w:pPr>
              <w:spacing w:line="360" w:lineRule="auto"/>
              <w:jc w:val="center"/>
              <w:rPr>
                <w:rFonts w:hint="eastAsia" w:eastAsiaTheme="minorEastAsia"/>
                <w:vertAlign w:val="baseline"/>
                <w:lang w:val="en-US" w:eastAsia="zh-CN"/>
              </w:rPr>
            </w:pPr>
            <w:r>
              <w:rPr>
                <w:rFonts w:hint="eastAsia"/>
                <w:vertAlign w:val="baseline"/>
                <w:lang w:val="en-US" w:eastAsia="zh-CN"/>
              </w:rPr>
              <w:t>2</w:t>
            </w:r>
          </w:p>
        </w:tc>
        <w:tc>
          <w:tcPr>
            <w:tcW w:w="1248" w:type="dxa"/>
            <w:vAlign w:val="center"/>
          </w:tcPr>
          <w:p w14:paraId="154112C2">
            <w:pPr>
              <w:spacing w:line="360" w:lineRule="auto"/>
              <w:jc w:val="center"/>
              <w:rPr>
                <w:vertAlign w:val="baseline"/>
              </w:rPr>
            </w:pPr>
            <w:r>
              <w:rPr>
                <w:rFonts w:hint="eastAsia" w:ascii="宋体" w:hAnsi="宋体" w:eastAsia="宋体" w:cs="宋体"/>
                <w:sz w:val="24"/>
                <w:szCs w:val="24"/>
                <w:lang w:val="en-US" w:eastAsia="zh-CN"/>
              </w:rPr>
              <w:t>经营业绩</w:t>
            </w:r>
            <w:r>
              <w:rPr>
                <w:rFonts w:hint="eastAsia" w:ascii="宋体" w:hAnsi="宋体" w:cs="宋体"/>
                <w:sz w:val="24"/>
                <w:szCs w:val="24"/>
                <w:lang w:val="en-US" w:eastAsia="zh-CN"/>
              </w:rPr>
              <w:t>2%</w:t>
            </w:r>
          </w:p>
        </w:tc>
        <w:tc>
          <w:tcPr>
            <w:tcW w:w="1075" w:type="dxa"/>
            <w:vAlign w:val="center"/>
          </w:tcPr>
          <w:p w14:paraId="394CAEE3">
            <w:pPr>
              <w:spacing w:line="360" w:lineRule="auto"/>
              <w:jc w:val="center"/>
              <w:rPr>
                <w:vertAlign w:val="baseline"/>
              </w:rPr>
            </w:pPr>
            <w:r>
              <w:rPr>
                <w:rFonts w:hint="eastAsia" w:ascii="宋体" w:hAnsi="宋体" w:cs="宋体"/>
                <w:sz w:val="24"/>
                <w:szCs w:val="24"/>
                <w:lang w:val="en-US" w:eastAsia="zh-CN"/>
              </w:rPr>
              <w:t>0-2分</w:t>
            </w:r>
          </w:p>
        </w:tc>
        <w:tc>
          <w:tcPr>
            <w:tcW w:w="6624" w:type="dxa"/>
            <w:vAlign w:val="center"/>
          </w:tcPr>
          <w:p w14:paraId="08EFC6CE">
            <w:pPr>
              <w:spacing w:line="360" w:lineRule="auto"/>
              <w:ind w:firstLine="480" w:firstLineChars="200"/>
              <w:jc w:val="left"/>
              <w:rPr>
                <w:vertAlign w:val="baseline"/>
              </w:rPr>
            </w:pPr>
            <w:r>
              <w:rPr>
                <w:rFonts w:hint="eastAsia" w:ascii="宋体" w:hAnsi="宋体" w:cs="宋体"/>
                <w:sz w:val="24"/>
                <w:szCs w:val="24"/>
                <w:lang w:eastAsia="zh-CN"/>
              </w:rPr>
              <w:t>根据投标</w:t>
            </w:r>
            <w:r>
              <w:rPr>
                <w:rFonts w:hint="eastAsia" w:ascii="宋体" w:hAnsi="宋体" w:cs="宋体"/>
                <w:sz w:val="24"/>
                <w:szCs w:val="24"/>
                <w:lang w:val="en-US" w:eastAsia="zh-CN"/>
              </w:rPr>
              <w:t>人</w:t>
            </w:r>
            <w:r>
              <w:rPr>
                <w:rFonts w:hint="eastAsia" w:ascii="宋体" w:hAnsi="宋体" w:cs="宋体"/>
                <w:sz w:val="24"/>
                <w:szCs w:val="24"/>
                <w:lang w:eastAsia="zh-CN"/>
              </w:rPr>
              <w:t>所提供</w:t>
            </w:r>
            <w:r>
              <w:rPr>
                <w:rFonts w:hint="eastAsia" w:ascii="宋体" w:hAnsi="宋体" w:cs="宋体"/>
                <w:sz w:val="24"/>
                <w:szCs w:val="24"/>
                <w:lang w:val="en-US" w:eastAsia="zh-CN"/>
              </w:rPr>
              <w:t>投标截止日前近两年</w:t>
            </w:r>
            <w:r>
              <w:rPr>
                <w:rFonts w:hint="eastAsia" w:ascii="宋体" w:hAnsi="宋体" w:cs="宋体"/>
                <w:sz w:val="24"/>
                <w:szCs w:val="24"/>
                <w:lang w:eastAsia="zh-CN"/>
              </w:rPr>
              <w:t>的同类业绩进行打分，附合同或中标通知书复印件，每</w:t>
            </w:r>
            <w:r>
              <w:rPr>
                <w:rFonts w:hint="eastAsia" w:ascii="宋体" w:hAnsi="宋体" w:cs="宋体"/>
                <w:sz w:val="24"/>
                <w:szCs w:val="24"/>
                <w:lang w:val="en-US" w:eastAsia="zh-CN"/>
              </w:rPr>
              <w:t>提供</w:t>
            </w:r>
            <w:r>
              <w:rPr>
                <w:rFonts w:hint="eastAsia" w:ascii="宋体" w:hAnsi="宋体" w:cs="宋体"/>
                <w:sz w:val="24"/>
                <w:szCs w:val="24"/>
                <w:lang w:eastAsia="zh-CN"/>
              </w:rPr>
              <w:t>一份合同或中标通知书</w:t>
            </w:r>
            <w:r>
              <w:rPr>
                <w:rFonts w:hint="eastAsia" w:ascii="宋体" w:hAnsi="宋体" w:cs="宋体"/>
                <w:sz w:val="24"/>
                <w:szCs w:val="24"/>
                <w:lang w:val="en-US" w:eastAsia="zh-CN"/>
              </w:rPr>
              <w:t>得1</w:t>
            </w:r>
            <w:r>
              <w:rPr>
                <w:rFonts w:hint="eastAsia" w:ascii="宋体" w:hAnsi="宋体" w:cs="宋体"/>
                <w:sz w:val="24"/>
                <w:szCs w:val="24"/>
                <w:lang w:eastAsia="zh-CN"/>
              </w:rPr>
              <w:t>分，满分</w:t>
            </w:r>
            <w:r>
              <w:rPr>
                <w:rFonts w:hint="eastAsia" w:ascii="宋体" w:hAnsi="宋体" w:cs="宋体"/>
                <w:sz w:val="24"/>
                <w:szCs w:val="24"/>
                <w:lang w:val="en-US" w:eastAsia="zh-CN"/>
              </w:rPr>
              <w:t>2</w:t>
            </w:r>
            <w:r>
              <w:rPr>
                <w:rFonts w:hint="eastAsia" w:ascii="宋体" w:hAnsi="宋体" w:cs="宋体"/>
                <w:sz w:val="24"/>
                <w:szCs w:val="24"/>
                <w:lang w:eastAsia="zh-CN"/>
              </w:rPr>
              <w:t>分；未提供或不符合要求的，不得分。</w:t>
            </w:r>
          </w:p>
        </w:tc>
      </w:tr>
      <w:tr w14:paraId="0A0E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72852D0">
            <w:pPr>
              <w:spacing w:line="360" w:lineRule="auto"/>
              <w:jc w:val="center"/>
              <w:rPr>
                <w:rFonts w:hint="eastAsia" w:eastAsiaTheme="minorEastAsia"/>
                <w:vertAlign w:val="baseline"/>
                <w:lang w:val="en-US" w:eastAsia="zh-CN"/>
              </w:rPr>
            </w:pPr>
            <w:r>
              <w:rPr>
                <w:rFonts w:hint="eastAsia"/>
                <w:vertAlign w:val="baseline"/>
                <w:lang w:val="en-US" w:eastAsia="zh-CN"/>
              </w:rPr>
              <w:t>3</w:t>
            </w:r>
          </w:p>
        </w:tc>
        <w:tc>
          <w:tcPr>
            <w:tcW w:w="1248" w:type="dxa"/>
            <w:vAlign w:val="center"/>
          </w:tcPr>
          <w:p w14:paraId="43854F1A">
            <w:pPr>
              <w:spacing w:line="360" w:lineRule="auto"/>
              <w:jc w:val="center"/>
              <w:rPr>
                <w:vertAlign w:val="baseline"/>
              </w:rPr>
            </w:pPr>
            <w:r>
              <w:rPr>
                <w:rFonts w:hint="default" w:ascii="宋体" w:hAnsi="宋体" w:eastAsia="宋体" w:cs="宋体"/>
                <w:sz w:val="24"/>
                <w:szCs w:val="24"/>
                <w:lang w:val="en-US" w:eastAsia="zh-CN"/>
              </w:rPr>
              <w:t>服务管理团队</w:t>
            </w:r>
            <w:r>
              <w:rPr>
                <w:rFonts w:hint="eastAsia" w:ascii="宋体" w:hAnsi="宋体" w:cs="宋体"/>
                <w:sz w:val="24"/>
                <w:szCs w:val="24"/>
                <w:lang w:val="en-US" w:eastAsia="zh-CN"/>
              </w:rPr>
              <w:t>13%</w:t>
            </w:r>
          </w:p>
        </w:tc>
        <w:tc>
          <w:tcPr>
            <w:tcW w:w="1075" w:type="dxa"/>
            <w:vAlign w:val="center"/>
          </w:tcPr>
          <w:p w14:paraId="4D6FAA33">
            <w:pPr>
              <w:spacing w:line="360" w:lineRule="auto"/>
              <w:jc w:val="center"/>
              <w:rPr>
                <w:vertAlign w:val="baseline"/>
              </w:rPr>
            </w:pPr>
            <w:r>
              <w:rPr>
                <w:rFonts w:hint="eastAsia" w:ascii="宋体" w:hAnsi="宋体" w:cs="宋体"/>
                <w:sz w:val="24"/>
                <w:szCs w:val="24"/>
                <w:lang w:val="en-US" w:eastAsia="zh-CN"/>
              </w:rPr>
              <w:t>0-13分</w:t>
            </w:r>
          </w:p>
        </w:tc>
        <w:tc>
          <w:tcPr>
            <w:tcW w:w="6624" w:type="dxa"/>
            <w:vAlign w:val="center"/>
          </w:tcPr>
          <w:p w14:paraId="3E8AA654">
            <w:p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eastAsia="zh-CN"/>
              </w:rPr>
              <w:t>根据投标人</w:t>
            </w:r>
            <w:r>
              <w:rPr>
                <w:rFonts w:hint="eastAsia" w:ascii="宋体" w:hAnsi="宋体" w:cs="宋体"/>
                <w:sz w:val="24"/>
                <w:szCs w:val="24"/>
                <w:lang w:val="en-US" w:eastAsia="zh-CN"/>
              </w:rPr>
              <w:t>针对本项目拟投入的核心服务团队配备进行评分（满分13分）：</w:t>
            </w:r>
          </w:p>
          <w:p w14:paraId="49421E69">
            <w:pPr>
              <w:spacing w:line="360" w:lineRule="auto"/>
              <w:ind w:firstLine="480" w:firstLineChars="200"/>
              <w:jc w:val="lef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（1）项目负责人取得三级及以上人力资源管理师证书的得4分，须提供</w:t>
            </w:r>
            <w:r>
              <w:rPr>
                <w:rFonts w:hint="eastAsia" w:ascii="宋体" w:hAnsi="宋体" w:cs="宋体"/>
                <w:sz w:val="24"/>
                <w:szCs w:val="24"/>
                <w:lang w:val="en-US" w:eastAsia="zh-CN"/>
              </w:rPr>
              <w:t>相关证书，</w:t>
            </w:r>
            <w:r>
              <w:rPr>
                <w:rFonts w:hint="eastAsia" w:ascii="宋体" w:hAnsi="宋体" w:cs="宋体"/>
                <w:color w:val="000000" w:themeColor="text1"/>
                <w:sz w:val="24"/>
                <w:szCs w:val="24"/>
                <w:lang w:val="en-US" w:eastAsia="zh-CN"/>
                <w14:textFill>
                  <w14:solidFill>
                    <w14:schemeClr w14:val="tx1"/>
                  </w14:solidFill>
                </w14:textFill>
              </w:rPr>
              <w:t>不提供不得分；</w:t>
            </w:r>
          </w:p>
          <w:p w14:paraId="5628FA4A">
            <w:p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（2）团队成员中除项目负责人外每提供一个四级人力资源管理师证书的得1分，满分3分</w:t>
            </w:r>
            <w:r>
              <w:rPr>
                <w:rFonts w:hint="eastAsia" w:ascii="宋体" w:hAnsi="宋体" w:cs="宋体"/>
                <w:color w:val="000000" w:themeColor="text1"/>
                <w:sz w:val="24"/>
                <w:szCs w:val="24"/>
                <w:lang w:val="en-US" w:eastAsia="zh-CN"/>
                <w14:textFill>
                  <w14:solidFill>
                    <w14:schemeClr w14:val="tx1"/>
                  </w14:solidFill>
                </w14:textFill>
              </w:rPr>
              <w:t>，须提供</w:t>
            </w:r>
            <w:r>
              <w:rPr>
                <w:rFonts w:hint="eastAsia" w:ascii="宋体" w:hAnsi="宋体" w:cs="宋体"/>
                <w:sz w:val="24"/>
                <w:szCs w:val="24"/>
                <w:lang w:val="en-US" w:eastAsia="zh-CN"/>
              </w:rPr>
              <w:t>相关证书，</w:t>
            </w:r>
            <w:r>
              <w:rPr>
                <w:rFonts w:hint="eastAsia" w:ascii="宋体" w:hAnsi="宋体" w:cs="宋体"/>
                <w:color w:val="000000" w:themeColor="text1"/>
                <w:sz w:val="24"/>
                <w:szCs w:val="24"/>
                <w:lang w:val="en-US" w:eastAsia="zh-CN"/>
                <w14:textFill>
                  <w14:solidFill>
                    <w14:schemeClr w14:val="tx1"/>
                  </w14:solidFill>
                </w14:textFill>
              </w:rPr>
              <w:t>不提供不得分；</w:t>
            </w:r>
          </w:p>
          <w:p w14:paraId="72BE5C14">
            <w:p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（3）团队成员中每提供一个初级及以上财务管理人员的得1分，满分2分</w:t>
            </w:r>
            <w:r>
              <w:rPr>
                <w:rFonts w:hint="eastAsia" w:ascii="宋体" w:hAnsi="宋体" w:cs="宋体"/>
                <w:color w:val="000000" w:themeColor="text1"/>
                <w:sz w:val="24"/>
                <w:szCs w:val="24"/>
                <w:lang w:val="en-US" w:eastAsia="zh-CN"/>
                <w14:textFill>
                  <w14:solidFill>
                    <w14:schemeClr w14:val="tx1"/>
                  </w14:solidFill>
                </w14:textFill>
              </w:rPr>
              <w:t>，须提供</w:t>
            </w:r>
            <w:r>
              <w:rPr>
                <w:rFonts w:hint="eastAsia" w:ascii="宋体" w:hAnsi="宋体" w:cs="宋体"/>
                <w:sz w:val="24"/>
                <w:szCs w:val="24"/>
                <w:lang w:val="en-US" w:eastAsia="zh-CN"/>
              </w:rPr>
              <w:t>相关证书，</w:t>
            </w:r>
            <w:r>
              <w:rPr>
                <w:rFonts w:hint="eastAsia" w:ascii="宋体" w:hAnsi="宋体" w:cs="宋体"/>
                <w:color w:val="000000" w:themeColor="text1"/>
                <w:sz w:val="24"/>
                <w:szCs w:val="24"/>
                <w:lang w:val="en-US" w:eastAsia="zh-CN"/>
                <w14:textFill>
                  <w14:solidFill>
                    <w14:schemeClr w14:val="tx1"/>
                  </w14:solidFill>
                </w14:textFill>
              </w:rPr>
              <w:t>不提供不得分；</w:t>
            </w:r>
          </w:p>
          <w:p w14:paraId="67B3522D">
            <w:p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（4）团队成员中设有专门负责食品安全的岗位，需对相关工作人员进行食品安全培训，每设置一个岗位得1分，满分2分</w:t>
            </w:r>
            <w:r>
              <w:rPr>
                <w:rFonts w:hint="eastAsia" w:ascii="宋体" w:hAnsi="宋体" w:cs="宋体"/>
                <w:color w:val="000000" w:themeColor="text1"/>
                <w:sz w:val="24"/>
                <w:szCs w:val="24"/>
                <w:lang w:val="en-US" w:eastAsia="zh-CN"/>
                <w14:textFill>
                  <w14:solidFill>
                    <w14:schemeClr w14:val="tx1"/>
                  </w14:solidFill>
                </w14:textFill>
              </w:rPr>
              <w:t>，须提供岗位承诺，不提供不得分</w:t>
            </w:r>
            <w:r>
              <w:rPr>
                <w:rFonts w:hint="eastAsia" w:ascii="宋体" w:hAnsi="宋体" w:cs="宋体"/>
                <w:sz w:val="24"/>
                <w:szCs w:val="24"/>
                <w:lang w:val="en-US" w:eastAsia="zh-CN"/>
              </w:rPr>
              <w:t>；</w:t>
            </w:r>
          </w:p>
          <w:p w14:paraId="100FF497">
            <w:p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（5）团队成员中设有专门负责医院感染工作的岗位，需对相关工作人员进行医院感染的相关培训，每设置一个岗位得1分，满分2分</w:t>
            </w:r>
            <w:r>
              <w:rPr>
                <w:rFonts w:hint="eastAsia" w:ascii="宋体" w:hAnsi="宋体" w:cs="宋体"/>
                <w:color w:val="000000" w:themeColor="text1"/>
                <w:sz w:val="24"/>
                <w:szCs w:val="24"/>
                <w:lang w:val="en-US" w:eastAsia="zh-CN"/>
                <w14:textFill>
                  <w14:solidFill>
                    <w14:schemeClr w14:val="tx1"/>
                  </w14:solidFill>
                </w14:textFill>
              </w:rPr>
              <w:t>，须提供岗位承诺，不提供不得分。</w:t>
            </w:r>
          </w:p>
          <w:p w14:paraId="687B09EF">
            <w:pPr>
              <w:spacing w:line="360" w:lineRule="auto"/>
              <w:ind w:firstLine="480" w:firstLineChars="200"/>
              <w:jc w:val="left"/>
              <w:rPr>
                <w:vertAlign w:val="baseline"/>
              </w:rPr>
            </w:pPr>
            <w:r>
              <w:rPr>
                <w:rFonts w:hint="eastAsia" w:ascii="宋体" w:hAnsi="宋体" w:cs="宋体"/>
                <w:sz w:val="24"/>
                <w:szCs w:val="24"/>
                <w:lang w:val="en-US" w:eastAsia="zh-CN"/>
              </w:rPr>
              <w:t>注：所有人员须提供身份证、劳动合同、近3个月在本公司缴纳社保证明等材料，未提供或提供不全该项不得分。</w:t>
            </w:r>
          </w:p>
        </w:tc>
      </w:tr>
      <w:tr w14:paraId="0DDE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vAlign w:val="center"/>
          </w:tcPr>
          <w:p w14:paraId="66591A48">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48" w:type="dxa"/>
            <w:vAlign w:val="center"/>
          </w:tcPr>
          <w:p w14:paraId="07B6FCB8">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服务方案</w:t>
            </w:r>
            <w:r>
              <w:rPr>
                <w:rFonts w:hint="eastAsia" w:ascii="宋体" w:hAnsi="宋体" w:cs="宋体"/>
                <w:sz w:val="24"/>
                <w:szCs w:val="24"/>
                <w:lang w:val="en-US" w:eastAsia="zh-CN"/>
              </w:rPr>
              <w:t>27</w:t>
            </w:r>
            <w:r>
              <w:rPr>
                <w:rFonts w:hint="eastAsia" w:ascii="宋体" w:hAnsi="宋体" w:eastAsia="宋体" w:cs="宋体"/>
                <w:sz w:val="24"/>
                <w:szCs w:val="24"/>
                <w:lang w:val="en-US" w:eastAsia="zh-CN"/>
              </w:rPr>
              <w:t>%</w:t>
            </w:r>
          </w:p>
        </w:tc>
        <w:tc>
          <w:tcPr>
            <w:tcW w:w="1075" w:type="dxa"/>
            <w:vAlign w:val="center"/>
          </w:tcPr>
          <w:p w14:paraId="4825DC73">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0-27分</w:t>
            </w:r>
          </w:p>
        </w:tc>
        <w:tc>
          <w:tcPr>
            <w:tcW w:w="6624" w:type="dxa"/>
            <w:vAlign w:val="center"/>
          </w:tcPr>
          <w:p w14:paraId="2264B455">
            <w:pPr>
              <w:numPr>
                <w:ilvl w:val="0"/>
                <w:numId w:val="0"/>
              </w:num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根据投标人提供的医院专属人力资源服务总体方案</w:t>
            </w:r>
            <w:r>
              <w:rPr>
                <w:rFonts w:hint="eastAsia" w:ascii="宋体" w:hAnsi="宋体" w:cs="宋体"/>
                <w:sz w:val="24"/>
                <w:szCs w:val="24"/>
                <w:lang w:val="en-US" w:eastAsia="zh-CN"/>
              </w:rPr>
              <w:t>进行</w:t>
            </w:r>
            <w:r>
              <w:rPr>
                <w:rFonts w:hint="eastAsia" w:ascii="宋体" w:hAnsi="宋体" w:cs="宋体"/>
                <w:sz w:val="24"/>
                <w:szCs w:val="24"/>
                <w:lang w:eastAsia="zh-CN"/>
              </w:rPr>
              <w:t>评审，须覆盖以下9项</w:t>
            </w:r>
            <w:r>
              <w:rPr>
                <w:rFonts w:hint="eastAsia" w:ascii="宋体" w:hAnsi="宋体" w:cs="宋体"/>
                <w:sz w:val="24"/>
                <w:szCs w:val="24"/>
                <w:lang w:val="en-US" w:eastAsia="zh-CN"/>
              </w:rPr>
              <w:t>，每项最高得3分，总分27分，不提供不得分</w:t>
            </w:r>
            <w:r>
              <w:rPr>
                <w:rFonts w:hint="eastAsia" w:ascii="宋体" w:hAnsi="宋体" w:cs="宋体"/>
                <w:sz w:val="24"/>
                <w:szCs w:val="24"/>
                <w:lang w:eastAsia="zh-CN"/>
              </w:rPr>
              <w:t>：</w:t>
            </w:r>
          </w:p>
          <w:p w14:paraId="796500B2">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1.整体策划：贴合妇幼保健院场景，明确食堂、驾驶、导诊、洗衣、医疗辅助等岗位整体服务规划；</w:t>
            </w:r>
          </w:p>
          <w:p w14:paraId="3BCE5C8B">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2.管理方式与计划：</w:t>
            </w:r>
            <w:r>
              <w:rPr>
                <w:rFonts w:hint="eastAsia" w:ascii="宋体" w:hAnsi="宋体" w:cs="宋体"/>
                <w:sz w:val="24"/>
                <w:szCs w:val="24"/>
                <w:lang w:val="en-US" w:eastAsia="zh-CN"/>
              </w:rPr>
              <w:t>包含但不限于</w:t>
            </w:r>
            <w:r>
              <w:rPr>
                <w:rFonts w:hint="eastAsia" w:ascii="宋体" w:hAnsi="宋体" w:cs="宋体"/>
                <w:sz w:val="24"/>
                <w:szCs w:val="24"/>
                <w:lang w:eastAsia="zh-CN"/>
              </w:rPr>
              <w:t>明确7×24小时值守、驾驶员24小时双岗、食堂病号餐专项管理</w:t>
            </w:r>
            <w:r>
              <w:rPr>
                <w:rFonts w:hint="eastAsia" w:ascii="宋体" w:hAnsi="宋体" w:cs="宋体"/>
                <w:sz w:val="24"/>
                <w:szCs w:val="24"/>
                <w:lang w:val="en-US" w:eastAsia="zh-CN"/>
              </w:rPr>
              <w:t>等内容</w:t>
            </w:r>
            <w:r>
              <w:rPr>
                <w:rFonts w:hint="eastAsia" w:ascii="宋体" w:hAnsi="宋体" w:cs="宋体"/>
                <w:sz w:val="24"/>
                <w:szCs w:val="24"/>
                <w:lang w:eastAsia="zh-CN"/>
              </w:rPr>
              <w:t>；</w:t>
            </w:r>
          </w:p>
          <w:p w14:paraId="1E292351">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3.档案、户籍、社保管理：全流程合规管理，明确人员档案留存、社保缴纳时限；</w:t>
            </w:r>
          </w:p>
          <w:p w14:paraId="38D24D13">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4.培训方案：</w:t>
            </w:r>
            <w:r>
              <w:rPr>
                <w:rFonts w:hint="eastAsia" w:ascii="宋体" w:hAnsi="宋体" w:cs="宋体"/>
                <w:sz w:val="24"/>
                <w:szCs w:val="24"/>
                <w:lang w:val="en-US" w:eastAsia="zh-CN"/>
              </w:rPr>
              <w:t>包含但不限于</w:t>
            </w:r>
            <w:r>
              <w:rPr>
                <w:rFonts w:hint="eastAsia" w:ascii="宋体" w:hAnsi="宋体" w:cs="宋体"/>
                <w:sz w:val="24"/>
                <w:szCs w:val="24"/>
                <w:lang w:eastAsia="zh-CN"/>
              </w:rPr>
              <w:t>入职、岗前、在岗培训，重点体现食品安全、院感防控、HIS系统、急救知识、病号餐制作专项培训</w:t>
            </w:r>
            <w:r>
              <w:rPr>
                <w:rFonts w:hint="eastAsia" w:ascii="宋体" w:hAnsi="宋体" w:cs="宋体"/>
                <w:sz w:val="24"/>
                <w:szCs w:val="24"/>
                <w:lang w:val="en-US" w:eastAsia="zh-CN"/>
              </w:rPr>
              <w:t>等内容</w:t>
            </w:r>
            <w:r>
              <w:rPr>
                <w:rFonts w:hint="eastAsia" w:ascii="宋体" w:hAnsi="宋体" w:cs="宋体"/>
                <w:sz w:val="24"/>
                <w:szCs w:val="24"/>
                <w:lang w:eastAsia="zh-CN"/>
              </w:rPr>
              <w:t>；</w:t>
            </w:r>
          </w:p>
          <w:p w14:paraId="51ED3804">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5.考核奖惩：明确月度量化考核（满意度、响应时间、卫生达标率等）、奖惩措施</w:t>
            </w:r>
            <w:r>
              <w:rPr>
                <w:rFonts w:hint="eastAsia" w:ascii="宋体" w:hAnsi="宋体" w:cs="宋体"/>
                <w:sz w:val="24"/>
                <w:szCs w:val="24"/>
                <w:lang w:val="en-US" w:eastAsia="zh-CN"/>
              </w:rPr>
              <w:t>等</w:t>
            </w:r>
            <w:r>
              <w:rPr>
                <w:rFonts w:hint="eastAsia" w:ascii="宋体" w:hAnsi="宋体" w:cs="宋体"/>
                <w:sz w:val="24"/>
                <w:szCs w:val="24"/>
                <w:lang w:eastAsia="zh-CN"/>
              </w:rPr>
              <w:t>；</w:t>
            </w:r>
          </w:p>
          <w:p w14:paraId="372C33AF">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6.人员派遣时效：劳动合同、</w:t>
            </w:r>
            <w:r>
              <w:rPr>
                <w:rFonts w:hint="eastAsia" w:ascii="宋体" w:hAnsi="宋体" w:cs="宋体"/>
                <w:sz w:val="24"/>
                <w:szCs w:val="24"/>
                <w:lang w:val="en-US" w:eastAsia="zh-CN"/>
              </w:rPr>
              <w:t>派遣</w:t>
            </w:r>
            <w:r>
              <w:rPr>
                <w:rFonts w:hint="eastAsia" w:ascii="宋体" w:hAnsi="宋体" w:cs="宋体"/>
                <w:sz w:val="24"/>
                <w:szCs w:val="24"/>
                <w:lang w:eastAsia="zh-CN"/>
              </w:rPr>
              <w:t>、社保办理时限，缺岗24小时内储备人员补岗机制</w:t>
            </w:r>
            <w:r>
              <w:rPr>
                <w:rFonts w:hint="eastAsia" w:ascii="宋体" w:hAnsi="宋体" w:cs="宋体"/>
                <w:sz w:val="24"/>
                <w:szCs w:val="24"/>
                <w:lang w:val="en-US" w:eastAsia="zh-CN"/>
              </w:rPr>
              <w:t>等</w:t>
            </w:r>
            <w:r>
              <w:rPr>
                <w:rFonts w:hint="eastAsia" w:ascii="宋体" w:hAnsi="宋体" w:cs="宋体"/>
                <w:sz w:val="24"/>
                <w:szCs w:val="24"/>
                <w:lang w:eastAsia="zh-CN"/>
              </w:rPr>
              <w:t>；</w:t>
            </w:r>
          </w:p>
          <w:p w14:paraId="19FE656B">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7.薪酬管理：明确薪资、社保、公积金、误餐补助发放标准，承诺按时发放；</w:t>
            </w:r>
          </w:p>
          <w:p w14:paraId="69B751ED">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8.招聘体系：岗位定制化招聘（</w:t>
            </w:r>
            <w:r>
              <w:rPr>
                <w:rFonts w:hint="eastAsia" w:ascii="宋体" w:hAnsi="宋体" w:cs="宋体"/>
                <w:sz w:val="24"/>
                <w:szCs w:val="24"/>
                <w:lang w:val="en-US" w:eastAsia="zh-CN"/>
              </w:rPr>
              <w:t>包含但不限于</w:t>
            </w:r>
            <w:r>
              <w:rPr>
                <w:rFonts w:hint="eastAsia" w:ascii="宋体" w:hAnsi="宋体" w:cs="宋体"/>
                <w:sz w:val="24"/>
                <w:szCs w:val="24"/>
                <w:lang w:eastAsia="zh-CN"/>
              </w:rPr>
              <w:t>厨师长提供管理案例、医院终面准入机制</w:t>
            </w:r>
            <w:r>
              <w:rPr>
                <w:rFonts w:hint="eastAsia" w:ascii="宋体" w:hAnsi="宋体" w:cs="宋体"/>
                <w:sz w:val="24"/>
                <w:szCs w:val="24"/>
                <w:lang w:val="en-US" w:eastAsia="zh-CN"/>
              </w:rPr>
              <w:t>等</w:t>
            </w:r>
            <w:r>
              <w:rPr>
                <w:rFonts w:hint="eastAsia" w:ascii="宋体" w:hAnsi="宋体" w:cs="宋体"/>
                <w:sz w:val="24"/>
                <w:szCs w:val="24"/>
                <w:lang w:eastAsia="zh-CN"/>
              </w:rPr>
              <w:t>）；</w:t>
            </w:r>
          </w:p>
          <w:p w14:paraId="09A4B572">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eastAsia="zh-CN"/>
              </w:rPr>
              <w:t>9.特色服务：</w:t>
            </w:r>
            <w:r>
              <w:rPr>
                <w:rFonts w:hint="eastAsia" w:ascii="宋体" w:hAnsi="宋体" w:cs="宋体"/>
                <w:sz w:val="24"/>
                <w:szCs w:val="24"/>
                <w:lang w:val="en-US" w:eastAsia="zh-CN"/>
              </w:rPr>
              <w:t>包含但不限于</w:t>
            </w:r>
            <w:r>
              <w:rPr>
                <w:rFonts w:hint="eastAsia" w:ascii="宋体" w:hAnsi="宋体" w:cs="宋体"/>
                <w:sz w:val="24"/>
                <w:szCs w:val="24"/>
                <w:lang w:eastAsia="zh-CN"/>
              </w:rPr>
              <w:t>关键岗位稳定性≥90%、食材损耗率≤5%、后勤事务减负20%等专属优化措施。</w:t>
            </w:r>
          </w:p>
        </w:tc>
      </w:tr>
      <w:tr w14:paraId="4DC1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675A189">
            <w:pPr>
              <w:spacing w:line="360" w:lineRule="auto"/>
              <w:jc w:val="center"/>
              <w:rPr>
                <w:rFonts w:hint="eastAsia" w:eastAsiaTheme="minorEastAsia"/>
                <w:vertAlign w:val="baseline"/>
                <w:lang w:val="en-US" w:eastAsia="zh-CN"/>
              </w:rPr>
            </w:pPr>
            <w:r>
              <w:rPr>
                <w:rFonts w:hint="eastAsia"/>
                <w:vertAlign w:val="baseline"/>
                <w:lang w:val="en-US" w:eastAsia="zh-CN"/>
              </w:rPr>
              <w:t>5</w:t>
            </w:r>
          </w:p>
        </w:tc>
        <w:tc>
          <w:tcPr>
            <w:tcW w:w="1248" w:type="dxa"/>
            <w:vAlign w:val="center"/>
          </w:tcPr>
          <w:p w14:paraId="669DE968">
            <w:pPr>
              <w:spacing w:line="360" w:lineRule="auto"/>
              <w:jc w:val="center"/>
              <w:rPr>
                <w:vertAlign w:val="baseline"/>
              </w:rPr>
            </w:pPr>
            <w:r>
              <w:rPr>
                <w:rFonts w:hint="eastAsia" w:ascii="宋体" w:hAnsi="宋体" w:cs="宋体"/>
                <w:sz w:val="24"/>
                <w:szCs w:val="24"/>
                <w:lang w:val="en-US" w:eastAsia="zh-CN"/>
              </w:rPr>
              <w:t>管理方案12%</w:t>
            </w:r>
          </w:p>
        </w:tc>
        <w:tc>
          <w:tcPr>
            <w:tcW w:w="1075" w:type="dxa"/>
            <w:vAlign w:val="center"/>
          </w:tcPr>
          <w:p w14:paraId="6FBF32A5">
            <w:pPr>
              <w:spacing w:line="360" w:lineRule="auto"/>
              <w:jc w:val="center"/>
              <w:rPr>
                <w:vertAlign w:val="baseline"/>
              </w:rPr>
            </w:pPr>
            <w:r>
              <w:rPr>
                <w:rFonts w:hint="eastAsia" w:ascii="宋体" w:hAnsi="宋体" w:cs="宋体"/>
                <w:sz w:val="24"/>
                <w:szCs w:val="24"/>
                <w:lang w:val="en-US" w:eastAsia="zh-CN"/>
              </w:rPr>
              <w:t>0-12分</w:t>
            </w:r>
          </w:p>
        </w:tc>
        <w:tc>
          <w:tcPr>
            <w:tcW w:w="6624" w:type="dxa"/>
            <w:vAlign w:val="center"/>
          </w:tcPr>
          <w:p w14:paraId="3B098B67">
            <w:pPr>
              <w:numPr>
                <w:ilvl w:val="0"/>
                <w:numId w:val="0"/>
              </w:num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根据投标人结合妇幼医院需求编制</w:t>
            </w:r>
            <w:r>
              <w:rPr>
                <w:rFonts w:hint="eastAsia" w:ascii="宋体" w:hAnsi="宋体" w:cs="宋体"/>
                <w:sz w:val="24"/>
                <w:szCs w:val="24"/>
                <w:lang w:val="en-US" w:eastAsia="zh-CN"/>
              </w:rPr>
              <w:t>的</w:t>
            </w:r>
            <w:r>
              <w:rPr>
                <w:rFonts w:hint="eastAsia" w:ascii="宋体" w:hAnsi="宋体" w:cs="宋体"/>
                <w:sz w:val="24"/>
                <w:szCs w:val="24"/>
                <w:lang w:eastAsia="zh-CN"/>
              </w:rPr>
              <w:t>人员管理方案</w:t>
            </w:r>
            <w:r>
              <w:rPr>
                <w:rFonts w:hint="eastAsia" w:ascii="宋体" w:hAnsi="宋体" w:cs="宋体"/>
                <w:sz w:val="24"/>
                <w:szCs w:val="24"/>
                <w:lang w:val="en-US" w:eastAsia="zh-CN"/>
              </w:rPr>
              <w:t>进行</w:t>
            </w:r>
            <w:r>
              <w:rPr>
                <w:rFonts w:hint="eastAsia" w:ascii="宋体" w:hAnsi="宋体" w:cs="宋体"/>
                <w:sz w:val="24"/>
                <w:szCs w:val="24"/>
                <w:lang w:eastAsia="zh-CN"/>
              </w:rPr>
              <w:t>评审，覆盖以下6项</w:t>
            </w:r>
            <w:r>
              <w:rPr>
                <w:rFonts w:hint="eastAsia" w:ascii="宋体" w:hAnsi="宋体" w:cs="宋体"/>
                <w:sz w:val="24"/>
                <w:szCs w:val="24"/>
                <w:lang w:val="en-US" w:eastAsia="zh-CN"/>
              </w:rPr>
              <w:t>，每项最高得2分，总分12分，不提供不得分</w:t>
            </w:r>
            <w:r>
              <w:rPr>
                <w:rFonts w:hint="eastAsia" w:ascii="宋体" w:hAnsi="宋体" w:cs="宋体"/>
                <w:sz w:val="24"/>
                <w:szCs w:val="24"/>
                <w:lang w:eastAsia="zh-CN"/>
              </w:rPr>
              <w:t>：</w:t>
            </w:r>
          </w:p>
          <w:p w14:paraId="3843105E">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1.安全管理：食品安全、医疗安全、车辆安全、消防、院感防控全流程管理</w:t>
            </w:r>
            <w:r>
              <w:rPr>
                <w:rFonts w:hint="eastAsia" w:ascii="宋体" w:hAnsi="宋体" w:cs="宋体"/>
                <w:sz w:val="24"/>
                <w:szCs w:val="24"/>
                <w:lang w:val="en-US" w:eastAsia="zh-CN"/>
              </w:rPr>
              <w:t>等</w:t>
            </w:r>
            <w:r>
              <w:rPr>
                <w:rFonts w:hint="eastAsia" w:ascii="宋体" w:hAnsi="宋体" w:cs="宋体"/>
                <w:sz w:val="24"/>
                <w:szCs w:val="24"/>
                <w:lang w:eastAsia="zh-CN"/>
              </w:rPr>
              <w:t>；</w:t>
            </w:r>
          </w:p>
          <w:p w14:paraId="077CC7C9">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2.档案管理：人员资质、培训、考核、健康证、体检报告全档案留存</w:t>
            </w:r>
            <w:r>
              <w:rPr>
                <w:rFonts w:hint="eastAsia" w:ascii="宋体" w:hAnsi="宋体" w:cs="宋体"/>
                <w:sz w:val="24"/>
                <w:szCs w:val="24"/>
                <w:lang w:val="en-US" w:eastAsia="zh-CN"/>
              </w:rPr>
              <w:t>等</w:t>
            </w:r>
            <w:r>
              <w:rPr>
                <w:rFonts w:hint="eastAsia" w:ascii="宋体" w:hAnsi="宋体" w:cs="宋体"/>
                <w:sz w:val="24"/>
                <w:szCs w:val="24"/>
                <w:lang w:eastAsia="zh-CN"/>
              </w:rPr>
              <w:t>；</w:t>
            </w:r>
          </w:p>
          <w:p w14:paraId="1EC15C4A">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3.人员考核管理：明确各岗位月度考核指标（满意度、出勤率、响应时间等）；</w:t>
            </w:r>
          </w:p>
          <w:p w14:paraId="095EE715">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4.考勤管理：7×24小时排班、驾驶员双岗值守、请假补岗机制</w:t>
            </w:r>
            <w:r>
              <w:rPr>
                <w:rFonts w:hint="eastAsia" w:ascii="宋体" w:hAnsi="宋体" w:cs="宋体"/>
                <w:sz w:val="24"/>
                <w:szCs w:val="24"/>
                <w:lang w:val="en-US" w:eastAsia="zh-CN"/>
              </w:rPr>
              <w:t>等</w:t>
            </w:r>
            <w:r>
              <w:rPr>
                <w:rFonts w:hint="eastAsia" w:ascii="宋体" w:hAnsi="宋体" w:cs="宋体"/>
                <w:sz w:val="24"/>
                <w:szCs w:val="24"/>
                <w:lang w:eastAsia="zh-CN"/>
              </w:rPr>
              <w:t>；</w:t>
            </w:r>
          </w:p>
          <w:p w14:paraId="5441F29B">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5.仪容仪表：医院统一着装、服务礼仪规范</w:t>
            </w:r>
            <w:r>
              <w:rPr>
                <w:rFonts w:hint="eastAsia" w:ascii="宋体" w:hAnsi="宋体" w:cs="宋体"/>
                <w:sz w:val="24"/>
                <w:szCs w:val="24"/>
                <w:lang w:val="en-US" w:eastAsia="zh-CN"/>
              </w:rPr>
              <w:t>等</w:t>
            </w:r>
            <w:r>
              <w:rPr>
                <w:rFonts w:hint="eastAsia" w:ascii="宋体" w:hAnsi="宋体" w:cs="宋体"/>
                <w:sz w:val="24"/>
                <w:szCs w:val="24"/>
                <w:lang w:eastAsia="zh-CN"/>
              </w:rPr>
              <w:t>；</w:t>
            </w:r>
          </w:p>
          <w:p w14:paraId="7977FDB1">
            <w:pPr>
              <w:spacing w:line="360" w:lineRule="auto"/>
              <w:ind w:firstLine="480" w:firstLineChars="200"/>
              <w:jc w:val="left"/>
              <w:rPr>
                <w:vertAlign w:val="baseline"/>
              </w:rPr>
            </w:pPr>
            <w:r>
              <w:rPr>
                <w:rFonts w:hint="eastAsia" w:ascii="宋体" w:hAnsi="宋体" w:cs="宋体"/>
                <w:sz w:val="24"/>
                <w:szCs w:val="24"/>
                <w:lang w:eastAsia="zh-CN"/>
              </w:rPr>
              <w:t>6.服务质量考核：患者/职工满意度、卫生达标率、结算差错率等管控措施。</w:t>
            </w:r>
          </w:p>
        </w:tc>
      </w:tr>
      <w:tr w14:paraId="2948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EB94836">
            <w:pPr>
              <w:spacing w:line="360" w:lineRule="auto"/>
              <w:jc w:val="center"/>
              <w:rPr>
                <w:rFonts w:hint="eastAsia" w:eastAsiaTheme="minorEastAsia"/>
                <w:vertAlign w:val="baseline"/>
                <w:lang w:val="en-US" w:eastAsia="zh-CN"/>
              </w:rPr>
            </w:pPr>
            <w:r>
              <w:rPr>
                <w:rFonts w:hint="eastAsia"/>
                <w:vertAlign w:val="baseline"/>
                <w:lang w:val="en-US" w:eastAsia="zh-CN"/>
              </w:rPr>
              <w:t>6</w:t>
            </w:r>
          </w:p>
        </w:tc>
        <w:tc>
          <w:tcPr>
            <w:tcW w:w="1248" w:type="dxa"/>
            <w:vAlign w:val="center"/>
          </w:tcPr>
          <w:p w14:paraId="18DDE172">
            <w:pPr>
              <w:spacing w:line="360" w:lineRule="auto"/>
              <w:jc w:val="center"/>
              <w:rPr>
                <w:vertAlign w:val="baseline"/>
              </w:rPr>
            </w:pPr>
            <w:r>
              <w:rPr>
                <w:rFonts w:hint="eastAsia" w:ascii="宋体" w:hAnsi="宋体" w:cs="宋体"/>
                <w:sz w:val="24"/>
                <w:szCs w:val="24"/>
                <w:lang w:val="en-US" w:eastAsia="zh-CN"/>
              </w:rPr>
              <w:t>应急预案10</w:t>
            </w:r>
            <w:r>
              <w:rPr>
                <w:rFonts w:hint="eastAsia" w:ascii="宋体" w:hAnsi="宋体" w:eastAsia="宋体" w:cs="宋体"/>
                <w:sz w:val="24"/>
                <w:szCs w:val="24"/>
                <w:lang w:val="en-US" w:eastAsia="zh-CN"/>
              </w:rPr>
              <w:t>%</w:t>
            </w:r>
          </w:p>
        </w:tc>
        <w:tc>
          <w:tcPr>
            <w:tcW w:w="1075" w:type="dxa"/>
            <w:vAlign w:val="center"/>
          </w:tcPr>
          <w:p w14:paraId="2F083096">
            <w:pPr>
              <w:spacing w:line="360" w:lineRule="auto"/>
              <w:jc w:val="center"/>
              <w:rPr>
                <w:vertAlign w:val="baseline"/>
              </w:rPr>
            </w:pPr>
            <w:r>
              <w:rPr>
                <w:rFonts w:hint="eastAsia" w:ascii="宋体" w:hAnsi="宋体" w:cs="宋体"/>
                <w:sz w:val="24"/>
                <w:szCs w:val="24"/>
                <w:lang w:val="en-US" w:eastAsia="zh-CN"/>
              </w:rPr>
              <w:t>0-10分</w:t>
            </w:r>
          </w:p>
        </w:tc>
        <w:tc>
          <w:tcPr>
            <w:tcW w:w="6624" w:type="dxa"/>
            <w:vAlign w:val="center"/>
          </w:tcPr>
          <w:p w14:paraId="63539CDD">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eastAsia="zh-CN"/>
              </w:rPr>
              <w:t>根据投标人</w:t>
            </w:r>
            <w:r>
              <w:rPr>
                <w:rFonts w:hint="default" w:ascii="宋体" w:hAnsi="宋体" w:eastAsia="宋体" w:cs="宋体"/>
                <w:sz w:val="24"/>
                <w:szCs w:val="24"/>
                <w:lang w:val="en-US" w:eastAsia="zh-CN"/>
              </w:rPr>
              <w:t>结合医院场景</w:t>
            </w:r>
            <w:r>
              <w:rPr>
                <w:rFonts w:hint="eastAsia" w:ascii="宋体" w:hAnsi="宋体" w:cs="宋体"/>
                <w:sz w:val="24"/>
                <w:szCs w:val="24"/>
                <w:lang w:val="en-US" w:eastAsia="zh-CN"/>
              </w:rPr>
              <w:t>及</w:t>
            </w:r>
            <w:r>
              <w:rPr>
                <w:rFonts w:hint="default" w:ascii="宋体" w:hAnsi="宋体" w:eastAsia="宋体" w:cs="宋体"/>
                <w:sz w:val="24"/>
                <w:szCs w:val="24"/>
                <w:lang w:val="en-US" w:eastAsia="zh-CN"/>
              </w:rPr>
              <w:t>高频风险点编制</w:t>
            </w:r>
            <w:r>
              <w:rPr>
                <w:rFonts w:hint="eastAsia" w:ascii="宋体" w:hAnsi="宋体" w:eastAsia="宋体" w:cs="宋体"/>
                <w:sz w:val="24"/>
                <w:szCs w:val="24"/>
                <w:lang w:val="en-US" w:eastAsia="zh-CN"/>
              </w:rPr>
              <w:t>的</w:t>
            </w:r>
            <w:r>
              <w:rPr>
                <w:rFonts w:hint="default" w:ascii="宋体" w:hAnsi="宋体" w:eastAsia="宋体" w:cs="宋体"/>
                <w:sz w:val="24"/>
                <w:szCs w:val="24"/>
                <w:lang w:val="en-US" w:eastAsia="zh-CN"/>
              </w:rPr>
              <w:t>应急预案</w:t>
            </w:r>
            <w:r>
              <w:rPr>
                <w:rFonts w:hint="eastAsia" w:ascii="宋体" w:hAnsi="宋体" w:cs="宋体"/>
                <w:sz w:val="24"/>
                <w:szCs w:val="24"/>
                <w:lang w:val="en-US" w:eastAsia="zh-CN"/>
              </w:rPr>
              <w:t>进行</w:t>
            </w:r>
            <w:r>
              <w:rPr>
                <w:rFonts w:hint="eastAsia" w:ascii="宋体" w:hAnsi="宋体" w:cs="宋体"/>
                <w:sz w:val="24"/>
                <w:szCs w:val="24"/>
                <w:lang w:eastAsia="zh-CN"/>
              </w:rPr>
              <w:t>评审，</w:t>
            </w:r>
            <w:r>
              <w:rPr>
                <w:rFonts w:hint="default" w:ascii="宋体" w:hAnsi="宋体" w:eastAsia="宋体" w:cs="宋体"/>
                <w:sz w:val="24"/>
                <w:szCs w:val="24"/>
                <w:lang w:val="en-US" w:eastAsia="zh-CN"/>
              </w:rPr>
              <w:t>覆盖以下5项，</w:t>
            </w:r>
            <w:r>
              <w:rPr>
                <w:rFonts w:hint="eastAsia" w:ascii="宋体" w:hAnsi="宋体" w:cs="宋体"/>
                <w:sz w:val="24"/>
                <w:szCs w:val="24"/>
                <w:lang w:val="en-US" w:eastAsia="zh-CN"/>
              </w:rPr>
              <w:t>每项最高得2分，总分10分，不提供不得分</w:t>
            </w:r>
            <w:r>
              <w:rPr>
                <w:rFonts w:hint="eastAsia" w:ascii="宋体" w:hAnsi="宋体" w:cs="宋体"/>
                <w:sz w:val="24"/>
                <w:szCs w:val="24"/>
                <w:lang w:eastAsia="zh-CN"/>
              </w:rPr>
              <w:t>：</w:t>
            </w:r>
          </w:p>
          <w:p w14:paraId="7CB5B78B">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1.突发缺岗：24小时内储备人员补岗机制；</w:t>
            </w:r>
          </w:p>
          <w:p w14:paraId="6A40F270">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2.食品安全事故：病号餐食品安全、食材溯源、应急处置；</w:t>
            </w:r>
          </w:p>
          <w:p w14:paraId="02BB728E">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3.医疗/车辆应急：救护车应急出车、急救配合、车辆故障抢修；</w:t>
            </w:r>
          </w:p>
          <w:p w14:paraId="51D3E370">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4.公共卫生事件：院感防控、人员消杀、隔离值守；</w:t>
            </w:r>
          </w:p>
          <w:p w14:paraId="49D39E29">
            <w:pPr>
              <w:spacing w:line="360" w:lineRule="auto"/>
              <w:ind w:firstLine="480" w:firstLineChars="200"/>
              <w:jc w:val="left"/>
              <w:rPr>
                <w:vertAlign w:val="baseline"/>
              </w:rPr>
            </w:pPr>
            <w:r>
              <w:rPr>
                <w:rFonts w:hint="default" w:ascii="宋体" w:hAnsi="宋体" w:eastAsia="宋体" w:cs="宋体"/>
                <w:sz w:val="24"/>
                <w:szCs w:val="24"/>
                <w:lang w:val="en-US" w:eastAsia="zh-CN"/>
              </w:rPr>
              <w:t>5.劳动纠纷：用工纠纷快速处置、协商调解机制。</w:t>
            </w:r>
          </w:p>
        </w:tc>
      </w:tr>
      <w:tr w14:paraId="193A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3E1CC6D">
            <w:pPr>
              <w:spacing w:line="360" w:lineRule="auto"/>
              <w:jc w:val="center"/>
              <w:rPr>
                <w:rFonts w:hint="eastAsia" w:eastAsiaTheme="minorEastAsia"/>
                <w:vertAlign w:val="baseline"/>
                <w:lang w:val="en-US" w:eastAsia="zh-CN"/>
              </w:rPr>
            </w:pPr>
            <w:r>
              <w:rPr>
                <w:rFonts w:hint="eastAsia"/>
                <w:vertAlign w:val="baseline"/>
                <w:lang w:val="en-US" w:eastAsia="zh-CN"/>
              </w:rPr>
              <w:t>7</w:t>
            </w:r>
          </w:p>
        </w:tc>
        <w:tc>
          <w:tcPr>
            <w:tcW w:w="1248" w:type="dxa"/>
            <w:vAlign w:val="center"/>
          </w:tcPr>
          <w:p w14:paraId="335A001E">
            <w:pPr>
              <w:spacing w:line="360" w:lineRule="auto"/>
              <w:jc w:val="center"/>
              <w:rPr>
                <w:vertAlign w:val="baseline"/>
              </w:rPr>
            </w:pPr>
            <w:r>
              <w:rPr>
                <w:rFonts w:hint="eastAsia" w:ascii="宋体" w:hAnsi="宋体" w:cs="宋体"/>
                <w:sz w:val="24"/>
                <w:szCs w:val="24"/>
                <w:lang w:val="en-US" w:eastAsia="zh-CN"/>
              </w:rPr>
              <w:t>服务保障方案6%</w:t>
            </w:r>
          </w:p>
        </w:tc>
        <w:tc>
          <w:tcPr>
            <w:tcW w:w="1075" w:type="dxa"/>
            <w:vAlign w:val="center"/>
          </w:tcPr>
          <w:p w14:paraId="7582FA84">
            <w:pPr>
              <w:spacing w:line="360" w:lineRule="auto"/>
              <w:jc w:val="center"/>
              <w:rPr>
                <w:vertAlign w:val="baseline"/>
              </w:rPr>
            </w:pPr>
            <w:r>
              <w:rPr>
                <w:rFonts w:hint="eastAsia" w:ascii="宋体" w:hAnsi="宋体" w:cs="宋体"/>
                <w:sz w:val="24"/>
                <w:szCs w:val="24"/>
                <w:lang w:val="en-US" w:eastAsia="zh-CN"/>
              </w:rPr>
              <w:t>0-6分</w:t>
            </w:r>
          </w:p>
        </w:tc>
        <w:tc>
          <w:tcPr>
            <w:tcW w:w="6624" w:type="dxa"/>
            <w:vAlign w:val="center"/>
          </w:tcPr>
          <w:p w14:paraId="02426163">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eastAsia="zh-CN"/>
              </w:rPr>
              <w:t>根据投标人</w:t>
            </w:r>
            <w:r>
              <w:rPr>
                <w:rFonts w:hint="eastAsia" w:ascii="宋体" w:hAnsi="宋体" w:cs="宋体"/>
                <w:sz w:val="24"/>
                <w:szCs w:val="24"/>
                <w:lang w:val="en-US" w:eastAsia="zh-CN"/>
              </w:rPr>
              <w:t>结</w:t>
            </w:r>
            <w:r>
              <w:rPr>
                <w:rFonts w:hint="default" w:ascii="宋体" w:hAnsi="宋体" w:eastAsia="宋体" w:cs="宋体"/>
                <w:sz w:val="24"/>
                <w:szCs w:val="24"/>
                <w:lang w:val="en-US" w:eastAsia="zh-CN"/>
              </w:rPr>
              <w:t>合医院服务需求编制保障方案</w:t>
            </w:r>
            <w:r>
              <w:rPr>
                <w:rFonts w:hint="eastAsia" w:ascii="宋体" w:hAnsi="宋体" w:cs="宋体"/>
                <w:sz w:val="24"/>
                <w:szCs w:val="24"/>
                <w:lang w:val="en-US" w:eastAsia="zh-CN"/>
              </w:rPr>
              <w:t>进行</w:t>
            </w:r>
            <w:r>
              <w:rPr>
                <w:rFonts w:hint="eastAsia" w:ascii="宋体" w:hAnsi="宋体" w:cs="宋体"/>
                <w:sz w:val="24"/>
                <w:szCs w:val="24"/>
                <w:lang w:eastAsia="zh-CN"/>
              </w:rPr>
              <w:t>评审</w:t>
            </w:r>
            <w:r>
              <w:rPr>
                <w:rFonts w:hint="default" w:ascii="宋体" w:hAnsi="宋体" w:eastAsia="宋体" w:cs="宋体"/>
                <w:sz w:val="24"/>
                <w:szCs w:val="24"/>
                <w:lang w:val="en-US" w:eastAsia="zh-CN"/>
              </w:rPr>
              <w:t>，覆盖以下3项</w:t>
            </w:r>
            <w:r>
              <w:rPr>
                <w:rFonts w:hint="eastAsia" w:ascii="宋体" w:hAnsi="宋体" w:cs="宋体"/>
                <w:sz w:val="24"/>
                <w:szCs w:val="24"/>
                <w:lang w:val="en-US" w:eastAsia="zh-CN"/>
              </w:rPr>
              <w:t>，每项最高得2分，总分6分，不提供不得分</w:t>
            </w:r>
            <w:r>
              <w:rPr>
                <w:rFonts w:hint="eastAsia" w:ascii="宋体" w:hAnsi="宋体" w:cs="宋体"/>
                <w:sz w:val="24"/>
                <w:szCs w:val="24"/>
                <w:lang w:eastAsia="zh-CN"/>
              </w:rPr>
              <w:t>：</w:t>
            </w:r>
          </w:p>
          <w:p w14:paraId="658843FF">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1.纠纷处置：劳动纠纷、患者投诉、医患矛盾快速响应机制</w:t>
            </w:r>
            <w:r>
              <w:rPr>
                <w:rFonts w:hint="eastAsia" w:ascii="宋体" w:hAnsi="宋体" w:cs="宋体"/>
                <w:sz w:val="24"/>
                <w:szCs w:val="24"/>
                <w:lang w:val="en-US" w:eastAsia="zh-CN"/>
              </w:rPr>
              <w:t>；</w:t>
            </w:r>
          </w:p>
          <w:p w14:paraId="190415A3">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2.客户服务：设置24小时服务热线、专人对接医院、5分钟内响应诉求；</w:t>
            </w:r>
          </w:p>
          <w:p w14:paraId="37F431D3">
            <w:pPr>
              <w:spacing w:line="360" w:lineRule="auto"/>
              <w:ind w:firstLine="480" w:firstLineChars="200"/>
              <w:jc w:val="left"/>
              <w:rPr>
                <w:vertAlign w:val="baseline"/>
              </w:rPr>
            </w:pPr>
            <w:r>
              <w:rPr>
                <w:rFonts w:hint="default" w:ascii="宋体" w:hAnsi="宋体" w:eastAsia="宋体" w:cs="宋体"/>
                <w:sz w:val="24"/>
                <w:szCs w:val="24"/>
                <w:lang w:val="en-US" w:eastAsia="zh-CN"/>
              </w:rPr>
              <w:t>3.目标保障：承诺关键岗位稳定性、考核达标率、成本优化目标，明确保障措施</w:t>
            </w:r>
            <w:r>
              <w:rPr>
                <w:rFonts w:hint="eastAsia" w:ascii="宋体" w:hAnsi="宋体" w:cs="宋体"/>
                <w:sz w:val="24"/>
                <w:szCs w:val="24"/>
                <w:lang w:val="en-US" w:eastAsia="zh-CN"/>
              </w:rPr>
              <w:t>。</w:t>
            </w:r>
          </w:p>
        </w:tc>
      </w:tr>
      <w:tr w14:paraId="08EF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4CCBFE8">
            <w:pPr>
              <w:spacing w:line="360" w:lineRule="auto"/>
              <w:jc w:val="center"/>
              <w:rPr>
                <w:rFonts w:hint="eastAsia" w:eastAsiaTheme="minorEastAsia"/>
                <w:vertAlign w:val="baseline"/>
                <w:lang w:val="en-US" w:eastAsia="zh-CN"/>
              </w:rPr>
            </w:pPr>
            <w:r>
              <w:rPr>
                <w:rFonts w:hint="eastAsia"/>
                <w:vertAlign w:val="baseline"/>
                <w:lang w:val="en-US" w:eastAsia="zh-CN"/>
              </w:rPr>
              <w:t>8</w:t>
            </w:r>
          </w:p>
        </w:tc>
        <w:tc>
          <w:tcPr>
            <w:tcW w:w="1248" w:type="dxa"/>
            <w:vAlign w:val="center"/>
          </w:tcPr>
          <w:p w14:paraId="4B50036A">
            <w:pPr>
              <w:spacing w:line="360" w:lineRule="auto"/>
              <w:jc w:val="center"/>
              <w:rPr>
                <w:vertAlign w:val="baseline"/>
              </w:rPr>
            </w:pPr>
            <w:r>
              <w:rPr>
                <w:rFonts w:hint="default" w:ascii="宋体" w:hAnsi="宋体" w:cs="宋体"/>
                <w:sz w:val="24"/>
                <w:szCs w:val="24"/>
                <w:lang w:val="en-US" w:eastAsia="zh-CN"/>
              </w:rPr>
              <w:t>服务承诺</w:t>
            </w:r>
            <w:r>
              <w:rPr>
                <w:rFonts w:hint="eastAsia" w:ascii="宋体" w:hAnsi="宋体" w:cs="宋体"/>
                <w:sz w:val="24"/>
                <w:szCs w:val="24"/>
                <w:lang w:val="en-US" w:eastAsia="zh-CN"/>
              </w:rPr>
              <w:t>10%</w:t>
            </w:r>
          </w:p>
        </w:tc>
        <w:tc>
          <w:tcPr>
            <w:tcW w:w="1075" w:type="dxa"/>
            <w:vAlign w:val="center"/>
          </w:tcPr>
          <w:p w14:paraId="30671D38">
            <w:pPr>
              <w:spacing w:line="360" w:lineRule="auto"/>
              <w:jc w:val="center"/>
              <w:rPr>
                <w:vertAlign w:val="baseline"/>
              </w:rPr>
            </w:pPr>
            <w:r>
              <w:rPr>
                <w:rFonts w:hint="eastAsia" w:ascii="宋体" w:hAnsi="宋体" w:cs="宋体"/>
                <w:sz w:val="24"/>
                <w:szCs w:val="24"/>
                <w:lang w:val="en-US" w:eastAsia="zh-CN"/>
              </w:rPr>
              <w:t>0-10分</w:t>
            </w:r>
          </w:p>
        </w:tc>
        <w:tc>
          <w:tcPr>
            <w:tcW w:w="6624" w:type="dxa"/>
            <w:vAlign w:val="center"/>
          </w:tcPr>
          <w:p w14:paraId="5A6A986B">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根据投标人基于</w:t>
            </w:r>
            <w:r>
              <w:rPr>
                <w:rFonts w:hint="eastAsia" w:ascii="宋体" w:hAnsi="宋体" w:eastAsia="宋体" w:cs="宋体"/>
                <w:sz w:val="24"/>
                <w:szCs w:val="24"/>
              </w:rPr>
              <w:t>采购需求提供</w:t>
            </w:r>
            <w:r>
              <w:rPr>
                <w:rFonts w:hint="eastAsia" w:ascii="宋体" w:hAnsi="宋体" w:eastAsia="宋体" w:cs="宋体"/>
                <w:sz w:val="24"/>
                <w:szCs w:val="24"/>
                <w:lang w:val="en-US" w:eastAsia="zh-CN"/>
              </w:rPr>
              <w:t>的</w:t>
            </w:r>
            <w:r>
              <w:rPr>
                <w:rFonts w:hint="eastAsia" w:ascii="宋体" w:hAnsi="宋体" w:eastAsia="宋体" w:cs="宋体"/>
                <w:sz w:val="24"/>
                <w:szCs w:val="24"/>
              </w:rPr>
              <w:t>实质性承诺</w:t>
            </w:r>
            <w:r>
              <w:rPr>
                <w:rFonts w:hint="eastAsia" w:ascii="宋体" w:hAnsi="宋体" w:cs="宋体"/>
                <w:sz w:val="24"/>
                <w:szCs w:val="24"/>
                <w:lang w:val="en-US" w:eastAsia="zh-CN"/>
              </w:rPr>
              <w:t>进行</w:t>
            </w:r>
            <w:r>
              <w:rPr>
                <w:rFonts w:hint="eastAsia" w:ascii="宋体" w:hAnsi="宋体" w:cs="宋体"/>
                <w:sz w:val="24"/>
                <w:szCs w:val="24"/>
                <w:lang w:eastAsia="zh-CN"/>
              </w:rPr>
              <w:t>评审，</w:t>
            </w:r>
            <w:r>
              <w:rPr>
                <w:rFonts w:hint="default" w:ascii="宋体" w:hAnsi="宋体" w:eastAsia="宋体" w:cs="宋体"/>
                <w:sz w:val="24"/>
                <w:szCs w:val="24"/>
                <w:lang w:val="en-US" w:eastAsia="zh-CN"/>
              </w:rPr>
              <w:t>覆盖以下</w:t>
            </w:r>
            <w:r>
              <w:rPr>
                <w:rFonts w:hint="eastAsia" w:ascii="宋体" w:hAnsi="宋体" w:cs="宋体"/>
                <w:sz w:val="24"/>
                <w:szCs w:val="24"/>
                <w:lang w:val="en-US" w:eastAsia="zh-CN"/>
              </w:rPr>
              <w:t>4</w:t>
            </w:r>
            <w:r>
              <w:rPr>
                <w:rFonts w:hint="default" w:ascii="宋体" w:hAnsi="宋体" w:eastAsia="宋体" w:cs="宋体"/>
                <w:sz w:val="24"/>
                <w:szCs w:val="24"/>
                <w:lang w:val="en-US" w:eastAsia="zh-CN"/>
              </w:rPr>
              <w:t>项</w:t>
            </w:r>
            <w:r>
              <w:rPr>
                <w:rFonts w:hint="eastAsia" w:ascii="宋体" w:hAnsi="宋体" w:cs="宋体"/>
                <w:sz w:val="24"/>
                <w:szCs w:val="24"/>
                <w:lang w:val="en-US" w:eastAsia="zh-CN"/>
              </w:rPr>
              <w:t>，每项2.5分，总分10分，不提供不得分</w:t>
            </w:r>
            <w:r>
              <w:rPr>
                <w:rFonts w:hint="eastAsia" w:ascii="宋体" w:hAnsi="宋体" w:cs="宋体"/>
                <w:sz w:val="24"/>
                <w:szCs w:val="24"/>
                <w:lang w:eastAsia="zh-CN"/>
              </w:rPr>
              <w:t>：</w:t>
            </w:r>
          </w:p>
          <w:p w14:paraId="10846E4E">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1.服从医院调度：7×24小时响应、节假日值守、突发任务无条件配合；</w:t>
            </w:r>
          </w:p>
          <w:p w14:paraId="0D4A567B">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2.费用合规承诺：按时足额发放工资、缴纳五险一金、</w:t>
            </w:r>
            <w:r>
              <w:rPr>
                <w:rFonts w:hint="eastAsia" w:ascii="宋体" w:hAnsi="宋体" w:cs="宋体"/>
                <w:sz w:val="24"/>
                <w:szCs w:val="24"/>
                <w:lang w:val="en-US" w:eastAsia="zh-CN"/>
              </w:rPr>
              <w:t>误餐补助，</w:t>
            </w:r>
            <w:r>
              <w:rPr>
                <w:rFonts w:hint="eastAsia" w:ascii="宋体" w:hAnsi="宋体" w:eastAsia="宋体" w:cs="宋体"/>
                <w:sz w:val="24"/>
                <w:szCs w:val="24"/>
              </w:rPr>
              <w:t>不拖欠</w:t>
            </w:r>
            <w:r>
              <w:rPr>
                <w:rFonts w:hint="eastAsia" w:ascii="宋体" w:hAnsi="宋体" w:cs="宋体"/>
                <w:sz w:val="24"/>
                <w:szCs w:val="24"/>
                <w:lang w:val="en-US" w:eastAsia="zh-CN"/>
              </w:rPr>
              <w:t>应缴纳</w:t>
            </w:r>
            <w:r>
              <w:rPr>
                <w:rFonts w:hint="eastAsia" w:ascii="宋体" w:hAnsi="宋体" w:eastAsia="宋体" w:cs="宋体"/>
                <w:sz w:val="24"/>
                <w:szCs w:val="24"/>
              </w:rPr>
              <w:t>税</w:t>
            </w:r>
            <w:r>
              <w:rPr>
                <w:rFonts w:hint="eastAsia" w:ascii="宋体" w:hAnsi="宋体" w:cs="宋体"/>
                <w:sz w:val="24"/>
                <w:szCs w:val="24"/>
                <w:lang w:val="en-US" w:eastAsia="zh-CN"/>
              </w:rPr>
              <w:t>费</w:t>
            </w:r>
            <w:r>
              <w:rPr>
                <w:rFonts w:hint="eastAsia" w:ascii="宋体" w:hAnsi="宋体" w:eastAsia="宋体" w:cs="宋体"/>
                <w:sz w:val="24"/>
                <w:szCs w:val="24"/>
              </w:rPr>
              <w:t>；</w:t>
            </w:r>
          </w:p>
          <w:p w14:paraId="4CC0E8CB">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3.服务质量承诺：满意度≥90%、出车响应≤3分钟、卫生达标率100%；</w:t>
            </w:r>
          </w:p>
          <w:p w14:paraId="5B7DB4AC">
            <w:pPr>
              <w:spacing w:line="360" w:lineRule="auto"/>
              <w:ind w:firstLine="480" w:firstLineChars="200"/>
              <w:jc w:val="left"/>
              <w:rPr>
                <w:vertAlign w:val="baseline"/>
              </w:rPr>
            </w:pPr>
            <w:r>
              <w:rPr>
                <w:rFonts w:hint="eastAsia" w:ascii="宋体" w:hAnsi="宋体" w:eastAsia="宋体" w:cs="宋体"/>
                <w:sz w:val="24"/>
                <w:szCs w:val="24"/>
              </w:rPr>
              <w:t>4.合规承诺：无变相劳务派遣、用工合规、院感防控合规。</w:t>
            </w:r>
          </w:p>
        </w:tc>
      </w:tr>
    </w:tbl>
    <w:p w14:paraId="12550E06">
      <w:pPr>
        <w:rPr>
          <w:rFonts w:hint="eastAsia" w:ascii="宋体" w:hAnsi="宋体" w:cs="宋体"/>
          <w:b/>
          <w:bCs/>
          <w:color w:val="auto"/>
          <w:sz w:val="32"/>
          <w:szCs w:val="32"/>
        </w:rPr>
      </w:pPr>
      <w:r>
        <w:rPr>
          <w:rFonts w:hint="eastAsia" w:ascii="宋体" w:hAnsi="宋体" w:cs="宋体"/>
          <w:b/>
          <w:bCs/>
          <w:color w:val="auto"/>
          <w:sz w:val="32"/>
          <w:szCs w:val="32"/>
        </w:rPr>
        <w:br w:type="page"/>
      </w:r>
    </w:p>
    <w:p w14:paraId="5857AA4A">
      <w:pPr>
        <w:pStyle w:val="40"/>
        <w:rPr>
          <w:rFonts w:hint="eastAsia" w:ascii="宋体" w:hAnsi="宋体" w:cs="宋体"/>
          <w:b/>
          <w:bCs/>
          <w:color w:val="auto"/>
          <w:sz w:val="32"/>
          <w:szCs w:val="32"/>
        </w:rPr>
      </w:pPr>
      <w:r>
        <w:rPr>
          <w:rFonts w:hint="eastAsia" w:ascii="宋体" w:hAnsi="宋体" w:eastAsia="宋体" w:cs="宋体"/>
          <w:b/>
          <w:bCs/>
          <w:color w:val="auto"/>
          <w:sz w:val="32"/>
          <w:szCs w:val="32"/>
        </w:rPr>
        <w:t xml:space="preserve">第四章  </w:t>
      </w:r>
      <w:bookmarkEnd w:id="51"/>
      <w:bookmarkEnd w:id="150"/>
      <w:bookmarkEnd w:id="151"/>
      <w:bookmarkEnd w:id="152"/>
      <w:bookmarkEnd w:id="153"/>
      <w:bookmarkStart w:id="154" w:name="_Toc17807"/>
      <w:r>
        <w:rPr>
          <w:rFonts w:hint="eastAsia" w:ascii="宋体" w:hAnsi="宋体" w:eastAsia="宋体" w:cs="宋体"/>
          <w:b/>
          <w:bCs/>
          <w:color w:val="auto"/>
          <w:sz w:val="32"/>
          <w:szCs w:val="32"/>
        </w:rPr>
        <w:t>拟签订合同主要条款(草案)</w:t>
      </w:r>
      <w:bookmarkEnd w:id="154"/>
    </w:p>
    <w:p w14:paraId="2C9C021F">
      <w:pPr>
        <w:spacing w:before="100" w:line="224" w:lineRule="auto"/>
        <w:jc w:val="center"/>
        <w:rPr>
          <w:rFonts w:ascii="宋体" w:hAnsi="宋体" w:eastAsia="宋体" w:cs="宋体"/>
          <w:sz w:val="31"/>
          <w:szCs w:val="31"/>
        </w:rPr>
      </w:pPr>
      <w:r>
        <w:rPr>
          <w:rFonts w:ascii="宋体" w:hAnsi="宋体" w:eastAsia="宋体" w:cs="宋体"/>
          <w:b/>
          <w:bCs/>
          <w:spacing w:val="6"/>
          <w:sz w:val="31"/>
          <w:szCs w:val="31"/>
        </w:rPr>
        <w:t>（本合同仅做参考，具体条款以实际签订的合同为准）</w:t>
      </w:r>
    </w:p>
    <w:p w14:paraId="22398575">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2EF1AA7">
      <w:pPr>
        <w:spacing w:line="360" w:lineRule="auto"/>
        <w:ind w:firstLine="480" w:firstLineChars="2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新疆维吾尔自治区阿克苏地区妇幼保健院（地区卫生健康服务中心）</w:t>
      </w:r>
    </w:p>
    <w:p w14:paraId="5EA864C9">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阿克苏市晶水路39号</w:t>
      </w:r>
    </w:p>
    <w:p w14:paraId="7F376D98">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法定代表人：_____________</w:t>
      </w:r>
    </w:p>
    <w:p w14:paraId="431AEEEF">
      <w:pPr>
        <w:spacing w:line="360" w:lineRule="auto"/>
        <w:ind w:firstLine="480" w:firstLineChars="2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联系电话：_______________</w:t>
      </w:r>
    </w:p>
    <w:p w14:paraId="1F596876">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BB8F3E1">
      <w:pPr>
        <w:spacing w:line="360" w:lineRule="auto"/>
        <w:ind w:firstLine="480" w:firstLineChars="200"/>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乙方：__________________</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_</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_____</w:t>
      </w:r>
    </w:p>
    <w:p w14:paraId="27941F08">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地址：______</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_</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____</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__</w:t>
      </w:r>
    </w:p>
    <w:p w14:paraId="1E1B6DB0">
      <w:pPr>
        <w:spacing w:line="360" w:lineRule="auto"/>
        <w:ind w:firstLine="480" w:firstLineChars="2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法定代表人：_____________</w:t>
      </w:r>
    </w:p>
    <w:p w14:paraId="1FD0F529">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联系人：______</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_</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______</w:t>
      </w:r>
    </w:p>
    <w:p w14:paraId="24AFF322">
      <w:pPr>
        <w:spacing w:line="360" w:lineRule="auto"/>
        <w:ind w:firstLine="480" w:firstLineChars="2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联系电话：_______________</w:t>
      </w:r>
    </w:p>
    <w:p w14:paraId="2A17D0DC">
      <w:pPr>
        <w:spacing w:line="360" w:lineRule="auto"/>
        <w:ind w:firstLine="56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第一条 合同目的</w:t>
      </w:r>
    </w:p>
    <w:p w14:paraId="7ECD717C">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甲方将医院部分人力资源服务外包给乙方，由乙方提供符合甲方要求的专业人员，承担医院指定的人力资源服务工作，甲方按约定支付服务费用。</w:t>
      </w:r>
    </w:p>
    <w:p w14:paraId="168BA92E">
      <w:pPr>
        <w:spacing w:line="360" w:lineRule="auto"/>
        <w:ind w:firstLine="56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第二条 项目名称及内容</w:t>
      </w:r>
    </w:p>
    <w:p w14:paraId="0A0082F2">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项目名称：人力资源服务</w:t>
      </w:r>
    </w:p>
    <w:p w14:paraId="4764E15D">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项目内容：人力资源服务岗位为</w:t>
      </w:r>
      <w:r>
        <w:rPr>
          <w:rFonts w:hint="eastAsia" w:asciiTheme="minorEastAsia" w:hAnsiTheme="minorEastAsia" w:eastAsiaTheme="minorEastAsia" w:cstheme="minorEastAsia"/>
          <w:sz w:val="24"/>
          <w:szCs w:val="24"/>
          <w:lang w:val="en-US" w:eastAsia="zh-CN"/>
        </w:rPr>
        <w:t>餐厅</w:t>
      </w:r>
      <w:r>
        <w:rPr>
          <w:rFonts w:hint="eastAsia" w:asciiTheme="minorEastAsia" w:hAnsiTheme="minorEastAsia" w:eastAsiaTheme="minorEastAsia" w:cstheme="minorEastAsia"/>
          <w:sz w:val="24"/>
          <w:szCs w:val="24"/>
        </w:rPr>
        <w:t>管理员</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厨师长</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厨师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二级厨师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面点师/配菜师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烘培师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服务员</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驾驶员</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收费员</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导诊</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导乐分娩师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洗衣工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临床医生</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护理、医技等辅助人员</w:t>
      </w:r>
      <w:r>
        <w:rPr>
          <w:rFonts w:hint="eastAsia" w:asciiTheme="minorEastAsia" w:hAnsiTheme="minorEastAsia" w:cstheme="minorEastAsia"/>
          <w:color w:val="000000" w:themeColor="text1"/>
          <w:sz w:val="24"/>
          <w:szCs w:val="24"/>
          <w:lang w:val="en-US" w:eastAsia="zh-CN"/>
          <w14:textFill>
            <w14:solidFill>
              <w14:schemeClr w14:val="tx1"/>
            </w14:solidFill>
          </w14:textFill>
        </w:rPr>
        <w:t>约43</w:t>
      </w:r>
      <w:r>
        <w:rPr>
          <w:rFonts w:hint="eastAsia" w:asciiTheme="minorEastAsia" w:hAnsiTheme="minorEastAsia" w:eastAsiaTheme="minorEastAsia" w:cstheme="minorEastAsia"/>
          <w:color w:val="000000" w:themeColor="text1"/>
          <w:sz w:val="24"/>
          <w:szCs w:val="24"/>
          <w14:textFill>
            <w14:solidFill>
              <w14:schemeClr w14:val="tx1"/>
            </w14:solidFill>
          </w14:textFill>
        </w:rPr>
        <w:t>名人员进行管理（附人员名单及相关资格证书复印件）。</w:t>
      </w:r>
    </w:p>
    <w:p w14:paraId="71A7DC90">
      <w:pPr>
        <w:spacing w:line="360" w:lineRule="auto"/>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第三条 人员配置与管理</w:t>
      </w:r>
    </w:p>
    <w:p w14:paraId="329C3AF3">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（一）乙方须提供符合以下条件的人员：</w:t>
      </w:r>
    </w:p>
    <w:p w14:paraId="4DACAF75">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1.所有人员按照岗位职责和要求提供相应资格证书等相关资料（具体要求见附件1）；</w:t>
      </w:r>
    </w:p>
    <w:p w14:paraId="5AA67C2D">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2.所有人员入岗前需提供无犯罪证明，无犯罪证明需提供入职前3个月内的证明；</w:t>
      </w:r>
    </w:p>
    <w:p w14:paraId="265B1F69">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3.所有人员上岗前接受甲方的岗前培训。</w:t>
      </w:r>
    </w:p>
    <w:p w14:paraId="1343C3A8">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（二）人员管理机制：</w:t>
      </w:r>
    </w:p>
    <w:p w14:paraId="7D0B9700">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1.乙方负责人员招聘、劳动合同签订、社保缴纳及薪酬发放；</w:t>
      </w:r>
    </w:p>
    <w:p w14:paraId="27BD282C">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甲方对乙方人员按月进行百分制考核（考核内容附后），根据考核情况支付人力资源服务费，考核90分以上者，全额支付服务费，90分以下者，每降低1分，扣除当月人均服务费的2%；对连续两个月考核80分以下者，甲方有权提出更换。</w:t>
      </w:r>
    </w:p>
    <w:p w14:paraId="4FDD773F">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3.甲方要求更换人员的，需提前15日书面通知乙方，原则上每年更换人数不得超过总人数的20%，特殊情况双方协商解决。</w:t>
      </w:r>
    </w:p>
    <w:p w14:paraId="420109DB">
      <w:pPr>
        <w:spacing w:line="360" w:lineRule="auto"/>
        <w:ind w:firstLine="480" w:firstLineChars="200"/>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4.乙方对甲方考核结果有异议的，在收到书面通知后3个工作日内提交书面申诉，甲方复核后根据实际情况予以认定。</w:t>
      </w:r>
    </w:p>
    <w:p w14:paraId="3A690440">
      <w:pPr>
        <w:spacing w:line="360" w:lineRule="auto"/>
        <w:ind w:firstLine="56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第四条 费用支付</w:t>
      </w:r>
    </w:p>
    <w:p w14:paraId="069EFE5C">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1.本合同总价为</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cstheme="minorEastAsia"/>
          <w:color w:val="000000" w:themeColor="text1"/>
          <w:sz w:val="24"/>
          <w:szCs w:val="24"/>
          <w:lang w:val="en-US" w:eastAsia="zh-CN"/>
          <w14:textFill>
            <w14:solidFill>
              <w14:schemeClr w14:val="tx1"/>
            </w14:solidFill>
          </w14:textFill>
        </w:rPr>
        <w:t>大写：</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），详见中标通知书，按12个月分期支付，每月标准服务费为</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cstheme="minorEastAsia"/>
          <w:color w:val="000000" w:themeColor="text1"/>
          <w:sz w:val="24"/>
          <w:szCs w:val="24"/>
          <w:lang w:val="en-US" w:eastAsia="zh-CN"/>
          <w14:textFill>
            <w14:solidFill>
              <w14:schemeClr w14:val="tx1"/>
            </w14:solidFill>
          </w14:textFill>
        </w:rPr>
        <w:t>大写：</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AB37A41">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2.甲方每月</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日前按时向乙方支付人力资源服务费，</w:t>
      </w:r>
      <w:r>
        <w:rPr>
          <w:rFonts w:hint="eastAsia" w:asciiTheme="minorEastAsia" w:hAnsiTheme="minorEastAsia" w:cstheme="minorEastAsia"/>
          <w:color w:val="000000" w:themeColor="text1"/>
          <w:sz w:val="24"/>
          <w:szCs w:val="24"/>
          <w:lang w:val="en-US" w:eastAsia="zh-CN"/>
          <w14:textFill>
            <w14:solidFill>
              <w14:schemeClr w14:val="tx1"/>
            </w14:solidFill>
          </w14:textFill>
        </w:rPr>
        <w:t>自</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2026年7月1日至2027年6月30日</w:t>
      </w:r>
      <w:r>
        <w:rPr>
          <w:rFonts w:hint="eastAsia" w:asciiTheme="minorEastAsia" w:hAnsiTheme="minorEastAsia" w:cstheme="minorEastAsia"/>
          <w:color w:val="000000" w:themeColor="text1"/>
          <w:sz w:val="24"/>
          <w:szCs w:val="24"/>
          <w:lang w:val="en-US" w:eastAsia="zh-CN"/>
          <w14:textFill>
            <w14:solidFill>
              <w14:schemeClr w14:val="tx1"/>
            </w14:solidFill>
          </w14:textFill>
        </w:rPr>
        <w:t>止</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14:paraId="61671CD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3.乙方根据甲方要求于每月</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日前提供发票及相关资料，甲方收到乙方提供的付款资料齐全后应按时向乙方支付服务费，如遇不可抗因素，可在双方协商一致后延期结算</w:t>
      </w:r>
      <w:r>
        <w:rPr>
          <w:rFonts w:hint="eastAsia" w:asciiTheme="minorEastAsia" w:hAnsiTheme="minorEastAsia" w:eastAsiaTheme="minorEastAsia" w:cstheme="minorEastAsia"/>
          <w:sz w:val="24"/>
          <w:szCs w:val="24"/>
        </w:rPr>
        <w:t>。</w:t>
      </w:r>
    </w:p>
    <w:p w14:paraId="5415D88A">
      <w:pPr>
        <w:spacing w:line="360" w:lineRule="auto"/>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第五条 双方权利与义务</w:t>
      </w:r>
    </w:p>
    <w:p w14:paraId="2B53A532">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甲方义务： </w:t>
      </w:r>
    </w:p>
    <w:p w14:paraId="1990370F">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按约定为乙方人员提供必要的工作场所、设备设施、安全防护用品，并负责设备设施的日常维护和保养，确保其正常运行。若因甲方提供的场所、设备设施、安全防护用品缺陷导致乙方人员工伤，甲方需先行垫付医疗费，工伤认定后的最终责任由乙方承担，甲方有权向乙方或工伤保险机构追偿垫付的医疗费用。</w:t>
      </w:r>
    </w:p>
    <w:p w14:paraId="05104095">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2.对乙方人员进行日常工作监督，每月按考核标准评估服务质量，若考核未达标，甲方有权要求乙方限期整改并提供整改方案，考核标准需经甲乙双方签字确认后作为合同附件，甲方不得单方面变更。</w:t>
      </w:r>
    </w:p>
    <w:p w14:paraId="2CDB046F">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负责对乙方人员进行医院安全知识培训，包括消防安全、医疗安全、信息安全等方面内容，提高乙方人员的安全意识和应急处理能力。同时，按照国家相关法律法规及行业标准，为乙方人员在工作过程中提供必要的安全保障措施，预防安全事故的发生。</w:t>
      </w:r>
    </w:p>
    <w:p w14:paraId="3FF70489">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乙方义务：</w:t>
      </w:r>
    </w:p>
    <w:p w14:paraId="22CFFD4F">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1.按照甲方需求选派人员；</w:t>
      </w:r>
    </w:p>
    <w:p w14:paraId="236747AA">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2.负责人员招聘、岗前培训、劳动合同签订及社保缴纳，同等条件下优先使用甲方非在编转岗人员；</w:t>
      </w:r>
    </w:p>
    <w:p w14:paraId="3FEBB431">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3.确保人员持证上岗、遵守医院规章制度；</w:t>
      </w:r>
    </w:p>
    <w:p w14:paraId="0DC99AAE">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4.建立人员档案，包含身份证、资质证书、健康证明、劳动合同等；</w:t>
      </w:r>
    </w:p>
    <w:p w14:paraId="40C51A49">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5.在每月</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前及时、准确地发放至劳务人员指定的银行账户，并及时向甲方提供人员工资发放的银行付款回单，若乙方未按时发放工资，乙方应按照劳动法、劳动合同法规定按欠付金额的20%向劳务人员支付违约金，甲方从乙方当月服务费中直接扣减支付给对应的劳务人员；</w:t>
      </w:r>
    </w:p>
    <w:p w14:paraId="3872C609">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6.如乙方人员发生工伤，甲方立即安排将伤者送往医院救治。乙方应在事故发生之日及时向人社部门提出工伤认定申请，甲方积极配合相关部门的调查工作，如实提供情况和资料。</w:t>
      </w:r>
    </w:p>
    <w:p w14:paraId="4395DBE5">
      <w:pPr>
        <w:spacing w:line="360" w:lineRule="auto"/>
        <w:ind w:firstLine="56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第六条 违约责任</w:t>
      </w:r>
    </w:p>
    <w:p w14:paraId="2A7EFF67">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1.合同一经签订，双方严格遵守并执行，全面履行合同规定的各项义务，否则承担违约责任。违约金额为实际损失的10%。</w:t>
      </w:r>
    </w:p>
    <w:p w14:paraId="64923369">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2.甲乙双方当中的一方因不可抗力（自然灾害、疫情、政策调整等）的原因不能继续履行合同时，应及时通知对方，双方合同解除甲乙双方相互不承担违约责任。</w:t>
      </w:r>
    </w:p>
    <w:p w14:paraId="26DD56FE">
      <w:pPr>
        <w:spacing w:line="360" w:lineRule="auto"/>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第七条 保密条款</w:t>
      </w:r>
    </w:p>
    <w:p w14:paraId="2100C994">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双方应对在本合同履行过程中知悉的对方商业秘密、劳务人员信息等予以保密，未经对方书面同意，不得向任何第三方披露或使用 。保密信息包括但不限于工资明细、劳务人员个人资料、医院财务数据等，若双方有违反者，按照合同金额总价的1%进行赔偿并保留追究相应法律责任的权力。</w:t>
      </w:r>
    </w:p>
    <w:p w14:paraId="66A9AC74">
      <w:pPr>
        <w:spacing w:line="360" w:lineRule="auto"/>
        <w:ind w:firstLine="56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第八条 争议解决</w:t>
      </w:r>
    </w:p>
    <w:p w14:paraId="55174A02">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双方争议应首先协商解决；协商不成，提交甲方所在地人民法院诉讼解决。</w:t>
      </w:r>
    </w:p>
    <w:p w14:paraId="13410FC1">
      <w:pPr>
        <w:spacing w:line="360" w:lineRule="auto"/>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第九条 合同期限</w:t>
      </w:r>
    </w:p>
    <w:p w14:paraId="4FCFA0B6">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1.合同期：</w:t>
      </w:r>
      <w:r>
        <w:rPr>
          <w:rFonts w:hint="eastAsia" w:asciiTheme="minorEastAsia" w:hAnsiTheme="minorEastAsia" w:cstheme="minorEastAsia"/>
          <w:color w:val="000000" w:themeColor="text1"/>
          <w:sz w:val="24"/>
          <w:szCs w:val="24"/>
          <w:lang w:val="en-US" w:eastAsia="zh-CN"/>
          <w14:textFill>
            <w14:solidFill>
              <w14:schemeClr w14:val="tx1"/>
            </w14:solidFill>
          </w14:textFill>
        </w:rPr>
        <w:t>自</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2026年7月1日至2027年6月30日</w:t>
      </w:r>
      <w:r>
        <w:rPr>
          <w:rFonts w:hint="eastAsia" w:asciiTheme="minorEastAsia" w:hAnsiTheme="minorEastAsia" w:cstheme="minorEastAsia"/>
          <w:color w:val="000000" w:themeColor="text1"/>
          <w:sz w:val="24"/>
          <w:szCs w:val="24"/>
          <w:lang w:val="en-US" w:eastAsia="zh-CN"/>
          <w14:textFill>
            <w14:solidFill>
              <w14:schemeClr w14:val="tx1"/>
            </w14:solidFill>
          </w14:textFill>
        </w:rPr>
        <w:t>止</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28F3A67B">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2.未尽事宜可签订补充协议，补充协议与本合同冲突的，以补充协议为准；</w:t>
      </w:r>
    </w:p>
    <w:p w14:paraId="3E0BC977">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3.本合同一式六份，甲方执四份，乙方执两份，具有同等法律效力。</w:t>
      </w:r>
    </w:p>
    <w:p w14:paraId="38F56968">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5F75347">
      <w:pPr>
        <w:spacing w:line="360" w:lineRule="auto"/>
        <w:ind w:firstLine="480" w:firstLineChars="2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甲方（盖章）：</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新疆维吾尔自治区阿克苏地区妇幼保健院（地区卫生健康服务中心）</w:t>
      </w:r>
    </w:p>
    <w:p w14:paraId="41B6AB5A">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法定代表人签字：________________________</w:t>
      </w:r>
    </w:p>
    <w:p w14:paraId="2D4B6CD7">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5E3B2394">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乙方（盖章）：________________________</w:t>
      </w:r>
    </w:p>
    <w:p w14:paraId="71694203">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法定代表人签字：_______________________</w:t>
      </w:r>
    </w:p>
    <w:p w14:paraId="298CF8AC">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日期：____年____月____日</w:t>
      </w:r>
    </w:p>
    <w:p w14:paraId="69F845CA">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C8AE8BF">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附件1</w:t>
      </w:r>
    </w:p>
    <w:p w14:paraId="2FE74061">
      <w:pPr>
        <w:spacing w:line="360" w:lineRule="auto"/>
        <w:ind w:firstLine="562" w:firstLineChars="20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人力资源服务各岗位职责及要求</w:t>
      </w:r>
    </w:p>
    <w:tbl>
      <w:tblPr>
        <w:tblStyle w:val="4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295"/>
        <w:gridCol w:w="916"/>
        <w:gridCol w:w="2867"/>
        <w:gridCol w:w="4243"/>
      </w:tblGrid>
      <w:tr w14:paraId="1698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844" w:type="dxa"/>
            <w:gridSpan w:val="2"/>
            <w:vAlign w:val="center"/>
          </w:tcPr>
          <w:p w14:paraId="05FEDC85">
            <w:pPr>
              <w:spacing w:line="600" w:lineRule="exact"/>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岗位</w:t>
            </w:r>
            <w:r>
              <w:rPr>
                <w:rFonts w:hint="eastAsia" w:asciiTheme="minorEastAsia" w:hAnsiTheme="minorEastAsia" w:eastAsiaTheme="minorEastAsia" w:cstheme="minorEastAsia"/>
                <w:b/>
                <w:sz w:val="24"/>
                <w:szCs w:val="24"/>
                <w:lang w:val="en-US" w:eastAsia="zh-CN"/>
              </w:rPr>
              <w:t>名称</w:t>
            </w:r>
          </w:p>
        </w:tc>
        <w:tc>
          <w:tcPr>
            <w:tcW w:w="916" w:type="dxa"/>
            <w:vAlign w:val="center"/>
          </w:tcPr>
          <w:p w14:paraId="7A551EBD">
            <w:pPr>
              <w:spacing w:line="600" w:lineRule="exact"/>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预估人数</w:t>
            </w:r>
          </w:p>
        </w:tc>
        <w:tc>
          <w:tcPr>
            <w:tcW w:w="2867" w:type="dxa"/>
            <w:vAlign w:val="center"/>
          </w:tcPr>
          <w:p w14:paraId="59EF3D7E">
            <w:pPr>
              <w:spacing w:line="6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岗位职责</w:t>
            </w:r>
          </w:p>
        </w:tc>
        <w:tc>
          <w:tcPr>
            <w:tcW w:w="4243" w:type="dxa"/>
            <w:vAlign w:val="center"/>
          </w:tcPr>
          <w:p w14:paraId="7F25839C">
            <w:pPr>
              <w:spacing w:line="6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岗位要求</w:t>
            </w:r>
          </w:p>
        </w:tc>
      </w:tr>
      <w:tr w14:paraId="5771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restart"/>
            <w:vAlign w:val="center"/>
          </w:tcPr>
          <w:p w14:paraId="1C9AA33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餐厅</w:t>
            </w:r>
            <w:r>
              <w:rPr>
                <w:rFonts w:hint="eastAsia" w:asciiTheme="minorEastAsia" w:hAnsiTheme="minorEastAsia" w:eastAsiaTheme="minorEastAsia" w:cstheme="minorEastAsia"/>
                <w:sz w:val="24"/>
                <w:szCs w:val="24"/>
              </w:rPr>
              <w:t>员工</w:t>
            </w:r>
          </w:p>
        </w:tc>
        <w:tc>
          <w:tcPr>
            <w:tcW w:w="1295" w:type="dxa"/>
            <w:vAlign w:val="center"/>
          </w:tcPr>
          <w:p w14:paraId="5048F40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餐厅</w:t>
            </w:r>
            <w:r>
              <w:rPr>
                <w:rFonts w:hint="eastAsia" w:asciiTheme="minorEastAsia" w:hAnsiTheme="minorEastAsia" w:eastAsiaTheme="minorEastAsia" w:cstheme="minorEastAsia"/>
                <w:sz w:val="24"/>
                <w:szCs w:val="24"/>
              </w:rPr>
              <w:t>管理员</w:t>
            </w:r>
          </w:p>
        </w:tc>
        <w:tc>
          <w:tcPr>
            <w:tcW w:w="916" w:type="dxa"/>
            <w:vAlign w:val="center"/>
          </w:tcPr>
          <w:p w14:paraId="018D55E3">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67" w:type="dxa"/>
            <w:vAlign w:val="center"/>
          </w:tcPr>
          <w:p w14:paraId="0C9B68D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w:t>
            </w:r>
            <w:r>
              <w:rPr>
                <w:rFonts w:hint="eastAsia" w:asciiTheme="minorEastAsia" w:hAnsiTheme="minorEastAsia" w:eastAsiaTheme="minorEastAsia" w:cstheme="minorEastAsia"/>
                <w:sz w:val="24"/>
                <w:szCs w:val="24"/>
                <w:lang w:val="en-US" w:eastAsia="zh-CN"/>
              </w:rPr>
              <w:t>餐厅</w:t>
            </w:r>
            <w:r>
              <w:rPr>
                <w:rFonts w:hint="eastAsia" w:asciiTheme="minorEastAsia" w:hAnsiTheme="minorEastAsia" w:eastAsiaTheme="minorEastAsia" w:cstheme="minorEastAsia"/>
                <w:sz w:val="24"/>
                <w:szCs w:val="24"/>
              </w:rPr>
              <w:t>运行管理</w:t>
            </w:r>
          </w:p>
        </w:tc>
        <w:tc>
          <w:tcPr>
            <w:tcW w:w="4243" w:type="dxa"/>
            <w:vAlign w:val="center"/>
          </w:tcPr>
          <w:p w14:paraId="517EFEC3">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具有相关专业大专及以上学历，3年以上相关工作经验</w:t>
            </w:r>
            <w:r>
              <w:rPr>
                <w:rFonts w:hint="eastAsia" w:asciiTheme="minorEastAsia" w:hAnsiTheme="minorEastAsia" w:eastAsiaTheme="minorEastAsia" w:cstheme="minorEastAsia"/>
                <w:sz w:val="24"/>
                <w:szCs w:val="24"/>
                <w:lang w:eastAsia="zh-CN"/>
              </w:rPr>
              <w:t>。</w:t>
            </w:r>
          </w:p>
        </w:tc>
      </w:tr>
      <w:tr w14:paraId="33E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05774C82">
            <w:pPr>
              <w:spacing w:line="360" w:lineRule="auto"/>
              <w:jc w:val="center"/>
              <w:rPr>
                <w:rFonts w:hint="eastAsia" w:asciiTheme="minorEastAsia" w:hAnsiTheme="minorEastAsia" w:eastAsiaTheme="minorEastAsia" w:cstheme="minorEastAsia"/>
                <w:sz w:val="24"/>
                <w:szCs w:val="24"/>
              </w:rPr>
            </w:pPr>
          </w:p>
        </w:tc>
        <w:tc>
          <w:tcPr>
            <w:tcW w:w="1295" w:type="dxa"/>
            <w:vAlign w:val="center"/>
          </w:tcPr>
          <w:p w14:paraId="23016BF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厨师长</w:t>
            </w:r>
          </w:p>
        </w:tc>
        <w:tc>
          <w:tcPr>
            <w:tcW w:w="916" w:type="dxa"/>
            <w:vAlign w:val="center"/>
          </w:tcPr>
          <w:p w14:paraId="6AC267F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67" w:type="dxa"/>
            <w:vAlign w:val="center"/>
          </w:tcPr>
          <w:p w14:paraId="37C32DE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负责菜单定制、菜品烹饪、后厨管理、成本控制。</w:t>
            </w:r>
          </w:p>
        </w:tc>
        <w:tc>
          <w:tcPr>
            <w:tcW w:w="4243" w:type="dxa"/>
            <w:vAlign w:val="center"/>
          </w:tcPr>
          <w:p w14:paraId="5AA7877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持有中级及以上厨师证，健康证，无传染病史，具有3年以上餐饮管理经验。</w:t>
            </w:r>
          </w:p>
        </w:tc>
      </w:tr>
      <w:tr w14:paraId="4930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49" w:type="dxa"/>
            <w:vMerge w:val="continue"/>
            <w:vAlign w:val="center"/>
          </w:tcPr>
          <w:p w14:paraId="04BBCD92">
            <w:pPr>
              <w:spacing w:line="360" w:lineRule="auto"/>
              <w:jc w:val="center"/>
              <w:rPr>
                <w:rFonts w:hint="eastAsia" w:asciiTheme="minorEastAsia" w:hAnsiTheme="minorEastAsia" w:eastAsiaTheme="minorEastAsia" w:cstheme="minorEastAsia"/>
                <w:sz w:val="24"/>
                <w:szCs w:val="24"/>
              </w:rPr>
            </w:pPr>
          </w:p>
        </w:tc>
        <w:tc>
          <w:tcPr>
            <w:tcW w:w="1295" w:type="dxa"/>
            <w:vAlign w:val="center"/>
          </w:tcPr>
          <w:p w14:paraId="6510CBE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厨师</w:t>
            </w:r>
          </w:p>
        </w:tc>
        <w:tc>
          <w:tcPr>
            <w:tcW w:w="916" w:type="dxa"/>
            <w:vAlign w:val="center"/>
          </w:tcPr>
          <w:p w14:paraId="4416B5D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67" w:type="dxa"/>
            <w:vAlign w:val="center"/>
          </w:tcPr>
          <w:p w14:paraId="4F65B63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负责菜品烹饪、食品安全把控。</w:t>
            </w:r>
          </w:p>
        </w:tc>
        <w:tc>
          <w:tcPr>
            <w:tcW w:w="4243" w:type="dxa"/>
            <w:vAlign w:val="center"/>
          </w:tcPr>
          <w:p w14:paraId="16E25C1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持有初级厨师证，健康证，无传染病史，具有2年以上工作经验。</w:t>
            </w:r>
          </w:p>
        </w:tc>
      </w:tr>
      <w:tr w14:paraId="4C9A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49" w:type="dxa"/>
            <w:vMerge w:val="continue"/>
            <w:vAlign w:val="center"/>
          </w:tcPr>
          <w:p w14:paraId="420F64F8">
            <w:pPr>
              <w:spacing w:line="360" w:lineRule="auto"/>
              <w:jc w:val="center"/>
              <w:rPr>
                <w:rFonts w:hint="eastAsia" w:asciiTheme="minorEastAsia" w:hAnsiTheme="minorEastAsia" w:eastAsiaTheme="minorEastAsia" w:cstheme="minorEastAsia"/>
                <w:sz w:val="24"/>
                <w:szCs w:val="24"/>
              </w:rPr>
            </w:pPr>
          </w:p>
        </w:tc>
        <w:tc>
          <w:tcPr>
            <w:tcW w:w="1295" w:type="dxa"/>
            <w:vAlign w:val="center"/>
          </w:tcPr>
          <w:p w14:paraId="05767C5B">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二级厨师</w:t>
            </w:r>
          </w:p>
        </w:tc>
        <w:tc>
          <w:tcPr>
            <w:tcW w:w="916" w:type="dxa"/>
            <w:vAlign w:val="center"/>
          </w:tcPr>
          <w:p w14:paraId="3E726B4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67" w:type="dxa"/>
            <w:vAlign w:val="center"/>
          </w:tcPr>
          <w:p w14:paraId="19D5A680">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w:t>
            </w:r>
            <w:r>
              <w:rPr>
                <w:rFonts w:hint="eastAsia" w:asciiTheme="minorEastAsia" w:hAnsiTheme="minorEastAsia" w:eastAsiaTheme="minorEastAsia" w:cstheme="minorEastAsia"/>
                <w:sz w:val="24"/>
                <w:szCs w:val="24"/>
              </w:rPr>
              <w:t>菜品烹饪、食品安全把控。</w:t>
            </w:r>
          </w:p>
        </w:tc>
        <w:tc>
          <w:tcPr>
            <w:tcW w:w="4243" w:type="dxa"/>
            <w:vAlign w:val="center"/>
          </w:tcPr>
          <w:p w14:paraId="65E08D3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持有健康证，无传染病史，具有2年以上工作经验。</w:t>
            </w:r>
          </w:p>
        </w:tc>
      </w:tr>
      <w:tr w14:paraId="1BF2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0B03C55A">
            <w:pPr>
              <w:spacing w:line="360" w:lineRule="auto"/>
              <w:jc w:val="center"/>
              <w:rPr>
                <w:rFonts w:hint="eastAsia" w:asciiTheme="minorEastAsia" w:hAnsiTheme="minorEastAsia" w:eastAsiaTheme="minorEastAsia" w:cstheme="minorEastAsia"/>
                <w:sz w:val="24"/>
                <w:szCs w:val="24"/>
              </w:rPr>
            </w:pPr>
          </w:p>
        </w:tc>
        <w:tc>
          <w:tcPr>
            <w:tcW w:w="1295" w:type="dxa"/>
            <w:vAlign w:val="center"/>
          </w:tcPr>
          <w:p w14:paraId="3B9A384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面点师/配菜师</w:t>
            </w:r>
          </w:p>
        </w:tc>
        <w:tc>
          <w:tcPr>
            <w:tcW w:w="916" w:type="dxa"/>
            <w:vAlign w:val="center"/>
          </w:tcPr>
          <w:p w14:paraId="7BB94A0E">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67" w:type="dxa"/>
            <w:vAlign w:val="center"/>
          </w:tcPr>
          <w:p w14:paraId="0AC75FA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负责面点制作、食材处理、厨房卫生。</w:t>
            </w:r>
          </w:p>
        </w:tc>
        <w:tc>
          <w:tcPr>
            <w:tcW w:w="4243" w:type="dxa"/>
            <w:vAlign w:val="center"/>
          </w:tcPr>
          <w:p w14:paraId="61117D6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持有健康证，具有基础刀工技能，无传染病史。</w:t>
            </w:r>
          </w:p>
        </w:tc>
      </w:tr>
      <w:tr w14:paraId="225E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49" w:type="dxa"/>
            <w:vMerge w:val="continue"/>
            <w:vAlign w:val="center"/>
          </w:tcPr>
          <w:p w14:paraId="3A3D65C9">
            <w:pPr>
              <w:spacing w:line="360" w:lineRule="auto"/>
              <w:jc w:val="center"/>
              <w:rPr>
                <w:rFonts w:hint="eastAsia" w:asciiTheme="minorEastAsia" w:hAnsiTheme="minorEastAsia" w:eastAsiaTheme="minorEastAsia" w:cstheme="minorEastAsia"/>
                <w:sz w:val="24"/>
                <w:szCs w:val="24"/>
              </w:rPr>
            </w:pPr>
          </w:p>
        </w:tc>
        <w:tc>
          <w:tcPr>
            <w:tcW w:w="1295" w:type="dxa"/>
            <w:vAlign w:val="center"/>
          </w:tcPr>
          <w:p w14:paraId="4230F2CA">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烘培师</w:t>
            </w:r>
          </w:p>
        </w:tc>
        <w:tc>
          <w:tcPr>
            <w:tcW w:w="916" w:type="dxa"/>
            <w:vAlign w:val="center"/>
          </w:tcPr>
          <w:p w14:paraId="66942D2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67" w:type="dxa"/>
            <w:vAlign w:val="center"/>
          </w:tcPr>
          <w:p w14:paraId="2BAB0B5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负责面点</w:t>
            </w:r>
            <w:r>
              <w:rPr>
                <w:rFonts w:hint="eastAsia" w:asciiTheme="minorEastAsia" w:hAnsiTheme="minorEastAsia" w:eastAsiaTheme="minorEastAsia" w:cstheme="minorEastAsia"/>
                <w:sz w:val="24"/>
                <w:szCs w:val="24"/>
                <w:lang w:eastAsia="zh-CN"/>
              </w:rPr>
              <w:t>烘培</w:t>
            </w:r>
            <w:r>
              <w:rPr>
                <w:rFonts w:hint="eastAsia" w:asciiTheme="minorEastAsia" w:hAnsiTheme="minorEastAsia" w:eastAsiaTheme="minorEastAsia" w:cstheme="minorEastAsia"/>
                <w:sz w:val="24"/>
                <w:szCs w:val="24"/>
              </w:rPr>
              <w:t>、食材处理、厨房卫生。</w:t>
            </w:r>
          </w:p>
        </w:tc>
        <w:tc>
          <w:tcPr>
            <w:tcW w:w="4243" w:type="dxa"/>
            <w:vAlign w:val="center"/>
          </w:tcPr>
          <w:p w14:paraId="1A5F28A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持有健康证，无传染病史，具有</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年以上</w:t>
            </w:r>
            <w:r>
              <w:rPr>
                <w:rFonts w:hint="eastAsia" w:asciiTheme="minorEastAsia" w:hAnsiTheme="minorEastAsia" w:eastAsiaTheme="minorEastAsia" w:cstheme="minorEastAsia"/>
                <w:sz w:val="24"/>
                <w:szCs w:val="24"/>
                <w:lang w:eastAsia="zh-CN"/>
              </w:rPr>
              <w:t>工作</w:t>
            </w:r>
            <w:r>
              <w:rPr>
                <w:rFonts w:hint="eastAsia" w:asciiTheme="minorEastAsia" w:hAnsiTheme="minorEastAsia" w:eastAsiaTheme="minorEastAsia" w:cstheme="minorEastAsia"/>
                <w:sz w:val="24"/>
                <w:szCs w:val="24"/>
              </w:rPr>
              <w:t>经验。</w:t>
            </w:r>
          </w:p>
        </w:tc>
      </w:tr>
      <w:tr w14:paraId="510B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66CD0EA1">
            <w:pPr>
              <w:spacing w:line="360" w:lineRule="auto"/>
              <w:jc w:val="center"/>
              <w:rPr>
                <w:rFonts w:hint="eastAsia" w:asciiTheme="minorEastAsia" w:hAnsiTheme="minorEastAsia" w:eastAsiaTheme="minorEastAsia" w:cstheme="minorEastAsia"/>
                <w:sz w:val="24"/>
                <w:szCs w:val="24"/>
              </w:rPr>
            </w:pPr>
          </w:p>
        </w:tc>
        <w:tc>
          <w:tcPr>
            <w:tcW w:w="1295" w:type="dxa"/>
            <w:vAlign w:val="center"/>
          </w:tcPr>
          <w:p w14:paraId="4A59311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服务员</w:t>
            </w:r>
          </w:p>
        </w:tc>
        <w:tc>
          <w:tcPr>
            <w:tcW w:w="916" w:type="dxa"/>
            <w:vAlign w:val="center"/>
          </w:tcPr>
          <w:p w14:paraId="1981DB67">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867" w:type="dxa"/>
            <w:vAlign w:val="center"/>
          </w:tcPr>
          <w:p w14:paraId="2CB8F7C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负责餐食分发、餐具清洁、就餐区卫生维护。</w:t>
            </w:r>
          </w:p>
        </w:tc>
        <w:tc>
          <w:tcPr>
            <w:tcW w:w="4243" w:type="dxa"/>
            <w:vAlign w:val="center"/>
          </w:tcPr>
          <w:p w14:paraId="4D974C0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持有健康证，服务意识强，无传染病史。</w:t>
            </w:r>
          </w:p>
        </w:tc>
      </w:tr>
      <w:tr w14:paraId="0718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Merge w:val="restart"/>
            <w:vAlign w:val="center"/>
          </w:tcPr>
          <w:p w14:paraId="7E342F7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驾驶员</w:t>
            </w:r>
          </w:p>
        </w:tc>
        <w:tc>
          <w:tcPr>
            <w:tcW w:w="916" w:type="dxa"/>
            <w:vAlign w:val="center"/>
          </w:tcPr>
          <w:p w14:paraId="388B6A9D">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67" w:type="dxa"/>
            <w:vAlign w:val="center"/>
          </w:tcPr>
          <w:p w14:paraId="36B8DBF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负责救护车/通勤车驾驶、车辆维护、应急出车。</w:t>
            </w:r>
          </w:p>
        </w:tc>
        <w:tc>
          <w:tcPr>
            <w:tcW w:w="4243" w:type="dxa"/>
            <w:vAlign w:val="center"/>
          </w:tcPr>
          <w:p w14:paraId="76D541F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持有B1及以上驾照，具有5年以上驾龄，熟悉急救路线，无重大事故记录。</w:t>
            </w:r>
          </w:p>
        </w:tc>
      </w:tr>
      <w:tr w14:paraId="18A9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Merge w:val="continue"/>
            <w:vAlign w:val="center"/>
          </w:tcPr>
          <w:p w14:paraId="01023AA1">
            <w:pPr>
              <w:spacing w:line="360" w:lineRule="auto"/>
              <w:jc w:val="center"/>
              <w:rPr>
                <w:rFonts w:hint="eastAsia" w:asciiTheme="minorEastAsia" w:hAnsiTheme="minorEastAsia" w:eastAsiaTheme="minorEastAsia" w:cstheme="minorEastAsia"/>
                <w:sz w:val="24"/>
                <w:szCs w:val="24"/>
              </w:rPr>
            </w:pPr>
          </w:p>
        </w:tc>
        <w:tc>
          <w:tcPr>
            <w:tcW w:w="916" w:type="dxa"/>
            <w:vAlign w:val="center"/>
          </w:tcPr>
          <w:p w14:paraId="321C6E5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67" w:type="dxa"/>
            <w:vAlign w:val="center"/>
          </w:tcPr>
          <w:p w14:paraId="2C5960C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负责救护车/通勤车驾驶、车辆维护、应急出车。</w:t>
            </w:r>
          </w:p>
        </w:tc>
        <w:tc>
          <w:tcPr>
            <w:tcW w:w="4243" w:type="dxa"/>
            <w:vAlign w:val="center"/>
          </w:tcPr>
          <w:p w14:paraId="0F7E747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持有C1及以上驾照，具有5年以上驾龄，熟悉急救路线，无重大事故记录。</w:t>
            </w:r>
          </w:p>
        </w:tc>
      </w:tr>
      <w:tr w14:paraId="1B81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34E04C0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收费员</w:t>
            </w:r>
          </w:p>
        </w:tc>
        <w:tc>
          <w:tcPr>
            <w:tcW w:w="916" w:type="dxa"/>
            <w:vAlign w:val="center"/>
          </w:tcPr>
          <w:p w14:paraId="16F1CE9A">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867" w:type="dxa"/>
            <w:vAlign w:val="center"/>
          </w:tcPr>
          <w:p w14:paraId="7DC044B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负责门诊/住院费用结算、医保对接、票据核对。</w:t>
            </w:r>
          </w:p>
        </w:tc>
        <w:tc>
          <w:tcPr>
            <w:tcW w:w="4243" w:type="dxa"/>
            <w:vAlign w:val="center"/>
          </w:tcPr>
          <w:p w14:paraId="793D8D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具有金融相关专业大专及以上学历，熟练使用HIS系统。</w:t>
            </w:r>
          </w:p>
        </w:tc>
      </w:tr>
      <w:tr w14:paraId="3DAB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22AE755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导诊</w:t>
            </w:r>
          </w:p>
        </w:tc>
        <w:tc>
          <w:tcPr>
            <w:tcW w:w="916" w:type="dxa"/>
            <w:vAlign w:val="center"/>
          </w:tcPr>
          <w:p w14:paraId="2A1BF4AF">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67" w:type="dxa"/>
            <w:vAlign w:val="center"/>
          </w:tcPr>
          <w:p w14:paraId="64D6878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负责患者分流、挂号指导、协助投诉处理。</w:t>
            </w:r>
          </w:p>
        </w:tc>
        <w:tc>
          <w:tcPr>
            <w:tcW w:w="4243" w:type="dxa"/>
            <w:vAlign w:val="center"/>
          </w:tcPr>
          <w:p w14:paraId="09887AB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护理/医学相关专业优先，沟通能力强，熟悉医院科室分布。</w:t>
            </w:r>
          </w:p>
        </w:tc>
      </w:tr>
      <w:tr w14:paraId="1A19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129BD94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导乐分娩师</w:t>
            </w:r>
          </w:p>
        </w:tc>
        <w:tc>
          <w:tcPr>
            <w:tcW w:w="916" w:type="dxa"/>
            <w:vAlign w:val="center"/>
          </w:tcPr>
          <w:p w14:paraId="0ABA85A5">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67" w:type="dxa"/>
            <w:vAlign w:val="center"/>
          </w:tcPr>
          <w:p w14:paraId="290B2B5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负责产程心里疏导、分娩协助。</w:t>
            </w:r>
          </w:p>
        </w:tc>
        <w:tc>
          <w:tcPr>
            <w:tcW w:w="4243" w:type="dxa"/>
            <w:vAlign w:val="center"/>
          </w:tcPr>
          <w:p w14:paraId="66BD49E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具有导乐分娩相关资质，具有5年以上导乐分娩工作经验，耐心细致，有较强的沟通能力。</w:t>
            </w:r>
          </w:p>
        </w:tc>
      </w:tr>
      <w:tr w14:paraId="42E6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16BAB5C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洗衣工</w:t>
            </w:r>
          </w:p>
        </w:tc>
        <w:tc>
          <w:tcPr>
            <w:tcW w:w="916" w:type="dxa"/>
            <w:vAlign w:val="center"/>
          </w:tcPr>
          <w:p w14:paraId="30975AA4">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67" w:type="dxa"/>
            <w:vAlign w:val="center"/>
          </w:tcPr>
          <w:p w14:paraId="2568379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负责医用织物清洗消毒、灭菌包装。</w:t>
            </w:r>
          </w:p>
        </w:tc>
        <w:tc>
          <w:tcPr>
            <w:tcW w:w="4243" w:type="dxa"/>
            <w:vAlign w:val="center"/>
          </w:tcPr>
          <w:p w14:paraId="648D0CF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能吃苦耐劳，有责任心，具有3年以上工作经验。</w:t>
            </w:r>
          </w:p>
        </w:tc>
      </w:tr>
      <w:tr w14:paraId="3A12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5362E3CE">
            <w:pPr>
              <w:spacing w:line="360" w:lineRule="auto"/>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临床医生</w:t>
            </w:r>
          </w:p>
        </w:tc>
        <w:tc>
          <w:tcPr>
            <w:tcW w:w="916" w:type="dxa"/>
            <w:vAlign w:val="center"/>
          </w:tcPr>
          <w:p w14:paraId="4866618A">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67" w:type="dxa"/>
            <w:vAlign w:val="center"/>
          </w:tcPr>
          <w:p w14:paraId="0E1584DE">
            <w:pPr>
              <w:spacing w:line="360" w:lineRule="auto"/>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按照业务科室工作分工，完成岗位职责任务。</w:t>
            </w:r>
          </w:p>
        </w:tc>
        <w:tc>
          <w:tcPr>
            <w:tcW w:w="4243" w:type="dxa"/>
            <w:vAlign w:val="center"/>
          </w:tcPr>
          <w:p w14:paraId="6D72FC25">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全日制</w:t>
            </w:r>
            <w:r>
              <w:rPr>
                <w:rFonts w:hint="eastAsia" w:asciiTheme="minorEastAsia" w:hAnsiTheme="minorEastAsia" w:eastAsiaTheme="minorEastAsia" w:cstheme="minorEastAsia"/>
                <w:sz w:val="24"/>
                <w:szCs w:val="24"/>
                <w:lang w:eastAsia="zh-CN"/>
              </w:rPr>
              <w:t>本科</w:t>
            </w:r>
            <w:r>
              <w:rPr>
                <w:rFonts w:hint="eastAsia" w:asciiTheme="minorEastAsia" w:hAnsiTheme="minorEastAsia" w:eastAsiaTheme="minorEastAsia" w:cstheme="minorEastAsia"/>
                <w:sz w:val="24"/>
                <w:szCs w:val="24"/>
              </w:rPr>
              <w:t>及以上</w:t>
            </w:r>
            <w:r>
              <w:rPr>
                <w:rFonts w:hint="eastAsia" w:asciiTheme="minorEastAsia" w:hAnsiTheme="minorEastAsia" w:eastAsiaTheme="minorEastAsia" w:cstheme="minorEastAsia"/>
                <w:sz w:val="24"/>
                <w:szCs w:val="24"/>
                <w:lang w:eastAsia="zh-CN"/>
              </w:rPr>
              <w:t>学历，</w:t>
            </w:r>
            <w:r>
              <w:rPr>
                <w:rFonts w:hint="eastAsia" w:asciiTheme="minorEastAsia" w:hAnsiTheme="minorEastAsia" w:eastAsiaTheme="minorEastAsia" w:cstheme="minorEastAsia"/>
                <w:sz w:val="24"/>
                <w:szCs w:val="24"/>
                <w:lang w:val="en-US" w:eastAsia="zh-CN"/>
              </w:rPr>
              <w:t>优先选派取得医师资格证者。</w:t>
            </w:r>
          </w:p>
        </w:tc>
      </w:tr>
      <w:tr w14:paraId="7961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640880F6">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护理、医技等辅助人员</w:t>
            </w:r>
          </w:p>
        </w:tc>
        <w:tc>
          <w:tcPr>
            <w:tcW w:w="916" w:type="dxa"/>
            <w:vAlign w:val="center"/>
          </w:tcPr>
          <w:p w14:paraId="61E91BE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867" w:type="dxa"/>
            <w:vAlign w:val="center"/>
          </w:tcPr>
          <w:p w14:paraId="592B21C4">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按照业务科室工作分工，完成岗位职责任务。</w:t>
            </w:r>
          </w:p>
        </w:tc>
        <w:tc>
          <w:tcPr>
            <w:tcW w:w="4243" w:type="dxa"/>
            <w:vAlign w:val="center"/>
          </w:tcPr>
          <w:p w14:paraId="548EF41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本科</w:t>
            </w:r>
            <w:r>
              <w:rPr>
                <w:rFonts w:hint="eastAsia" w:asciiTheme="minorEastAsia" w:hAnsiTheme="minorEastAsia" w:eastAsiaTheme="minorEastAsia" w:cstheme="minorEastAsia"/>
                <w:sz w:val="24"/>
                <w:szCs w:val="24"/>
              </w:rPr>
              <w:t>及以上</w:t>
            </w:r>
            <w:r>
              <w:rPr>
                <w:rFonts w:hint="eastAsia" w:asciiTheme="minorEastAsia" w:hAnsiTheme="minorEastAsia" w:eastAsiaTheme="minorEastAsia" w:cstheme="minorEastAsia"/>
                <w:sz w:val="24"/>
                <w:szCs w:val="24"/>
                <w:lang w:eastAsia="zh-CN"/>
              </w:rPr>
              <w:t>学历，</w:t>
            </w:r>
            <w:r>
              <w:rPr>
                <w:rFonts w:hint="eastAsia" w:asciiTheme="minorEastAsia" w:hAnsiTheme="minorEastAsia" w:eastAsiaTheme="minorEastAsia" w:cstheme="minorEastAsia"/>
                <w:sz w:val="24"/>
                <w:szCs w:val="24"/>
                <w:lang w:val="en-US" w:eastAsia="zh-CN"/>
              </w:rPr>
              <w:t>助产士岗位学历可放宽至大专及以上。</w:t>
            </w:r>
          </w:p>
        </w:tc>
      </w:tr>
    </w:tbl>
    <w:p w14:paraId="42E3BFEF">
      <w:pPr>
        <w:pStyle w:val="68"/>
        <w:snapToGrid w:val="0"/>
        <w:spacing w:line="300" w:lineRule="exact"/>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br w:type="page"/>
      </w:r>
    </w:p>
    <w:p w14:paraId="315146F4">
      <w:pPr>
        <w:pStyle w:val="75"/>
        <w:numPr>
          <w:ilvl w:val="0"/>
          <w:numId w:val="3"/>
        </w:numPr>
        <w:snapToGrid w:val="0"/>
        <w:spacing w:line="440" w:lineRule="exact"/>
        <w:jc w:val="center"/>
        <w:outlineLvl w:val="0"/>
        <w:rPr>
          <w:rFonts w:hint="eastAsia" w:ascii="宋体" w:hAnsi="宋体" w:cs="宋体"/>
          <w:b/>
          <w:bCs/>
          <w:color w:val="auto"/>
          <w:sz w:val="32"/>
          <w:szCs w:val="32"/>
        </w:rPr>
      </w:pPr>
      <w:bookmarkStart w:id="155" w:name="_Toc24687"/>
      <w:bookmarkStart w:id="156" w:name="_Toc32202"/>
      <w:bookmarkStart w:id="157" w:name="_Toc31842"/>
      <w:bookmarkStart w:id="158" w:name="_Toc23345"/>
      <w:bookmarkStart w:id="159" w:name="_Toc11710"/>
      <w:bookmarkStart w:id="160" w:name="_Toc9122"/>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采购需求</w:t>
      </w:r>
      <w:bookmarkEnd w:id="155"/>
      <w:bookmarkEnd w:id="156"/>
      <w:bookmarkEnd w:id="157"/>
      <w:bookmarkEnd w:id="158"/>
      <w:bookmarkStart w:id="161" w:name="_Toc757"/>
    </w:p>
    <w:p w14:paraId="125AE845">
      <w:pPr>
        <w:pStyle w:val="10"/>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outlineLvl w:val="1"/>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一、项目概述</w:t>
      </w:r>
    </w:p>
    <w:p w14:paraId="52ACB3FF">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按照地区“三保”压减工作要求，结合我院人力资源配置现状，为降低、人力成本，拟将食堂</w:t>
      </w:r>
      <w:r>
        <w:rPr>
          <w:rFonts w:hint="eastAsia" w:asciiTheme="minorEastAsia" w:hAnsiTheme="minorEastAsia" w:eastAsiaTheme="minorEastAsia" w:cstheme="minorEastAsia"/>
          <w:sz w:val="24"/>
          <w:szCs w:val="24"/>
          <w:lang w:val="en-US" w:eastAsia="zh-CN"/>
        </w:rPr>
        <w:t>工作人员</w:t>
      </w:r>
      <w:r>
        <w:rPr>
          <w:rFonts w:hint="eastAsia" w:asciiTheme="minorEastAsia" w:hAnsiTheme="minorEastAsia" w:eastAsiaTheme="minorEastAsia" w:cstheme="minorEastAsia"/>
          <w:sz w:val="24"/>
          <w:szCs w:val="24"/>
          <w:lang w:eastAsia="zh-CN"/>
        </w:rPr>
        <w:t>、驾驶员、收费员、导诊、导乐分娩师、洗衣工及部分</w:t>
      </w:r>
      <w:r>
        <w:rPr>
          <w:rFonts w:hint="eastAsia" w:asciiTheme="minorEastAsia" w:hAnsiTheme="minorEastAsia" w:eastAsiaTheme="minorEastAsia" w:cstheme="minorEastAsia"/>
          <w:sz w:val="24"/>
          <w:szCs w:val="24"/>
          <w:lang w:val="en-US" w:eastAsia="zh-CN"/>
        </w:rPr>
        <w:t>医疗、护理、医技及辅助等</w:t>
      </w:r>
      <w:r>
        <w:rPr>
          <w:rFonts w:hint="eastAsia" w:asciiTheme="minorEastAsia" w:hAnsiTheme="minorEastAsia" w:eastAsiaTheme="minorEastAsia" w:cstheme="minorEastAsia"/>
          <w:sz w:val="24"/>
          <w:szCs w:val="24"/>
          <w:lang w:eastAsia="zh-CN"/>
        </w:rPr>
        <w:t>岗位，采用</w:t>
      </w:r>
      <w:r>
        <w:rPr>
          <w:rFonts w:hint="eastAsia" w:asciiTheme="minorEastAsia" w:hAnsiTheme="minorEastAsia" w:eastAsiaTheme="minorEastAsia" w:cstheme="minorEastAsia"/>
          <w:sz w:val="24"/>
          <w:szCs w:val="24"/>
          <w:lang w:val="en-US" w:eastAsia="zh-CN"/>
        </w:rPr>
        <w:t>购买人力资源服务的方式予以解决，</w:t>
      </w:r>
      <w:r>
        <w:rPr>
          <w:rFonts w:hint="eastAsia" w:asciiTheme="minorEastAsia" w:hAnsiTheme="minorEastAsia" w:eastAsiaTheme="minorEastAsia" w:cstheme="minorEastAsia"/>
          <w:sz w:val="24"/>
          <w:szCs w:val="24"/>
          <w:lang w:eastAsia="zh-CN"/>
        </w:rPr>
        <w:t>根据年度预算，</w:t>
      </w:r>
      <w:r>
        <w:rPr>
          <w:rFonts w:hint="eastAsia" w:asciiTheme="minorEastAsia" w:hAnsiTheme="minorEastAsia" w:eastAsiaTheme="minorEastAsia" w:cstheme="minorEastAsia"/>
          <w:sz w:val="24"/>
          <w:szCs w:val="24"/>
          <w:lang w:val="en-US" w:eastAsia="zh-CN"/>
        </w:rPr>
        <w:t>购买人力资源服务</w:t>
      </w:r>
      <w:r>
        <w:rPr>
          <w:rFonts w:hint="eastAsia" w:asciiTheme="minorEastAsia" w:hAnsiTheme="minorEastAsia" w:eastAsiaTheme="minorEastAsia" w:cstheme="minorEastAsia"/>
          <w:sz w:val="24"/>
          <w:szCs w:val="24"/>
          <w:lang w:eastAsia="zh-CN"/>
        </w:rPr>
        <w:t>期限为202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月1日至202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月30日。</w:t>
      </w:r>
    </w:p>
    <w:p w14:paraId="6F476632">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预算金额（元）:</w:t>
      </w:r>
      <w:r>
        <w:rPr>
          <w:rFonts w:hint="eastAsia" w:asciiTheme="minorEastAsia" w:hAnsiTheme="minorEastAsia" w:eastAsiaTheme="minorEastAsia" w:cstheme="minorEastAsia"/>
          <w:sz w:val="24"/>
          <w:szCs w:val="24"/>
          <w:lang w:val="en-US" w:eastAsia="zh-CN"/>
        </w:rPr>
        <w:t>3784400.00元</w:t>
      </w:r>
    </w:p>
    <w:p w14:paraId="76A0312F">
      <w:pPr>
        <w:numPr>
          <w:ilvl w:val="0"/>
          <w:numId w:val="0"/>
        </w:numPr>
        <w:spacing w:line="600" w:lineRule="exact"/>
        <w:jc w:val="left"/>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二、服务要求</w:t>
      </w:r>
      <w:bookmarkEnd w:id="161"/>
    </w:p>
    <w:p w14:paraId="7CC9FCBC">
      <w:pPr>
        <w:numPr>
          <w:ilvl w:val="0"/>
          <w:numId w:val="0"/>
        </w:numPr>
        <w:spacing w:line="600" w:lineRule="exact"/>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岗位及职责要求</w:t>
      </w:r>
    </w:p>
    <w:tbl>
      <w:tblPr>
        <w:tblStyle w:val="4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295"/>
        <w:gridCol w:w="916"/>
        <w:gridCol w:w="2867"/>
        <w:gridCol w:w="4243"/>
      </w:tblGrid>
      <w:tr w14:paraId="3D94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844" w:type="dxa"/>
            <w:gridSpan w:val="2"/>
            <w:vAlign w:val="center"/>
          </w:tcPr>
          <w:p w14:paraId="48C93ADC">
            <w:pPr>
              <w:spacing w:line="600" w:lineRule="exact"/>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岗位</w:t>
            </w:r>
            <w:r>
              <w:rPr>
                <w:rFonts w:hint="eastAsia" w:asciiTheme="minorEastAsia" w:hAnsiTheme="minorEastAsia" w:eastAsiaTheme="minorEastAsia" w:cstheme="minorEastAsia"/>
                <w:b/>
                <w:sz w:val="24"/>
                <w:szCs w:val="24"/>
                <w:lang w:val="en-US" w:eastAsia="zh-CN"/>
              </w:rPr>
              <w:t>名称</w:t>
            </w:r>
          </w:p>
        </w:tc>
        <w:tc>
          <w:tcPr>
            <w:tcW w:w="916" w:type="dxa"/>
            <w:vAlign w:val="center"/>
          </w:tcPr>
          <w:p w14:paraId="5DDCB7D3">
            <w:pPr>
              <w:spacing w:line="600" w:lineRule="exact"/>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预估人数</w:t>
            </w:r>
          </w:p>
        </w:tc>
        <w:tc>
          <w:tcPr>
            <w:tcW w:w="2867" w:type="dxa"/>
            <w:vAlign w:val="center"/>
          </w:tcPr>
          <w:p w14:paraId="622DA620">
            <w:pPr>
              <w:spacing w:line="6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岗位职责</w:t>
            </w:r>
          </w:p>
        </w:tc>
        <w:tc>
          <w:tcPr>
            <w:tcW w:w="4243" w:type="dxa"/>
            <w:vAlign w:val="center"/>
          </w:tcPr>
          <w:p w14:paraId="05B7B0F6">
            <w:pPr>
              <w:spacing w:line="6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岗位要求</w:t>
            </w:r>
          </w:p>
        </w:tc>
      </w:tr>
      <w:tr w14:paraId="623E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restart"/>
            <w:vAlign w:val="center"/>
          </w:tcPr>
          <w:p w14:paraId="60C7F47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餐厅</w:t>
            </w:r>
            <w:r>
              <w:rPr>
                <w:rFonts w:hint="eastAsia" w:asciiTheme="minorEastAsia" w:hAnsiTheme="minorEastAsia" w:eastAsiaTheme="minorEastAsia" w:cstheme="minorEastAsia"/>
                <w:sz w:val="24"/>
                <w:szCs w:val="24"/>
              </w:rPr>
              <w:t>员工</w:t>
            </w:r>
          </w:p>
        </w:tc>
        <w:tc>
          <w:tcPr>
            <w:tcW w:w="1295" w:type="dxa"/>
            <w:vAlign w:val="center"/>
          </w:tcPr>
          <w:p w14:paraId="5CD84AA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餐厅</w:t>
            </w:r>
            <w:r>
              <w:rPr>
                <w:rFonts w:hint="eastAsia" w:asciiTheme="minorEastAsia" w:hAnsiTheme="minorEastAsia" w:eastAsiaTheme="minorEastAsia" w:cstheme="minorEastAsia"/>
                <w:sz w:val="24"/>
                <w:szCs w:val="24"/>
              </w:rPr>
              <w:t>管理员</w:t>
            </w:r>
          </w:p>
        </w:tc>
        <w:tc>
          <w:tcPr>
            <w:tcW w:w="916" w:type="dxa"/>
            <w:vAlign w:val="center"/>
          </w:tcPr>
          <w:p w14:paraId="4E52DB1F">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67" w:type="dxa"/>
            <w:vAlign w:val="center"/>
          </w:tcPr>
          <w:p w14:paraId="188F0A9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w:t>
            </w:r>
            <w:r>
              <w:rPr>
                <w:rFonts w:hint="eastAsia" w:asciiTheme="minorEastAsia" w:hAnsiTheme="minorEastAsia" w:eastAsiaTheme="minorEastAsia" w:cstheme="minorEastAsia"/>
                <w:sz w:val="24"/>
                <w:szCs w:val="24"/>
                <w:lang w:val="en-US" w:eastAsia="zh-CN"/>
              </w:rPr>
              <w:t>餐厅</w:t>
            </w:r>
            <w:r>
              <w:rPr>
                <w:rFonts w:hint="eastAsia" w:asciiTheme="minorEastAsia" w:hAnsiTheme="minorEastAsia" w:eastAsiaTheme="minorEastAsia" w:cstheme="minorEastAsia"/>
                <w:sz w:val="24"/>
                <w:szCs w:val="24"/>
              </w:rPr>
              <w:t>运行管理</w:t>
            </w:r>
          </w:p>
        </w:tc>
        <w:tc>
          <w:tcPr>
            <w:tcW w:w="4243" w:type="dxa"/>
            <w:vAlign w:val="center"/>
          </w:tcPr>
          <w:p w14:paraId="7032E495">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具有相关专业大专及以上学历，3年以上相关工作经验</w:t>
            </w:r>
            <w:r>
              <w:rPr>
                <w:rFonts w:hint="eastAsia" w:asciiTheme="minorEastAsia" w:hAnsiTheme="minorEastAsia" w:eastAsiaTheme="minorEastAsia" w:cstheme="minorEastAsia"/>
                <w:sz w:val="24"/>
                <w:szCs w:val="24"/>
                <w:lang w:eastAsia="zh-CN"/>
              </w:rPr>
              <w:t>。</w:t>
            </w:r>
          </w:p>
        </w:tc>
      </w:tr>
      <w:tr w14:paraId="2364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6A8599AD">
            <w:pPr>
              <w:spacing w:line="360" w:lineRule="auto"/>
              <w:jc w:val="center"/>
              <w:rPr>
                <w:rFonts w:hint="eastAsia" w:asciiTheme="minorEastAsia" w:hAnsiTheme="minorEastAsia" w:eastAsiaTheme="minorEastAsia" w:cstheme="minorEastAsia"/>
                <w:sz w:val="24"/>
                <w:szCs w:val="24"/>
              </w:rPr>
            </w:pPr>
          </w:p>
        </w:tc>
        <w:tc>
          <w:tcPr>
            <w:tcW w:w="1295" w:type="dxa"/>
            <w:vAlign w:val="center"/>
          </w:tcPr>
          <w:p w14:paraId="7C93868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厨师长</w:t>
            </w:r>
          </w:p>
        </w:tc>
        <w:tc>
          <w:tcPr>
            <w:tcW w:w="916" w:type="dxa"/>
            <w:vAlign w:val="center"/>
          </w:tcPr>
          <w:p w14:paraId="65C1984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67" w:type="dxa"/>
            <w:vAlign w:val="center"/>
          </w:tcPr>
          <w:p w14:paraId="59E06DE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负责菜单定制、菜品烹饪、后厨管理、成本控制。</w:t>
            </w:r>
          </w:p>
        </w:tc>
        <w:tc>
          <w:tcPr>
            <w:tcW w:w="4243" w:type="dxa"/>
            <w:vAlign w:val="center"/>
          </w:tcPr>
          <w:p w14:paraId="2D5B072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持有中级及以上厨师证，健康证，无传染病史，具有3年以上餐饮管理经验。</w:t>
            </w:r>
          </w:p>
        </w:tc>
      </w:tr>
      <w:tr w14:paraId="157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49" w:type="dxa"/>
            <w:vMerge w:val="continue"/>
            <w:vAlign w:val="center"/>
          </w:tcPr>
          <w:p w14:paraId="18C5DB44">
            <w:pPr>
              <w:spacing w:line="360" w:lineRule="auto"/>
              <w:jc w:val="center"/>
              <w:rPr>
                <w:rFonts w:hint="eastAsia" w:asciiTheme="minorEastAsia" w:hAnsiTheme="minorEastAsia" w:eastAsiaTheme="minorEastAsia" w:cstheme="minorEastAsia"/>
                <w:sz w:val="24"/>
                <w:szCs w:val="24"/>
              </w:rPr>
            </w:pPr>
          </w:p>
        </w:tc>
        <w:tc>
          <w:tcPr>
            <w:tcW w:w="1295" w:type="dxa"/>
            <w:vAlign w:val="center"/>
          </w:tcPr>
          <w:p w14:paraId="79A7281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厨师</w:t>
            </w:r>
          </w:p>
        </w:tc>
        <w:tc>
          <w:tcPr>
            <w:tcW w:w="916" w:type="dxa"/>
            <w:vAlign w:val="center"/>
          </w:tcPr>
          <w:p w14:paraId="48D046D3">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67" w:type="dxa"/>
            <w:vAlign w:val="center"/>
          </w:tcPr>
          <w:p w14:paraId="4601835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负责菜品烹饪、食品安全把控。</w:t>
            </w:r>
          </w:p>
        </w:tc>
        <w:tc>
          <w:tcPr>
            <w:tcW w:w="4243" w:type="dxa"/>
            <w:vAlign w:val="center"/>
          </w:tcPr>
          <w:p w14:paraId="4B90BD1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持有初级厨师证，健康证，无传染病史，具有2年以上工作经验。</w:t>
            </w:r>
          </w:p>
        </w:tc>
      </w:tr>
      <w:tr w14:paraId="2AC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49" w:type="dxa"/>
            <w:vMerge w:val="continue"/>
            <w:vAlign w:val="center"/>
          </w:tcPr>
          <w:p w14:paraId="295F0BA8">
            <w:pPr>
              <w:spacing w:line="360" w:lineRule="auto"/>
              <w:jc w:val="center"/>
              <w:rPr>
                <w:rFonts w:hint="eastAsia" w:asciiTheme="minorEastAsia" w:hAnsiTheme="minorEastAsia" w:eastAsiaTheme="minorEastAsia" w:cstheme="minorEastAsia"/>
                <w:sz w:val="24"/>
                <w:szCs w:val="24"/>
              </w:rPr>
            </w:pPr>
          </w:p>
        </w:tc>
        <w:tc>
          <w:tcPr>
            <w:tcW w:w="1295" w:type="dxa"/>
            <w:vAlign w:val="center"/>
          </w:tcPr>
          <w:p w14:paraId="0A68E20E">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二级厨师</w:t>
            </w:r>
          </w:p>
        </w:tc>
        <w:tc>
          <w:tcPr>
            <w:tcW w:w="916" w:type="dxa"/>
            <w:vAlign w:val="center"/>
          </w:tcPr>
          <w:p w14:paraId="2A23A99A">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67" w:type="dxa"/>
            <w:vAlign w:val="center"/>
          </w:tcPr>
          <w:p w14:paraId="4F29D816">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w:t>
            </w:r>
            <w:r>
              <w:rPr>
                <w:rFonts w:hint="eastAsia" w:asciiTheme="minorEastAsia" w:hAnsiTheme="minorEastAsia" w:eastAsiaTheme="minorEastAsia" w:cstheme="minorEastAsia"/>
                <w:sz w:val="24"/>
                <w:szCs w:val="24"/>
              </w:rPr>
              <w:t>菜品烹饪、食品安全把控。</w:t>
            </w:r>
          </w:p>
        </w:tc>
        <w:tc>
          <w:tcPr>
            <w:tcW w:w="4243" w:type="dxa"/>
            <w:vAlign w:val="center"/>
          </w:tcPr>
          <w:p w14:paraId="0EF23FD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持有健康证，无传染病史，具有2年以上工作经验。</w:t>
            </w:r>
          </w:p>
        </w:tc>
      </w:tr>
      <w:tr w14:paraId="04EB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2EDC7D71">
            <w:pPr>
              <w:spacing w:line="360" w:lineRule="auto"/>
              <w:jc w:val="center"/>
              <w:rPr>
                <w:rFonts w:hint="eastAsia" w:asciiTheme="minorEastAsia" w:hAnsiTheme="minorEastAsia" w:eastAsiaTheme="minorEastAsia" w:cstheme="minorEastAsia"/>
                <w:sz w:val="24"/>
                <w:szCs w:val="24"/>
              </w:rPr>
            </w:pPr>
          </w:p>
        </w:tc>
        <w:tc>
          <w:tcPr>
            <w:tcW w:w="1295" w:type="dxa"/>
            <w:vAlign w:val="center"/>
          </w:tcPr>
          <w:p w14:paraId="3C49406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面点师/配菜师</w:t>
            </w:r>
          </w:p>
        </w:tc>
        <w:tc>
          <w:tcPr>
            <w:tcW w:w="916" w:type="dxa"/>
            <w:vAlign w:val="center"/>
          </w:tcPr>
          <w:p w14:paraId="6E3F3A00">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67" w:type="dxa"/>
            <w:vAlign w:val="center"/>
          </w:tcPr>
          <w:p w14:paraId="06C3468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负责面点制作、食材处理、厨房卫生。</w:t>
            </w:r>
          </w:p>
        </w:tc>
        <w:tc>
          <w:tcPr>
            <w:tcW w:w="4243" w:type="dxa"/>
            <w:vAlign w:val="center"/>
          </w:tcPr>
          <w:p w14:paraId="0CA9265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持有健康证，具有基础刀工技能，无传染病史。</w:t>
            </w:r>
          </w:p>
        </w:tc>
      </w:tr>
      <w:tr w14:paraId="1DC6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49" w:type="dxa"/>
            <w:vMerge w:val="continue"/>
            <w:vAlign w:val="center"/>
          </w:tcPr>
          <w:p w14:paraId="61E028CE">
            <w:pPr>
              <w:spacing w:line="360" w:lineRule="auto"/>
              <w:jc w:val="center"/>
              <w:rPr>
                <w:rFonts w:hint="eastAsia" w:asciiTheme="minorEastAsia" w:hAnsiTheme="minorEastAsia" w:eastAsiaTheme="minorEastAsia" w:cstheme="minorEastAsia"/>
                <w:sz w:val="24"/>
                <w:szCs w:val="24"/>
              </w:rPr>
            </w:pPr>
          </w:p>
        </w:tc>
        <w:tc>
          <w:tcPr>
            <w:tcW w:w="1295" w:type="dxa"/>
            <w:vAlign w:val="center"/>
          </w:tcPr>
          <w:p w14:paraId="6AB8451D">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烘培师</w:t>
            </w:r>
          </w:p>
        </w:tc>
        <w:tc>
          <w:tcPr>
            <w:tcW w:w="916" w:type="dxa"/>
            <w:vAlign w:val="center"/>
          </w:tcPr>
          <w:p w14:paraId="4606DA54">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67" w:type="dxa"/>
            <w:vAlign w:val="center"/>
          </w:tcPr>
          <w:p w14:paraId="537B255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负责面点</w:t>
            </w:r>
            <w:r>
              <w:rPr>
                <w:rFonts w:hint="eastAsia" w:asciiTheme="minorEastAsia" w:hAnsiTheme="minorEastAsia" w:eastAsiaTheme="minorEastAsia" w:cstheme="minorEastAsia"/>
                <w:sz w:val="24"/>
                <w:szCs w:val="24"/>
                <w:lang w:eastAsia="zh-CN"/>
              </w:rPr>
              <w:t>烘培</w:t>
            </w:r>
            <w:r>
              <w:rPr>
                <w:rFonts w:hint="eastAsia" w:asciiTheme="minorEastAsia" w:hAnsiTheme="minorEastAsia" w:eastAsiaTheme="minorEastAsia" w:cstheme="minorEastAsia"/>
                <w:sz w:val="24"/>
                <w:szCs w:val="24"/>
              </w:rPr>
              <w:t>、食材处理、厨房卫生。</w:t>
            </w:r>
          </w:p>
        </w:tc>
        <w:tc>
          <w:tcPr>
            <w:tcW w:w="4243" w:type="dxa"/>
            <w:vAlign w:val="center"/>
          </w:tcPr>
          <w:p w14:paraId="714139A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持有健康证，无传染病史，具有</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年以上</w:t>
            </w:r>
            <w:r>
              <w:rPr>
                <w:rFonts w:hint="eastAsia" w:asciiTheme="minorEastAsia" w:hAnsiTheme="minorEastAsia" w:eastAsiaTheme="minorEastAsia" w:cstheme="minorEastAsia"/>
                <w:sz w:val="24"/>
                <w:szCs w:val="24"/>
                <w:lang w:eastAsia="zh-CN"/>
              </w:rPr>
              <w:t>工作</w:t>
            </w:r>
            <w:r>
              <w:rPr>
                <w:rFonts w:hint="eastAsia" w:asciiTheme="minorEastAsia" w:hAnsiTheme="minorEastAsia" w:eastAsiaTheme="minorEastAsia" w:cstheme="minorEastAsia"/>
                <w:sz w:val="24"/>
                <w:szCs w:val="24"/>
              </w:rPr>
              <w:t>经验。</w:t>
            </w:r>
          </w:p>
        </w:tc>
      </w:tr>
      <w:tr w14:paraId="4C4D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2DC13D83">
            <w:pPr>
              <w:spacing w:line="360" w:lineRule="auto"/>
              <w:jc w:val="center"/>
              <w:rPr>
                <w:rFonts w:hint="eastAsia" w:asciiTheme="minorEastAsia" w:hAnsiTheme="minorEastAsia" w:eastAsiaTheme="minorEastAsia" w:cstheme="minorEastAsia"/>
                <w:sz w:val="24"/>
                <w:szCs w:val="24"/>
              </w:rPr>
            </w:pPr>
          </w:p>
        </w:tc>
        <w:tc>
          <w:tcPr>
            <w:tcW w:w="1295" w:type="dxa"/>
            <w:vAlign w:val="center"/>
          </w:tcPr>
          <w:p w14:paraId="6A4325B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服务员</w:t>
            </w:r>
          </w:p>
        </w:tc>
        <w:tc>
          <w:tcPr>
            <w:tcW w:w="916" w:type="dxa"/>
            <w:vAlign w:val="center"/>
          </w:tcPr>
          <w:p w14:paraId="3A41C833">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867" w:type="dxa"/>
            <w:vAlign w:val="center"/>
          </w:tcPr>
          <w:p w14:paraId="7278E7C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负责餐食分发、餐具清洁、就餐区卫生维护。</w:t>
            </w:r>
          </w:p>
        </w:tc>
        <w:tc>
          <w:tcPr>
            <w:tcW w:w="4243" w:type="dxa"/>
            <w:vAlign w:val="center"/>
          </w:tcPr>
          <w:p w14:paraId="534C0F1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持有健康证，服务意识强，无传染病史。</w:t>
            </w:r>
          </w:p>
        </w:tc>
      </w:tr>
      <w:tr w14:paraId="498D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Merge w:val="restart"/>
            <w:vAlign w:val="center"/>
          </w:tcPr>
          <w:p w14:paraId="30E0D16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驾驶员</w:t>
            </w:r>
          </w:p>
        </w:tc>
        <w:tc>
          <w:tcPr>
            <w:tcW w:w="916" w:type="dxa"/>
            <w:vAlign w:val="center"/>
          </w:tcPr>
          <w:p w14:paraId="3146FF3C">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67" w:type="dxa"/>
            <w:vAlign w:val="center"/>
          </w:tcPr>
          <w:p w14:paraId="4D360AC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负责救护车/通勤车驾驶、车辆维护、应急出车。</w:t>
            </w:r>
          </w:p>
        </w:tc>
        <w:tc>
          <w:tcPr>
            <w:tcW w:w="4243" w:type="dxa"/>
            <w:vAlign w:val="center"/>
          </w:tcPr>
          <w:p w14:paraId="2D9CCFD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持有B1及以上驾照，具有5年以上驾龄，熟悉急救路线，无重大事故记录。</w:t>
            </w:r>
          </w:p>
        </w:tc>
      </w:tr>
      <w:tr w14:paraId="6AEF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Merge w:val="continue"/>
            <w:vAlign w:val="center"/>
          </w:tcPr>
          <w:p w14:paraId="44EAF64F">
            <w:pPr>
              <w:spacing w:line="360" w:lineRule="auto"/>
              <w:jc w:val="center"/>
              <w:rPr>
                <w:rFonts w:hint="eastAsia" w:asciiTheme="minorEastAsia" w:hAnsiTheme="minorEastAsia" w:eastAsiaTheme="minorEastAsia" w:cstheme="minorEastAsia"/>
                <w:sz w:val="24"/>
                <w:szCs w:val="24"/>
              </w:rPr>
            </w:pPr>
          </w:p>
        </w:tc>
        <w:tc>
          <w:tcPr>
            <w:tcW w:w="916" w:type="dxa"/>
            <w:vAlign w:val="center"/>
          </w:tcPr>
          <w:p w14:paraId="48A90BBD">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67" w:type="dxa"/>
            <w:vAlign w:val="center"/>
          </w:tcPr>
          <w:p w14:paraId="6595303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负责救护车/通勤车驾驶、车辆维护、应急出车。</w:t>
            </w:r>
          </w:p>
        </w:tc>
        <w:tc>
          <w:tcPr>
            <w:tcW w:w="4243" w:type="dxa"/>
            <w:vAlign w:val="center"/>
          </w:tcPr>
          <w:p w14:paraId="62EF9C3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持有C1及以上驾照，具有5年以上驾龄，熟悉急救路线，无重大事故记录。</w:t>
            </w:r>
          </w:p>
        </w:tc>
      </w:tr>
      <w:tr w14:paraId="2F1B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78CE7A9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收费员</w:t>
            </w:r>
          </w:p>
        </w:tc>
        <w:tc>
          <w:tcPr>
            <w:tcW w:w="916" w:type="dxa"/>
            <w:vAlign w:val="center"/>
          </w:tcPr>
          <w:p w14:paraId="4C4771A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867" w:type="dxa"/>
            <w:vAlign w:val="center"/>
          </w:tcPr>
          <w:p w14:paraId="536F216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负责门诊/住院费用结算、医保对接、票据核对。</w:t>
            </w:r>
          </w:p>
        </w:tc>
        <w:tc>
          <w:tcPr>
            <w:tcW w:w="4243" w:type="dxa"/>
            <w:vAlign w:val="center"/>
          </w:tcPr>
          <w:p w14:paraId="75AAAB5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具有金融相关专业大专及以上学历，熟练使用HIS系统。</w:t>
            </w:r>
          </w:p>
        </w:tc>
      </w:tr>
      <w:tr w14:paraId="299E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712C33C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导诊</w:t>
            </w:r>
          </w:p>
        </w:tc>
        <w:tc>
          <w:tcPr>
            <w:tcW w:w="916" w:type="dxa"/>
            <w:vAlign w:val="center"/>
          </w:tcPr>
          <w:p w14:paraId="78D1C5F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67" w:type="dxa"/>
            <w:vAlign w:val="center"/>
          </w:tcPr>
          <w:p w14:paraId="2C3DD1E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负责患者分流、挂号指导、协助投诉处理。</w:t>
            </w:r>
          </w:p>
        </w:tc>
        <w:tc>
          <w:tcPr>
            <w:tcW w:w="4243" w:type="dxa"/>
            <w:vAlign w:val="center"/>
          </w:tcPr>
          <w:p w14:paraId="3F29E66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护理/医学相关专业优先，沟通能力强，熟悉医院科室分布。</w:t>
            </w:r>
          </w:p>
        </w:tc>
      </w:tr>
      <w:tr w14:paraId="26A3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0E80E18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导乐分娩师</w:t>
            </w:r>
          </w:p>
        </w:tc>
        <w:tc>
          <w:tcPr>
            <w:tcW w:w="916" w:type="dxa"/>
            <w:vAlign w:val="center"/>
          </w:tcPr>
          <w:p w14:paraId="4B565F4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67" w:type="dxa"/>
            <w:vAlign w:val="center"/>
          </w:tcPr>
          <w:p w14:paraId="31A5CB2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负责产程心里疏导、分娩协助。</w:t>
            </w:r>
          </w:p>
        </w:tc>
        <w:tc>
          <w:tcPr>
            <w:tcW w:w="4243" w:type="dxa"/>
            <w:vAlign w:val="center"/>
          </w:tcPr>
          <w:p w14:paraId="419E9A9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具有导乐分娩相关资质，具有5年以上导乐分娩工作经验，耐心细致，有较强的沟通能力。</w:t>
            </w:r>
          </w:p>
        </w:tc>
      </w:tr>
      <w:tr w14:paraId="341C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3DEFB09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洗衣工</w:t>
            </w:r>
          </w:p>
        </w:tc>
        <w:tc>
          <w:tcPr>
            <w:tcW w:w="916" w:type="dxa"/>
            <w:vAlign w:val="center"/>
          </w:tcPr>
          <w:p w14:paraId="2B903FB4">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67" w:type="dxa"/>
            <w:vAlign w:val="center"/>
          </w:tcPr>
          <w:p w14:paraId="6FA7202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负责医用织物清洗消毒、灭菌包装。</w:t>
            </w:r>
          </w:p>
        </w:tc>
        <w:tc>
          <w:tcPr>
            <w:tcW w:w="4243" w:type="dxa"/>
            <w:vAlign w:val="center"/>
          </w:tcPr>
          <w:p w14:paraId="6FEBACD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能吃苦耐劳，有责任心，具有3年以上工作经验。</w:t>
            </w:r>
          </w:p>
        </w:tc>
      </w:tr>
      <w:tr w14:paraId="5F06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3A6FD6FA">
            <w:pPr>
              <w:spacing w:line="360" w:lineRule="auto"/>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临床医生</w:t>
            </w:r>
          </w:p>
        </w:tc>
        <w:tc>
          <w:tcPr>
            <w:tcW w:w="916" w:type="dxa"/>
            <w:vAlign w:val="center"/>
          </w:tcPr>
          <w:p w14:paraId="2A2A5FF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67" w:type="dxa"/>
            <w:vAlign w:val="center"/>
          </w:tcPr>
          <w:p w14:paraId="13A6B702">
            <w:pPr>
              <w:spacing w:line="360" w:lineRule="auto"/>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按照业务科室工作分工，完成岗位职责任务。</w:t>
            </w:r>
          </w:p>
        </w:tc>
        <w:tc>
          <w:tcPr>
            <w:tcW w:w="4243" w:type="dxa"/>
            <w:vAlign w:val="center"/>
          </w:tcPr>
          <w:p w14:paraId="2249D3A1">
            <w:pPr>
              <w:spacing w:line="360" w:lineRule="auto"/>
              <w:jc w:val="center"/>
              <w:rPr>
                <w:rFonts w:hint="default" w:asciiTheme="minorEastAsia" w:hAnsiTheme="minorEastAsia" w:eastAsiaTheme="minorEastAsia" w:cstheme="minorEastAsia"/>
                <w:sz w:val="24"/>
                <w:szCs w:val="24"/>
                <w:lang w:val="en-US" w:eastAsia="zh-CN"/>
              </w:rPr>
            </w:pPr>
            <w:bookmarkStart w:id="162" w:name="OLE_LINK1"/>
            <w:r>
              <w:rPr>
                <w:rFonts w:hint="eastAsia" w:asciiTheme="minorEastAsia" w:hAnsiTheme="minorEastAsia" w:eastAsiaTheme="minorEastAsia" w:cstheme="minorEastAsia"/>
                <w:sz w:val="24"/>
                <w:szCs w:val="24"/>
                <w:lang w:val="en-US" w:eastAsia="zh-CN"/>
              </w:rPr>
              <w:t>全日制</w:t>
            </w:r>
            <w:bookmarkEnd w:id="162"/>
            <w:r>
              <w:rPr>
                <w:rFonts w:hint="eastAsia" w:asciiTheme="minorEastAsia" w:hAnsiTheme="minorEastAsia" w:eastAsiaTheme="minorEastAsia" w:cstheme="minorEastAsia"/>
                <w:sz w:val="24"/>
                <w:szCs w:val="24"/>
                <w:lang w:eastAsia="zh-CN"/>
              </w:rPr>
              <w:t>本科</w:t>
            </w:r>
            <w:r>
              <w:rPr>
                <w:rFonts w:hint="eastAsia" w:asciiTheme="minorEastAsia" w:hAnsiTheme="minorEastAsia" w:eastAsiaTheme="minorEastAsia" w:cstheme="minorEastAsia"/>
                <w:sz w:val="24"/>
                <w:szCs w:val="24"/>
              </w:rPr>
              <w:t>及以上</w:t>
            </w:r>
            <w:r>
              <w:rPr>
                <w:rFonts w:hint="eastAsia" w:asciiTheme="minorEastAsia" w:hAnsiTheme="minorEastAsia" w:eastAsiaTheme="minorEastAsia" w:cstheme="minorEastAsia"/>
                <w:sz w:val="24"/>
                <w:szCs w:val="24"/>
                <w:lang w:eastAsia="zh-CN"/>
              </w:rPr>
              <w:t>学历，</w:t>
            </w:r>
            <w:r>
              <w:rPr>
                <w:rFonts w:hint="eastAsia" w:asciiTheme="minorEastAsia" w:hAnsiTheme="minorEastAsia" w:eastAsiaTheme="minorEastAsia" w:cstheme="minorEastAsia"/>
                <w:sz w:val="24"/>
                <w:szCs w:val="24"/>
                <w:lang w:val="en-US" w:eastAsia="zh-CN"/>
              </w:rPr>
              <w:t>优先选派取得医师资格证者。</w:t>
            </w:r>
          </w:p>
        </w:tc>
      </w:tr>
      <w:tr w14:paraId="736E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5F56837A">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护理、医技等辅助人员</w:t>
            </w:r>
          </w:p>
        </w:tc>
        <w:tc>
          <w:tcPr>
            <w:tcW w:w="916" w:type="dxa"/>
            <w:vAlign w:val="center"/>
          </w:tcPr>
          <w:p w14:paraId="284765EC">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867" w:type="dxa"/>
            <w:vAlign w:val="center"/>
          </w:tcPr>
          <w:p w14:paraId="5257FAFC">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按照业务科室工作分工，完成岗位职责任务。</w:t>
            </w:r>
          </w:p>
        </w:tc>
        <w:tc>
          <w:tcPr>
            <w:tcW w:w="4243" w:type="dxa"/>
            <w:vAlign w:val="center"/>
          </w:tcPr>
          <w:p w14:paraId="3980205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本科</w:t>
            </w:r>
            <w:r>
              <w:rPr>
                <w:rFonts w:hint="eastAsia" w:asciiTheme="minorEastAsia" w:hAnsiTheme="minorEastAsia" w:eastAsiaTheme="minorEastAsia" w:cstheme="minorEastAsia"/>
                <w:sz w:val="24"/>
                <w:szCs w:val="24"/>
              </w:rPr>
              <w:t>及以上</w:t>
            </w:r>
            <w:r>
              <w:rPr>
                <w:rFonts w:hint="eastAsia" w:asciiTheme="minorEastAsia" w:hAnsiTheme="minorEastAsia" w:eastAsiaTheme="minorEastAsia" w:cstheme="minorEastAsia"/>
                <w:sz w:val="24"/>
                <w:szCs w:val="24"/>
                <w:lang w:eastAsia="zh-CN"/>
              </w:rPr>
              <w:t>学历，</w:t>
            </w:r>
            <w:r>
              <w:rPr>
                <w:rFonts w:hint="eastAsia" w:asciiTheme="minorEastAsia" w:hAnsiTheme="minorEastAsia" w:eastAsiaTheme="minorEastAsia" w:cstheme="minorEastAsia"/>
                <w:sz w:val="24"/>
                <w:szCs w:val="24"/>
                <w:lang w:val="en-US" w:eastAsia="zh-CN"/>
              </w:rPr>
              <w:t>助产士岗位学历可放宽至大专及以上。</w:t>
            </w:r>
          </w:p>
        </w:tc>
      </w:tr>
    </w:tbl>
    <w:p w14:paraId="686F7D55">
      <w:pPr>
        <w:pStyle w:val="13"/>
        <w:numPr>
          <w:ilvl w:val="0"/>
          <w:numId w:val="0"/>
        </w:num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注：人员薪酬承诺（提供承诺函）</w:t>
      </w:r>
    </w:p>
    <w:p w14:paraId="3675AAB6">
      <w:pPr>
        <w:pStyle w:val="13"/>
        <w:numPr>
          <w:ilvl w:val="0"/>
          <w:numId w:val="0"/>
        </w:num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本项目所有派驻岗位人员全部劳动报酬及福利待遇（含基本工资、绩效工资、各类津贴补贴、奖金、法定社会保险、住房公积金等全部用工成本），本项目最高限价预算中，统筹测算用工保障成本含个税合计3487375.92元（大写：叁佰肆拾捌万柒仟叁佰柒拾伍元玖角贰分），该费用系采购人结合现有在岗及历史结转人员薪酬待遇标准测算的用工成本管控参考额度，为保障人员薪酬足额落</w:t>
      </w:r>
      <w:bookmarkStart w:id="381" w:name="_GoBack"/>
      <w:bookmarkEnd w:id="381"/>
      <w:r>
        <w:rPr>
          <w:rFonts w:hint="eastAsia" w:asciiTheme="minorEastAsia" w:hAnsiTheme="minorEastAsia" w:eastAsiaTheme="minorEastAsia" w:cstheme="minorEastAsia"/>
          <w:b w:val="0"/>
          <w:bCs w:val="0"/>
          <w:sz w:val="24"/>
          <w:szCs w:val="24"/>
          <w:lang w:val="en-US" w:eastAsia="zh-CN"/>
        </w:rPr>
        <w:t>实，该部分费用在投标报价中作为不可竞争统筹费用，投标人报价须足额预留对应薪酬资金，不得通过压缩本项用工成本实现低价竞标；项目配套人员管理服务费含税297024.08元（大写：贰拾玖万柒仟零贰拾肆元零捌分），该费用纳入市场化竞价范围，由投标人结合自身运营管理水平自主报价（上述金额均为含税金额）。</w:t>
      </w:r>
    </w:p>
    <w:p w14:paraId="05DB2E38">
      <w:pPr>
        <w:pStyle w:val="13"/>
        <w:numPr>
          <w:ilvl w:val="0"/>
          <w:numId w:val="0"/>
        </w:numPr>
        <w:spacing w:line="360" w:lineRule="auto"/>
        <w:ind w:firstLine="480" w:firstLineChars="200"/>
        <w:rPr>
          <w:rFonts w:hint="default"/>
          <w:lang w:val="en-US" w:eastAsia="zh-CN"/>
        </w:rPr>
      </w:pPr>
      <w:r>
        <w:rPr>
          <w:rFonts w:hint="eastAsia" w:asciiTheme="minorEastAsia" w:hAnsiTheme="minorEastAsia" w:eastAsiaTheme="minorEastAsia" w:cstheme="minorEastAsia"/>
          <w:b w:val="0"/>
          <w:bCs w:val="0"/>
          <w:sz w:val="24"/>
          <w:szCs w:val="24"/>
          <w:lang w:val="en-US" w:eastAsia="zh-CN"/>
        </w:rPr>
        <w:t>人员薪酬标准不得低于本地区同行业同类岗位正常薪酬水平，且不低于采购人现行同类在岗人员、项目历史结转在岗人员原有同等薪酬及福利待遇标准。投标阶段投标人作合规性承诺即可，具体薪酬执行标准待中标后按采购人内部统一备案口径执行，确保从业人员薪资福利保障到位，不得低于采购人同岗同酬及历史结转人员既定薪酬保障水平。采购人现行同类岗位薪酬及福利待遇标准须来电详询，联系人：曾瑛 18083916767</w:t>
      </w:r>
    </w:p>
    <w:p w14:paraId="452C299A">
      <w:pPr>
        <w:pStyle w:val="13"/>
        <w:numPr>
          <w:ilvl w:val="0"/>
          <w:numId w:val="0"/>
        </w:num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2.上述人员误餐补助不低于330元/月。</w:t>
      </w:r>
    </w:p>
    <w:p w14:paraId="61AD84EA">
      <w:pPr>
        <w:pStyle w:val="13"/>
        <w:spacing w:line="360" w:lineRule="auto"/>
        <w:ind w:firstLine="480" w:firstLineChars="200"/>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投标人应充分调研本地区同行业同类岗位薪酬市场行情，合理测算人员用工成本，不得以异常低价恶意竞标；中标后若查实人员薪酬、社保、福利低于本文件约定双底线标准，采购人有权责令限期整改，情节严重的有权终止合同并记入不良信用记录。</w:t>
      </w:r>
    </w:p>
    <w:p w14:paraId="7F36FFFA">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二</w:t>
      </w:r>
      <w:r>
        <w:rPr>
          <w:rFonts w:hint="eastAsia" w:asciiTheme="minorEastAsia" w:hAnsiTheme="minorEastAsia" w:eastAsiaTheme="minorEastAsia" w:cstheme="minorEastAsia"/>
          <w:b w:val="0"/>
          <w:bCs w:val="0"/>
          <w:sz w:val="24"/>
          <w:szCs w:val="24"/>
          <w:lang w:eastAsia="zh-CN"/>
        </w:rPr>
        <w:t>）总体服务能力要求</w:t>
      </w:r>
    </w:p>
    <w:p w14:paraId="0B747CA7">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供应商须具备完善的服务运营管理体系，拥有人力资源服务、后勤服务、医疗辅助服务一体化运营能力，能够严格按照医院管理规范、医疗行业标准及政府采购相关规定，全面承接本项目所有岗位服务工作，保障医院日常运营有序、高效、安全开展。</w:t>
      </w:r>
    </w:p>
    <w:p w14:paraId="6C220D96">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供应商须具备良好的行业信誉与服务履约能力，近3年无重大服务质量投诉、无劳动用工纠纷、无安全生产责任事故，拥有承接医疗机构同类服务项目的成熟经验，熟悉医疗机构院感防控、医疗安全、后勤保障、医保结算等专项管理要求。</w:t>
      </w:r>
    </w:p>
    <w:p w14:paraId="4A90C789">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3.供应商须配备专职项目管理团队，指定项目总负责人，全面统筹项目服务运营、人员管理、沟通协调、问题整改等工作，能够及时响应医院各项工作要求，落实服务管控责任。</w:t>
      </w:r>
    </w:p>
    <w:p w14:paraId="4E5FAB49">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供应商须具备合规的用工管理能力，严格遵守《中华人民共和国劳动法》《中华人民共和国劳动合同法》等法律法规，与所有派驻服务人员签订合法劳动合同，足额缴纳社会保险及住房公积金，保障服务人员合法权益，杜绝各类用工风险。</w:t>
      </w:r>
    </w:p>
    <w:p w14:paraId="4456960F">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三</w:t>
      </w:r>
      <w:r>
        <w:rPr>
          <w:rFonts w:hint="eastAsia" w:asciiTheme="minorEastAsia" w:hAnsiTheme="minorEastAsia" w:eastAsiaTheme="minorEastAsia" w:cstheme="minorEastAsia"/>
          <w:b w:val="0"/>
          <w:bCs w:val="0"/>
          <w:sz w:val="24"/>
          <w:szCs w:val="24"/>
          <w:lang w:eastAsia="zh-CN"/>
        </w:rPr>
        <w:t>）专项服务能力要求</w:t>
      </w:r>
    </w:p>
    <w:p w14:paraId="6FAF50A8">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岗位定制化招聘服务能力</w:t>
      </w:r>
    </w:p>
    <w:p w14:paraId="1E79651F">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供应商须提供岗位定制化招聘服务，针对不同岗位制定专属招聘甄选方案：</w:t>
      </w:r>
    </w:p>
    <w:p w14:paraId="005F4CB7">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普通岗位按照既定任职资质开展标准化招聘，严格审核人员学历、证书、从业经历等核心条件；</w:t>
      </w:r>
    </w:p>
    <w:p w14:paraId="3917BF37">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2关键技术及管理岗位需提供专项甄选材料，其中厨师长岗位须提交过往3年内餐饮管理、后厨运营、成本管控、菜品管控等相关实际案例资料，供采购人审核评估，确保人员具备匹配医院需求的实战管理能力；</w:t>
      </w:r>
    </w:p>
    <w:p w14:paraId="1D954667">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3所有岗位人员招聘需贴合医疗机构服务特殊性，严把人员品行、健康、专业素养关口，确保招聘人员完全适配医院服务场景。</w:t>
      </w:r>
    </w:p>
    <w:p w14:paraId="2BA343EB">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关键岗位人员稳定性要求</w:t>
      </w:r>
    </w:p>
    <w:p w14:paraId="5EDD8EA6">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供应商须书面承诺关键岗位人员稳定性≥90%，本项目关键岗位包含：</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救护车/通勤车驾驶员、门诊住院收费员、医疗护理医技辅助人员、厨师长、</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厨师、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烘培师</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；供应商需建立关键岗位人员留存机制，通过合理薪酬福利、规范用工管</w:t>
      </w:r>
      <w:r>
        <w:rPr>
          <w:rFonts w:hint="eastAsia" w:asciiTheme="minorEastAsia" w:hAnsiTheme="minorEastAsia" w:eastAsiaTheme="minorEastAsia" w:cstheme="minorEastAsia"/>
          <w:b w:val="0"/>
          <w:bCs w:val="0"/>
          <w:sz w:val="24"/>
          <w:szCs w:val="24"/>
          <w:lang w:eastAsia="zh-CN"/>
        </w:rPr>
        <w:t>理降低人员流失率，避免因人员频繁变动影响医院服务连续性。</w:t>
      </w:r>
    </w:p>
    <w:p w14:paraId="5575209C">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四</w:t>
      </w:r>
      <w:r>
        <w:rPr>
          <w:rFonts w:hint="eastAsia" w:asciiTheme="minorEastAsia" w:hAnsiTheme="minorEastAsia" w:eastAsiaTheme="minorEastAsia" w:cstheme="minorEastAsia"/>
          <w:b w:val="0"/>
          <w:bCs w:val="0"/>
          <w:sz w:val="24"/>
          <w:szCs w:val="24"/>
          <w:lang w:eastAsia="zh-CN"/>
        </w:rPr>
        <w:t>）成本控制要求</w:t>
      </w:r>
    </w:p>
    <w:p w14:paraId="577AC2F5">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1.供应商须建立科学、规范的服务成本管控体系，报价为全费用包干价，包含所有派驻人员的员工薪资、社会保险、住房公积金、误餐补助、项目管理费、相关税费等全部费用，无任何额外隐形收费；</w:t>
      </w:r>
    </w:p>
    <w:p w14:paraId="14871720">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2.供应商承诺本项目总用工成本低于采购人同等条件下自主用工成本的5%-10%，实现人力成本合理优化，报价须符合市场公允价格，不得通过压低人员待遇、降低服务标准实现低价中标；</w:t>
      </w:r>
    </w:p>
    <w:p w14:paraId="08749893">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针对食堂类服务岗位，供应商须严格落实食材采购、物资消耗、人工成本等全流程成本管控，制定明细的成本核算方案，定期向采购人提交成本分析报告，确保食材新鲜优质、菜品定价合理、后厨损耗率控制在合理范围（食材损耗率≤5%），不得出现乱加价、偷工减料、以次充好等问题；</w:t>
      </w:r>
    </w:p>
    <w:p w14:paraId="110F8800">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供应商须优化人员配置与运营流程，合理统筹各岗位人员工作衔接，避免人员冗余、效率低下，降低管理成本与运营成本；所有成本支出须公开透明，接受采购人的监督与核查，不得擅自挤占、挪用服务经费，确保项目资金专款专用；</w:t>
      </w:r>
    </w:p>
    <w:p w14:paraId="08A37D41">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5.因供应商管理不善、操作不当造成的成本超支、物资损耗、设备损坏等，均由供应商自行承担，不得向采购人转嫁任何不合理成本费用。</w:t>
      </w:r>
    </w:p>
    <w:p w14:paraId="281B360A">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五</w:t>
      </w:r>
      <w:r>
        <w:rPr>
          <w:rFonts w:hint="eastAsia" w:asciiTheme="minorEastAsia" w:hAnsiTheme="minorEastAsia" w:eastAsiaTheme="minorEastAsia" w:cstheme="minorEastAsia"/>
          <w:b w:val="0"/>
          <w:bCs w:val="0"/>
          <w:sz w:val="24"/>
          <w:szCs w:val="24"/>
          <w:lang w:eastAsia="zh-CN"/>
        </w:rPr>
        <w:t>）人员管理要求</w:t>
      </w:r>
    </w:p>
    <w:p w14:paraId="452CCD45">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人员招聘与配置</w:t>
      </w:r>
    </w:p>
    <w:p w14:paraId="14DD767C">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人员招聘审核</w:t>
      </w:r>
    </w:p>
    <w:p w14:paraId="281926B6">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1.1.1</w:t>
      </w:r>
      <w:r>
        <w:rPr>
          <w:rFonts w:hint="eastAsia" w:asciiTheme="minorEastAsia" w:hAnsiTheme="minorEastAsia" w:eastAsiaTheme="minorEastAsia" w:cstheme="minorEastAsia"/>
          <w:b w:val="0"/>
          <w:bCs w:val="0"/>
          <w:sz w:val="24"/>
          <w:szCs w:val="24"/>
          <w:lang w:eastAsia="zh-CN"/>
        </w:rPr>
        <w:t>供应商须严格按照本项目岗位及职责要求，开展人员公开招聘、选拔工作，制定规范的招聘流程，对应聘人员的学历、资质证书、工作经验、健康状况、无犯罪记录等进行严格初审，确保所有派驻人员100%符合岗位任职条件；</w:t>
      </w:r>
    </w:p>
    <w:p w14:paraId="1254B30C">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1.1.2</w:t>
      </w:r>
      <w:r>
        <w:rPr>
          <w:rFonts w:hint="eastAsia" w:asciiTheme="minorEastAsia" w:hAnsiTheme="minorEastAsia" w:eastAsiaTheme="minorEastAsia" w:cstheme="minorEastAsia"/>
          <w:b w:val="0"/>
          <w:bCs w:val="0"/>
          <w:sz w:val="24"/>
          <w:szCs w:val="24"/>
          <w:lang w:eastAsia="zh-CN"/>
        </w:rPr>
        <w:t>所有岗位人员入岗前，必须经过采购人（医院）参与终面，终面合格、专业匹配后方可正式入职上岗，未经采购人终面同意的人员，不得派驻到岗；</w:t>
      </w:r>
    </w:p>
    <w:p w14:paraId="01F34AA9">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1.1.3</w:t>
      </w:r>
      <w:r>
        <w:rPr>
          <w:rFonts w:hint="eastAsia" w:asciiTheme="minorEastAsia" w:hAnsiTheme="minorEastAsia" w:eastAsiaTheme="minorEastAsia" w:cstheme="minorEastAsia"/>
          <w:b w:val="0"/>
          <w:bCs w:val="0"/>
          <w:sz w:val="24"/>
          <w:szCs w:val="24"/>
          <w:lang w:eastAsia="zh-CN"/>
        </w:rPr>
        <w:t>招聘过程须留存人员简历、资质证书复印件、健康体检报告、工作经验证明、背景调查记录、终面考核记录等全套资料，报采购人备案核查；严禁招聘有传染病史、违法犯罪记录、资质造假、不符合医疗机构从业要求的人员。</w:t>
      </w:r>
    </w:p>
    <w:p w14:paraId="496D6249">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2.岗位配置规范</w:t>
      </w:r>
    </w:p>
    <w:p w14:paraId="17AF3E61">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2.1</w:t>
      </w:r>
      <w:r>
        <w:rPr>
          <w:rFonts w:hint="eastAsia" w:asciiTheme="minorEastAsia" w:hAnsiTheme="minorEastAsia" w:eastAsiaTheme="minorEastAsia" w:cstheme="minorEastAsia"/>
          <w:b w:val="0"/>
          <w:bCs w:val="0"/>
          <w:sz w:val="24"/>
          <w:szCs w:val="24"/>
          <w:lang w:eastAsia="zh-CN"/>
        </w:rPr>
        <w:t>医疗护理、医技辅助、导乐分娩师等医疗相关岗位人员，须额外核查专业执业资质、从业经历，确保符合医疗机构医疗质量安全管理要求；食堂、保洁、服务员等后勤服务岗位，须全部持有效健康证上岗，每年定期完成健康体检；</w:t>
      </w:r>
    </w:p>
    <w:p w14:paraId="43A1A337">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2.2</w:t>
      </w:r>
      <w:r>
        <w:rPr>
          <w:rFonts w:hint="eastAsia" w:asciiTheme="minorEastAsia" w:hAnsiTheme="minorEastAsia" w:eastAsiaTheme="minorEastAsia" w:cstheme="minorEastAsia"/>
          <w:b w:val="0"/>
          <w:bCs w:val="0"/>
          <w:sz w:val="24"/>
          <w:szCs w:val="24"/>
          <w:lang w:eastAsia="zh-CN"/>
        </w:rPr>
        <w:t>驾驶员岗位严格实行24小时轮班值守制度，确保随时有2名驾驶员同时在岗待命，满足医院日常通勤、急救应急出车需求，杜绝出现值守空缺；</w:t>
      </w:r>
    </w:p>
    <w:p w14:paraId="7189863F">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2.3</w:t>
      </w:r>
      <w:r>
        <w:rPr>
          <w:rFonts w:hint="eastAsia" w:asciiTheme="minorEastAsia" w:hAnsiTheme="minorEastAsia" w:eastAsiaTheme="minorEastAsia" w:cstheme="minorEastAsia"/>
          <w:b w:val="0"/>
          <w:bCs w:val="0"/>
          <w:sz w:val="24"/>
          <w:szCs w:val="24"/>
          <w:lang w:eastAsia="zh-CN"/>
        </w:rPr>
        <w:t>所有派驻服务人员须统一着装、佩戴工牌，着装符合医疗机构卫生规范与服务形象要求，仪容仪表整洁规范，言行举止文明得体；</w:t>
      </w:r>
    </w:p>
    <w:p w14:paraId="76BF25F1">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2.4</w:t>
      </w:r>
      <w:r>
        <w:rPr>
          <w:rFonts w:hint="eastAsia" w:asciiTheme="minorEastAsia" w:hAnsiTheme="minorEastAsia" w:eastAsiaTheme="minorEastAsia" w:cstheme="minorEastAsia"/>
          <w:b w:val="0"/>
          <w:bCs w:val="0"/>
          <w:sz w:val="24"/>
          <w:szCs w:val="24"/>
          <w:lang w:eastAsia="zh-CN"/>
        </w:rPr>
        <w:t>供应商须建立人员档案管理制度，为每位服务人员建立专属档案，包含个人信息、资质证书、劳动合同、考勤记录、培训记录、考核结果等资料，档案留存期限不低于服务合同终止后3年；</w:t>
      </w:r>
    </w:p>
    <w:p w14:paraId="7FF668B2">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2.5</w:t>
      </w:r>
      <w:r>
        <w:rPr>
          <w:rFonts w:hint="eastAsia" w:asciiTheme="minorEastAsia" w:hAnsiTheme="minorEastAsia" w:eastAsiaTheme="minorEastAsia" w:cstheme="minorEastAsia"/>
          <w:b w:val="0"/>
          <w:bCs w:val="0"/>
          <w:sz w:val="24"/>
          <w:szCs w:val="24"/>
          <w:lang w:eastAsia="zh-CN"/>
        </w:rPr>
        <w:t>服务人员岗位调整、离职、补充须提前7个工作日书面告知采购人，经采购人同意后方可执行；离职人员须做好工作交接，补充人员须完成岗前培训并考核合格后上岗，确保服务工作无缝衔接。</w:t>
      </w:r>
    </w:p>
    <w:p w14:paraId="6BD86CD3">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培训体系及专项培训要求</w:t>
      </w:r>
    </w:p>
    <w:p w14:paraId="1277DAA1">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1通用培训要求</w:t>
      </w:r>
    </w:p>
    <w:p w14:paraId="6E71E1F4">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3.1.1</w:t>
      </w:r>
      <w:r>
        <w:rPr>
          <w:rFonts w:hint="eastAsia" w:asciiTheme="minorEastAsia" w:hAnsiTheme="minorEastAsia" w:eastAsiaTheme="minorEastAsia" w:cstheme="minorEastAsia"/>
          <w:b w:val="0"/>
          <w:bCs w:val="0"/>
          <w:sz w:val="24"/>
          <w:szCs w:val="24"/>
          <w:lang w:eastAsia="zh-CN"/>
        </w:rPr>
        <w:t>供应商须建立健全常态化、系统化的服务人员培训体系，制定覆盖岗前培训、在岗培训、专项培训的全周期培训计划，明确培训目标、内容、时长、考核方式，确保所有服务人员具备岗位所需专业技能与服务素养；</w:t>
      </w:r>
    </w:p>
    <w:p w14:paraId="0526C6BF">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3.1.2</w:t>
      </w:r>
      <w:r>
        <w:rPr>
          <w:rFonts w:hint="eastAsia" w:asciiTheme="minorEastAsia" w:hAnsiTheme="minorEastAsia" w:eastAsiaTheme="minorEastAsia" w:cstheme="minorEastAsia"/>
          <w:b w:val="0"/>
          <w:bCs w:val="0"/>
          <w:sz w:val="24"/>
          <w:szCs w:val="24"/>
          <w:lang w:eastAsia="zh-CN"/>
        </w:rPr>
        <w:t>岗前培训：所有新入职人员必须完成岗前培训且考核合格后方可上岗，培训内容包括岗位操作规范、医院规章制度、服务礼仪、安全管理、院感防控、应急处置等，培训时长不低于40学时；</w:t>
      </w:r>
    </w:p>
    <w:p w14:paraId="0445CB13">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3.1.3</w:t>
      </w:r>
      <w:r>
        <w:rPr>
          <w:rFonts w:hint="eastAsia" w:asciiTheme="minorEastAsia" w:hAnsiTheme="minorEastAsia" w:eastAsiaTheme="minorEastAsia" w:cstheme="minorEastAsia"/>
          <w:b w:val="0"/>
          <w:bCs w:val="0"/>
          <w:sz w:val="24"/>
          <w:szCs w:val="24"/>
          <w:lang w:eastAsia="zh-CN"/>
        </w:rPr>
        <w:t>在岗培训：定期组织在岗人员开展技能提升、服务优化、制度更新等培训，每月培训不少于1次，每季度开展1次全员考核，不断提升服务人员专业能力与服务水平；</w:t>
      </w:r>
    </w:p>
    <w:p w14:paraId="043255F3">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3.1.4</w:t>
      </w:r>
      <w:r>
        <w:rPr>
          <w:rFonts w:hint="eastAsia" w:asciiTheme="minorEastAsia" w:hAnsiTheme="minorEastAsia" w:eastAsiaTheme="minorEastAsia" w:cstheme="minorEastAsia"/>
          <w:b w:val="0"/>
          <w:bCs w:val="0"/>
          <w:sz w:val="24"/>
          <w:szCs w:val="24"/>
          <w:lang w:eastAsia="zh-CN"/>
        </w:rPr>
        <w:t>培训管理：供应商须留存完整的培训计划、培训课件、签到记录、培训视频、考核结果等资料，定期向采购人报送培训开展情况，接受采购人的监督与检查。</w:t>
      </w:r>
    </w:p>
    <w:p w14:paraId="7E413A68">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eastAsia="zh-CN"/>
        </w:rPr>
        <w:t>.岗位专项培训要求</w:t>
      </w:r>
    </w:p>
    <w:p w14:paraId="7EC4D350">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4.1</w:t>
      </w:r>
      <w:r>
        <w:rPr>
          <w:rFonts w:hint="eastAsia" w:asciiTheme="minorEastAsia" w:hAnsiTheme="minorEastAsia" w:eastAsiaTheme="minorEastAsia" w:cstheme="minorEastAsia"/>
          <w:b w:val="0"/>
          <w:bCs w:val="0"/>
          <w:sz w:val="24"/>
          <w:szCs w:val="24"/>
          <w:lang w:eastAsia="zh-CN"/>
        </w:rPr>
        <w:t>食堂岗位专项培训：每季度组织食堂全体工作人员开展1次食品安全法规专项培训，同时结合医院孕产妇、患儿等特殊就诊人群膳食需求，开展病号餐定制、特殊点餐服务、营养搭配等专项培训，能够精准提供适配患者需求的特殊膳食服务；</w:t>
      </w:r>
    </w:p>
    <w:p w14:paraId="55CE0DD1">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4.2</w:t>
      </w:r>
      <w:r>
        <w:rPr>
          <w:rFonts w:hint="eastAsia" w:asciiTheme="minorEastAsia" w:hAnsiTheme="minorEastAsia" w:eastAsiaTheme="minorEastAsia" w:cstheme="minorEastAsia"/>
          <w:b w:val="0"/>
          <w:bCs w:val="0"/>
          <w:sz w:val="24"/>
          <w:szCs w:val="24"/>
          <w:lang w:eastAsia="zh-CN"/>
        </w:rPr>
        <w:t>导诊、收费员岗位专项培训：上岗前必须接受采购人组织的医院信息系统（HIS）操作、医保结算流程、医患沟通技巧、就诊流程引导等专项培训，考核合格后方可上岗，熟练掌握岗位实操技能；</w:t>
      </w:r>
    </w:p>
    <w:p w14:paraId="406DA816">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4.3</w:t>
      </w:r>
      <w:r>
        <w:rPr>
          <w:rFonts w:hint="eastAsia" w:asciiTheme="minorEastAsia" w:hAnsiTheme="minorEastAsia" w:eastAsiaTheme="minorEastAsia" w:cstheme="minorEastAsia"/>
          <w:b w:val="0"/>
          <w:bCs w:val="0"/>
          <w:sz w:val="24"/>
          <w:szCs w:val="24"/>
          <w:lang w:eastAsia="zh-CN"/>
        </w:rPr>
        <w:t>驾驶员岗位专项培训：每年组织全体驾驶员开展急救知识、医院内部路线熟悉、应急出车流程、交通安全规范等专项培训及应急演练，提升驾驶员应急响应、急救配合、安全驾驶能力，保障应急任务高效完成；</w:t>
      </w:r>
    </w:p>
    <w:p w14:paraId="6A879E6E">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4.4</w:t>
      </w:r>
      <w:r>
        <w:rPr>
          <w:rFonts w:hint="eastAsia" w:asciiTheme="minorEastAsia" w:hAnsiTheme="minorEastAsia" w:eastAsiaTheme="minorEastAsia" w:cstheme="minorEastAsia"/>
          <w:b w:val="0"/>
          <w:bCs w:val="0"/>
          <w:sz w:val="24"/>
          <w:szCs w:val="24"/>
          <w:lang w:eastAsia="zh-CN"/>
        </w:rPr>
        <w:t>医疗相关岗位专项培训：针对医疗护理、医技辅助、导乐分娩师等岗位，每月开展医疗核心制度、院感防控、医疗纠纷防范、患者心理疏导等专项培训，每半年开展1次医疗安全应急演练，确保人员熟悉医疗操作规范，规避医疗风险；</w:t>
      </w:r>
    </w:p>
    <w:p w14:paraId="7F471B01">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4.5</w:t>
      </w:r>
      <w:r>
        <w:rPr>
          <w:rFonts w:hint="eastAsia" w:asciiTheme="minorEastAsia" w:hAnsiTheme="minorEastAsia" w:eastAsiaTheme="minorEastAsia" w:cstheme="minorEastAsia"/>
          <w:b w:val="0"/>
          <w:bCs w:val="0"/>
          <w:sz w:val="24"/>
          <w:szCs w:val="24"/>
          <w:lang w:eastAsia="zh-CN"/>
        </w:rPr>
        <w:t>服务礼仪与安全生产专项培训：针对所有窗口岗位、后勤岗位，定期开展服务礼仪、安全生产、消防应急、院感防控等培训，全面提升人员综合服务与安全防范能力。</w:t>
      </w:r>
    </w:p>
    <w:p w14:paraId="4CF89625">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考核机制</w:t>
      </w:r>
    </w:p>
    <w:p w14:paraId="6C2BFE1A">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1月度量化考核指标</w:t>
      </w:r>
    </w:p>
    <w:p w14:paraId="163F7505">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供应商须严格按照以下指标，对各岗位人员开展月度量化考核，所有指标须全部达标：</w:t>
      </w:r>
    </w:p>
    <w:p w14:paraId="551BF4F4">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5.1.1</w:t>
      </w:r>
      <w:r>
        <w:rPr>
          <w:rFonts w:hint="eastAsia" w:asciiTheme="minorEastAsia" w:hAnsiTheme="minorEastAsia" w:eastAsiaTheme="minorEastAsia" w:cstheme="minorEastAsia"/>
          <w:b w:val="0"/>
          <w:bCs w:val="0"/>
          <w:sz w:val="24"/>
          <w:szCs w:val="24"/>
          <w:lang w:eastAsia="zh-CN"/>
        </w:rPr>
        <w:t>食堂工作人员：患者满意度≥90%、卫生检查达标率100%；</w:t>
      </w:r>
    </w:p>
    <w:p w14:paraId="0A5F94A3">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5.1.2</w:t>
      </w:r>
      <w:r>
        <w:rPr>
          <w:rFonts w:hint="eastAsia" w:asciiTheme="minorEastAsia" w:hAnsiTheme="minorEastAsia" w:eastAsiaTheme="minorEastAsia" w:cstheme="minorEastAsia"/>
          <w:b w:val="0"/>
          <w:bCs w:val="0"/>
          <w:sz w:val="24"/>
          <w:szCs w:val="24"/>
          <w:lang w:eastAsia="zh-CN"/>
        </w:rPr>
        <w:t>驾驶员：出车响应时间≤3分钟、车辆故障率≤2%；</w:t>
      </w:r>
    </w:p>
    <w:p w14:paraId="70EC5882">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5.1.3</w:t>
      </w:r>
      <w:r>
        <w:rPr>
          <w:rFonts w:hint="eastAsia" w:asciiTheme="minorEastAsia" w:hAnsiTheme="minorEastAsia" w:eastAsiaTheme="minorEastAsia" w:cstheme="minorEastAsia"/>
          <w:b w:val="0"/>
          <w:bCs w:val="0"/>
          <w:sz w:val="24"/>
          <w:szCs w:val="24"/>
          <w:lang w:eastAsia="zh-CN"/>
        </w:rPr>
        <w:t>收费员：费用结算差错率≤0.1%；</w:t>
      </w:r>
    </w:p>
    <w:p w14:paraId="6765F552">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5.1.4</w:t>
      </w:r>
      <w:r>
        <w:rPr>
          <w:rFonts w:hint="eastAsia" w:asciiTheme="minorEastAsia" w:hAnsiTheme="minorEastAsia" w:eastAsiaTheme="minorEastAsia" w:cstheme="minorEastAsia"/>
          <w:b w:val="0"/>
          <w:bCs w:val="0"/>
          <w:sz w:val="24"/>
          <w:szCs w:val="24"/>
          <w:lang w:eastAsia="zh-CN"/>
        </w:rPr>
        <w:t>导诊、导乐分娩师：患者满意度≥90%；</w:t>
      </w:r>
    </w:p>
    <w:p w14:paraId="1F9713E4">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5.1.5</w:t>
      </w:r>
      <w:r>
        <w:rPr>
          <w:rFonts w:hint="eastAsia" w:asciiTheme="minorEastAsia" w:hAnsiTheme="minorEastAsia" w:eastAsiaTheme="minorEastAsia" w:cstheme="minorEastAsia"/>
          <w:b w:val="0"/>
          <w:bCs w:val="0"/>
          <w:sz w:val="24"/>
          <w:szCs w:val="24"/>
          <w:lang w:eastAsia="zh-CN"/>
        </w:rPr>
        <w:t>洗衣工：职工满意度≥90%；</w:t>
      </w:r>
    </w:p>
    <w:p w14:paraId="4E06887C">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5.1.6</w:t>
      </w:r>
      <w:r>
        <w:rPr>
          <w:rFonts w:hint="eastAsia" w:asciiTheme="minorEastAsia" w:hAnsiTheme="minorEastAsia" w:eastAsiaTheme="minorEastAsia" w:cstheme="minorEastAsia"/>
          <w:b w:val="0"/>
          <w:bCs w:val="0"/>
          <w:sz w:val="24"/>
          <w:szCs w:val="24"/>
          <w:lang w:eastAsia="zh-CN"/>
        </w:rPr>
        <w:t>医疗、护理、医技等岗位人员：患者满意度≥90%；</w:t>
      </w:r>
    </w:p>
    <w:p w14:paraId="0798D2B6">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5.1.7</w:t>
      </w:r>
      <w:r>
        <w:rPr>
          <w:rFonts w:hint="eastAsia" w:asciiTheme="minorEastAsia" w:hAnsiTheme="minorEastAsia" w:eastAsiaTheme="minorEastAsia" w:cstheme="minorEastAsia"/>
          <w:b w:val="0"/>
          <w:bCs w:val="0"/>
          <w:sz w:val="24"/>
          <w:szCs w:val="24"/>
          <w:lang w:eastAsia="zh-CN"/>
        </w:rPr>
        <w:t>各类辅助岗位人员：职工满意度≥90%；</w:t>
      </w:r>
    </w:p>
    <w:p w14:paraId="5E02EAE3">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5.1.8</w:t>
      </w:r>
      <w:r>
        <w:rPr>
          <w:rFonts w:hint="eastAsia" w:asciiTheme="minorEastAsia" w:hAnsiTheme="minorEastAsia" w:eastAsiaTheme="minorEastAsia" w:cstheme="minorEastAsia"/>
          <w:b w:val="0"/>
          <w:bCs w:val="0"/>
          <w:sz w:val="24"/>
          <w:szCs w:val="24"/>
          <w:lang w:eastAsia="zh-CN"/>
        </w:rPr>
        <w:t>全岗位通用指标：人员出勤率100%、岗位到岗率100%。</w:t>
      </w:r>
    </w:p>
    <w:p w14:paraId="2CDD5685">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2规范考核程序</w:t>
      </w:r>
    </w:p>
    <w:p w14:paraId="23AF9EA6">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5.2.1</w:t>
      </w:r>
      <w:r>
        <w:rPr>
          <w:rFonts w:hint="eastAsia" w:asciiTheme="minorEastAsia" w:hAnsiTheme="minorEastAsia" w:eastAsiaTheme="minorEastAsia" w:cstheme="minorEastAsia"/>
          <w:b w:val="0"/>
          <w:bCs w:val="0"/>
          <w:sz w:val="24"/>
          <w:szCs w:val="24"/>
          <w:lang w:eastAsia="zh-CN"/>
        </w:rPr>
        <w:t>供应商作为考核责任主体，须在每月10日前完成对各岗位人员出勤情况、服务满意度、岗位职责履行、工作规范执行等情况的全面考核，形成完整考核资料及考核结果；</w:t>
      </w:r>
    </w:p>
    <w:p w14:paraId="43EB2F3D">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5.2.2</w:t>
      </w:r>
      <w:r>
        <w:rPr>
          <w:rFonts w:hint="eastAsia" w:asciiTheme="minorEastAsia" w:hAnsiTheme="minorEastAsia" w:eastAsiaTheme="minorEastAsia" w:cstheme="minorEastAsia"/>
          <w:b w:val="0"/>
          <w:bCs w:val="0"/>
          <w:sz w:val="24"/>
          <w:szCs w:val="24"/>
          <w:lang w:eastAsia="zh-CN"/>
        </w:rPr>
        <w:t>每月12日前，供应商将正式考核结果、考核佐证材料统一报送至阿克苏地区妇幼保健院（地区卫生健康服务中心）组织人事科进行审核；</w:t>
      </w:r>
    </w:p>
    <w:p w14:paraId="0A16F27B">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5.2.3</w:t>
      </w:r>
      <w:r>
        <w:rPr>
          <w:rFonts w:hint="eastAsia" w:asciiTheme="minorEastAsia" w:hAnsiTheme="minorEastAsia" w:eastAsiaTheme="minorEastAsia" w:cstheme="minorEastAsia"/>
          <w:b w:val="0"/>
          <w:bCs w:val="0"/>
          <w:sz w:val="24"/>
          <w:szCs w:val="24"/>
          <w:lang w:eastAsia="zh-CN"/>
        </w:rPr>
        <w:t>考核结果经组织人事科审核确认后，报医院分管领导审批，审批通过后的考核结果，作为当月服务费支付的核心依据；</w:t>
      </w:r>
    </w:p>
    <w:p w14:paraId="222AB549">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5.2.4</w:t>
      </w:r>
      <w:r>
        <w:rPr>
          <w:rFonts w:hint="eastAsia" w:asciiTheme="minorEastAsia" w:hAnsiTheme="minorEastAsia" w:eastAsiaTheme="minorEastAsia" w:cstheme="minorEastAsia"/>
          <w:b w:val="0"/>
          <w:bCs w:val="0"/>
          <w:sz w:val="24"/>
          <w:szCs w:val="24"/>
          <w:lang w:eastAsia="zh-CN"/>
        </w:rPr>
        <w:t>若考核指标未达标，供应商须限期整改到位，直至符合考核标准。</w:t>
      </w:r>
    </w:p>
    <w:p w14:paraId="187CE619">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六</w:t>
      </w:r>
      <w:r>
        <w:rPr>
          <w:rFonts w:hint="eastAsia" w:asciiTheme="minorEastAsia" w:hAnsiTheme="minorEastAsia" w:eastAsiaTheme="minorEastAsia" w:cstheme="minorEastAsia"/>
          <w:b w:val="0"/>
          <w:bCs w:val="0"/>
          <w:sz w:val="24"/>
          <w:szCs w:val="24"/>
          <w:lang w:eastAsia="zh-CN"/>
        </w:rPr>
        <w:t>）人员储备要求</w:t>
      </w:r>
    </w:p>
    <w:p w14:paraId="77294CBB">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1.供应商须建立本项目专项人员储备库，针对所有服务岗位，按在岗人员总数的15%-20%储备备用人员，储备人员须完全符合对应岗位任职要求，完成全部岗前培训与专项培训，具备随时上岗能力；</w:t>
      </w:r>
    </w:p>
    <w:p w14:paraId="47D22318">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2.储备人员信息须提前报采购人备案，包含人员资质、培训记录、联系方式等；当在岗人员出现离职、请假、突发状况等缺岗情况时，供应商须在24小时内安排储备人员到岗顶岗，确保服务工作不受影响；</w:t>
      </w:r>
    </w:p>
    <w:p w14:paraId="1E07252B">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3.定期对储备人员开展技能更新培训，保持储备人员专业能力与服务水平，不得因人员储备不足、顶岗人员不达标影响项目服务质量。</w:t>
      </w:r>
    </w:p>
    <w:p w14:paraId="2508B240">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七</w:t>
      </w:r>
      <w:r>
        <w:rPr>
          <w:rFonts w:hint="eastAsia" w:asciiTheme="minorEastAsia" w:hAnsiTheme="minorEastAsia" w:eastAsiaTheme="minorEastAsia" w:cstheme="minorEastAsia"/>
          <w:b w:val="0"/>
          <w:bCs w:val="0"/>
          <w:sz w:val="24"/>
          <w:szCs w:val="24"/>
          <w:lang w:eastAsia="zh-CN"/>
        </w:rPr>
        <w:t>）应急保障机制要求</w:t>
      </w:r>
    </w:p>
    <w:p w14:paraId="3EAA61C1">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1.供应商须建立完善的应急保障机制，制定食品安全事故、医疗应急救援、突发公共卫生事件、安全生产事故、人员大规模缺岗、设备故障等各类突发事件应急预案，明确应急处置流程、责任人员、处置时限；</w:t>
      </w:r>
    </w:p>
    <w:p w14:paraId="3044F9A0">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2.成立专项应急工作小组，由项目负责人担任组长，所有服务人员纳入应急队伍，定期组织应急演练，每半年至少开展1次综合应急演练，提升应急处置能力，确保突发事件发生时能够快速响应、有效处置；</w:t>
      </w:r>
    </w:p>
    <w:p w14:paraId="1192CFEE">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医疗应急保障：救护车驾驶员、医疗辅助人员须24小时待命，接到应急出诊指令后立即响应，配合医院完成急救转运、医疗辅助等工作；突发公共卫生事件期间，严格按照医院要求落实防控措施，全力配合应急处置工作；</w:t>
      </w:r>
    </w:p>
    <w:p w14:paraId="6F8CF5B2">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后勤应急保障：突发食品安全问题时，立即停止供餐，封存问题食材，启动溯源排查，配合相关部门处置；突发车辆故障、水电故障时，第一时间组织抢修，保障医院运营不受影响；极端天气、节假日等特殊时段，加强人员值守，做好应急保障；</w:t>
      </w:r>
    </w:p>
    <w:p w14:paraId="304768D1">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5.应急上报：发生各类突发事件，须第一时间向采购人报告，不得迟报、瞒报、漏报，并按照应急预案快速开展处置工作，最大限度降低事件影响，事后及时提交应急处置报告。</w:t>
      </w:r>
    </w:p>
    <w:p w14:paraId="418E8830">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八</w:t>
      </w:r>
      <w:r>
        <w:rPr>
          <w:rFonts w:hint="eastAsia" w:asciiTheme="minorEastAsia" w:hAnsiTheme="minorEastAsia" w:eastAsiaTheme="minorEastAsia" w:cstheme="minorEastAsia"/>
          <w:b w:val="0"/>
          <w:bCs w:val="0"/>
          <w:sz w:val="24"/>
          <w:szCs w:val="24"/>
          <w:lang w:eastAsia="zh-CN"/>
        </w:rPr>
        <w:t>）考核与验收要求</w:t>
      </w:r>
    </w:p>
    <w:p w14:paraId="78DF1A96">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1.本项目实行日常核查、月度考核、季度考评、合同期满验收相结合的管控方式，验收与考核标准严格按照本采购需求、招标文件、投标文件、服务合同约定执行；</w:t>
      </w:r>
    </w:p>
    <w:p w14:paraId="3D03E884">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2.日常验收：按日/周对各岗位服务质量、工作完成情况、考核指标落实情况进行核查，确保各项服务符合约定标准；月度考核严格按照上述考核程序及量化指标执行；</w:t>
      </w:r>
    </w:p>
    <w:p w14:paraId="0F559F7B">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3.合同期满验收：服务合同到期前，采购人对项目整体服务情况、人员管理、资料留存、工作交接、成本管控成效等进行全面验收，验收合格后方可办理合同终止手续；</w:t>
      </w:r>
    </w:p>
    <w:p w14:paraId="194A6DC1">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4.所有考核、验收须形成书面记录，由双方签字确认，作为费用结算、合同履约的重要依据。</w:t>
      </w:r>
    </w:p>
    <w:p w14:paraId="5F3EA469">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九</w:t>
      </w:r>
      <w:r>
        <w:rPr>
          <w:rFonts w:hint="eastAsia" w:asciiTheme="minorEastAsia" w:hAnsiTheme="minorEastAsia" w:eastAsiaTheme="minorEastAsia" w:cstheme="minorEastAsia"/>
          <w:b w:val="0"/>
          <w:bCs w:val="0"/>
          <w:sz w:val="24"/>
          <w:szCs w:val="24"/>
          <w:lang w:eastAsia="zh-CN"/>
        </w:rPr>
        <w:t>）核心服务内容及责任划分</w:t>
      </w:r>
    </w:p>
    <w:p w14:paraId="5C052128">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供应商核心责任</w:t>
      </w:r>
    </w:p>
    <w:p w14:paraId="65A7E7FE">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全面负责本项目所有服务人员的招聘、培训、考勤、薪酬发放、社保公积金缴纳、误餐补助发放、离职管理等全流程用工管理，承担所有用工法律责任，发生劳动纠纷的，由供应商全权处理并承担全部责任，供应商未缴纳社保导致员工起诉，所有赔偿和滞纳金由供应商承担；</w:t>
      </w:r>
    </w:p>
    <w:p w14:paraId="7FF4512E">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2严格按照采购需求及合同约定，提供符合标准的各项服务，对服务质量、安全生产、食品安全、医疗安全、人员合规性、考核指标达标承担全部责任；</w:t>
      </w:r>
    </w:p>
    <w:p w14:paraId="192E5439">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3负责服务人员工作服装、日常工作耗材（不含医院专用医疗物资）、岗位工具、设备日常维护保养等相关费用与管理工作；</w:t>
      </w:r>
    </w:p>
    <w:p w14:paraId="41B875F8">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4配合采购人完成各项监督检查、考核验收、应急处置、资料报送等工作，接受采购人及相关监管部门的监督管理；</w:t>
      </w:r>
    </w:p>
    <w:p w14:paraId="361F487D">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5承担因服务人员操作不当、管理不善、违规违约等造成的人身伤害、财产损失、医疗纠纷、行政处罚等全部责任及经济赔偿。</w:t>
      </w:r>
    </w:p>
    <w:p w14:paraId="2F1AF7F4">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采购人核心责任</w:t>
      </w:r>
    </w:p>
    <w:p w14:paraId="338E5FE4">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2.1</w:t>
      </w:r>
      <w:r>
        <w:rPr>
          <w:rFonts w:hint="eastAsia" w:asciiTheme="minorEastAsia" w:hAnsiTheme="minorEastAsia" w:eastAsiaTheme="minorEastAsia" w:cstheme="minorEastAsia"/>
          <w:b w:val="0"/>
          <w:bCs w:val="0"/>
          <w:sz w:val="24"/>
          <w:szCs w:val="24"/>
          <w:lang w:eastAsia="zh-CN"/>
        </w:rPr>
        <w:t>为供应商提供服务开展所需的固定工作场地、基础办公设施、专用医疗物资（仅限医疗辅助服务），明确服务工作要求与管理规范；</w:t>
      </w:r>
    </w:p>
    <w:p w14:paraId="05CBB782">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2对供应商服务工作进行统一监督、管理、指导、考核，及时反馈服务问题，参与岗位人员终面、培训监督、考核审核，协调解决服务开展过程中的相关问题；</w:t>
      </w:r>
    </w:p>
    <w:p w14:paraId="7206C0B3">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3按照合同约定及考核结果，按时向供应商支付服务费用。</w:t>
      </w:r>
    </w:p>
    <w:p w14:paraId="74942F10">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责任划分界定</w:t>
      </w:r>
    </w:p>
    <w:p w14:paraId="7ADD7513">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1因供应商未按约定提供服务、人员资质不达标、管理不到位、违规操作、考核不达标等产生的一切责任、费用及法律后果，均由供应商承担；</w:t>
      </w:r>
    </w:p>
    <w:p w14:paraId="07DF3014">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3.2</w:t>
      </w:r>
      <w:r>
        <w:rPr>
          <w:rFonts w:hint="eastAsia" w:asciiTheme="minorEastAsia" w:hAnsiTheme="minorEastAsia" w:eastAsiaTheme="minorEastAsia" w:cstheme="minorEastAsia"/>
          <w:b w:val="0"/>
          <w:bCs w:val="0"/>
          <w:sz w:val="24"/>
          <w:szCs w:val="24"/>
          <w:lang w:eastAsia="zh-CN"/>
        </w:rPr>
        <w:t>因采购人指挥不当、提供的设施设备故障等原因造成的损失，由采购人承担相应责任；</w:t>
      </w:r>
    </w:p>
    <w:p w14:paraId="46A5EA0D">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双方共同确认的服务工作界面、责任范围，严格按照合同约定执行，不得推诿扯皮。</w:t>
      </w:r>
    </w:p>
    <w:p w14:paraId="48B8E196">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十</w:t>
      </w:r>
      <w:r>
        <w:rPr>
          <w:rFonts w:hint="eastAsia" w:asciiTheme="minorEastAsia" w:hAnsiTheme="minorEastAsia" w:eastAsiaTheme="minorEastAsia" w:cstheme="minorEastAsia"/>
          <w:b w:val="0"/>
          <w:bCs w:val="0"/>
          <w:sz w:val="24"/>
          <w:szCs w:val="24"/>
          <w:lang w:eastAsia="zh-CN"/>
        </w:rPr>
        <w:t>）费用结算要求</w:t>
      </w:r>
    </w:p>
    <w:p w14:paraId="363502B6">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项目服务费用按月结算，供应商须在每月10日前完成月度考核，并于每月12日前提交上月费用结算申请、考核结果、考核佐证、工作完成证明等相关资料，经采购人审核、审批通过后，按照合同约定流程办理费用结算；</w:t>
      </w:r>
    </w:p>
    <w:p w14:paraId="79E1BBED">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2.费用结算严格按照中标（成交）全费用包干价格执行，包含薪资、社保、公积金、误餐补助、管理费、税费等全部费用，不得擅自增设收费项目、提高收费标准，采购人不再支付任何额外费用；</w:t>
      </w:r>
    </w:p>
    <w:p w14:paraId="22CFDF89">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3.若月度考核不合格、服务未达标、出现违规违约情况，采购人有权按照合同约定处理，供应商须限期整改合格；</w:t>
      </w:r>
    </w:p>
    <w:p w14:paraId="14977B70">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4.供应商须提供合法、有效的正规发票，配合采购人完成财务结算审核；因供应商资料不全、票据不合规造成的结算延迟，由供应商自行承担责任；</w:t>
      </w:r>
    </w:p>
    <w:p w14:paraId="60AD63B4">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 服务合同终止、验收合格后，采购人在约定期限内完成剩余费用结算，无拖欠、无克扣。</w:t>
      </w:r>
    </w:p>
    <w:p w14:paraId="3CFE29C9">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十一</w:t>
      </w:r>
      <w:r>
        <w:rPr>
          <w:rFonts w:hint="eastAsia" w:asciiTheme="minorEastAsia" w:hAnsiTheme="minorEastAsia" w:eastAsiaTheme="minorEastAsia" w:cstheme="minorEastAsia"/>
          <w:b w:val="0"/>
          <w:bCs w:val="0"/>
          <w:sz w:val="24"/>
          <w:szCs w:val="24"/>
          <w:lang w:eastAsia="zh-CN"/>
        </w:rPr>
        <w:t>）项目预期成效</w:t>
      </w:r>
    </w:p>
    <w:p w14:paraId="346D6222">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1.通过专业化人力资源服务及科学成本管控，实现医院人力成本优化，年度降低招聘、培训、用工管理等直接成本5%-10%；</w:t>
      </w:r>
    </w:p>
    <w:p w14:paraId="134FF2D5">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2.全面提升医院后勤、医疗辅助等岗位服务质量和工作效率，优化服务流程，提升患者及职工就医、办公满意度；</w:t>
      </w:r>
    </w:p>
    <w:p w14:paraId="4673E0A9">
      <w:pPr>
        <w:pStyle w:val="13"/>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3.实现后勤岗位事务性工作减负，后勤岗位日常事务性工作量减少20%，让医院管理团队聚焦核心医疗业务，提升医院整体运营管理效能。</w:t>
      </w:r>
    </w:p>
    <w:p w14:paraId="09402FE6">
      <w:pPr>
        <w:pStyle w:val="13"/>
        <w:spacing w:line="360" w:lineRule="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四、商务要求</w:t>
      </w:r>
    </w:p>
    <w:p w14:paraId="0906CB4F">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1、合同履行期限：</w:t>
      </w: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月1日至202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月30日</w:t>
      </w:r>
    </w:p>
    <w:p w14:paraId="27D3B050">
      <w:pPr>
        <w:spacing w:line="360" w:lineRule="auto"/>
        <w:ind w:firstLine="480" w:firstLineChars="200"/>
        <w:rPr>
          <w:rFonts w:hint="default"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2、地点：阿克苏地区妇幼保健院（地区卫生健康服务中心）指定地点。</w:t>
      </w:r>
    </w:p>
    <w:p w14:paraId="7AB96696">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p>
    <w:p w14:paraId="0B9A59A2">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p>
    <w:p w14:paraId="53DF5263">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p>
    <w:p w14:paraId="219728B5">
      <w:pPr>
        <w:rPr>
          <w:rFonts w:hint="eastAsia" w:ascii="宋体" w:hAnsi="宋体" w:cs="宋体"/>
          <w:b/>
          <w:bCs/>
          <w:color w:val="auto"/>
          <w:sz w:val="32"/>
          <w:szCs w:val="32"/>
        </w:rPr>
      </w:pPr>
      <w:bookmarkStart w:id="163" w:name="_Toc12083"/>
      <w:bookmarkStart w:id="164" w:name="_Toc8614"/>
      <w:bookmarkStart w:id="165" w:name="_Toc876"/>
      <w:r>
        <w:rPr>
          <w:rFonts w:hint="eastAsia" w:ascii="宋体" w:hAnsi="宋体" w:cs="宋体"/>
          <w:b/>
          <w:bCs/>
          <w:color w:val="auto"/>
          <w:sz w:val="32"/>
          <w:szCs w:val="32"/>
        </w:rPr>
        <w:br w:type="page"/>
      </w:r>
    </w:p>
    <w:p w14:paraId="14434C54">
      <w:pPr>
        <w:pStyle w:val="75"/>
        <w:snapToGrid w:val="0"/>
        <w:spacing w:line="440" w:lineRule="exact"/>
        <w:jc w:val="center"/>
        <w:outlineLvl w:val="0"/>
        <w:rPr>
          <w:rFonts w:ascii="宋体" w:hAnsi="宋体" w:cs="宋体"/>
          <w:b/>
          <w:bCs/>
          <w:color w:val="auto"/>
          <w:sz w:val="32"/>
          <w:szCs w:val="32"/>
        </w:rPr>
      </w:pPr>
      <w:r>
        <w:rPr>
          <w:rFonts w:hint="eastAsia" w:ascii="宋体" w:hAnsi="宋体" w:cs="宋体"/>
          <w:b/>
          <w:bCs/>
          <w:color w:val="auto"/>
          <w:sz w:val="32"/>
          <w:szCs w:val="32"/>
        </w:rPr>
        <w:t>第六章 投标文件格式</w:t>
      </w:r>
      <w:bookmarkEnd w:id="159"/>
      <w:bookmarkEnd w:id="160"/>
      <w:bookmarkEnd w:id="163"/>
      <w:bookmarkEnd w:id="164"/>
      <w:bookmarkEnd w:id="165"/>
    </w:p>
    <w:p w14:paraId="27DCD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sz w:val="28"/>
          <w:szCs w:val="28"/>
          <w:u w:val="single"/>
        </w:rPr>
      </w:pPr>
    </w:p>
    <w:p w14:paraId="79D50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1E0984EA">
      <w:pPr>
        <w:widowControl/>
        <w:spacing w:line="440" w:lineRule="exact"/>
        <w:jc w:val="center"/>
        <w:rPr>
          <w:rFonts w:ascii="宋体" w:hAnsi="宋体" w:cs="宋体"/>
          <w:b/>
          <w:kern w:val="0"/>
          <w:sz w:val="32"/>
          <w:szCs w:val="32"/>
        </w:rPr>
      </w:pPr>
      <w:r>
        <w:rPr>
          <w:rFonts w:hint="eastAsia" w:ascii="宋体"/>
          <w:sz w:val="28"/>
          <w:szCs w:val="28"/>
          <w:u w:val="single"/>
        </w:rPr>
        <w:t xml:space="preserve">         （项目名称）             </w:t>
      </w:r>
      <w:r>
        <w:rPr>
          <w:rFonts w:hint="eastAsia" w:ascii="宋体" w:hAnsi="宋体" w:cs="宋体"/>
          <w:b/>
          <w:kern w:val="0"/>
          <w:sz w:val="32"/>
          <w:szCs w:val="32"/>
        </w:rPr>
        <w:t>项目</w:t>
      </w:r>
    </w:p>
    <w:p w14:paraId="1B1A3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1AC9D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1ED80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61807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151B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4080C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61F17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05889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16528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b/>
          <w:bCs/>
          <w:sz w:val="44"/>
          <w:szCs w:val="44"/>
        </w:rPr>
      </w:pPr>
      <w:bookmarkStart w:id="166" w:name="_Toc20445"/>
      <w:bookmarkStart w:id="167" w:name="_Toc24390"/>
      <w:bookmarkStart w:id="168" w:name="_Toc4985"/>
      <w:bookmarkStart w:id="169" w:name="_Toc17512"/>
      <w:bookmarkStart w:id="170" w:name="_Toc18600"/>
      <w:bookmarkStart w:id="171" w:name="_Toc2236"/>
      <w:bookmarkStart w:id="172" w:name="_Toc17105"/>
      <w:r>
        <w:rPr>
          <w:rFonts w:hint="eastAsia" w:ascii="宋体"/>
          <w:b/>
          <w:bCs/>
          <w:sz w:val="44"/>
          <w:szCs w:val="44"/>
        </w:rPr>
        <w:t>投  标  文  件</w:t>
      </w:r>
      <w:bookmarkEnd w:id="166"/>
      <w:bookmarkEnd w:id="167"/>
      <w:bookmarkEnd w:id="168"/>
      <w:bookmarkEnd w:id="169"/>
      <w:bookmarkEnd w:id="170"/>
      <w:bookmarkEnd w:id="171"/>
      <w:bookmarkEnd w:id="172"/>
    </w:p>
    <w:p w14:paraId="4B7BF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b/>
          <w:bCs/>
          <w:sz w:val="28"/>
          <w:szCs w:val="28"/>
        </w:rPr>
      </w:pPr>
    </w:p>
    <w:p w14:paraId="665D0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宋体"/>
        </w:rPr>
      </w:pPr>
    </w:p>
    <w:p w14:paraId="60445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494B5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5C4B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3C1BF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14FB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1ABD2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3237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3218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4AEBA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sz w:val="28"/>
          <w:szCs w:val="28"/>
          <w:u w:val="single"/>
        </w:rPr>
      </w:pPr>
      <w:bookmarkStart w:id="173" w:name="_Toc147"/>
      <w:bookmarkStart w:id="174" w:name="_Toc27851"/>
      <w:bookmarkStart w:id="175" w:name="_Toc30788"/>
      <w:bookmarkStart w:id="176" w:name="_Toc30923"/>
      <w:bookmarkStart w:id="177" w:name="_Toc7067"/>
      <w:bookmarkStart w:id="178" w:name="_Toc12817"/>
      <w:bookmarkStart w:id="179" w:name="_Toc30292"/>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bookmarkEnd w:id="173"/>
      <w:bookmarkEnd w:id="174"/>
      <w:bookmarkEnd w:id="175"/>
      <w:bookmarkEnd w:id="176"/>
      <w:bookmarkEnd w:id="177"/>
      <w:bookmarkEnd w:id="178"/>
      <w:bookmarkEnd w:id="179"/>
    </w:p>
    <w:p w14:paraId="0F403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sz w:val="28"/>
          <w:szCs w:val="28"/>
        </w:rPr>
      </w:pPr>
      <w:bookmarkStart w:id="180" w:name="_Toc24690"/>
      <w:bookmarkStart w:id="181" w:name="_Toc10420"/>
      <w:bookmarkStart w:id="182" w:name="_Toc13042"/>
      <w:bookmarkStart w:id="183" w:name="_Toc32511"/>
      <w:bookmarkStart w:id="184" w:name="_Toc1096"/>
      <w:bookmarkStart w:id="185" w:name="_Toc5338"/>
      <w:bookmarkStart w:id="186" w:name="_Toc25889"/>
      <w:r>
        <w:rPr>
          <w:rFonts w:hint="eastAsia" w:ascii="宋体"/>
          <w:sz w:val="28"/>
          <w:szCs w:val="28"/>
        </w:rPr>
        <w:t>法定代表人或其委托代理人：</w:t>
      </w:r>
      <w:r>
        <w:rPr>
          <w:rFonts w:hint="eastAsia" w:ascii="宋体"/>
          <w:sz w:val="28"/>
          <w:szCs w:val="28"/>
          <w:u w:val="single"/>
        </w:rPr>
        <w:t xml:space="preserve">                </w:t>
      </w:r>
      <w:r>
        <w:rPr>
          <w:rFonts w:hint="eastAsia" w:ascii="宋体"/>
          <w:sz w:val="28"/>
          <w:szCs w:val="28"/>
        </w:rPr>
        <w:t>（签字）</w:t>
      </w:r>
      <w:bookmarkEnd w:id="180"/>
      <w:bookmarkEnd w:id="181"/>
      <w:bookmarkEnd w:id="182"/>
      <w:bookmarkEnd w:id="183"/>
      <w:bookmarkEnd w:id="184"/>
      <w:bookmarkEnd w:id="185"/>
      <w:bookmarkEnd w:id="186"/>
    </w:p>
    <w:p w14:paraId="49F6A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Cs w:val="21"/>
        </w:rPr>
      </w:pPr>
      <w:r>
        <w:rPr>
          <w:rFonts w:hint="eastAsia"/>
          <w:sz w:val="28"/>
          <w:szCs w:val="28"/>
        </w:rPr>
        <w:t xml:space="preserve">       </w:t>
      </w:r>
      <w:bookmarkStart w:id="187" w:name="_Toc19518"/>
      <w:bookmarkStart w:id="188" w:name="_Toc1600"/>
      <w:bookmarkStart w:id="189" w:name="_Toc31890"/>
      <w:bookmarkStart w:id="190" w:name="_Toc28537"/>
      <w:bookmarkStart w:id="191" w:name="_Toc3571"/>
      <w:bookmarkStart w:id="192" w:name="_Toc633"/>
      <w:bookmarkStart w:id="193" w:name="_Toc14472"/>
      <w:r>
        <w:rPr>
          <w:rFonts w:hint="eastAsia"/>
          <w:sz w:val="28"/>
          <w:szCs w:val="28"/>
        </w:rPr>
        <w:t>年        月        日</w:t>
      </w:r>
      <w:bookmarkEnd w:id="187"/>
      <w:bookmarkEnd w:id="188"/>
      <w:bookmarkEnd w:id="189"/>
      <w:bookmarkEnd w:id="190"/>
      <w:bookmarkEnd w:id="191"/>
      <w:bookmarkEnd w:id="192"/>
      <w:bookmarkEnd w:id="193"/>
    </w:p>
    <w:p w14:paraId="2411377A">
      <w:pPr>
        <w:pStyle w:val="68"/>
        <w:snapToGrid w:val="0"/>
        <w:spacing w:line="400" w:lineRule="exact"/>
        <w:jc w:val="center"/>
        <w:outlineLvl w:val="1"/>
        <w:rPr>
          <w:b/>
          <w:bCs/>
          <w:color w:val="auto"/>
          <w:sz w:val="21"/>
          <w:szCs w:val="21"/>
        </w:rPr>
      </w:pPr>
      <w:bookmarkStart w:id="194" w:name="_Toc14922"/>
      <w:bookmarkStart w:id="195" w:name="_Toc1716"/>
      <w:bookmarkStart w:id="196" w:name="_Toc22763"/>
      <w:bookmarkStart w:id="197" w:name="_Toc9965"/>
    </w:p>
    <w:p w14:paraId="57419EE0">
      <w:pPr>
        <w:pStyle w:val="68"/>
        <w:snapToGrid w:val="0"/>
        <w:spacing w:line="400" w:lineRule="exact"/>
        <w:jc w:val="center"/>
        <w:outlineLvl w:val="1"/>
        <w:rPr>
          <w:b/>
          <w:bCs/>
          <w:color w:val="auto"/>
          <w:sz w:val="21"/>
          <w:szCs w:val="21"/>
        </w:rPr>
      </w:pPr>
    </w:p>
    <w:p w14:paraId="5A5442FA">
      <w:pPr>
        <w:pStyle w:val="68"/>
        <w:snapToGrid w:val="0"/>
        <w:spacing w:line="360" w:lineRule="auto"/>
        <w:jc w:val="center"/>
        <w:outlineLvl w:val="1"/>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8"/>
          <w:szCs w:val="28"/>
        </w:rPr>
        <w:t>目</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录</w:t>
      </w:r>
      <w:bookmarkEnd w:id="194"/>
      <w:bookmarkEnd w:id="195"/>
      <w:bookmarkEnd w:id="196"/>
      <w:bookmarkEnd w:id="197"/>
    </w:p>
    <w:p w14:paraId="51EA572B">
      <w:pPr>
        <w:pStyle w:val="68"/>
        <w:snapToGrid w:val="0"/>
        <w:spacing w:line="360" w:lineRule="auto"/>
        <w:ind w:firstLine="480" w:firstLineChars="200"/>
        <w:jc w:val="both"/>
        <w:rPr>
          <w:rFonts w:hint="eastAsia" w:asciiTheme="minorEastAsia" w:hAnsiTheme="minorEastAsia" w:eastAsiaTheme="minorEastAsia" w:cstheme="minorEastAsia"/>
          <w:bCs/>
          <w:color w:val="auto"/>
          <w:sz w:val="24"/>
          <w:szCs w:val="24"/>
        </w:rPr>
      </w:pPr>
    </w:p>
    <w:p w14:paraId="0E3A1522">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198" w:name="_Toc16407"/>
      <w:bookmarkStart w:id="199" w:name="_Toc25011"/>
      <w:bookmarkStart w:id="200" w:name="_Toc28016"/>
      <w:bookmarkStart w:id="201" w:name="_Toc3609"/>
      <w:bookmarkStart w:id="202" w:name="_Toc20819"/>
      <w:bookmarkStart w:id="203" w:name="_Toc27302"/>
      <w:bookmarkStart w:id="204" w:name="_Toc31783"/>
      <w:r>
        <w:rPr>
          <w:rFonts w:hint="eastAsia" w:asciiTheme="minorEastAsia" w:hAnsiTheme="minorEastAsia" w:eastAsiaTheme="minorEastAsia" w:cstheme="minorEastAsia"/>
          <w:b w:val="0"/>
          <w:bCs/>
          <w:color w:val="auto"/>
          <w:sz w:val="24"/>
          <w:szCs w:val="24"/>
        </w:rPr>
        <w:t>1.投标函</w:t>
      </w:r>
      <w:bookmarkEnd w:id="198"/>
      <w:bookmarkEnd w:id="199"/>
      <w:bookmarkEnd w:id="200"/>
      <w:bookmarkEnd w:id="201"/>
      <w:bookmarkEnd w:id="202"/>
      <w:bookmarkEnd w:id="203"/>
      <w:bookmarkEnd w:id="204"/>
    </w:p>
    <w:p w14:paraId="72B8A228">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05" w:name="_Toc7088"/>
      <w:bookmarkStart w:id="206" w:name="_Toc808"/>
      <w:bookmarkStart w:id="207" w:name="_Toc6482"/>
      <w:bookmarkStart w:id="208" w:name="_Toc14354"/>
      <w:bookmarkStart w:id="209" w:name="_Toc25230"/>
      <w:bookmarkStart w:id="210" w:name="_Toc10191"/>
      <w:bookmarkStart w:id="211" w:name="_Toc12014"/>
      <w:r>
        <w:rPr>
          <w:rFonts w:hint="eastAsia" w:asciiTheme="minorEastAsia" w:hAnsiTheme="minorEastAsia" w:eastAsiaTheme="minorEastAsia" w:cstheme="minorEastAsia"/>
          <w:b w:val="0"/>
          <w:bCs/>
          <w:color w:val="auto"/>
          <w:sz w:val="24"/>
          <w:szCs w:val="24"/>
        </w:rPr>
        <w:t>2.投标报价一览表</w:t>
      </w:r>
      <w:bookmarkEnd w:id="205"/>
      <w:bookmarkEnd w:id="206"/>
      <w:bookmarkEnd w:id="207"/>
      <w:bookmarkEnd w:id="208"/>
      <w:bookmarkEnd w:id="209"/>
      <w:bookmarkEnd w:id="210"/>
      <w:bookmarkEnd w:id="211"/>
    </w:p>
    <w:p w14:paraId="63F9AAAF">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12" w:name="_Toc21070"/>
      <w:bookmarkStart w:id="213" w:name="_Toc3921"/>
      <w:bookmarkStart w:id="214" w:name="_Toc20779"/>
      <w:bookmarkStart w:id="215" w:name="_Toc19143"/>
      <w:bookmarkStart w:id="216" w:name="_Toc14435"/>
      <w:bookmarkStart w:id="217" w:name="_Toc30913"/>
      <w:bookmarkStart w:id="218" w:name="_Toc12482"/>
      <w:r>
        <w:rPr>
          <w:rFonts w:hint="eastAsia" w:asciiTheme="minorEastAsia" w:hAnsiTheme="minorEastAsia" w:eastAsiaTheme="minorEastAsia" w:cstheme="minorEastAsia"/>
          <w:b w:val="0"/>
          <w:bCs/>
          <w:color w:val="auto"/>
          <w:sz w:val="24"/>
          <w:szCs w:val="24"/>
        </w:rPr>
        <w:t>3.报价明细表</w:t>
      </w:r>
      <w:bookmarkEnd w:id="212"/>
      <w:bookmarkEnd w:id="213"/>
      <w:bookmarkEnd w:id="214"/>
      <w:bookmarkEnd w:id="215"/>
    </w:p>
    <w:p w14:paraId="4B942E85">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19" w:name="_Toc7149"/>
      <w:bookmarkStart w:id="220" w:name="_Toc7814"/>
      <w:bookmarkStart w:id="221" w:name="_Toc29746"/>
      <w:bookmarkStart w:id="222" w:name="_Toc32244"/>
      <w:r>
        <w:rPr>
          <w:rFonts w:hint="eastAsia" w:asciiTheme="minorEastAsia" w:hAnsiTheme="minorEastAsia" w:eastAsiaTheme="minorEastAsia" w:cstheme="minorEastAsia"/>
          <w:b w:val="0"/>
          <w:bCs/>
          <w:color w:val="auto"/>
          <w:sz w:val="24"/>
          <w:szCs w:val="24"/>
        </w:rPr>
        <w:t>4.法定代表人身份证明</w:t>
      </w:r>
      <w:bookmarkEnd w:id="216"/>
      <w:bookmarkEnd w:id="217"/>
      <w:bookmarkEnd w:id="218"/>
      <w:bookmarkEnd w:id="219"/>
      <w:bookmarkEnd w:id="220"/>
      <w:bookmarkEnd w:id="221"/>
      <w:bookmarkEnd w:id="222"/>
    </w:p>
    <w:p w14:paraId="15222670">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23" w:name="_Toc18748"/>
      <w:bookmarkStart w:id="224" w:name="_Toc11224"/>
      <w:bookmarkStart w:id="225" w:name="_Toc16358"/>
      <w:bookmarkStart w:id="226" w:name="_Toc7918"/>
      <w:bookmarkStart w:id="227" w:name="_Toc24089"/>
      <w:bookmarkStart w:id="228" w:name="_Toc17147"/>
      <w:bookmarkStart w:id="229" w:name="_Toc4068"/>
      <w:r>
        <w:rPr>
          <w:rFonts w:hint="eastAsia" w:asciiTheme="minorEastAsia" w:hAnsiTheme="minorEastAsia" w:eastAsiaTheme="minorEastAsia" w:cstheme="minorEastAsia"/>
          <w:b w:val="0"/>
          <w:bCs/>
          <w:color w:val="auto"/>
          <w:sz w:val="24"/>
          <w:szCs w:val="24"/>
        </w:rPr>
        <w:t>5.法定代表人授权委托书</w:t>
      </w:r>
      <w:bookmarkEnd w:id="223"/>
      <w:bookmarkEnd w:id="224"/>
      <w:bookmarkEnd w:id="225"/>
      <w:bookmarkEnd w:id="226"/>
      <w:bookmarkEnd w:id="227"/>
      <w:bookmarkEnd w:id="228"/>
      <w:bookmarkEnd w:id="229"/>
    </w:p>
    <w:p w14:paraId="622D6A4D">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30" w:name="_Toc31066"/>
      <w:bookmarkStart w:id="231" w:name="_Toc24200"/>
      <w:bookmarkStart w:id="232" w:name="_Toc8208"/>
      <w:bookmarkStart w:id="233" w:name="_Toc17856"/>
      <w:bookmarkStart w:id="234" w:name="_Toc17002"/>
      <w:bookmarkStart w:id="235" w:name="_Toc2786"/>
      <w:bookmarkStart w:id="236" w:name="_Toc22767"/>
      <w:r>
        <w:rPr>
          <w:rFonts w:hint="eastAsia" w:asciiTheme="minorEastAsia" w:hAnsiTheme="minorEastAsia" w:eastAsiaTheme="minorEastAsia" w:cstheme="minorEastAsia"/>
          <w:b w:val="0"/>
          <w:bCs/>
          <w:color w:val="auto"/>
          <w:sz w:val="24"/>
          <w:szCs w:val="24"/>
        </w:rPr>
        <w:t>6.投标人基本情况</w:t>
      </w:r>
      <w:bookmarkEnd w:id="230"/>
      <w:bookmarkEnd w:id="231"/>
      <w:bookmarkEnd w:id="232"/>
      <w:bookmarkEnd w:id="233"/>
      <w:bookmarkEnd w:id="234"/>
      <w:bookmarkEnd w:id="235"/>
      <w:bookmarkEnd w:id="236"/>
    </w:p>
    <w:p w14:paraId="5F897BFA">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37" w:name="_Toc29168"/>
      <w:bookmarkStart w:id="238" w:name="_Toc25746"/>
      <w:bookmarkStart w:id="239" w:name="_Toc25411"/>
      <w:bookmarkStart w:id="240" w:name="_Toc31243"/>
      <w:bookmarkStart w:id="241" w:name="_Toc32002"/>
      <w:bookmarkStart w:id="242" w:name="_Toc5789"/>
      <w:bookmarkStart w:id="243" w:name="_Toc7046"/>
      <w:r>
        <w:rPr>
          <w:rFonts w:hint="eastAsia" w:asciiTheme="minorEastAsia" w:hAnsiTheme="minorEastAsia" w:eastAsiaTheme="minorEastAsia" w:cstheme="minorEastAsia"/>
          <w:b w:val="0"/>
          <w:bCs/>
          <w:color w:val="auto"/>
          <w:sz w:val="24"/>
          <w:szCs w:val="24"/>
        </w:rPr>
        <w:t>7.</w:t>
      </w:r>
      <w:r>
        <w:rPr>
          <w:rFonts w:hint="eastAsia" w:asciiTheme="minorEastAsia" w:hAnsiTheme="minorEastAsia" w:eastAsiaTheme="minorEastAsia" w:cstheme="minorEastAsia"/>
          <w:b w:val="0"/>
          <w:bCs/>
          <w:color w:val="auto"/>
          <w:sz w:val="24"/>
          <w:szCs w:val="24"/>
          <w:lang w:eastAsia="zh-CN"/>
        </w:rPr>
        <w:t>近三年</w:t>
      </w:r>
      <w:r>
        <w:rPr>
          <w:rFonts w:hint="eastAsia" w:asciiTheme="minorEastAsia" w:hAnsiTheme="minorEastAsia" w:eastAsiaTheme="minorEastAsia" w:cstheme="minorEastAsia"/>
          <w:b w:val="0"/>
          <w:bCs/>
          <w:color w:val="auto"/>
          <w:sz w:val="24"/>
          <w:szCs w:val="24"/>
        </w:rPr>
        <w:t>已完成或在执行类似项目一览表</w:t>
      </w:r>
      <w:bookmarkEnd w:id="237"/>
      <w:bookmarkEnd w:id="238"/>
      <w:bookmarkEnd w:id="239"/>
      <w:bookmarkEnd w:id="240"/>
    </w:p>
    <w:p w14:paraId="7B55844D">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44" w:name="_Toc9045"/>
      <w:bookmarkStart w:id="245" w:name="_Toc30500"/>
      <w:bookmarkStart w:id="246" w:name="_Toc30606"/>
      <w:bookmarkStart w:id="247" w:name="_Toc9121"/>
      <w:r>
        <w:rPr>
          <w:rFonts w:hint="eastAsia" w:asciiTheme="minorEastAsia" w:hAnsiTheme="minorEastAsia" w:eastAsiaTheme="minorEastAsia" w:cstheme="minorEastAsia"/>
          <w:b w:val="0"/>
          <w:bCs/>
          <w:color w:val="auto"/>
          <w:sz w:val="24"/>
          <w:szCs w:val="24"/>
        </w:rPr>
        <w:t>8.商务条款偏离表</w:t>
      </w:r>
      <w:bookmarkEnd w:id="244"/>
      <w:bookmarkEnd w:id="245"/>
      <w:bookmarkEnd w:id="246"/>
      <w:bookmarkEnd w:id="247"/>
    </w:p>
    <w:bookmarkEnd w:id="241"/>
    <w:bookmarkEnd w:id="242"/>
    <w:bookmarkEnd w:id="243"/>
    <w:p w14:paraId="654A6F7E">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48" w:name="_Toc32189"/>
      <w:bookmarkStart w:id="249" w:name="_Toc28837"/>
      <w:bookmarkStart w:id="250" w:name="_Toc19057"/>
      <w:bookmarkStart w:id="251" w:name="_Toc12784"/>
      <w:bookmarkStart w:id="252" w:name="_Toc30753"/>
      <w:bookmarkStart w:id="253" w:name="_Toc20526"/>
      <w:bookmarkStart w:id="254" w:name="_Toc9165"/>
      <w:r>
        <w:rPr>
          <w:rFonts w:hint="eastAsia" w:asciiTheme="minorEastAsia" w:hAnsiTheme="minorEastAsia" w:eastAsiaTheme="minorEastAsia" w:cstheme="minorEastAsia"/>
          <w:b w:val="0"/>
          <w:bCs/>
          <w:color w:val="auto"/>
          <w:sz w:val="24"/>
          <w:szCs w:val="24"/>
        </w:rPr>
        <w:t>9.</w:t>
      </w:r>
      <w:r>
        <w:rPr>
          <w:rFonts w:hint="eastAsia" w:asciiTheme="minorEastAsia" w:hAnsiTheme="minorEastAsia" w:eastAsiaTheme="minorEastAsia" w:cstheme="minorEastAsia"/>
          <w:b w:val="0"/>
          <w:bCs/>
          <w:color w:val="auto"/>
          <w:sz w:val="24"/>
          <w:szCs w:val="24"/>
          <w:lang w:val="en-US" w:eastAsia="zh-CN"/>
        </w:rPr>
        <w:t>服务条款</w:t>
      </w:r>
      <w:r>
        <w:rPr>
          <w:rFonts w:hint="eastAsia" w:asciiTheme="minorEastAsia" w:hAnsiTheme="minorEastAsia" w:eastAsiaTheme="minorEastAsia" w:cstheme="minorEastAsia"/>
          <w:b w:val="0"/>
          <w:bCs/>
          <w:color w:val="auto"/>
          <w:sz w:val="24"/>
          <w:szCs w:val="24"/>
        </w:rPr>
        <w:t>偏离表</w:t>
      </w:r>
      <w:bookmarkEnd w:id="248"/>
      <w:bookmarkEnd w:id="249"/>
      <w:bookmarkEnd w:id="250"/>
      <w:bookmarkEnd w:id="251"/>
    </w:p>
    <w:p w14:paraId="6CEA822D">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55" w:name="_Toc7485"/>
      <w:bookmarkStart w:id="256" w:name="_Toc10679"/>
      <w:bookmarkStart w:id="257" w:name="_Toc5714"/>
      <w:bookmarkStart w:id="258" w:name="_Toc23418"/>
      <w:r>
        <w:rPr>
          <w:rFonts w:hint="eastAsia" w:asciiTheme="minorEastAsia" w:hAnsiTheme="minorEastAsia" w:eastAsiaTheme="minorEastAsia" w:cstheme="minorEastAsia"/>
          <w:b w:val="0"/>
          <w:bCs/>
          <w:color w:val="auto"/>
          <w:sz w:val="24"/>
          <w:szCs w:val="24"/>
        </w:rPr>
        <w:t>10.</w:t>
      </w:r>
      <w:r>
        <w:rPr>
          <w:rFonts w:hint="eastAsia" w:asciiTheme="minorEastAsia" w:hAnsiTheme="minorEastAsia" w:eastAsiaTheme="minorEastAsia" w:cstheme="minorEastAsia"/>
          <w:b w:val="0"/>
          <w:bCs/>
          <w:color w:val="auto"/>
          <w:sz w:val="24"/>
          <w:szCs w:val="24"/>
          <w:lang w:val="en-US" w:eastAsia="zh-CN"/>
        </w:rPr>
        <w:t>服务</w:t>
      </w:r>
      <w:r>
        <w:rPr>
          <w:rFonts w:hint="eastAsia" w:asciiTheme="minorEastAsia" w:hAnsiTheme="minorEastAsia" w:eastAsiaTheme="minorEastAsia" w:cstheme="minorEastAsia"/>
          <w:b w:val="0"/>
          <w:bCs/>
          <w:color w:val="auto"/>
          <w:sz w:val="24"/>
          <w:szCs w:val="24"/>
        </w:rPr>
        <w:t>方案</w:t>
      </w:r>
      <w:bookmarkEnd w:id="255"/>
      <w:bookmarkEnd w:id="256"/>
      <w:bookmarkEnd w:id="257"/>
      <w:bookmarkEnd w:id="258"/>
    </w:p>
    <w:p w14:paraId="5A0B5670">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59" w:name="_Toc6703"/>
      <w:bookmarkStart w:id="260" w:name="_Toc18819"/>
      <w:bookmarkStart w:id="261" w:name="_Toc20111"/>
      <w:bookmarkStart w:id="262" w:name="_Toc31966"/>
      <w:r>
        <w:rPr>
          <w:rFonts w:hint="eastAsia" w:asciiTheme="minorEastAsia" w:hAnsiTheme="minorEastAsia" w:eastAsiaTheme="minorEastAsia" w:cstheme="minorEastAsia"/>
          <w:b w:val="0"/>
          <w:bCs/>
          <w:color w:val="auto"/>
          <w:sz w:val="24"/>
          <w:szCs w:val="24"/>
        </w:rPr>
        <w:t>11.</w:t>
      </w:r>
      <w:bookmarkEnd w:id="259"/>
      <w:r>
        <w:rPr>
          <w:rFonts w:hint="eastAsia" w:asciiTheme="minorEastAsia" w:hAnsiTheme="minorEastAsia" w:eastAsiaTheme="minorEastAsia" w:cstheme="minorEastAsia"/>
          <w:b w:val="0"/>
          <w:bCs/>
          <w:color w:val="auto"/>
          <w:sz w:val="24"/>
          <w:szCs w:val="24"/>
        </w:rPr>
        <w:t>售后服务方案及承诺书</w:t>
      </w:r>
      <w:bookmarkEnd w:id="260"/>
      <w:bookmarkEnd w:id="261"/>
      <w:bookmarkEnd w:id="262"/>
    </w:p>
    <w:p w14:paraId="017039F8">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63" w:name="_Toc31543"/>
      <w:bookmarkStart w:id="264" w:name="_Toc30895"/>
      <w:bookmarkStart w:id="265" w:name="_Toc7201"/>
      <w:bookmarkStart w:id="266" w:name="_Toc8754"/>
      <w:r>
        <w:rPr>
          <w:rFonts w:hint="eastAsia" w:asciiTheme="minorEastAsia" w:hAnsiTheme="minorEastAsia" w:eastAsiaTheme="minorEastAsia" w:cstheme="minorEastAsia"/>
          <w:b w:val="0"/>
          <w:bCs/>
          <w:color w:val="auto"/>
          <w:sz w:val="24"/>
          <w:szCs w:val="24"/>
        </w:rPr>
        <w:t>12.其它证明材料</w:t>
      </w:r>
      <w:bookmarkEnd w:id="252"/>
      <w:bookmarkEnd w:id="253"/>
      <w:bookmarkEnd w:id="254"/>
      <w:bookmarkEnd w:id="263"/>
      <w:bookmarkEnd w:id="264"/>
      <w:bookmarkEnd w:id="265"/>
      <w:bookmarkEnd w:id="266"/>
    </w:p>
    <w:p w14:paraId="796735DD">
      <w:pPr>
        <w:pStyle w:val="68"/>
        <w:snapToGrid w:val="0"/>
        <w:spacing w:line="360" w:lineRule="auto"/>
        <w:ind w:firstLine="480" w:firstLineChars="200"/>
        <w:jc w:val="both"/>
        <w:outlineLvl w:val="0"/>
        <w:rPr>
          <w:rFonts w:hint="eastAsia" w:asciiTheme="minorEastAsia" w:hAnsiTheme="minorEastAsia" w:eastAsiaTheme="minorEastAsia" w:cstheme="minorEastAsia"/>
          <w:b/>
          <w:color w:val="auto"/>
          <w:sz w:val="24"/>
          <w:szCs w:val="24"/>
        </w:rPr>
      </w:pPr>
      <w:bookmarkStart w:id="267" w:name="_Toc7081"/>
      <w:bookmarkStart w:id="268" w:name="_Toc29222"/>
      <w:bookmarkStart w:id="269" w:name="_Toc17"/>
      <w:bookmarkStart w:id="270" w:name="_Toc3487"/>
      <w:bookmarkStart w:id="271" w:name="_Toc982"/>
      <w:bookmarkStart w:id="272" w:name="_Toc6672"/>
      <w:bookmarkStart w:id="273" w:name="_Toc14538"/>
      <w:r>
        <w:rPr>
          <w:rFonts w:hint="eastAsia" w:asciiTheme="minorEastAsia" w:hAnsiTheme="minorEastAsia" w:eastAsiaTheme="minorEastAsia" w:cstheme="minorEastAsia"/>
          <w:b w:val="0"/>
          <w:bCs/>
          <w:color w:val="auto"/>
          <w:sz w:val="24"/>
          <w:szCs w:val="24"/>
        </w:rPr>
        <w:t>13.声明函</w:t>
      </w:r>
      <w:bookmarkEnd w:id="267"/>
      <w:bookmarkEnd w:id="268"/>
      <w:bookmarkEnd w:id="269"/>
      <w:bookmarkEnd w:id="270"/>
      <w:bookmarkEnd w:id="271"/>
      <w:bookmarkEnd w:id="272"/>
      <w:bookmarkEnd w:id="273"/>
    </w:p>
    <w:p w14:paraId="6D46BAFD">
      <w:pPr>
        <w:pStyle w:val="68"/>
        <w:snapToGrid w:val="0"/>
        <w:spacing w:line="360" w:lineRule="auto"/>
        <w:jc w:val="center"/>
        <w:outlineLvl w:val="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8"/>
          <w:szCs w:val="28"/>
        </w:rPr>
        <w:br w:type="page"/>
      </w:r>
      <w:bookmarkStart w:id="274" w:name="_Toc32224"/>
      <w:bookmarkStart w:id="275" w:name="_Toc15231"/>
      <w:bookmarkStart w:id="276" w:name="_Toc7538"/>
      <w:bookmarkStart w:id="277" w:name="_Toc25531"/>
      <w:bookmarkStart w:id="278" w:name="_Toc13134"/>
      <w:r>
        <w:rPr>
          <w:rFonts w:hint="eastAsia" w:asciiTheme="minorEastAsia" w:hAnsiTheme="minorEastAsia" w:eastAsiaTheme="minorEastAsia" w:cstheme="minorEastAsia"/>
          <w:b/>
          <w:bCs/>
          <w:color w:val="auto"/>
          <w:sz w:val="28"/>
          <w:szCs w:val="28"/>
        </w:rPr>
        <w:t>1. 投标</w:t>
      </w:r>
      <w:bookmarkEnd w:id="274"/>
      <w:r>
        <w:rPr>
          <w:rFonts w:hint="eastAsia" w:asciiTheme="minorEastAsia" w:hAnsiTheme="minorEastAsia" w:eastAsiaTheme="minorEastAsia" w:cstheme="minorEastAsia"/>
          <w:b/>
          <w:bCs/>
          <w:color w:val="auto"/>
          <w:sz w:val="28"/>
          <w:szCs w:val="28"/>
        </w:rPr>
        <w:t>函</w:t>
      </w:r>
      <w:bookmarkEnd w:id="275"/>
      <w:bookmarkEnd w:id="276"/>
      <w:bookmarkEnd w:id="277"/>
      <w:bookmarkEnd w:id="278"/>
    </w:p>
    <w:p w14:paraId="67F97783">
      <w:pPr>
        <w:adjustRightInd w:val="0"/>
        <w:snapToGrid w:val="0"/>
        <w:spacing w:before="159" w:beforeLines="5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w:t>
      </w:r>
    </w:p>
    <w:p w14:paraId="128AC300">
      <w:pPr>
        <w:adjustRightInd w:val="0"/>
        <w:snapToGrid w:val="0"/>
        <w:spacing w:before="159" w:beforeLines="50" w:line="336"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（项目名称、项目编号）的要求，签字代表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（姓名、职务）经正式授权并代表投标人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（投标人名称、地址）提交下述文件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份并在此声明，所递交的投标文件内容完整、真实。</w:t>
      </w:r>
    </w:p>
    <w:p w14:paraId="75A3942F">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在此，签字代表承诺如下：</w:t>
      </w:r>
    </w:p>
    <w:p w14:paraId="167574F9">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1、我方在详细阅读招标文件各项要求，根据对应采购内容及采购要求规定愿以投标总价：￥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)完成本项目全部相关服务。</w:t>
      </w:r>
    </w:p>
    <w:p w14:paraId="08C3CF98">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2、我方将按招标文件的规定履行合同责任和义务。</w:t>
      </w:r>
    </w:p>
    <w:p w14:paraId="27189A8B">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3、我方已详细审查全部招标文件，我们完全理解并同意放弃对这方面有不明及误解的权力。</w:t>
      </w:r>
    </w:p>
    <w:p w14:paraId="143A0941">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4、本投标有效期为自招标文件规定的提交投标文件截止之日起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个日历天。在投标有效期内我方同意遵守本投标文件中的承诺且在此期限期满之前投标文件对我方具有法律约束力。</w:t>
      </w:r>
    </w:p>
    <w:p w14:paraId="3E07323C">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5、若我方取得中标资格，愿以本项目招标文件规定，向招标代理机构缴纳招标代理服务费。</w:t>
      </w:r>
    </w:p>
    <w:p w14:paraId="643860C9">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6、我方同意提供贵方可能要求的与其投标有关的一切数据或资料。</w:t>
      </w:r>
    </w:p>
    <w:p w14:paraId="7D9EFC37">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7、与本投标有关的一切正式往来信函请寄：</w:t>
      </w:r>
    </w:p>
    <w:p w14:paraId="7F06D2B0">
      <w:pPr>
        <w:adjustRightInd w:val="0"/>
        <w:snapToGrid w:val="0"/>
        <w:spacing w:before="159" w:beforeLines="5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邮编：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1FAA0AAF">
      <w:pPr>
        <w:pStyle w:val="21"/>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rPr>
      </w:pPr>
    </w:p>
    <w:p w14:paraId="02891C47">
      <w:pPr>
        <w:pStyle w:val="21"/>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773C85E3">
      <w:pPr>
        <w:pStyle w:val="21"/>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法定代表人或其授权的代理人(签字)：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62A5C10F">
      <w:pPr>
        <w:pStyle w:val="21"/>
        <w:adjustRightInd w:val="0"/>
        <w:snapToGrid w:val="0"/>
        <w:spacing w:before="159" w:beforeLines="50" w:line="336" w:lineRule="auto"/>
        <w:ind w:left="2108" w:leftChars="100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4A97356">
      <w:pPr>
        <w:pStyle w:val="68"/>
        <w:snapToGrid w:val="0"/>
        <w:spacing w:line="360" w:lineRule="auto"/>
        <w:jc w:val="both"/>
        <w:rPr>
          <w:rFonts w:ascii="宋体" w:hAnsi="宋体"/>
          <w:color w:val="auto"/>
          <w:sz w:val="21"/>
          <w:szCs w:val="21"/>
        </w:rPr>
      </w:pPr>
    </w:p>
    <w:p w14:paraId="4B9C346B">
      <w:pPr>
        <w:rPr>
          <w:rFonts w:hint="eastAsia" w:asciiTheme="minorEastAsia" w:hAnsiTheme="minorEastAsia" w:eastAsiaTheme="minorEastAsia" w:cstheme="minorEastAsia"/>
          <w:kern w:val="0"/>
          <w:sz w:val="24"/>
          <w:szCs w:val="24"/>
        </w:rPr>
      </w:pPr>
      <w:bookmarkStart w:id="279" w:name="_Toc515525231"/>
      <w:bookmarkStart w:id="280" w:name="_Toc515570483"/>
      <w:bookmarkStart w:id="281" w:name="_Toc17204498"/>
      <w:bookmarkStart w:id="282" w:name="_Toc16970"/>
      <w:bookmarkStart w:id="283" w:name="_Toc23220"/>
      <w:r>
        <w:rPr>
          <w:rFonts w:hint="eastAsia" w:asciiTheme="minorEastAsia" w:hAnsiTheme="minorEastAsia" w:eastAsiaTheme="minorEastAsia" w:cstheme="minorEastAsia"/>
          <w:kern w:val="0"/>
          <w:sz w:val="24"/>
          <w:szCs w:val="24"/>
        </w:rPr>
        <w:br w:type="page"/>
      </w:r>
    </w:p>
    <w:p w14:paraId="4360369E">
      <w:pPr>
        <w:pStyle w:val="3"/>
        <w:spacing w:before="0" w:after="4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8"/>
          <w:szCs w:val="28"/>
        </w:rPr>
        <w:t>2.投标报价一览表</w:t>
      </w:r>
      <w:bookmarkEnd w:id="279"/>
      <w:bookmarkEnd w:id="280"/>
      <w:bookmarkEnd w:id="281"/>
      <w:bookmarkEnd w:id="282"/>
    </w:p>
    <w:p w14:paraId="2B16FFED">
      <w:pPr>
        <w:adjustRightInd w:val="0"/>
        <w:snapToGrid w:val="0"/>
        <w:ind w:left="-88" w:leftChars="-42"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bl>
      <w:tblPr>
        <w:tblStyle w:val="42"/>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074"/>
        <w:gridCol w:w="2477"/>
        <w:gridCol w:w="1996"/>
        <w:gridCol w:w="1408"/>
      </w:tblGrid>
      <w:tr w14:paraId="1921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jc w:val="center"/>
        </w:trPr>
        <w:tc>
          <w:tcPr>
            <w:tcW w:w="3074" w:type="dxa"/>
            <w:vAlign w:val="center"/>
          </w:tcPr>
          <w:p w14:paraId="213EA73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2477" w:type="dxa"/>
            <w:vAlign w:val="center"/>
          </w:tcPr>
          <w:p w14:paraId="374FBA5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投标报价（元）</w:t>
            </w:r>
          </w:p>
        </w:tc>
        <w:tc>
          <w:tcPr>
            <w:tcW w:w="1996" w:type="dxa"/>
            <w:vAlign w:val="center"/>
          </w:tcPr>
          <w:p w14:paraId="32B45C1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w:t>
            </w:r>
            <w:r>
              <w:rPr>
                <w:rFonts w:hint="eastAsia" w:asciiTheme="minorEastAsia" w:hAnsiTheme="minorEastAsia" w:eastAsiaTheme="minorEastAsia" w:cstheme="minorEastAsia"/>
                <w:sz w:val="24"/>
                <w:szCs w:val="24"/>
                <w:lang w:val="en-US" w:eastAsia="zh-CN"/>
              </w:rPr>
              <w:t xml:space="preserve">   </w:t>
            </w:r>
          </w:p>
        </w:tc>
        <w:tc>
          <w:tcPr>
            <w:tcW w:w="1408" w:type="dxa"/>
            <w:vAlign w:val="center"/>
          </w:tcPr>
          <w:p w14:paraId="51636CE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285B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4" w:hRule="atLeast"/>
          <w:jc w:val="center"/>
        </w:trPr>
        <w:tc>
          <w:tcPr>
            <w:tcW w:w="3074" w:type="dxa"/>
            <w:vAlign w:val="center"/>
          </w:tcPr>
          <w:p w14:paraId="5DCE884C">
            <w:pPr>
              <w:spacing w:line="360" w:lineRule="auto"/>
              <w:jc w:val="center"/>
              <w:rPr>
                <w:rFonts w:hint="eastAsia" w:asciiTheme="minorEastAsia" w:hAnsiTheme="minorEastAsia" w:eastAsiaTheme="minorEastAsia" w:cstheme="minorEastAsia"/>
                <w:sz w:val="24"/>
                <w:szCs w:val="24"/>
              </w:rPr>
            </w:pPr>
          </w:p>
        </w:tc>
        <w:tc>
          <w:tcPr>
            <w:tcW w:w="2477" w:type="dxa"/>
            <w:vAlign w:val="center"/>
          </w:tcPr>
          <w:p w14:paraId="6C4727E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小写：</w:t>
            </w:r>
          </w:p>
          <w:p w14:paraId="333F5F04">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大写：</w:t>
            </w:r>
          </w:p>
        </w:tc>
        <w:tc>
          <w:tcPr>
            <w:tcW w:w="1996" w:type="dxa"/>
            <w:vAlign w:val="center"/>
          </w:tcPr>
          <w:p w14:paraId="3A2220F7">
            <w:pPr>
              <w:spacing w:line="360" w:lineRule="auto"/>
              <w:jc w:val="center"/>
              <w:rPr>
                <w:rFonts w:hint="eastAsia" w:asciiTheme="minorEastAsia" w:hAnsiTheme="minorEastAsia" w:eastAsiaTheme="minorEastAsia" w:cstheme="minorEastAsia"/>
                <w:sz w:val="24"/>
                <w:szCs w:val="24"/>
              </w:rPr>
            </w:pPr>
          </w:p>
        </w:tc>
        <w:tc>
          <w:tcPr>
            <w:tcW w:w="1408" w:type="dxa"/>
            <w:vAlign w:val="center"/>
          </w:tcPr>
          <w:p w14:paraId="70629562">
            <w:pPr>
              <w:spacing w:line="360" w:lineRule="auto"/>
              <w:jc w:val="center"/>
              <w:rPr>
                <w:rFonts w:hint="eastAsia" w:asciiTheme="minorEastAsia" w:hAnsiTheme="minorEastAsia" w:eastAsiaTheme="minorEastAsia" w:cstheme="minorEastAsia"/>
                <w:sz w:val="24"/>
                <w:szCs w:val="24"/>
              </w:rPr>
            </w:pPr>
          </w:p>
        </w:tc>
      </w:tr>
    </w:tbl>
    <w:p w14:paraId="3DBCBA1C">
      <w:pPr>
        <w:adjustRightInd w:val="0"/>
        <w:snapToGrid w:val="0"/>
        <w:ind w:left="2480" w:leftChars="1181"/>
        <w:rPr>
          <w:rFonts w:hint="eastAsia" w:asciiTheme="minorEastAsia" w:hAnsiTheme="minorEastAsia" w:eastAsiaTheme="minorEastAsia" w:cstheme="minorEastAsia"/>
          <w:sz w:val="24"/>
          <w:szCs w:val="24"/>
        </w:rPr>
      </w:pPr>
    </w:p>
    <w:p w14:paraId="7F678DEF">
      <w:pPr>
        <w:pStyle w:val="21"/>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1715AFFB">
      <w:pPr>
        <w:pStyle w:val="21"/>
        <w:adjustRightInd w:val="0"/>
        <w:snapToGrid w:val="0"/>
        <w:spacing w:before="159" w:beforeLines="50" w:line="360"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法定代表人或其授权的代理人(签字)：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3AD435AB">
      <w:pPr>
        <w:adjustRightInd w:val="0"/>
        <w:snapToGrid w:val="0"/>
        <w:spacing w:line="360" w:lineRule="auto"/>
        <w:ind w:left="1611" w:leftChars="76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1D2239E">
      <w:pPr>
        <w:pStyle w:val="9"/>
        <w:rPr>
          <w:rFonts w:hint="eastAsia" w:asciiTheme="minorEastAsia" w:hAnsiTheme="minorEastAsia" w:eastAsiaTheme="minorEastAsia" w:cstheme="minorEastAsia"/>
          <w:sz w:val="24"/>
          <w:szCs w:val="24"/>
        </w:rPr>
      </w:pPr>
    </w:p>
    <w:p w14:paraId="72B09890">
      <w:pPr>
        <w:rPr>
          <w:rFonts w:hint="eastAsia"/>
          <w:sz w:val="24"/>
          <w:szCs w:val="24"/>
        </w:rPr>
      </w:pPr>
    </w:p>
    <w:p w14:paraId="4D91D11E">
      <w:pPr>
        <w:adjustRightInd w:val="0"/>
        <w:snapToGrid w:val="0"/>
        <w:spacing w:line="360" w:lineRule="auto"/>
        <w:ind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说明：</w:t>
      </w:r>
    </w:p>
    <w:p w14:paraId="1B7C27AB">
      <w:pPr>
        <w:adjustRightInd w:val="0"/>
        <w:snapToGrid w:val="0"/>
        <w:spacing w:line="360" w:lineRule="auto"/>
        <w:ind w:left="425"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1、请严格按此“投标报价一览表”格式填写，投标人报价时应详细阅读招标文件报价要求并自行考虑市场风险以及价格合理性。</w:t>
      </w:r>
    </w:p>
    <w:p w14:paraId="7C458D50">
      <w:pPr>
        <w:adjustRightInd w:val="0"/>
        <w:snapToGrid w:val="0"/>
        <w:spacing w:line="360" w:lineRule="auto"/>
        <w:ind w:left="425"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2、合价之和即为投标总报价，合价依据为分项价格表计算得出。</w:t>
      </w:r>
    </w:p>
    <w:p w14:paraId="7146A7C2">
      <w:pPr>
        <w:adjustRightInd w:val="0"/>
        <w:snapToGrid w:val="0"/>
        <w:spacing w:line="360" w:lineRule="auto"/>
        <w:ind w:left="425"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3、投标报价一览表中投标总报价应与投标函一致。</w:t>
      </w:r>
    </w:p>
    <w:p w14:paraId="6AF3E6C6">
      <w:pPr>
        <w:spacing w:line="400" w:lineRule="exact"/>
        <w:jc w:val="center"/>
        <w:rPr>
          <w:rFonts w:hint="eastAsia" w:asciiTheme="minorEastAsia" w:hAnsiTheme="minorEastAsia" w:eastAsiaTheme="minorEastAsia" w:cstheme="minorEastAsia"/>
          <w:b/>
          <w:bCs/>
          <w:sz w:val="24"/>
          <w:szCs w:val="24"/>
        </w:rPr>
      </w:pPr>
    </w:p>
    <w:p w14:paraId="2C5F947B">
      <w:pPr>
        <w:spacing w:line="400" w:lineRule="exact"/>
        <w:jc w:val="center"/>
        <w:rPr>
          <w:rFonts w:ascii="宋体" w:hAnsi="宋体"/>
          <w:b/>
          <w:bCs/>
          <w:szCs w:val="21"/>
        </w:rPr>
      </w:pPr>
    </w:p>
    <w:p w14:paraId="03C71000">
      <w:pPr>
        <w:spacing w:line="400" w:lineRule="exact"/>
        <w:jc w:val="center"/>
        <w:rPr>
          <w:rFonts w:ascii="宋体" w:hAnsi="宋体"/>
          <w:b/>
          <w:bCs/>
          <w:szCs w:val="21"/>
        </w:rPr>
      </w:pPr>
    </w:p>
    <w:p w14:paraId="06788665">
      <w:pPr>
        <w:spacing w:line="400" w:lineRule="exact"/>
        <w:jc w:val="center"/>
        <w:rPr>
          <w:rFonts w:ascii="宋体" w:hAnsi="宋体"/>
          <w:b/>
          <w:bCs/>
          <w:szCs w:val="21"/>
        </w:rPr>
      </w:pPr>
    </w:p>
    <w:p w14:paraId="235ED57E">
      <w:pPr>
        <w:spacing w:line="400" w:lineRule="exact"/>
        <w:jc w:val="center"/>
        <w:rPr>
          <w:rFonts w:ascii="宋体" w:hAnsi="宋体"/>
          <w:b/>
          <w:bCs/>
          <w:szCs w:val="21"/>
        </w:rPr>
      </w:pPr>
    </w:p>
    <w:p w14:paraId="316CED51">
      <w:pPr>
        <w:pStyle w:val="3"/>
      </w:pPr>
    </w:p>
    <w:p w14:paraId="5C7729E6"/>
    <w:p w14:paraId="139293ED">
      <w:pPr>
        <w:pStyle w:val="16"/>
      </w:pPr>
    </w:p>
    <w:p w14:paraId="5E915390"/>
    <w:p w14:paraId="022530D9">
      <w:pPr>
        <w:pStyle w:val="16"/>
      </w:pPr>
    </w:p>
    <w:p w14:paraId="4FA72D20"/>
    <w:p w14:paraId="1A94A0CE">
      <w:pPr>
        <w:pStyle w:val="16"/>
      </w:pPr>
    </w:p>
    <w:p w14:paraId="29DB3EB2"/>
    <w:p w14:paraId="602E41E5">
      <w:pPr>
        <w:pStyle w:val="16"/>
      </w:pPr>
    </w:p>
    <w:p w14:paraId="2A4D8D86">
      <w:pPr>
        <w:pStyle w:val="3"/>
        <w:spacing w:before="0" w:after="40"/>
        <w:jc w:val="center"/>
        <w:rPr>
          <w:rFonts w:hint="eastAsia" w:asciiTheme="minorEastAsia" w:hAnsiTheme="minorEastAsia" w:eastAsiaTheme="minorEastAsia" w:cstheme="minorEastAsia"/>
          <w:kern w:val="0"/>
          <w:sz w:val="24"/>
          <w:szCs w:val="24"/>
        </w:rPr>
      </w:pPr>
      <w:bookmarkStart w:id="284" w:name="_Toc14072"/>
      <w:bookmarkStart w:id="285" w:name="_Toc12961"/>
      <w:bookmarkStart w:id="286" w:name="_Toc515570484"/>
      <w:bookmarkStart w:id="287" w:name="_Toc385671125"/>
      <w:bookmarkStart w:id="288" w:name="_Toc515525232"/>
      <w:bookmarkStart w:id="289" w:name="_Toc17204499"/>
      <w:r>
        <w:rPr>
          <w:rFonts w:hint="eastAsia" w:asciiTheme="minorEastAsia" w:hAnsiTheme="minorEastAsia" w:eastAsiaTheme="minorEastAsia" w:cstheme="minorEastAsia"/>
          <w:kern w:val="0"/>
          <w:sz w:val="28"/>
          <w:szCs w:val="28"/>
        </w:rPr>
        <w:t>3.报价明细表</w:t>
      </w:r>
      <w:bookmarkEnd w:id="284"/>
      <w:bookmarkEnd w:id="285"/>
    </w:p>
    <w:p w14:paraId="587CA0B4">
      <w:pPr>
        <w:pStyle w:val="122"/>
        <w:spacing w:line="360" w:lineRule="auto"/>
        <w:ind w:left="0" w:leftChars="0" w:firstLine="0" w:firstLineChars="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供应商根据本项目情况自行编制</w:t>
      </w:r>
    </w:p>
    <w:p w14:paraId="1DB96A79">
      <w:pPr>
        <w:pStyle w:val="123"/>
        <w:tabs>
          <w:tab w:val="left" w:pos="750"/>
        </w:tabs>
        <w:adjustRightInd w:val="0"/>
        <w:snapToGrid w:val="0"/>
        <w:spacing w:line="500" w:lineRule="exact"/>
        <w:jc w:val="center"/>
        <w:rPr>
          <w:rFonts w:hint="eastAsia" w:ascii="宋体" w:hAnsi="宋体" w:eastAsia="宋体" w:cs="宋体"/>
          <w:sz w:val="24"/>
          <w:szCs w:val="24"/>
        </w:rPr>
      </w:pPr>
    </w:p>
    <w:p w14:paraId="3659695E">
      <w:pPr>
        <w:pStyle w:val="123"/>
        <w:tabs>
          <w:tab w:val="left" w:pos="750"/>
        </w:tabs>
        <w:adjustRightInd w:val="0"/>
        <w:snapToGrid w:val="0"/>
        <w:spacing w:line="500" w:lineRule="exact"/>
        <w:jc w:val="center"/>
        <w:rPr>
          <w:rFonts w:hint="eastAsia" w:ascii="宋体" w:hAnsi="宋体" w:eastAsia="宋体" w:cs="宋体"/>
          <w:sz w:val="24"/>
          <w:szCs w:val="24"/>
        </w:rPr>
      </w:pPr>
    </w:p>
    <w:p w14:paraId="4C348BB2">
      <w:pPr>
        <w:pStyle w:val="123"/>
        <w:tabs>
          <w:tab w:val="left" w:pos="750"/>
        </w:tabs>
        <w:adjustRightInd w:val="0"/>
        <w:snapToGrid w:val="0"/>
        <w:spacing w:line="500" w:lineRule="exact"/>
        <w:jc w:val="center"/>
        <w:rPr>
          <w:rFonts w:hint="eastAsia" w:ascii="宋体" w:hAnsi="宋体" w:eastAsia="宋体" w:cs="宋体"/>
          <w:sz w:val="24"/>
          <w:szCs w:val="24"/>
        </w:rPr>
      </w:pPr>
    </w:p>
    <w:p w14:paraId="473983F0">
      <w:pPr>
        <w:pStyle w:val="123"/>
        <w:tabs>
          <w:tab w:val="left" w:pos="750"/>
        </w:tabs>
        <w:adjustRightInd w:val="0"/>
        <w:snapToGrid w:val="0"/>
        <w:spacing w:line="500" w:lineRule="exact"/>
        <w:jc w:val="center"/>
        <w:rPr>
          <w:rFonts w:hint="eastAsia" w:ascii="宋体" w:hAnsi="宋体" w:eastAsia="宋体" w:cs="宋体"/>
          <w:sz w:val="24"/>
          <w:szCs w:val="24"/>
        </w:rPr>
      </w:pPr>
    </w:p>
    <w:p w14:paraId="067FFDD5">
      <w:pPr>
        <w:pStyle w:val="123"/>
        <w:tabs>
          <w:tab w:val="left" w:pos="750"/>
        </w:tabs>
        <w:adjustRightInd w:val="0"/>
        <w:snapToGrid w:val="0"/>
        <w:spacing w:line="500" w:lineRule="exact"/>
        <w:jc w:val="center"/>
        <w:rPr>
          <w:rFonts w:hint="eastAsia" w:ascii="宋体" w:hAnsi="宋体" w:eastAsia="宋体" w:cs="宋体"/>
          <w:sz w:val="24"/>
          <w:szCs w:val="24"/>
        </w:rPr>
      </w:pPr>
    </w:p>
    <w:p w14:paraId="69F6FCBE">
      <w:pPr>
        <w:pStyle w:val="123"/>
        <w:tabs>
          <w:tab w:val="left" w:pos="750"/>
        </w:tabs>
        <w:adjustRightInd w:val="0"/>
        <w:snapToGrid w:val="0"/>
        <w:spacing w:line="500" w:lineRule="exact"/>
        <w:jc w:val="center"/>
        <w:rPr>
          <w:rFonts w:hint="eastAsia" w:ascii="宋体" w:hAnsi="宋体" w:eastAsia="宋体" w:cs="宋体"/>
          <w:sz w:val="24"/>
          <w:szCs w:val="24"/>
        </w:rPr>
      </w:pPr>
    </w:p>
    <w:p w14:paraId="16C431C0">
      <w:pPr>
        <w:pStyle w:val="123"/>
        <w:tabs>
          <w:tab w:val="left" w:pos="750"/>
        </w:tabs>
        <w:adjustRightInd w:val="0"/>
        <w:snapToGrid w:val="0"/>
        <w:spacing w:line="500" w:lineRule="exact"/>
        <w:jc w:val="center"/>
        <w:rPr>
          <w:rFonts w:hint="eastAsia" w:ascii="宋体" w:hAnsi="宋体" w:eastAsia="宋体" w:cs="宋体"/>
          <w:sz w:val="24"/>
          <w:szCs w:val="24"/>
        </w:rPr>
      </w:pPr>
    </w:p>
    <w:p w14:paraId="7E9E589F">
      <w:pPr>
        <w:pStyle w:val="123"/>
        <w:tabs>
          <w:tab w:val="left" w:pos="750"/>
        </w:tabs>
        <w:adjustRightInd w:val="0"/>
        <w:snapToGrid w:val="0"/>
        <w:spacing w:line="500" w:lineRule="exact"/>
        <w:jc w:val="center"/>
        <w:rPr>
          <w:rFonts w:hint="eastAsia" w:ascii="宋体" w:hAnsi="宋体" w:eastAsia="宋体" w:cs="宋体"/>
          <w:sz w:val="24"/>
          <w:szCs w:val="24"/>
        </w:rPr>
      </w:pPr>
    </w:p>
    <w:p w14:paraId="59CB2543">
      <w:pPr>
        <w:pStyle w:val="123"/>
        <w:tabs>
          <w:tab w:val="left" w:pos="750"/>
        </w:tabs>
        <w:adjustRightInd w:val="0"/>
        <w:snapToGrid w:val="0"/>
        <w:spacing w:line="500" w:lineRule="exact"/>
        <w:jc w:val="center"/>
        <w:rPr>
          <w:rFonts w:hint="eastAsia" w:ascii="宋体" w:hAnsi="宋体" w:eastAsia="宋体" w:cs="宋体"/>
          <w:sz w:val="24"/>
          <w:szCs w:val="24"/>
        </w:rPr>
      </w:pPr>
    </w:p>
    <w:p w14:paraId="52BC1C01">
      <w:pPr>
        <w:pStyle w:val="21"/>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7B69EFE4">
      <w:pPr>
        <w:pStyle w:val="21"/>
        <w:adjustRightInd w:val="0"/>
        <w:snapToGrid w:val="0"/>
        <w:spacing w:before="159" w:beforeLines="50" w:line="360"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法定代表人或其授权的代理人(签字)：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4C1A8EB9">
      <w:pPr>
        <w:adjustRightInd w:val="0"/>
        <w:snapToGrid w:val="0"/>
        <w:spacing w:line="360" w:lineRule="auto"/>
        <w:ind w:left="1611" w:leftChars="76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4AADE63A">
      <w:pPr>
        <w:spacing w:line="360" w:lineRule="auto"/>
        <w:jc w:val="center"/>
        <w:rPr>
          <w:rFonts w:hint="eastAsia" w:asciiTheme="minorEastAsia" w:hAnsiTheme="minorEastAsia" w:eastAsiaTheme="minorEastAsia" w:cstheme="minorEastAsia"/>
          <w:b/>
          <w:kern w:val="0"/>
          <w:sz w:val="24"/>
          <w:szCs w:val="24"/>
          <w:lang w:bidi="ar"/>
        </w:rPr>
        <w:sectPr>
          <w:headerReference r:id="rId4" w:type="first"/>
          <w:footerReference r:id="rId6" w:type="first"/>
          <w:headerReference r:id="rId3" w:type="default"/>
          <w:footerReference r:id="rId5" w:type="default"/>
          <w:pgSz w:w="11906" w:h="16838"/>
          <w:pgMar w:top="1440" w:right="1803" w:bottom="1440" w:left="1803" w:header="851" w:footer="992" w:gutter="0"/>
          <w:pgNumType w:fmt="decimal"/>
          <w:cols w:space="720" w:num="1"/>
          <w:titlePg/>
          <w:docGrid w:type="lines" w:linePitch="319" w:charSpace="0"/>
        </w:sectPr>
      </w:pPr>
      <w:r>
        <w:rPr>
          <w:rFonts w:hint="eastAsia" w:asciiTheme="minorEastAsia" w:hAnsiTheme="minorEastAsia" w:eastAsiaTheme="minorEastAsia" w:cstheme="minorEastAsia"/>
          <w:sz w:val="24"/>
          <w:szCs w:val="24"/>
        </w:rPr>
        <w:t xml:space="preserve"> </w:t>
      </w:r>
    </w:p>
    <w:p w14:paraId="4185B07C">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0"/>
          <w:sz w:val="28"/>
          <w:szCs w:val="28"/>
        </w:rPr>
        <w:t>4.</w:t>
      </w:r>
      <w:bookmarkEnd w:id="286"/>
      <w:bookmarkEnd w:id="287"/>
      <w:bookmarkEnd w:id="288"/>
      <w:bookmarkEnd w:id="289"/>
      <w:r>
        <w:rPr>
          <w:rFonts w:hint="eastAsia" w:asciiTheme="minorEastAsia" w:hAnsiTheme="minorEastAsia" w:eastAsiaTheme="minorEastAsia" w:cstheme="minorEastAsia"/>
          <w:b/>
          <w:sz w:val="28"/>
          <w:szCs w:val="28"/>
        </w:rPr>
        <w:t>法定代表人身份证明</w:t>
      </w:r>
      <w:bookmarkEnd w:id="283"/>
    </w:p>
    <w:p w14:paraId="1BED5956">
      <w:pPr>
        <w:spacing w:line="400" w:lineRule="exact"/>
        <w:rPr>
          <w:rFonts w:hint="eastAsia" w:asciiTheme="minorEastAsia" w:hAnsiTheme="minorEastAsia" w:eastAsiaTheme="minorEastAsia" w:cstheme="minorEastAsia"/>
          <w:bCs/>
          <w:sz w:val="24"/>
          <w:szCs w:val="24"/>
        </w:rPr>
      </w:pPr>
    </w:p>
    <w:p w14:paraId="2A582F1E">
      <w:pPr>
        <w:spacing w:line="400" w:lineRule="exact"/>
        <w:rPr>
          <w:rFonts w:hint="eastAsia" w:asciiTheme="minorEastAsia" w:hAnsiTheme="minorEastAsia" w:eastAsiaTheme="minorEastAsia" w:cstheme="minorEastAsia"/>
          <w:bCs/>
          <w:sz w:val="24"/>
          <w:szCs w:val="24"/>
        </w:rPr>
      </w:pPr>
    </w:p>
    <w:p w14:paraId="6EEE54BF">
      <w:pPr>
        <w:spacing w:line="400" w:lineRule="exact"/>
        <w:rPr>
          <w:rFonts w:hint="eastAsia" w:asciiTheme="minorEastAsia" w:hAnsiTheme="minorEastAsia" w:eastAsiaTheme="minorEastAsia" w:cstheme="minorEastAsia"/>
          <w:bCs/>
          <w:sz w:val="24"/>
          <w:szCs w:val="24"/>
        </w:rPr>
      </w:pPr>
    </w:p>
    <w:p w14:paraId="30C79BB5">
      <w:pPr>
        <w:spacing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p>
    <w:p w14:paraId="0123918A">
      <w:pPr>
        <w:spacing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投标人类型：</w:t>
      </w:r>
      <w:r>
        <w:rPr>
          <w:rFonts w:hint="eastAsia" w:asciiTheme="minorEastAsia" w:hAnsiTheme="minorEastAsia" w:eastAsiaTheme="minorEastAsia" w:cstheme="minorEastAsia"/>
          <w:sz w:val="24"/>
          <w:szCs w:val="24"/>
          <w:u w:val="single"/>
        </w:rPr>
        <w:t xml:space="preserve">                                                 </w:t>
      </w:r>
    </w:p>
    <w:p w14:paraId="04CEBCF0">
      <w:pPr>
        <w:spacing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14:paraId="6919B1C5">
      <w:pPr>
        <w:spacing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营业期限：</w:t>
      </w:r>
      <w:r>
        <w:rPr>
          <w:rFonts w:hint="eastAsia" w:asciiTheme="minorEastAsia" w:hAnsiTheme="minorEastAsia" w:eastAsiaTheme="minorEastAsia" w:cstheme="minorEastAsia"/>
          <w:sz w:val="24"/>
          <w:szCs w:val="24"/>
          <w:u w:val="single"/>
        </w:rPr>
        <w:t xml:space="preserve">                                                   </w:t>
      </w:r>
    </w:p>
    <w:p w14:paraId="029C1216">
      <w:pPr>
        <w:spacing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p>
    <w:p w14:paraId="3901738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性别：</w:t>
      </w:r>
      <w:r>
        <w:rPr>
          <w:rFonts w:hint="eastAsia" w:asciiTheme="minorEastAsia" w:hAnsiTheme="minorEastAsia" w:eastAsiaTheme="minorEastAsia" w:cstheme="minorEastAsia"/>
          <w:sz w:val="24"/>
          <w:szCs w:val="24"/>
          <w:u w:val="single"/>
        </w:rPr>
        <w:t xml:space="preserve">                </w:t>
      </w:r>
    </w:p>
    <w:p w14:paraId="5526EA04">
      <w:pPr>
        <w:spacing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职务：</w:t>
      </w:r>
      <w:r>
        <w:rPr>
          <w:rFonts w:hint="eastAsia" w:asciiTheme="minorEastAsia" w:hAnsiTheme="minorEastAsia" w:eastAsiaTheme="minorEastAsia" w:cstheme="minorEastAsia"/>
          <w:sz w:val="24"/>
          <w:szCs w:val="24"/>
          <w:u w:val="single"/>
        </w:rPr>
        <w:t xml:space="preserve">                </w:t>
      </w:r>
    </w:p>
    <w:p w14:paraId="4738958C">
      <w:pPr>
        <w:spacing w:line="4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系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的法定代表人</w:t>
      </w:r>
      <w:r>
        <w:rPr>
          <w:rFonts w:hint="eastAsia" w:asciiTheme="minorEastAsia" w:hAnsiTheme="minorEastAsia" w:eastAsiaTheme="minorEastAsia" w:cstheme="minorEastAsia"/>
          <w:bCs/>
          <w:sz w:val="24"/>
          <w:szCs w:val="24"/>
        </w:rPr>
        <w:t>。</w:t>
      </w:r>
    </w:p>
    <w:p w14:paraId="273F0332">
      <w:pPr>
        <w:spacing w:line="400" w:lineRule="exact"/>
        <w:ind w:firstLine="240" w:firstLineChars="100"/>
        <w:rPr>
          <w:rFonts w:hint="eastAsia" w:asciiTheme="minorEastAsia" w:hAnsiTheme="minorEastAsia" w:eastAsiaTheme="minorEastAsia" w:cstheme="minorEastAsia"/>
          <w:sz w:val="24"/>
          <w:szCs w:val="24"/>
        </w:rPr>
      </w:pPr>
    </w:p>
    <w:p w14:paraId="6341947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7A085B5C">
      <w:pPr>
        <w:spacing w:line="400" w:lineRule="exact"/>
        <w:ind w:firstLine="720" w:firstLineChars="300"/>
        <w:rPr>
          <w:rFonts w:hint="eastAsia" w:asciiTheme="minorEastAsia" w:hAnsiTheme="minorEastAsia" w:eastAsiaTheme="minorEastAsia" w:cstheme="minorEastAsia"/>
          <w:bCs/>
          <w:sz w:val="24"/>
          <w:szCs w:val="24"/>
        </w:rPr>
      </w:pPr>
    </w:p>
    <w:p w14:paraId="2915AFEF">
      <w:pPr>
        <w:spacing w:line="400" w:lineRule="exact"/>
        <w:ind w:firstLine="720" w:firstLineChars="300"/>
        <w:rPr>
          <w:rFonts w:hint="eastAsia" w:asciiTheme="minorEastAsia" w:hAnsiTheme="minorEastAsia" w:eastAsiaTheme="minorEastAsia" w:cstheme="minorEastAsia"/>
          <w:bCs/>
          <w:sz w:val="24"/>
          <w:szCs w:val="24"/>
        </w:rPr>
      </w:pPr>
    </w:p>
    <w:p w14:paraId="2123E482">
      <w:pPr>
        <w:spacing w:line="4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302260</wp:posOffset>
                </wp:positionH>
                <wp:positionV relativeFrom="paragraph">
                  <wp:posOffset>189230</wp:posOffset>
                </wp:positionV>
                <wp:extent cx="2618740" cy="1790700"/>
                <wp:effectExtent l="4445" t="4445" r="5715" b="8255"/>
                <wp:wrapNone/>
                <wp:docPr id="1" name="文本框 4"/>
                <wp:cNvGraphicFramePr/>
                <a:graphic xmlns:a="http://schemas.openxmlformats.org/drawingml/2006/main">
                  <a:graphicData uri="http://schemas.microsoft.com/office/word/2010/wordprocessingShape">
                    <wps:wsp>
                      <wps:cNvSpPr txBox="1"/>
                      <wps:spPr>
                        <a:xfrm>
                          <a:off x="0" y="0"/>
                          <a:ext cx="2618740" cy="1790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4C459D">
                            <w:r>
                              <w:rPr>
                                <w:rFonts w:hint="eastAsia"/>
                              </w:rPr>
                              <w:t xml:space="preserve">                 </w:t>
                            </w:r>
                          </w:p>
                          <w:p w14:paraId="43708BA0"/>
                          <w:p w14:paraId="51C4CCE5"/>
                          <w:p w14:paraId="5F377135"/>
                          <w:p w14:paraId="29BF5A76">
                            <w:r>
                              <w:rPr>
                                <w:rFonts w:hint="eastAsia"/>
                              </w:rPr>
                              <w:t xml:space="preserve">        附法人身份证复印件正面</w:t>
                            </w:r>
                          </w:p>
                        </w:txbxContent>
                      </wps:txbx>
                      <wps:bodyPr upright="1"/>
                    </wps:wsp>
                  </a:graphicData>
                </a:graphic>
              </wp:anchor>
            </w:drawing>
          </mc:Choice>
          <mc:Fallback>
            <w:pict>
              <v:shape id="文本框 4" o:spid="_x0000_s1026" o:spt="202" type="#_x0000_t202" style="position:absolute;left:0pt;margin-left:23.8pt;margin-top:14.9pt;height:141pt;width:206.2pt;z-index:251659264;mso-width-relative:page;mso-height-relative:page;" fillcolor="#FFFFFF" filled="t" stroked="t" coordsize="21600,21600" o:gfxdata="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U0mFHZAAAACQEAAA8AAAAAAAAAAQAg&#10;AAAAIgAAAGRycy9kb3ducmV2LnhtbFBLAQIUABQAAAAIAIdO4kBqniX+DQIAADcEAAAOAAAAAAAA&#10;AAEAIAAAACgBAABkcnMvZTJvRG9jLnhtbFBLBQYAAAAABgAGAFkBAACnBQAAAAA=&#10;">
                <v:fill on="t" focussize="0,0"/>
                <v:stroke color="#000000" joinstyle="miter"/>
                <v:imagedata o:title=""/>
                <o:lock v:ext="edit" aspectratio="f"/>
                <v:textbox>
                  <w:txbxContent>
                    <w:p w14:paraId="394C459D">
                      <w:r>
                        <w:rPr>
                          <w:rFonts w:hint="eastAsia"/>
                        </w:rPr>
                        <w:t xml:space="preserve">                 </w:t>
                      </w:r>
                    </w:p>
                    <w:p w14:paraId="43708BA0"/>
                    <w:p w14:paraId="51C4CCE5"/>
                    <w:p w14:paraId="5F377135"/>
                    <w:p w14:paraId="29BF5A76">
                      <w:r>
                        <w:rPr>
                          <w:rFonts w:hint="eastAsia"/>
                        </w:rPr>
                        <w:t xml:space="preserve">        附法人身份证复印件正面</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3065145</wp:posOffset>
                </wp:positionH>
                <wp:positionV relativeFrom="paragraph">
                  <wp:posOffset>168910</wp:posOffset>
                </wp:positionV>
                <wp:extent cx="2696210" cy="1781175"/>
                <wp:effectExtent l="4445" t="4445" r="17145" b="5080"/>
                <wp:wrapNone/>
                <wp:docPr id="3" name="文本框 5"/>
                <wp:cNvGraphicFramePr/>
                <a:graphic xmlns:a="http://schemas.openxmlformats.org/drawingml/2006/main">
                  <a:graphicData uri="http://schemas.microsoft.com/office/word/2010/wordprocessingShape">
                    <wps:wsp>
                      <wps:cNvSpPr txBox="1"/>
                      <wps:spPr>
                        <a:xfrm>
                          <a:off x="0" y="0"/>
                          <a:ext cx="2696210" cy="1781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3A9D49">
                            <w:r>
                              <w:rPr>
                                <w:rFonts w:hint="eastAsia"/>
                              </w:rPr>
                              <w:t xml:space="preserve">                 </w:t>
                            </w:r>
                          </w:p>
                          <w:p w14:paraId="48260B78"/>
                          <w:p w14:paraId="7CE4A9B8"/>
                          <w:p w14:paraId="6B5D8C9E"/>
                          <w:p w14:paraId="1DBF945D">
                            <w:r>
                              <w:rPr>
                                <w:rFonts w:hint="eastAsia"/>
                              </w:rPr>
                              <w:t xml:space="preserve">         附法人身份证复印件反面</w:t>
                            </w:r>
                          </w:p>
                        </w:txbxContent>
                      </wps:txbx>
                      <wps:bodyPr upright="1"/>
                    </wps:wsp>
                  </a:graphicData>
                </a:graphic>
              </wp:anchor>
            </w:drawing>
          </mc:Choice>
          <mc:Fallback>
            <w:pict>
              <v:shape id="文本框 5" o:spid="_x0000_s1026" o:spt="202" type="#_x0000_t202" style="position:absolute;left:0pt;margin-left:241.35pt;margin-top:13.3pt;height:140.25pt;width:212.3pt;z-index:251661312;mso-width-relative:page;mso-height-relative:page;" fillcolor="#FFFFFF" filled="t" stroked="t" coordsize="21600,21600" o:gfxdata="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XLV29oAAAAKAQAADwAAAAAAAAAB&#10;ACAAAAAiAAAAZHJzL2Rvd25yZXYueG1sUEsBAhQAFAAAAAgAh07iQCRn/N4OAgAANwQAAA4AAAAA&#10;AAAAAQAgAAAAKQEAAGRycy9lMm9Eb2MueG1sUEsFBgAAAAAGAAYAWQEAAKkFAAAAAA==&#10;">
                <v:fill on="t" focussize="0,0"/>
                <v:stroke color="#000000" joinstyle="miter"/>
                <v:imagedata o:title=""/>
                <o:lock v:ext="edit" aspectratio="f"/>
                <v:textbox>
                  <w:txbxContent>
                    <w:p w14:paraId="603A9D49">
                      <w:r>
                        <w:rPr>
                          <w:rFonts w:hint="eastAsia"/>
                        </w:rPr>
                        <w:t xml:space="preserve">                 </w:t>
                      </w:r>
                    </w:p>
                    <w:p w14:paraId="48260B78"/>
                    <w:p w14:paraId="7CE4A9B8"/>
                    <w:p w14:paraId="6B5D8C9E"/>
                    <w:p w14:paraId="1DBF945D">
                      <w:r>
                        <w:rPr>
                          <w:rFonts w:hint="eastAsia"/>
                        </w:rPr>
                        <w:t xml:space="preserve">         附法人身份证复印件反面</w:t>
                      </w:r>
                    </w:p>
                  </w:txbxContent>
                </v:textbox>
              </v:shape>
            </w:pict>
          </mc:Fallback>
        </mc:AlternateContent>
      </w:r>
    </w:p>
    <w:p w14:paraId="553DCD65">
      <w:pPr>
        <w:spacing w:line="400" w:lineRule="exact"/>
        <w:rPr>
          <w:rFonts w:hint="eastAsia" w:asciiTheme="minorEastAsia" w:hAnsiTheme="minorEastAsia" w:eastAsiaTheme="minorEastAsia" w:cstheme="minorEastAsia"/>
          <w:bCs/>
          <w:sz w:val="24"/>
          <w:szCs w:val="24"/>
        </w:rPr>
      </w:pPr>
    </w:p>
    <w:p w14:paraId="7510C156">
      <w:pPr>
        <w:spacing w:line="400" w:lineRule="exact"/>
        <w:rPr>
          <w:rFonts w:hint="eastAsia" w:asciiTheme="minorEastAsia" w:hAnsiTheme="minorEastAsia" w:eastAsiaTheme="minorEastAsia" w:cstheme="minorEastAsia"/>
          <w:bCs/>
          <w:sz w:val="24"/>
          <w:szCs w:val="24"/>
        </w:rPr>
      </w:pPr>
    </w:p>
    <w:p w14:paraId="545F7BAA">
      <w:pPr>
        <w:spacing w:line="400" w:lineRule="exact"/>
        <w:rPr>
          <w:rFonts w:hint="eastAsia" w:asciiTheme="minorEastAsia" w:hAnsiTheme="minorEastAsia" w:eastAsiaTheme="minorEastAsia" w:cstheme="minorEastAsia"/>
          <w:bCs/>
          <w:sz w:val="24"/>
          <w:szCs w:val="24"/>
        </w:rPr>
      </w:pPr>
    </w:p>
    <w:p w14:paraId="12947D61">
      <w:pPr>
        <w:wordWrap w:val="0"/>
        <w:spacing w:line="40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FECF2FC">
      <w:pPr>
        <w:spacing w:line="400" w:lineRule="exact"/>
        <w:jc w:val="right"/>
        <w:rPr>
          <w:rFonts w:hint="eastAsia" w:asciiTheme="minorEastAsia" w:hAnsiTheme="minorEastAsia" w:eastAsiaTheme="minorEastAsia" w:cstheme="minorEastAsia"/>
          <w:sz w:val="24"/>
          <w:szCs w:val="24"/>
        </w:rPr>
      </w:pPr>
    </w:p>
    <w:p w14:paraId="4A87879F">
      <w:pPr>
        <w:spacing w:line="400" w:lineRule="exact"/>
        <w:jc w:val="right"/>
        <w:rPr>
          <w:rFonts w:hint="eastAsia" w:asciiTheme="minorEastAsia" w:hAnsiTheme="minorEastAsia" w:eastAsiaTheme="minorEastAsia" w:cstheme="minorEastAsia"/>
          <w:sz w:val="24"/>
          <w:szCs w:val="24"/>
        </w:rPr>
      </w:pPr>
    </w:p>
    <w:p w14:paraId="4217718B">
      <w:pPr>
        <w:spacing w:line="400" w:lineRule="exact"/>
        <w:jc w:val="right"/>
        <w:rPr>
          <w:rFonts w:hint="eastAsia" w:asciiTheme="minorEastAsia" w:hAnsiTheme="minorEastAsia" w:eastAsiaTheme="minorEastAsia" w:cstheme="minorEastAsia"/>
          <w:sz w:val="24"/>
          <w:szCs w:val="24"/>
        </w:rPr>
      </w:pPr>
    </w:p>
    <w:p w14:paraId="3F48E5BE">
      <w:pPr>
        <w:spacing w:line="400" w:lineRule="exact"/>
        <w:jc w:val="right"/>
        <w:rPr>
          <w:rFonts w:hint="eastAsia" w:asciiTheme="minorEastAsia" w:hAnsiTheme="minorEastAsia" w:eastAsiaTheme="minorEastAsia" w:cstheme="minorEastAsia"/>
          <w:sz w:val="24"/>
          <w:szCs w:val="24"/>
        </w:rPr>
      </w:pPr>
    </w:p>
    <w:p w14:paraId="6FDECBFA">
      <w:pPr>
        <w:spacing w:line="360" w:lineRule="auto"/>
        <w:jc w:val="right"/>
        <w:rPr>
          <w:rFonts w:hint="eastAsia" w:asciiTheme="minorEastAsia" w:hAnsiTheme="minorEastAsia" w:eastAsiaTheme="minorEastAsia" w:cstheme="minorEastAsia"/>
          <w:sz w:val="24"/>
          <w:szCs w:val="24"/>
        </w:rPr>
      </w:pPr>
    </w:p>
    <w:p w14:paraId="6C924D16">
      <w:pPr>
        <w:spacing w:line="360" w:lineRule="auto"/>
        <w:jc w:val="right"/>
        <w:rPr>
          <w:rFonts w:hint="eastAsia" w:asciiTheme="minorEastAsia" w:hAnsiTheme="minorEastAsia" w:eastAsiaTheme="minorEastAsia" w:cstheme="minorEastAsia"/>
          <w:sz w:val="24"/>
          <w:szCs w:val="24"/>
        </w:rPr>
      </w:pPr>
    </w:p>
    <w:p w14:paraId="1694D1E9">
      <w:pPr>
        <w:pStyle w:val="21"/>
        <w:adjustRightInd w:val="0"/>
        <w:snapToGrid w:val="0"/>
        <w:spacing w:before="159" w:beforeLines="50" w:line="336" w:lineRule="auto"/>
        <w:ind w:left="2108" w:leftChars="1004" w:firstLine="1440" w:firstLineChars="6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05DD3A9A">
      <w:pPr>
        <w:pStyle w:val="21"/>
        <w:adjustRightInd w:val="0"/>
        <w:snapToGrid w:val="0"/>
        <w:spacing w:before="159" w:beforeLines="50" w:line="360" w:lineRule="auto"/>
        <w:ind w:left="2108" w:leftChars="1004" w:firstLine="1440" w:firstLineChars="6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法定代表人或其授权的代理人(签字)：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72293FF9">
      <w:pPr>
        <w:pStyle w:val="63"/>
        <w:snapToGrid w:val="0"/>
        <w:jc w:val="righ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471529B">
      <w:pPr>
        <w:pStyle w:val="68"/>
        <w:snapToGrid w:val="0"/>
        <w:spacing w:line="360" w:lineRule="atLeast"/>
        <w:jc w:val="center"/>
        <w:outlineLvl w:val="0"/>
        <w:rPr>
          <w:rFonts w:ascii="宋体" w:hAnsi="宋体"/>
          <w:b/>
          <w:color w:val="auto"/>
          <w:sz w:val="24"/>
          <w:szCs w:val="24"/>
        </w:rPr>
      </w:pPr>
      <w:r>
        <w:rPr>
          <w:rFonts w:ascii="宋体" w:hAnsi="宋体"/>
          <w:b/>
          <w:color w:val="auto"/>
          <w:sz w:val="21"/>
          <w:szCs w:val="21"/>
        </w:rPr>
        <w:br w:type="page"/>
      </w:r>
      <w:bookmarkStart w:id="290" w:name="_Toc28983"/>
      <w:bookmarkStart w:id="291" w:name="_Toc27921"/>
      <w:bookmarkStart w:id="292" w:name="_Toc3633"/>
      <w:bookmarkStart w:id="293" w:name="_Toc21605"/>
      <w:bookmarkStart w:id="294" w:name="_Toc1961"/>
      <w:r>
        <w:rPr>
          <w:rFonts w:hint="eastAsia" w:ascii="宋体" w:hAnsi="宋体"/>
          <w:b/>
          <w:color w:val="auto"/>
          <w:sz w:val="28"/>
          <w:szCs w:val="28"/>
        </w:rPr>
        <w:t>5.法定代表人授权委托书</w:t>
      </w:r>
      <w:bookmarkEnd w:id="290"/>
      <w:bookmarkEnd w:id="291"/>
      <w:bookmarkEnd w:id="292"/>
      <w:bookmarkEnd w:id="293"/>
      <w:bookmarkEnd w:id="294"/>
    </w:p>
    <w:p w14:paraId="2FA2DB63">
      <w:pPr>
        <w:pStyle w:val="68"/>
        <w:snapToGrid w:val="0"/>
        <w:spacing w:line="360" w:lineRule="atLeast"/>
        <w:ind w:firstLine="855"/>
        <w:jc w:val="center"/>
        <w:rPr>
          <w:rFonts w:ascii="宋体" w:hAnsi="宋体"/>
          <w:b/>
          <w:color w:val="auto"/>
          <w:sz w:val="24"/>
          <w:szCs w:val="24"/>
        </w:rPr>
      </w:pPr>
    </w:p>
    <w:p w14:paraId="672FD580">
      <w:pPr>
        <w:spacing w:line="360" w:lineRule="auto"/>
        <w:ind w:firstLine="480" w:firstLineChars="200"/>
        <w:rPr>
          <w:rFonts w:ascii="宋体" w:hAnsi="宋体"/>
          <w:sz w:val="24"/>
          <w:szCs w:val="24"/>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（投标人名称）的法定代表人，现授权委托</w:t>
      </w:r>
      <w:r>
        <w:rPr>
          <w:rFonts w:hint="eastAsia" w:ascii="宋体" w:hAnsi="宋体"/>
          <w:sz w:val="24"/>
          <w:szCs w:val="24"/>
          <w:u w:val="single"/>
        </w:rPr>
        <w:t xml:space="preserve">                         </w:t>
      </w:r>
      <w:r>
        <w:rPr>
          <w:rFonts w:hint="eastAsia" w:ascii="宋体" w:hAnsi="宋体"/>
          <w:sz w:val="24"/>
          <w:szCs w:val="24"/>
        </w:rPr>
        <w:t>（投标人名称）的</w:t>
      </w:r>
      <w:r>
        <w:rPr>
          <w:rFonts w:hint="eastAsia" w:ascii="宋体" w:hAnsi="宋体"/>
          <w:sz w:val="24"/>
          <w:szCs w:val="24"/>
          <w:u w:val="single"/>
        </w:rPr>
        <w:t xml:space="preserve">            </w:t>
      </w:r>
      <w:r>
        <w:rPr>
          <w:rFonts w:hint="eastAsia" w:ascii="宋体" w:hAnsi="宋体"/>
          <w:sz w:val="24"/>
          <w:szCs w:val="24"/>
        </w:rPr>
        <w:t>（姓名）为我公司代理人，以本公司的名义参加</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采购人</w:t>
      </w:r>
      <w:r>
        <w:rPr>
          <w:rFonts w:hint="eastAsia" w:ascii="宋体" w:hAnsi="宋体"/>
          <w:sz w:val="24"/>
          <w:szCs w:val="24"/>
        </w:rPr>
        <w:t>）的</w:t>
      </w:r>
      <w:r>
        <w:rPr>
          <w:rFonts w:hint="eastAsia" w:ascii="宋体" w:hAnsi="宋体"/>
          <w:sz w:val="24"/>
          <w:szCs w:val="24"/>
          <w:u w:val="single"/>
        </w:rPr>
        <w:t xml:space="preserve">                 项目</w:t>
      </w:r>
      <w:r>
        <w:rPr>
          <w:rFonts w:hint="eastAsia" w:ascii="宋体" w:hAnsi="宋体"/>
          <w:sz w:val="24"/>
          <w:szCs w:val="24"/>
        </w:rPr>
        <w:t>的投标活动。代理人签署的投标文件和参加整个招标投标活动中所签署的一切文件和处理与之有关的一切事物，我均予以承认。</w:t>
      </w:r>
    </w:p>
    <w:p w14:paraId="6084FA16">
      <w:pPr>
        <w:spacing w:line="360" w:lineRule="auto"/>
        <w:rPr>
          <w:rFonts w:ascii="宋体" w:hAnsi="宋体"/>
          <w:sz w:val="24"/>
          <w:szCs w:val="24"/>
        </w:rPr>
      </w:pPr>
    </w:p>
    <w:p w14:paraId="66A24664">
      <w:pPr>
        <w:spacing w:line="360" w:lineRule="auto"/>
        <w:rPr>
          <w:rFonts w:ascii="宋体" w:hAnsi="宋体"/>
          <w:sz w:val="24"/>
          <w:szCs w:val="24"/>
        </w:rPr>
      </w:pPr>
    </w:p>
    <w:p w14:paraId="10667506">
      <w:pPr>
        <w:spacing w:line="360" w:lineRule="auto"/>
        <w:ind w:firstLine="480" w:firstLineChars="200"/>
        <w:rPr>
          <w:rFonts w:ascii="宋体" w:hAnsi="宋体"/>
          <w:sz w:val="24"/>
          <w:szCs w:val="24"/>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14:paraId="5E815481">
      <w:pPr>
        <w:spacing w:line="360" w:lineRule="auto"/>
        <w:ind w:firstLine="480" w:firstLineChars="200"/>
        <w:rPr>
          <w:rFonts w:ascii="宋体" w:hAnsi="宋体"/>
          <w:sz w:val="24"/>
          <w:szCs w:val="24"/>
        </w:rPr>
      </w:pPr>
      <w:r>
        <w:rPr>
          <w:rFonts w:hint="eastAsia" w:ascii="宋体" w:hAnsi="宋体"/>
          <w:sz w:val="24"/>
          <w:szCs w:val="24"/>
        </w:rPr>
        <w:t>单  位：</w:t>
      </w:r>
      <w:r>
        <w:rPr>
          <w:rFonts w:hint="eastAsia" w:ascii="宋体" w:hAnsi="宋体"/>
          <w:sz w:val="24"/>
          <w:szCs w:val="24"/>
          <w:u w:val="single"/>
        </w:rPr>
        <w:t xml:space="preserve">              </w:t>
      </w:r>
      <w:r>
        <w:rPr>
          <w:rFonts w:hint="eastAsia" w:ascii="宋体" w:hAnsi="宋体"/>
          <w:sz w:val="24"/>
          <w:szCs w:val="24"/>
        </w:rPr>
        <w:t>部门：</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7D45C60">
      <w:pPr>
        <w:spacing w:line="360" w:lineRule="auto"/>
        <w:ind w:firstLine="480" w:firstLineChars="200"/>
        <w:rPr>
          <w:rFonts w:ascii="宋体" w:hAnsi="宋体"/>
          <w:sz w:val="24"/>
          <w:szCs w:val="24"/>
        </w:rPr>
      </w:pPr>
      <w:r>
        <w:rPr>
          <w:rFonts w:hint="eastAsia" w:ascii="宋体" w:hAnsi="宋体"/>
          <w:sz w:val="24"/>
          <w:szCs w:val="24"/>
        </w:rPr>
        <w:t>代理人无转委权</w:t>
      </w:r>
      <w:r>
        <w:rPr>
          <w:rFonts w:hint="eastAsia" w:ascii="宋体" w:hAnsi="宋体"/>
          <w:sz w:val="24"/>
          <w:szCs w:val="24"/>
          <w:lang w:eastAsia="zh-CN"/>
        </w:rPr>
        <w:t>，</w:t>
      </w:r>
      <w:r>
        <w:rPr>
          <w:rFonts w:hint="eastAsia" w:ascii="宋体" w:hAnsi="宋体"/>
          <w:sz w:val="24"/>
          <w:szCs w:val="24"/>
        </w:rPr>
        <w:t>特此委托。</w:t>
      </w:r>
    </w:p>
    <w:p w14:paraId="5B4EB06A">
      <w:pPr>
        <w:spacing w:line="360" w:lineRule="auto"/>
        <w:rPr>
          <w:rFonts w:ascii="宋体" w:hAnsi="宋体"/>
          <w:sz w:val="24"/>
          <w:szCs w:val="24"/>
        </w:rPr>
      </w:pPr>
    </w:p>
    <w:p w14:paraId="54D6A7EF">
      <w:pPr>
        <w:spacing w:line="360" w:lineRule="auto"/>
        <w:rPr>
          <w:rFonts w:ascii="宋体" w:hAnsi="宋体"/>
          <w:sz w:val="24"/>
          <w:szCs w:val="24"/>
        </w:rPr>
      </w:pPr>
    </w:p>
    <w:p w14:paraId="35B31CD1">
      <w:pPr>
        <w:spacing w:line="360" w:lineRule="auto"/>
        <w:rPr>
          <w:rFonts w:ascii="宋体" w:hAnsi="宋体"/>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8890</wp:posOffset>
                </wp:positionV>
                <wp:extent cx="2609215" cy="1704975"/>
                <wp:effectExtent l="4445" t="4445" r="15240" b="5080"/>
                <wp:wrapNone/>
                <wp:docPr id="2" name="文本框 6"/>
                <wp:cNvGraphicFramePr/>
                <a:graphic xmlns:a="http://schemas.openxmlformats.org/drawingml/2006/main">
                  <a:graphicData uri="http://schemas.microsoft.com/office/word/2010/wordprocessingShape">
                    <wps:wsp>
                      <wps:cNvSpPr txBox="1"/>
                      <wps:spPr>
                        <a:xfrm>
                          <a:off x="0" y="0"/>
                          <a:ext cx="2609215" cy="1704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3112AC"/>
                          <w:p w14:paraId="030FC26D"/>
                          <w:p w14:paraId="68E85238"/>
                          <w:p w14:paraId="79E73777"/>
                          <w:p w14:paraId="42E5B69B">
                            <w:r>
                              <w:rPr>
                                <w:rFonts w:hint="eastAsia"/>
                              </w:rPr>
                              <w:t xml:space="preserve">       附委托人身份证复印件正面</w:t>
                            </w:r>
                          </w:p>
                        </w:txbxContent>
                      </wps:txbx>
                      <wps:bodyPr upright="1"/>
                    </wps:wsp>
                  </a:graphicData>
                </a:graphic>
              </wp:anchor>
            </w:drawing>
          </mc:Choice>
          <mc:Fallback>
            <w:pict>
              <v:shape id="文本框 6" o:spid="_x0000_s1026" o:spt="202" type="#_x0000_t202" style="position:absolute;left:0pt;margin-left:-1.75pt;margin-top:0.7pt;height:134.25pt;width:205.45pt;z-index:251660288;mso-width-relative:page;mso-height-relative:page;" fillcolor="#FFFFFF" filled="t" stroked="t" coordsize="21600,21600" o:gfxdata="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sGixNkAAAAIAQAADwAAAAAAAAABACAA&#10;AAAiAAAAZHJzL2Rvd25yZXYueG1sUEsBAhQAFAAAAAgAh07iQELcd/MMAgAANwQAAA4AAAAAAAAA&#10;AQAgAAAAKAEAAGRycy9lMm9Eb2MueG1sUEsFBgAAAAAGAAYAWQEAAKYFAAAAAA==&#10;">
                <v:fill on="t" focussize="0,0"/>
                <v:stroke color="#000000" joinstyle="miter"/>
                <v:imagedata o:title=""/>
                <o:lock v:ext="edit" aspectratio="f"/>
                <v:textbox>
                  <w:txbxContent>
                    <w:p w14:paraId="6D3112AC"/>
                    <w:p w14:paraId="030FC26D"/>
                    <w:p w14:paraId="68E85238"/>
                    <w:p w14:paraId="79E73777"/>
                    <w:p w14:paraId="42E5B69B">
                      <w:r>
                        <w:rPr>
                          <w:rFonts w:hint="eastAsia"/>
                        </w:rPr>
                        <w:t xml:space="preserve">       附委托人身份证复印件正面</w:t>
                      </w:r>
                    </w:p>
                  </w:txbxContent>
                </v:textbox>
              </v:shape>
            </w:pict>
          </mc:Fallback>
        </mc:AlternateContent>
      </w:r>
      <w:r>
        <w:rPr>
          <w:sz w:val="24"/>
          <w:szCs w:val="24"/>
        </w:rPr>
        <mc:AlternateContent>
          <mc:Choice Requires="wps">
            <w:drawing>
              <wp:anchor distT="0" distB="0" distL="114300" distR="114300" simplePos="0" relativeHeight="251662336" behindDoc="0" locked="0" layoutInCell="1" allowOverlap="1">
                <wp:simplePos x="0" y="0"/>
                <wp:positionH relativeFrom="column">
                  <wp:posOffset>2663190</wp:posOffset>
                </wp:positionH>
                <wp:positionV relativeFrom="paragraph">
                  <wp:posOffset>10160</wp:posOffset>
                </wp:positionV>
                <wp:extent cx="2722880" cy="1694180"/>
                <wp:effectExtent l="5080" t="5080" r="15240" b="15240"/>
                <wp:wrapNone/>
                <wp:docPr id="4" name="文本框 6"/>
                <wp:cNvGraphicFramePr/>
                <a:graphic xmlns:a="http://schemas.openxmlformats.org/drawingml/2006/main">
                  <a:graphicData uri="http://schemas.microsoft.com/office/word/2010/wordprocessingShape">
                    <wps:wsp>
                      <wps:cNvSpPr txBox="1"/>
                      <wps:spPr>
                        <a:xfrm>
                          <a:off x="0" y="0"/>
                          <a:ext cx="2722880" cy="1694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14A78F"/>
                          <w:p w14:paraId="560EE758"/>
                          <w:p w14:paraId="075104C5"/>
                          <w:p w14:paraId="5AB28C94"/>
                          <w:p w14:paraId="549B48D5">
                            <w:r>
                              <w:rPr>
                                <w:rFonts w:hint="eastAsia"/>
                              </w:rPr>
                              <w:t xml:space="preserve">      附委托人身份证复印件反面</w:t>
                            </w:r>
                          </w:p>
                        </w:txbxContent>
                      </wps:txbx>
                      <wps:bodyPr upright="1"/>
                    </wps:wsp>
                  </a:graphicData>
                </a:graphic>
              </wp:anchor>
            </w:drawing>
          </mc:Choice>
          <mc:Fallback>
            <w:pict>
              <v:shape id="文本框 6" o:spid="_x0000_s1026" o:spt="202" type="#_x0000_t202" style="position:absolute;left:0pt;margin-left:209.7pt;margin-top:0.8pt;height:133.4pt;width:214.4pt;z-index:251662336;mso-width-relative:page;mso-height-relative:page;" fillcolor="#FFFFFF" filled="t" stroked="t" coordsize="21600,21600" o:gfxdata="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US1PYAAAACQEAAA8AAAAAAAAAAQAgAAAA&#10;IgAAAGRycy9kb3ducmV2LnhtbFBLAQIUABQAAAAIAIdO4kDHO6qkCwIAADcEAAAOAAAAAAAAAAEA&#10;IAAAACcBAABkcnMvZTJvRG9jLnhtbFBLBQYAAAAABgAGAFkBAACkBQAAAAA=&#10;">
                <v:fill on="t" focussize="0,0"/>
                <v:stroke color="#000000" joinstyle="miter"/>
                <v:imagedata o:title=""/>
                <o:lock v:ext="edit" aspectratio="f"/>
                <v:textbox>
                  <w:txbxContent>
                    <w:p w14:paraId="2514A78F"/>
                    <w:p w14:paraId="560EE758"/>
                    <w:p w14:paraId="075104C5"/>
                    <w:p w14:paraId="5AB28C94"/>
                    <w:p w14:paraId="549B48D5">
                      <w:r>
                        <w:rPr>
                          <w:rFonts w:hint="eastAsia"/>
                        </w:rPr>
                        <w:t xml:space="preserve">      附委托人身份证复印件反面</w:t>
                      </w:r>
                    </w:p>
                  </w:txbxContent>
                </v:textbox>
              </v:shape>
            </w:pict>
          </mc:Fallback>
        </mc:AlternateContent>
      </w:r>
    </w:p>
    <w:p w14:paraId="52B9A85F">
      <w:pPr>
        <w:spacing w:line="360" w:lineRule="auto"/>
        <w:rPr>
          <w:rFonts w:ascii="宋体" w:hAnsi="宋体"/>
          <w:sz w:val="24"/>
          <w:szCs w:val="24"/>
        </w:rPr>
      </w:pPr>
      <w:r>
        <w:rPr>
          <w:rFonts w:hint="eastAsia" w:ascii="宋体" w:hAnsi="宋体"/>
          <w:sz w:val="24"/>
          <w:szCs w:val="24"/>
        </w:rPr>
        <w:t xml:space="preserve">                                                         </w:t>
      </w:r>
    </w:p>
    <w:p w14:paraId="597DDAE6">
      <w:pPr>
        <w:spacing w:line="360" w:lineRule="auto"/>
        <w:rPr>
          <w:rFonts w:ascii="宋体" w:hAnsi="宋体"/>
          <w:sz w:val="24"/>
          <w:szCs w:val="24"/>
        </w:rPr>
      </w:pPr>
    </w:p>
    <w:p w14:paraId="509475A0">
      <w:pPr>
        <w:spacing w:line="360" w:lineRule="auto"/>
        <w:rPr>
          <w:rFonts w:ascii="宋体" w:hAnsi="宋体"/>
          <w:sz w:val="24"/>
          <w:szCs w:val="24"/>
        </w:rPr>
      </w:pPr>
    </w:p>
    <w:p w14:paraId="15CA7DE2">
      <w:pPr>
        <w:spacing w:line="360" w:lineRule="auto"/>
        <w:rPr>
          <w:rFonts w:ascii="宋体" w:hAnsi="宋体"/>
          <w:sz w:val="24"/>
          <w:szCs w:val="24"/>
        </w:rPr>
      </w:pPr>
    </w:p>
    <w:p w14:paraId="4254D255">
      <w:pPr>
        <w:spacing w:line="360" w:lineRule="auto"/>
        <w:rPr>
          <w:rFonts w:ascii="宋体" w:hAnsi="宋体"/>
          <w:sz w:val="24"/>
          <w:szCs w:val="24"/>
        </w:rPr>
      </w:pPr>
    </w:p>
    <w:p w14:paraId="122F0CA0">
      <w:pPr>
        <w:spacing w:line="360" w:lineRule="auto"/>
        <w:rPr>
          <w:rFonts w:ascii="宋体" w:hAnsi="宋体"/>
          <w:sz w:val="24"/>
          <w:szCs w:val="24"/>
        </w:rPr>
      </w:pPr>
    </w:p>
    <w:p w14:paraId="580E234A">
      <w:pPr>
        <w:spacing w:line="360" w:lineRule="auto"/>
        <w:rPr>
          <w:rFonts w:ascii="宋体" w:hAnsi="宋体"/>
          <w:sz w:val="24"/>
          <w:szCs w:val="24"/>
        </w:rPr>
      </w:pPr>
    </w:p>
    <w:p w14:paraId="1857FEBC">
      <w:pPr>
        <w:spacing w:line="360" w:lineRule="auto"/>
        <w:rPr>
          <w:rFonts w:ascii="宋体" w:hAnsi="宋体"/>
          <w:sz w:val="24"/>
          <w:szCs w:val="24"/>
        </w:rPr>
      </w:pPr>
    </w:p>
    <w:p w14:paraId="3A2FD743">
      <w:pPr>
        <w:pStyle w:val="68"/>
        <w:snapToGrid w:val="0"/>
        <w:spacing w:line="360" w:lineRule="auto"/>
        <w:ind w:firstLine="480" w:firstLineChars="200"/>
        <w:jc w:val="both"/>
        <w:rPr>
          <w:rFonts w:ascii="宋体" w:hAnsi="宋体" w:cs="宋体"/>
          <w:color w:val="auto"/>
          <w:sz w:val="24"/>
          <w:szCs w:val="24"/>
          <w:u w:val="single"/>
        </w:rPr>
      </w:pPr>
      <w:r>
        <w:rPr>
          <w:rFonts w:hint="eastAsia" w:ascii="宋体" w:hAnsi="宋体"/>
          <w:color w:val="auto"/>
          <w:sz w:val="24"/>
          <w:szCs w:val="24"/>
        </w:rPr>
        <w:t xml:space="preserve">                      </w:t>
      </w:r>
      <w:r>
        <w:rPr>
          <w:rFonts w:hint="eastAsia" w:ascii="宋体" w:hAnsi="宋体" w:cs="宋体"/>
          <w:color w:val="auto"/>
          <w:sz w:val="24"/>
          <w:szCs w:val="24"/>
        </w:rPr>
        <w:t>投标人名称(公章)：</w:t>
      </w:r>
      <w:r>
        <w:rPr>
          <w:rFonts w:hint="eastAsia" w:ascii="宋体" w:hAnsi="宋体" w:cs="宋体"/>
          <w:color w:val="auto"/>
          <w:sz w:val="24"/>
          <w:szCs w:val="24"/>
          <w:u w:val="single"/>
        </w:rPr>
        <w:t xml:space="preserve">                            </w:t>
      </w:r>
    </w:p>
    <w:p w14:paraId="0C7287DC">
      <w:pPr>
        <w:pStyle w:val="68"/>
        <w:snapToGrid w:val="0"/>
        <w:spacing w:line="360" w:lineRule="auto"/>
        <w:ind w:firstLine="3120" w:firstLineChars="1300"/>
        <w:jc w:val="both"/>
        <w:rPr>
          <w:rFonts w:ascii="宋体" w:hAnsi="宋体" w:cs="宋体"/>
          <w:color w:val="auto"/>
          <w:sz w:val="24"/>
          <w:szCs w:val="24"/>
        </w:rPr>
      </w:pPr>
      <w:r>
        <w:rPr>
          <w:rFonts w:hint="eastAsia" w:ascii="宋体" w:hAnsi="宋体" w:cs="宋体"/>
          <w:color w:val="auto"/>
          <w:sz w:val="24"/>
          <w:szCs w:val="24"/>
        </w:rPr>
        <w:t>投标人法人签字：</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14:paraId="6F94CAB3">
      <w:pPr>
        <w:pStyle w:val="68"/>
        <w:snapToGrid w:val="0"/>
        <w:spacing w:line="360" w:lineRule="auto"/>
        <w:ind w:firstLine="3120" w:firstLineChars="1300"/>
        <w:jc w:val="both"/>
        <w:rPr>
          <w:rFonts w:ascii="宋体" w:hAnsi="宋体" w:cs="宋体"/>
          <w:color w:val="auto"/>
          <w:sz w:val="24"/>
          <w:szCs w:val="24"/>
        </w:rPr>
      </w:pPr>
      <w:r>
        <w:rPr>
          <w:rFonts w:hint="eastAsia" w:ascii="宋体" w:hAnsi="宋体" w:cs="宋体"/>
          <w:color w:val="auto"/>
          <w:sz w:val="24"/>
          <w:szCs w:val="24"/>
        </w:rPr>
        <w:t>法定代表人身份证号：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14:paraId="659D0618">
      <w:pPr>
        <w:pStyle w:val="68"/>
        <w:snapToGrid w:val="0"/>
        <w:spacing w:line="360" w:lineRule="auto"/>
        <w:ind w:firstLine="480" w:firstLineChars="200"/>
        <w:jc w:val="both"/>
        <w:rPr>
          <w:rFonts w:ascii="宋体" w:hAnsi="宋体" w:cs="宋体"/>
          <w:color w:val="auto"/>
          <w:sz w:val="24"/>
          <w:szCs w:val="24"/>
        </w:rPr>
      </w:pPr>
      <w:r>
        <w:rPr>
          <w:rFonts w:hint="eastAsia" w:ascii="宋体" w:hAnsi="宋体" w:cs="宋体"/>
          <w:color w:val="auto"/>
          <w:sz w:val="24"/>
          <w:szCs w:val="24"/>
        </w:rPr>
        <w:t xml:space="preserve">                      委托人签字：</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14:paraId="0994EBE5">
      <w:pPr>
        <w:pStyle w:val="68"/>
        <w:snapToGrid w:val="0"/>
        <w:spacing w:line="360" w:lineRule="auto"/>
        <w:ind w:firstLine="480" w:firstLineChars="200"/>
        <w:jc w:val="both"/>
        <w:rPr>
          <w:rFonts w:ascii="宋体" w:hAnsi="宋体" w:cs="宋体"/>
          <w:color w:val="auto"/>
          <w:sz w:val="24"/>
          <w:szCs w:val="24"/>
        </w:rPr>
      </w:pPr>
      <w:r>
        <w:rPr>
          <w:rFonts w:hint="eastAsia" w:ascii="宋体" w:hAnsi="宋体" w:cs="宋体"/>
          <w:color w:val="auto"/>
          <w:sz w:val="24"/>
          <w:szCs w:val="24"/>
        </w:rPr>
        <w:t xml:space="preserve">                      委托人身份证号：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14:paraId="1E93320C">
      <w:pPr>
        <w:pStyle w:val="68"/>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4B7C2541">
      <w:pPr>
        <w:wordWrap w:val="0"/>
        <w:spacing w:line="360" w:lineRule="auto"/>
        <w:jc w:val="center"/>
        <w:rPr>
          <w:rFonts w:ascii="宋体" w:hAnsi="宋体"/>
          <w:b/>
          <w:sz w:val="24"/>
          <w:szCs w:val="24"/>
        </w:rPr>
      </w:pPr>
    </w:p>
    <w:p w14:paraId="7152FF7C">
      <w:pPr>
        <w:widowControl/>
        <w:spacing w:line="360" w:lineRule="auto"/>
        <w:ind w:firstLine="420"/>
        <w:jc w:val="center"/>
      </w:pPr>
      <w:r>
        <w:rPr>
          <w:rFonts w:ascii="宋体" w:hAnsi="宋体"/>
          <w:b/>
          <w:szCs w:val="21"/>
        </w:rPr>
        <w:br w:type="page"/>
      </w:r>
      <w:bookmarkStart w:id="295" w:name="_Toc414636091"/>
      <w:bookmarkStart w:id="296" w:name="_Toc1439"/>
      <w:bookmarkStart w:id="297" w:name="_Toc8749"/>
    </w:p>
    <w:bookmarkEnd w:id="295"/>
    <w:bookmarkEnd w:id="296"/>
    <w:bookmarkEnd w:id="297"/>
    <w:p w14:paraId="244D03A8">
      <w:pPr>
        <w:widowControl/>
        <w:spacing w:line="360" w:lineRule="auto"/>
        <w:jc w:val="center"/>
        <w:outlineLvl w:val="0"/>
        <w:rPr>
          <w:rFonts w:hint="eastAsia" w:asciiTheme="minorEastAsia" w:hAnsiTheme="minorEastAsia" w:eastAsiaTheme="minorEastAsia" w:cstheme="minorEastAsia"/>
          <w:b/>
          <w:bCs/>
          <w:kern w:val="0"/>
          <w:sz w:val="24"/>
          <w:szCs w:val="24"/>
        </w:rPr>
      </w:pPr>
      <w:bookmarkStart w:id="298" w:name="_Toc18759"/>
      <w:bookmarkStart w:id="299" w:name="_Toc4682"/>
      <w:bookmarkStart w:id="300" w:name="_Toc3778"/>
      <w:bookmarkStart w:id="301" w:name="_Toc7768"/>
      <w:r>
        <w:rPr>
          <w:rFonts w:hint="eastAsia" w:asciiTheme="minorEastAsia" w:hAnsiTheme="minorEastAsia" w:eastAsiaTheme="minorEastAsia" w:cstheme="minorEastAsia"/>
          <w:b/>
          <w:bCs/>
          <w:kern w:val="0"/>
          <w:sz w:val="28"/>
          <w:szCs w:val="28"/>
        </w:rPr>
        <w:t>6、投标人基本情况表</w:t>
      </w:r>
      <w:bookmarkEnd w:id="298"/>
      <w:bookmarkEnd w:id="299"/>
      <w:bookmarkEnd w:id="300"/>
      <w:bookmarkEnd w:id="301"/>
    </w:p>
    <w:tbl>
      <w:tblPr>
        <w:tblStyle w:val="42"/>
        <w:tblW w:w="98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8"/>
        <w:gridCol w:w="2013"/>
        <w:gridCol w:w="1810"/>
        <w:gridCol w:w="1434"/>
        <w:gridCol w:w="1832"/>
      </w:tblGrid>
      <w:tr w14:paraId="285FF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427539CE">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投标人名称</w:t>
            </w:r>
          </w:p>
        </w:tc>
        <w:tc>
          <w:tcPr>
            <w:tcW w:w="7089" w:type="dxa"/>
            <w:gridSpan w:val="4"/>
            <w:vAlign w:val="center"/>
          </w:tcPr>
          <w:p w14:paraId="04403C8D">
            <w:pPr>
              <w:adjustRightInd w:val="0"/>
              <w:snapToGrid w:val="0"/>
              <w:jc w:val="center"/>
              <w:rPr>
                <w:rFonts w:hint="eastAsia" w:asciiTheme="minorEastAsia" w:hAnsiTheme="minorEastAsia" w:eastAsiaTheme="minorEastAsia" w:cstheme="minorEastAsia"/>
                <w:b/>
                <w:sz w:val="24"/>
                <w:szCs w:val="24"/>
              </w:rPr>
            </w:pPr>
          </w:p>
        </w:tc>
      </w:tr>
      <w:tr w14:paraId="2D807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36C88A01">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注册地址</w:t>
            </w:r>
          </w:p>
        </w:tc>
        <w:tc>
          <w:tcPr>
            <w:tcW w:w="7089" w:type="dxa"/>
            <w:gridSpan w:val="4"/>
            <w:vAlign w:val="center"/>
          </w:tcPr>
          <w:p w14:paraId="7FD7CCB4">
            <w:pPr>
              <w:adjustRightInd w:val="0"/>
              <w:snapToGrid w:val="0"/>
              <w:jc w:val="center"/>
              <w:rPr>
                <w:rFonts w:hint="eastAsia" w:asciiTheme="minorEastAsia" w:hAnsiTheme="minorEastAsia" w:eastAsiaTheme="minorEastAsia" w:cstheme="minorEastAsia"/>
                <w:b/>
                <w:sz w:val="24"/>
                <w:szCs w:val="24"/>
              </w:rPr>
            </w:pPr>
          </w:p>
        </w:tc>
      </w:tr>
      <w:tr w14:paraId="5DBF0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Merge w:val="restart"/>
            <w:vAlign w:val="center"/>
          </w:tcPr>
          <w:p w14:paraId="545D1400">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联系方式</w:t>
            </w:r>
          </w:p>
        </w:tc>
        <w:tc>
          <w:tcPr>
            <w:tcW w:w="2013" w:type="dxa"/>
            <w:vAlign w:val="center"/>
          </w:tcPr>
          <w:p w14:paraId="4F98E90F">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联系人</w:t>
            </w:r>
          </w:p>
        </w:tc>
        <w:tc>
          <w:tcPr>
            <w:tcW w:w="1810" w:type="dxa"/>
            <w:vAlign w:val="center"/>
          </w:tcPr>
          <w:p w14:paraId="1357EC08">
            <w:pPr>
              <w:adjustRightInd w:val="0"/>
              <w:snapToGrid w:val="0"/>
              <w:jc w:val="center"/>
              <w:rPr>
                <w:rFonts w:hint="eastAsia" w:asciiTheme="minorEastAsia" w:hAnsiTheme="minorEastAsia" w:eastAsiaTheme="minorEastAsia" w:cstheme="minorEastAsia"/>
                <w:b/>
                <w:sz w:val="24"/>
                <w:szCs w:val="24"/>
              </w:rPr>
            </w:pPr>
          </w:p>
        </w:tc>
        <w:tc>
          <w:tcPr>
            <w:tcW w:w="1434" w:type="dxa"/>
            <w:vAlign w:val="center"/>
          </w:tcPr>
          <w:p w14:paraId="2C1338C7">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w:t>
            </w:r>
          </w:p>
        </w:tc>
        <w:tc>
          <w:tcPr>
            <w:tcW w:w="1832" w:type="dxa"/>
            <w:vAlign w:val="center"/>
          </w:tcPr>
          <w:p w14:paraId="41B9054D">
            <w:pPr>
              <w:adjustRightInd w:val="0"/>
              <w:snapToGrid w:val="0"/>
              <w:jc w:val="center"/>
              <w:rPr>
                <w:rFonts w:hint="eastAsia" w:asciiTheme="minorEastAsia" w:hAnsiTheme="minorEastAsia" w:eastAsiaTheme="minorEastAsia" w:cstheme="minorEastAsia"/>
                <w:b/>
                <w:sz w:val="24"/>
                <w:szCs w:val="24"/>
              </w:rPr>
            </w:pPr>
          </w:p>
        </w:tc>
      </w:tr>
      <w:tr w14:paraId="0918C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Merge w:val="continue"/>
            <w:vAlign w:val="center"/>
          </w:tcPr>
          <w:p w14:paraId="01E76CFD">
            <w:pPr>
              <w:adjustRightInd w:val="0"/>
              <w:snapToGrid w:val="0"/>
              <w:jc w:val="center"/>
              <w:rPr>
                <w:rFonts w:hint="eastAsia" w:asciiTheme="minorEastAsia" w:hAnsiTheme="minorEastAsia" w:eastAsiaTheme="minorEastAsia" w:cstheme="minorEastAsia"/>
                <w:b/>
                <w:sz w:val="24"/>
                <w:szCs w:val="24"/>
              </w:rPr>
            </w:pPr>
          </w:p>
        </w:tc>
        <w:tc>
          <w:tcPr>
            <w:tcW w:w="2013" w:type="dxa"/>
            <w:vAlign w:val="center"/>
          </w:tcPr>
          <w:p w14:paraId="160E5822">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w:t>
            </w:r>
          </w:p>
        </w:tc>
        <w:tc>
          <w:tcPr>
            <w:tcW w:w="1810" w:type="dxa"/>
            <w:vAlign w:val="center"/>
          </w:tcPr>
          <w:p w14:paraId="10F298D9">
            <w:pPr>
              <w:adjustRightInd w:val="0"/>
              <w:snapToGrid w:val="0"/>
              <w:jc w:val="center"/>
              <w:rPr>
                <w:rFonts w:hint="eastAsia" w:asciiTheme="minorEastAsia" w:hAnsiTheme="minorEastAsia" w:eastAsiaTheme="minorEastAsia" w:cstheme="minorEastAsia"/>
                <w:b/>
                <w:sz w:val="24"/>
                <w:szCs w:val="24"/>
              </w:rPr>
            </w:pPr>
          </w:p>
        </w:tc>
        <w:tc>
          <w:tcPr>
            <w:tcW w:w="1434" w:type="dxa"/>
            <w:vAlign w:val="center"/>
          </w:tcPr>
          <w:p w14:paraId="20AA5FBC">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电子邮箱</w:t>
            </w:r>
          </w:p>
        </w:tc>
        <w:tc>
          <w:tcPr>
            <w:tcW w:w="1832" w:type="dxa"/>
            <w:vAlign w:val="center"/>
          </w:tcPr>
          <w:p w14:paraId="1CCE1473">
            <w:pPr>
              <w:adjustRightInd w:val="0"/>
              <w:snapToGrid w:val="0"/>
              <w:jc w:val="center"/>
              <w:rPr>
                <w:rFonts w:hint="eastAsia" w:asciiTheme="minorEastAsia" w:hAnsiTheme="minorEastAsia" w:eastAsiaTheme="minorEastAsia" w:cstheme="minorEastAsia"/>
                <w:b/>
                <w:sz w:val="24"/>
                <w:szCs w:val="24"/>
              </w:rPr>
            </w:pPr>
          </w:p>
        </w:tc>
      </w:tr>
      <w:tr w14:paraId="350B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jc w:val="center"/>
        </w:trPr>
        <w:tc>
          <w:tcPr>
            <w:tcW w:w="2738" w:type="dxa"/>
            <w:vAlign w:val="center"/>
          </w:tcPr>
          <w:p w14:paraId="34007E1A">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法定代表人（或负责人）</w:t>
            </w:r>
          </w:p>
        </w:tc>
        <w:tc>
          <w:tcPr>
            <w:tcW w:w="2013" w:type="dxa"/>
            <w:vAlign w:val="center"/>
          </w:tcPr>
          <w:p w14:paraId="1988A4C1">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姓名</w:t>
            </w:r>
          </w:p>
        </w:tc>
        <w:tc>
          <w:tcPr>
            <w:tcW w:w="1810" w:type="dxa"/>
            <w:vAlign w:val="center"/>
          </w:tcPr>
          <w:p w14:paraId="428091B3">
            <w:pPr>
              <w:adjustRightInd w:val="0"/>
              <w:snapToGrid w:val="0"/>
              <w:jc w:val="center"/>
              <w:rPr>
                <w:rFonts w:hint="eastAsia" w:asciiTheme="minorEastAsia" w:hAnsiTheme="minorEastAsia" w:eastAsiaTheme="minorEastAsia" w:cstheme="minorEastAsia"/>
                <w:b/>
                <w:sz w:val="24"/>
                <w:szCs w:val="24"/>
              </w:rPr>
            </w:pPr>
          </w:p>
        </w:tc>
        <w:tc>
          <w:tcPr>
            <w:tcW w:w="1434" w:type="dxa"/>
            <w:vAlign w:val="center"/>
          </w:tcPr>
          <w:p w14:paraId="54D8458C">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w:t>
            </w:r>
          </w:p>
        </w:tc>
        <w:tc>
          <w:tcPr>
            <w:tcW w:w="1832" w:type="dxa"/>
            <w:vAlign w:val="center"/>
          </w:tcPr>
          <w:p w14:paraId="0A06C9F5">
            <w:pPr>
              <w:adjustRightInd w:val="0"/>
              <w:snapToGrid w:val="0"/>
              <w:jc w:val="center"/>
              <w:rPr>
                <w:rFonts w:hint="eastAsia" w:asciiTheme="minorEastAsia" w:hAnsiTheme="minorEastAsia" w:eastAsiaTheme="minorEastAsia" w:cstheme="minorEastAsia"/>
                <w:b/>
                <w:sz w:val="24"/>
                <w:szCs w:val="24"/>
              </w:rPr>
            </w:pPr>
          </w:p>
        </w:tc>
      </w:tr>
      <w:tr w14:paraId="5E33C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30304322">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统一社会信用代码</w:t>
            </w:r>
          </w:p>
        </w:tc>
        <w:tc>
          <w:tcPr>
            <w:tcW w:w="3823" w:type="dxa"/>
            <w:gridSpan w:val="2"/>
            <w:vAlign w:val="center"/>
          </w:tcPr>
          <w:p w14:paraId="34A11EA3">
            <w:pPr>
              <w:adjustRightInd w:val="0"/>
              <w:snapToGrid w:val="0"/>
              <w:jc w:val="center"/>
              <w:rPr>
                <w:rFonts w:hint="eastAsia" w:asciiTheme="minorEastAsia" w:hAnsiTheme="minorEastAsia" w:eastAsiaTheme="minorEastAsia" w:cstheme="minorEastAsia"/>
                <w:b/>
                <w:sz w:val="24"/>
                <w:szCs w:val="24"/>
              </w:rPr>
            </w:pPr>
          </w:p>
        </w:tc>
        <w:tc>
          <w:tcPr>
            <w:tcW w:w="1434" w:type="dxa"/>
            <w:vAlign w:val="center"/>
          </w:tcPr>
          <w:p w14:paraId="4D1C2181">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员工总人数</w:t>
            </w:r>
          </w:p>
        </w:tc>
        <w:tc>
          <w:tcPr>
            <w:tcW w:w="1832" w:type="dxa"/>
            <w:vAlign w:val="center"/>
          </w:tcPr>
          <w:p w14:paraId="1C201F85">
            <w:pPr>
              <w:adjustRightInd w:val="0"/>
              <w:snapToGrid w:val="0"/>
              <w:jc w:val="center"/>
              <w:rPr>
                <w:rFonts w:hint="eastAsia" w:asciiTheme="minorEastAsia" w:hAnsiTheme="minorEastAsia" w:eastAsiaTheme="minorEastAsia" w:cstheme="minorEastAsia"/>
                <w:b/>
                <w:sz w:val="24"/>
                <w:szCs w:val="24"/>
              </w:rPr>
            </w:pPr>
          </w:p>
        </w:tc>
      </w:tr>
      <w:tr w14:paraId="78C36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3E8E769C">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类型</w:t>
            </w:r>
          </w:p>
        </w:tc>
        <w:tc>
          <w:tcPr>
            <w:tcW w:w="2013" w:type="dxa"/>
            <w:vAlign w:val="center"/>
          </w:tcPr>
          <w:p w14:paraId="711E1361">
            <w:pPr>
              <w:adjustRightInd w:val="0"/>
              <w:snapToGrid w:val="0"/>
              <w:jc w:val="center"/>
              <w:rPr>
                <w:rFonts w:hint="eastAsia" w:asciiTheme="minorEastAsia" w:hAnsiTheme="minorEastAsia" w:eastAsiaTheme="minorEastAsia" w:cstheme="minorEastAsia"/>
                <w:b/>
                <w:sz w:val="24"/>
                <w:szCs w:val="24"/>
              </w:rPr>
            </w:pPr>
          </w:p>
        </w:tc>
        <w:tc>
          <w:tcPr>
            <w:tcW w:w="1810" w:type="dxa"/>
            <w:vMerge w:val="restart"/>
            <w:vAlign w:val="center"/>
          </w:tcPr>
          <w:p w14:paraId="53A339B2">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其中</w:t>
            </w:r>
          </w:p>
        </w:tc>
        <w:tc>
          <w:tcPr>
            <w:tcW w:w="1434" w:type="dxa"/>
            <w:vMerge w:val="restart"/>
            <w:vAlign w:val="center"/>
          </w:tcPr>
          <w:p w14:paraId="32BBA39A">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基本账户开户银行</w:t>
            </w:r>
          </w:p>
        </w:tc>
        <w:tc>
          <w:tcPr>
            <w:tcW w:w="1832" w:type="dxa"/>
            <w:vMerge w:val="restart"/>
            <w:vAlign w:val="center"/>
          </w:tcPr>
          <w:p w14:paraId="05D580A6">
            <w:pPr>
              <w:adjustRightInd w:val="0"/>
              <w:snapToGrid w:val="0"/>
              <w:jc w:val="center"/>
              <w:rPr>
                <w:rFonts w:hint="eastAsia" w:asciiTheme="minorEastAsia" w:hAnsiTheme="minorEastAsia" w:eastAsiaTheme="minorEastAsia" w:cstheme="minorEastAsia"/>
                <w:b/>
                <w:sz w:val="24"/>
                <w:szCs w:val="24"/>
              </w:rPr>
            </w:pPr>
          </w:p>
        </w:tc>
      </w:tr>
      <w:tr w14:paraId="58A51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1D1CAEEE">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注册资本</w:t>
            </w:r>
          </w:p>
        </w:tc>
        <w:tc>
          <w:tcPr>
            <w:tcW w:w="2013" w:type="dxa"/>
            <w:vAlign w:val="center"/>
          </w:tcPr>
          <w:p w14:paraId="789C2BBE">
            <w:pPr>
              <w:adjustRightInd w:val="0"/>
              <w:snapToGrid w:val="0"/>
              <w:jc w:val="center"/>
              <w:rPr>
                <w:rFonts w:hint="eastAsia" w:asciiTheme="minorEastAsia" w:hAnsiTheme="minorEastAsia" w:eastAsiaTheme="minorEastAsia" w:cstheme="minorEastAsia"/>
                <w:b/>
                <w:sz w:val="24"/>
                <w:szCs w:val="24"/>
              </w:rPr>
            </w:pPr>
          </w:p>
        </w:tc>
        <w:tc>
          <w:tcPr>
            <w:tcW w:w="1810" w:type="dxa"/>
            <w:vMerge w:val="continue"/>
            <w:vAlign w:val="center"/>
          </w:tcPr>
          <w:p w14:paraId="10AF967C">
            <w:pPr>
              <w:adjustRightInd w:val="0"/>
              <w:snapToGrid w:val="0"/>
              <w:jc w:val="center"/>
              <w:rPr>
                <w:rFonts w:hint="eastAsia" w:asciiTheme="minorEastAsia" w:hAnsiTheme="minorEastAsia" w:eastAsiaTheme="minorEastAsia" w:cstheme="minorEastAsia"/>
                <w:b/>
                <w:sz w:val="24"/>
                <w:szCs w:val="24"/>
              </w:rPr>
            </w:pPr>
          </w:p>
        </w:tc>
        <w:tc>
          <w:tcPr>
            <w:tcW w:w="1434" w:type="dxa"/>
            <w:vMerge w:val="continue"/>
            <w:vAlign w:val="center"/>
          </w:tcPr>
          <w:p w14:paraId="6AE9BE9F">
            <w:pPr>
              <w:adjustRightInd w:val="0"/>
              <w:snapToGrid w:val="0"/>
              <w:jc w:val="center"/>
              <w:rPr>
                <w:rFonts w:hint="eastAsia" w:asciiTheme="minorEastAsia" w:hAnsiTheme="minorEastAsia" w:eastAsiaTheme="minorEastAsia" w:cstheme="minorEastAsia"/>
                <w:b/>
                <w:sz w:val="24"/>
                <w:szCs w:val="24"/>
              </w:rPr>
            </w:pPr>
          </w:p>
        </w:tc>
        <w:tc>
          <w:tcPr>
            <w:tcW w:w="1832" w:type="dxa"/>
            <w:vMerge w:val="continue"/>
            <w:vAlign w:val="center"/>
          </w:tcPr>
          <w:p w14:paraId="15218D95">
            <w:pPr>
              <w:adjustRightInd w:val="0"/>
              <w:snapToGrid w:val="0"/>
              <w:jc w:val="center"/>
              <w:rPr>
                <w:rFonts w:hint="eastAsia" w:asciiTheme="minorEastAsia" w:hAnsiTheme="minorEastAsia" w:eastAsiaTheme="minorEastAsia" w:cstheme="minorEastAsia"/>
                <w:b/>
                <w:sz w:val="24"/>
                <w:szCs w:val="24"/>
              </w:rPr>
            </w:pPr>
          </w:p>
        </w:tc>
      </w:tr>
      <w:tr w14:paraId="221E3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1ADBA749">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成立日期</w:t>
            </w:r>
          </w:p>
        </w:tc>
        <w:tc>
          <w:tcPr>
            <w:tcW w:w="2013" w:type="dxa"/>
            <w:vAlign w:val="center"/>
          </w:tcPr>
          <w:p w14:paraId="4B9B29B9">
            <w:pPr>
              <w:adjustRightInd w:val="0"/>
              <w:snapToGrid w:val="0"/>
              <w:jc w:val="center"/>
              <w:rPr>
                <w:rFonts w:hint="eastAsia" w:asciiTheme="minorEastAsia" w:hAnsiTheme="minorEastAsia" w:eastAsiaTheme="minorEastAsia" w:cstheme="minorEastAsia"/>
                <w:b/>
                <w:sz w:val="24"/>
                <w:szCs w:val="24"/>
              </w:rPr>
            </w:pPr>
          </w:p>
        </w:tc>
        <w:tc>
          <w:tcPr>
            <w:tcW w:w="1810" w:type="dxa"/>
            <w:vMerge w:val="continue"/>
            <w:vAlign w:val="center"/>
          </w:tcPr>
          <w:p w14:paraId="6D1944CC">
            <w:pPr>
              <w:adjustRightInd w:val="0"/>
              <w:snapToGrid w:val="0"/>
              <w:jc w:val="center"/>
              <w:rPr>
                <w:rFonts w:hint="eastAsia" w:asciiTheme="minorEastAsia" w:hAnsiTheme="minorEastAsia" w:eastAsiaTheme="minorEastAsia" w:cstheme="minorEastAsia"/>
                <w:b/>
                <w:sz w:val="24"/>
                <w:szCs w:val="24"/>
              </w:rPr>
            </w:pPr>
          </w:p>
        </w:tc>
        <w:tc>
          <w:tcPr>
            <w:tcW w:w="1434" w:type="dxa"/>
            <w:vMerge w:val="continue"/>
            <w:vAlign w:val="center"/>
          </w:tcPr>
          <w:p w14:paraId="2992B313">
            <w:pPr>
              <w:adjustRightInd w:val="0"/>
              <w:snapToGrid w:val="0"/>
              <w:jc w:val="center"/>
              <w:rPr>
                <w:rFonts w:hint="eastAsia" w:asciiTheme="minorEastAsia" w:hAnsiTheme="minorEastAsia" w:eastAsiaTheme="minorEastAsia" w:cstheme="minorEastAsia"/>
                <w:b/>
                <w:sz w:val="24"/>
                <w:szCs w:val="24"/>
              </w:rPr>
            </w:pPr>
          </w:p>
        </w:tc>
        <w:tc>
          <w:tcPr>
            <w:tcW w:w="1832" w:type="dxa"/>
            <w:vMerge w:val="continue"/>
            <w:vAlign w:val="center"/>
          </w:tcPr>
          <w:p w14:paraId="7947A77D">
            <w:pPr>
              <w:adjustRightInd w:val="0"/>
              <w:snapToGrid w:val="0"/>
              <w:jc w:val="center"/>
              <w:rPr>
                <w:rFonts w:hint="eastAsia" w:asciiTheme="minorEastAsia" w:hAnsiTheme="minorEastAsia" w:eastAsiaTheme="minorEastAsia" w:cstheme="minorEastAsia"/>
                <w:b/>
                <w:sz w:val="24"/>
                <w:szCs w:val="24"/>
              </w:rPr>
            </w:pPr>
          </w:p>
        </w:tc>
      </w:tr>
      <w:tr w14:paraId="79DDD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7D9A48C8">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营业期限</w:t>
            </w:r>
          </w:p>
        </w:tc>
        <w:tc>
          <w:tcPr>
            <w:tcW w:w="2013" w:type="dxa"/>
            <w:vAlign w:val="center"/>
          </w:tcPr>
          <w:p w14:paraId="48B991C6">
            <w:pPr>
              <w:adjustRightInd w:val="0"/>
              <w:snapToGrid w:val="0"/>
              <w:jc w:val="center"/>
              <w:rPr>
                <w:rFonts w:hint="eastAsia" w:asciiTheme="minorEastAsia" w:hAnsiTheme="minorEastAsia" w:eastAsiaTheme="minorEastAsia" w:cstheme="minorEastAsia"/>
                <w:b/>
                <w:sz w:val="24"/>
                <w:szCs w:val="24"/>
              </w:rPr>
            </w:pPr>
          </w:p>
        </w:tc>
        <w:tc>
          <w:tcPr>
            <w:tcW w:w="1810" w:type="dxa"/>
            <w:vMerge w:val="continue"/>
            <w:vAlign w:val="center"/>
          </w:tcPr>
          <w:p w14:paraId="17D6E380">
            <w:pPr>
              <w:adjustRightInd w:val="0"/>
              <w:snapToGrid w:val="0"/>
              <w:jc w:val="center"/>
              <w:rPr>
                <w:rFonts w:hint="eastAsia" w:asciiTheme="minorEastAsia" w:hAnsiTheme="minorEastAsia" w:eastAsiaTheme="minorEastAsia" w:cstheme="minorEastAsia"/>
                <w:b/>
                <w:sz w:val="24"/>
                <w:szCs w:val="24"/>
              </w:rPr>
            </w:pPr>
          </w:p>
        </w:tc>
        <w:tc>
          <w:tcPr>
            <w:tcW w:w="1434" w:type="dxa"/>
            <w:vMerge w:val="restart"/>
            <w:vAlign w:val="center"/>
          </w:tcPr>
          <w:p w14:paraId="2B8FD292">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基本账户银行账号</w:t>
            </w:r>
          </w:p>
        </w:tc>
        <w:tc>
          <w:tcPr>
            <w:tcW w:w="1832" w:type="dxa"/>
            <w:vMerge w:val="restart"/>
            <w:vAlign w:val="center"/>
          </w:tcPr>
          <w:p w14:paraId="103252E6">
            <w:pPr>
              <w:adjustRightInd w:val="0"/>
              <w:snapToGrid w:val="0"/>
              <w:jc w:val="center"/>
              <w:rPr>
                <w:rFonts w:hint="eastAsia" w:asciiTheme="minorEastAsia" w:hAnsiTheme="minorEastAsia" w:eastAsiaTheme="minorEastAsia" w:cstheme="minorEastAsia"/>
                <w:b/>
                <w:sz w:val="24"/>
                <w:szCs w:val="24"/>
              </w:rPr>
            </w:pPr>
          </w:p>
        </w:tc>
      </w:tr>
      <w:tr w14:paraId="40EBD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593CC729">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登记机关</w:t>
            </w:r>
          </w:p>
        </w:tc>
        <w:tc>
          <w:tcPr>
            <w:tcW w:w="2013" w:type="dxa"/>
            <w:vAlign w:val="center"/>
          </w:tcPr>
          <w:p w14:paraId="605A8787">
            <w:pPr>
              <w:adjustRightInd w:val="0"/>
              <w:snapToGrid w:val="0"/>
              <w:jc w:val="center"/>
              <w:rPr>
                <w:rFonts w:hint="eastAsia" w:asciiTheme="minorEastAsia" w:hAnsiTheme="minorEastAsia" w:eastAsiaTheme="minorEastAsia" w:cstheme="minorEastAsia"/>
                <w:b/>
                <w:sz w:val="24"/>
                <w:szCs w:val="24"/>
              </w:rPr>
            </w:pPr>
          </w:p>
        </w:tc>
        <w:tc>
          <w:tcPr>
            <w:tcW w:w="1810" w:type="dxa"/>
            <w:vMerge w:val="continue"/>
            <w:vAlign w:val="center"/>
          </w:tcPr>
          <w:p w14:paraId="1F7F3213">
            <w:pPr>
              <w:adjustRightInd w:val="0"/>
              <w:snapToGrid w:val="0"/>
              <w:jc w:val="center"/>
              <w:rPr>
                <w:rFonts w:hint="eastAsia" w:asciiTheme="minorEastAsia" w:hAnsiTheme="minorEastAsia" w:eastAsiaTheme="minorEastAsia" w:cstheme="minorEastAsia"/>
                <w:b/>
                <w:sz w:val="24"/>
                <w:szCs w:val="24"/>
              </w:rPr>
            </w:pPr>
          </w:p>
        </w:tc>
        <w:tc>
          <w:tcPr>
            <w:tcW w:w="1434" w:type="dxa"/>
            <w:vMerge w:val="continue"/>
            <w:vAlign w:val="center"/>
          </w:tcPr>
          <w:p w14:paraId="36DE399E">
            <w:pPr>
              <w:adjustRightInd w:val="0"/>
              <w:snapToGrid w:val="0"/>
              <w:jc w:val="center"/>
              <w:rPr>
                <w:rFonts w:hint="eastAsia" w:asciiTheme="minorEastAsia" w:hAnsiTheme="minorEastAsia" w:eastAsiaTheme="minorEastAsia" w:cstheme="minorEastAsia"/>
                <w:b/>
                <w:sz w:val="24"/>
                <w:szCs w:val="24"/>
              </w:rPr>
            </w:pPr>
          </w:p>
        </w:tc>
        <w:tc>
          <w:tcPr>
            <w:tcW w:w="1832" w:type="dxa"/>
            <w:vMerge w:val="continue"/>
            <w:vAlign w:val="center"/>
          </w:tcPr>
          <w:p w14:paraId="77EF081D">
            <w:pPr>
              <w:adjustRightInd w:val="0"/>
              <w:snapToGrid w:val="0"/>
              <w:jc w:val="center"/>
              <w:rPr>
                <w:rFonts w:hint="eastAsia" w:asciiTheme="minorEastAsia" w:hAnsiTheme="minorEastAsia" w:eastAsiaTheme="minorEastAsia" w:cstheme="minorEastAsia"/>
                <w:b/>
                <w:sz w:val="24"/>
                <w:szCs w:val="24"/>
              </w:rPr>
            </w:pPr>
          </w:p>
        </w:tc>
      </w:tr>
      <w:tr w14:paraId="3101F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3" w:hRule="exact"/>
          <w:jc w:val="center"/>
        </w:trPr>
        <w:tc>
          <w:tcPr>
            <w:tcW w:w="2738" w:type="dxa"/>
            <w:vAlign w:val="center"/>
          </w:tcPr>
          <w:p w14:paraId="0108C498">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经营范围</w:t>
            </w:r>
          </w:p>
        </w:tc>
        <w:tc>
          <w:tcPr>
            <w:tcW w:w="7089" w:type="dxa"/>
            <w:gridSpan w:val="4"/>
            <w:vAlign w:val="center"/>
          </w:tcPr>
          <w:p w14:paraId="64EA49BE">
            <w:pPr>
              <w:adjustRightInd w:val="0"/>
              <w:snapToGrid w:val="0"/>
              <w:jc w:val="center"/>
              <w:rPr>
                <w:rFonts w:hint="eastAsia" w:asciiTheme="minorEastAsia" w:hAnsiTheme="minorEastAsia" w:eastAsiaTheme="minorEastAsia" w:cstheme="minorEastAsia"/>
                <w:b/>
                <w:sz w:val="24"/>
                <w:szCs w:val="24"/>
              </w:rPr>
            </w:pPr>
          </w:p>
          <w:p w14:paraId="60CAF8BD">
            <w:pPr>
              <w:adjustRightInd w:val="0"/>
              <w:snapToGrid w:val="0"/>
              <w:jc w:val="center"/>
              <w:rPr>
                <w:rFonts w:hint="eastAsia" w:asciiTheme="minorEastAsia" w:hAnsiTheme="minorEastAsia" w:eastAsiaTheme="minorEastAsia" w:cstheme="minorEastAsia"/>
                <w:b/>
                <w:sz w:val="24"/>
                <w:szCs w:val="24"/>
              </w:rPr>
            </w:pPr>
          </w:p>
          <w:p w14:paraId="5DC9FE41">
            <w:pPr>
              <w:adjustRightInd w:val="0"/>
              <w:snapToGrid w:val="0"/>
              <w:jc w:val="center"/>
              <w:rPr>
                <w:rFonts w:hint="eastAsia" w:asciiTheme="minorEastAsia" w:hAnsiTheme="minorEastAsia" w:eastAsiaTheme="minorEastAsia" w:cstheme="minorEastAsia"/>
                <w:b/>
                <w:sz w:val="24"/>
                <w:szCs w:val="24"/>
              </w:rPr>
            </w:pPr>
          </w:p>
          <w:p w14:paraId="0A0260CE">
            <w:pPr>
              <w:adjustRightInd w:val="0"/>
              <w:snapToGrid w:val="0"/>
              <w:jc w:val="center"/>
              <w:rPr>
                <w:rFonts w:hint="eastAsia" w:asciiTheme="minorEastAsia" w:hAnsiTheme="minorEastAsia" w:eastAsiaTheme="minorEastAsia" w:cstheme="minorEastAsia"/>
                <w:b/>
                <w:sz w:val="24"/>
                <w:szCs w:val="24"/>
              </w:rPr>
            </w:pPr>
          </w:p>
          <w:p w14:paraId="177EA0B4">
            <w:pPr>
              <w:adjustRightInd w:val="0"/>
              <w:snapToGrid w:val="0"/>
              <w:jc w:val="center"/>
              <w:rPr>
                <w:rFonts w:hint="eastAsia" w:asciiTheme="minorEastAsia" w:hAnsiTheme="minorEastAsia" w:eastAsiaTheme="minorEastAsia" w:cstheme="minorEastAsia"/>
                <w:b/>
                <w:sz w:val="24"/>
                <w:szCs w:val="24"/>
              </w:rPr>
            </w:pPr>
          </w:p>
          <w:p w14:paraId="1DA58E1E">
            <w:pPr>
              <w:adjustRightInd w:val="0"/>
              <w:snapToGrid w:val="0"/>
              <w:jc w:val="center"/>
              <w:rPr>
                <w:rFonts w:hint="eastAsia" w:asciiTheme="minorEastAsia" w:hAnsiTheme="minorEastAsia" w:eastAsiaTheme="minorEastAsia" w:cstheme="minorEastAsia"/>
                <w:b/>
                <w:sz w:val="24"/>
                <w:szCs w:val="24"/>
              </w:rPr>
            </w:pPr>
          </w:p>
          <w:p w14:paraId="5DB8B551">
            <w:pPr>
              <w:adjustRightInd w:val="0"/>
              <w:snapToGrid w:val="0"/>
              <w:jc w:val="center"/>
              <w:rPr>
                <w:rFonts w:hint="eastAsia" w:asciiTheme="minorEastAsia" w:hAnsiTheme="minorEastAsia" w:eastAsiaTheme="minorEastAsia" w:cstheme="minorEastAsia"/>
                <w:b/>
                <w:sz w:val="24"/>
                <w:szCs w:val="24"/>
              </w:rPr>
            </w:pPr>
          </w:p>
          <w:p w14:paraId="27DD14CE">
            <w:pPr>
              <w:adjustRightInd w:val="0"/>
              <w:snapToGrid w:val="0"/>
              <w:jc w:val="center"/>
              <w:rPr>
                <w:rFonts w:hint="eastAsia" w:asciiTheme="minorEastAsia" w:hAnsiTheme="minorEastAsia" w:eastAsiaTheme="minorEastAsia" w:cstheme="minorEastAsia"/>
                <w:b/>
                <w:sz w:val="24"/>
                <w:szCs w:val="24"/>
              </w:rPr>
            </w:pPr>
          </w:p>
          <w:p w14:paraId="2CA99AB8">
            <w:pPr>
              <w:adjustRightInd w:val="0"/>
              <w:snapToGrid w:val="0"/>
              <w:jc w:val="center"/>
              <w:rPr>
                <w:rFonts w:hint="eastAsia" w:asciiTheme="minorEastAsia" w:hAnsiTheme="minorEastAsia" w:eastAsiaTheme="minorEastAsia" w:cstheme="minorEastAsia"/>
                <w:b/>
                <w:sz w:val="24"/>
                <w:szCs w:val="24"/>
              </w:rPr>
            </w:pPr>
          </w:p>
        </w:tc>
      </w:tr>
    </w:tbl>
    <w:p w14:paraId="21835C80">
      <w:pPr>
        <w:pStyle w:val="21"/>
        <w:adjustRightInd w:val="0"/>
        <w:snapToGrid w:val="0"/>
        <w:spacing w:before="156" w:beforeLines="50" w:line="360" w:lineRule="auto"/>
        <w:ind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注：本表后应附企业法人营业执照等资格审查所需相关材料的复印件。（投标人可根据本表自行编制）</w:t>
      </w:r>
    </w:p>
    <w:p w14:paraId="2D368595">
      <w:pPr>
        <w:pStyle w:val="21"/>
        <w:adjustRightInd w:val="0"/>
        <w:snapToGrid w:val="0"/>
        <w:spacing w:before="156" w:beforeLines="50"/>
        <w:jc w:val="left"/>
        <w:rPr>
          <w:rFonts w:hAnsi="宋体"/>
          <w:b/>
          <w:sz w:val="24"/>
          <w:szCs w:val="24"/>
        </w:rPr>
      </w:pPr>
    </w:p>
    <w:p w14:paraId="7DC868BE">
      <w:pPr>
        <w:pStyle w:val="21"/>
        <w:adjustRightInd w:val="0"/>
        <w:snapToGrid w:val="0"/>
        <w:spacing w:before="156" w:beforeLines="50"/>
        <w:jc w:val="left"/>
        <w:rPr>
          <w:rFonts w:hAnsi="宋体"/>
          <w:b/>
          <w:sz w:val="24"/>
          <w:szCs w:val="24"/>
        </w:rPr>
      </w:pPr>
    </w:p>
    <w:p w14:paraId="06E64039">
      <w:pPr>
        <w:pStyle w:val="21"/>
        <w:adjustRightInd w:val="0"/>
        <w:snapToGrid w:val="0"/>
        <w:spacing w:before="156" w:beforeLines="50"/>
        <w:jc w:val="left"/>
        <w:rPr>
          <w:rFonts w:hAnsi="宋体"/>
          <w:b/>
          <w:sz w:val="24"/>
          <w:szCs w:val="24"/>
        </w:rPr>
      </w:pPr>
    </w:p>
    <w:p w14:paraId="6A2B4F9E">
      <w:pPr>
        <w:pStyle w:val="21"/>
        <w:adjustRightInd w:val="0"/>
        <w:snapToGrid w:val="0"/>
        <w:spacing w:before="156" w:beforeLines="50"/>
        <w:jc w:val="left"/>
        <w:rPr>
          <w:rFonts w:hAnsi="宋体"/>
          <w:b/>
          <w:sz w:val="24"/>
          <w:szCs w:val="24"/>
        </w:rPr>
      </w:pPr>
    </w:p>
    <w:p w14:paraId="74E9EF77">
      <w:pPr>
        <w:widowControl/>
        <w:spacing w:line="360" w:lineRule="auto"/>
        <w:jc w:val="center"/>
        <w:outlineLvl w:val="0"/>
        <w:rPr>
          <w:rFonts w:hint="eastAsia" w:asciiTheme="minorEastAsia" w:hAnsiTheme="minorEastAsia" w:eastAsiaTheme="minorEastAsia" w:cstheme="minorEastAsia"/>
          <w:b/>
          <w:bCs/>
          <w:kern w:val="0"/>
          <w:sz w:val="24"/>
          <w:szCs w:val="24"/>
        </w:rPr>
      </w:pPr>
      <w:bookmarkStart w:id="302" w:name="_Toc14246"/>
      <w:bookmarkStart w:id="303" w:name="_Toc20384"/>
      <w:bookmarkStart w:id="304" w:name="_Toc10138"/>
      <w:bookmarkStart w:id="305" w:name="_Toc7170"/>
      <w:bookmarkStart w:id="306" w:name="_Toc1702"/>
      <w:bookmarkStart w:id="307" w:name="_Toc27085"/>
      <w:bookmarkStart w:id="308" w:name="_Toc29190"/>
      <w:bookmarkStart w:id="309" w:name="_Toc15969"/>
      <w:bookmarkStart w:id="310" w:name="_Toc17204502"/>
      <w:bookmarkStart w:id="311" w:name="_Toc515570487"/>
      <w:bookmarkStart w:id="312" w:name="_Toc29123"/>
      <w:bookmarkStart w:id="313" w:name="_Toc31668"/>
      <w:r>
        <w:rPr>
          <w:rFonts w:hint="eastAsia" w:asciiTheme="minorEastAsia" w:hAnsiTheme="minorEastAsia" w:eastAsiaTheme="minorEastAsia" w:cstheme="minorEastAsia"/>
          <w:b/>
          <w:bCs/>
          <w:kern w:val="0"/>
          <w:sz w:val="28"/>
          <w:szCs w:val="28"/>
        </w:rPr>
        <w:t>7.</w:t>
      </w:r>
      <w:r>
        <w:rPr>
          <w:rFonts w:hint="eastAsia" w:asciiTheme="minorEastAsia" w:hAnsiTheme="minorEastAsia" w:eastAsiaTheme="minorEastAsia" w:cstheme="minorEastAsia"/>
          <w:b/>
          <w:bCs/>
          <w:kern w:val="0"/>
          <w:sz w:val="28"/>
          <w:szCs w:val="28"/>
          <w:lang w:eastAsia="zh-CN"/>
        </w:rPr>
        <w:t>近三年</w:t>
      </w:r>
      <w:r>
        <w:rPr>
          <w:rFonts w:hint="eastAsia" w:asciiTheme="minorEastAsia" w:hAnsiTheme="minorEastAsia" w:eastAsiaTheme="minorEastAsia" w:cstheme="minorEastAsia"/>
          <w:b/>
          <w:bCs/>
          <w:kern w:val="0"/>
          <w:sz w:val="28"/>
          <w:szCs w:val="28"/>
        </w:rPr>
        <w:t>已完成或在执行类似项目一览表</w:t>
      </w:r>
      <w:bookmarkEnd w:id="302"/>
      <w:bookmarkEnd w:id="303"/>
      <w:bookmarkEnd w:id="304"/>
      <w:bookmarkEnd w:id="305"/>
    </w:p>
    <w:p w14:paraId="2689A460">
      <w:pPr>
        <w:snapToGrid w:val="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w:t>
      </w:r>
    </w:p>
    <w:tbl>
      <w:tblPr>
        <w:tblStyle w:val="42"/>
        <w:tblW w:w="9763" w:type="dxa"/>
        <w:tblInd w:w="0" w:type="dxa"/>
        <w:tblLayout w:type="fixed"/>
        <w:tblCellMar>
          <w:top w:w="15" w:type="dxa"/>
          <w:left w:w="15" w:type="dxa"/>
          <w:bottom w:w="15" w:type="dxa"/>
          <w:right w:w="15" w:type="dxa"/>
        </w:tblCellMar>
      </w:tblPr>
      <w:tblGrid>
        <w:gridCol w:w="645"/>
        <w:gridCol w:w="1087"/>
        <w:gridCol w:w="1420"/>
        <w:gridCol w:w="1022"/>
        <w:gridCol w:w="1408"/>
        <w:gridCol w:w="1208"/>
        <w:gridCol w:w="2973"/>
      </w:tblGrid>
      <w:tr w14:paraId="39D7BD94">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27AD4271">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1087" w:type="dxa"/>
            <w:tcBorders>
              <w:top w:val="single" w:color="000000" w:sz="4" w:space="0"/>
              <w:left w:val="single" w:color="000000" w:sz="4" w:space="0"/>
              <w:bottom w:val="single" w:color="000000" w:sz="4" w:space="0"/>
              <w:right w:val="single" w:color="000000" w:sz="4" w:space="0"/>
            </w:tcBorders>
            <w:vAlign w:val="center"/>
          </w:tcPr>
          <w:p w14:paraId="21F1CC96">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项目名称</w:t>
            </w:r>
          </w:p>
        </w:tc>
        <w:tc>
          <w:tcPr>
            <w:tcW w:w="1420" w:type="dxa"/>
            <w:tcBorders>
              <w:top w:val="single" w:color="000000" w:sz="4" w:space="0"/>
              <w:left w:val="single" w:color="000000" w:sz="4" w:space="0"/>
              <w:bottom w:val="single" w:color="000000" w:sz="4" w:space="0"/>
              <w:right w:val="single" w:color="000000" w:sz="4" w:space="0"/>
            </w:tcBorders>
            <w:vAlign w:val="center"/>
          </w:tcPr>
          <w:p w14:paraId="51D04784">
            <w:pPr>
              <w:widowControl/>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项目内容</w:t>
            </w:r>
          </w:p>
          <w:p w14:paraId="60C63D74">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（类似项目）</w:t>
            </w:r>
          </w:p>
        </w:tc>
        <w:tc>
          <w:tcPr>
            <w:tcW w:w="1022" w:type="dxa"/>
            <w:tcBorders>
              <w:top w:val="single" w:color="000000" w:sz="4" w:space="0"/>
              <w:left w:val="single" w:color="000000" w:sz="4" w:space="0"/>
              <w:bottom w:val="single" w:color="000000" w:sz="4" w:space="0"/>
              <w:right w:val="single" w:color="000000" w:sz="4" w:space="0"/>
            </w:tcBorders>
            <w:vAlign w:val="center"/>
          </w:tcPr>
          <w:p w14:paraId="18487F06">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合同金额（万元）</w:t>
            </w:r>
          </w:p>
        </w:tc>
        <w:tc>
          <w:tcPr>
            <w:tcW w:w="1408" w:type="dxa"/>
            <w:tcBorders>
              <w:top w:val="single" w:color="000000" w:sz="4" w:space="0"/>
              <w:left w:val="single" w:color="000000" w:sz="4" w:space="0"/>
              <w:bottom w:val="single" w:color="000000" w:sz="4" w:space="0"/>
              <w:right w:val="single" w:color="000000" w:sz="4" w:space="0"/>
            </w:tcBorders>
            <w:vAlign w:val="center"/>
          </w:tcPr>
          <w:p w14:paraId="729F8AD0">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已结算金额（万元）</w:t>
            </w:r>
          </w:p>
        </w:tc>
        <w:tc>
          <w:tcPr>
            <w:tcW w:w="1208" w:type="dxa"/>
            <w:tcBorders>
              <w:top w:val="single" w:color="000000" w:sz="4" w:space="0"/>
              <w:left w:val="single" w:color="000000" w:sz="4" w:space="0"/>
              <w:bottom w:val="single" w:color="000000" w:sz="4" w:space="0"/>
              <w:right w:val="single" w:color="000000" w:sz="4" w:space="0"/>
            </w:tcBorders>
            <w:vAlign w:val="center"/>
          </w:tcPr>
          <w:p w14:paraId="24795435">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完成日期</w:t>
            </w:r>
          </w:p>
        </w:tc>
        <w:tc>
          <w:tcPr>
            <w:tcW w:w="2973" w:type="dxa"/>
            <w:tcBorders>
              <w:top w:val="single" w:color="000000" w:sz="4" w:space="0"/>
              <w:left w:val="single" w:color="000000" w:sz="4" w:space="0"/>
              <w:bottom w:val="single" w:color="000000" w:sz="4" w:space="0"/>
              <w:right w:val="single" w:color="000000" w:sz="4" w:space="0"/>
            </w:tcBorders>
            <w:vAlign w:val="center"/>
          </w:tcPr>
          <w:p w14:paraId="159C9750">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业主名称、联系人及电话</w:t>
            </w:r>
          </w:p>
        </w:tc>
      </w:tr>
      <w:tr w14:paraId="69B295C6">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622352F8">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1087" w:type="dxa"/>
            <w:tcBorders>
              <w:top w:val="single" w:color="000000" w:sz="4" w:space="0"/>
              <w:left w:val="single" w:color="000000" w:sz="4" w:space="0"/>
              <w:bottom w:val="single" w:color="000000" w:sz="4" w:space="0"/>
              <w:right w:val="single" w:color="000000" w:sz="4" w:space="0"/>
            </w:tcBorders>
            <w:vAlign w:val="center"/>
          </w:tcPr>
          <w:p w14:paraId="55A31291">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689C8F69">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3F079E7F">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6AE246C4">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61416C46">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1E50969B">
            <w:pPr>
              <w:rPr>
                <w:rFonts w:hint="eastAsia" w:asciiTheme="minorEastAsia" w:hAnsiTheme="minorEastAsia" w:eastAsiaTheme="minorEastAsia" w:cstheme="minorEastAsia"/>
                <w:sz w:val="24"/>
                <w:szCs w:val="24"/>
              </w:rPr>
            </w:pPr>
          </w:p>
        </w:tc>
      </w:tr>
      <w:tr w14:paraId="4BB4096F">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14919A0D">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w:t>
            </w:r>
          </w:p>
        </w:tc>
        <w:tc>
          <w:tcPr>
            <w:tcW w:w="1087" w:type="dxa"/>
            <w:tcBorders>
              <w:top w:val="single" w:color="000000" w:sz="4" w:space="0"/>
              <w:left w:val="single" w:color="000000" w:sz="4" w:space="0"/>
              <w:bottom w:val="single" w:color="000000" w:sz="4" w:space="0"/>
              <w:right w:val="single" w:color="000000" w:sz="4" w:space="0"/>
            </w:tcBorders>
            <w:vAlign w:val="center"/>
          </w:tcPr>
          <w:p w14:paraId="718E1E24">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7089B02E">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45E6AFB9">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362A4DF8">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E572B95">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6A10F3CD">
            <w:pPr>
              <w:rPr>
                <w:rFonts w:hint="eastAsia" w:asciiTheme="minorEastAsia" w:hAnsiTheme="minorEastAsia" w:eastAsiaTheme="minorEastAsia" w:cstheme="minorEastAsia"/>
                <w:sz w:val="24"/>
                <w:szCs w:val="24"/>
              </w:rPr>
            </w:pPr>
          </w:p>
        </w:tc>
      </w:tr>
      <w:tr w14:paraId="18FF894B">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02BD74C1">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w:t>
            </w:r>
          </w:p>
        </w:tc>
        <w:tc>
          <w:tcPr>
            <w:tcW w:w="1087" w:type="dxa"/>
            <w:tcBorders>
              <w:top w:val="single" w:color="000000" w:sz="4" w:space="0"/>
              <w:left w:val="single" w:color="000000" w:sz="4" w:space="0"/>
              <w:bottom w:val="single" w:color="000000" w:sz="4" w:space="0"/>
              <w:right w:val="single" w:color="000000" w:sz="4" w:space="0"/>
            </w:tcBorders>
            <w:vAlign w:val="center"/>
          </w:tcPr>
          <w:p w14:paraId="6C9DF5D4">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3F6E1E4F">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433FC825">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427D09DE">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46EF7A77">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499D2AF9">
            <w:pPr>
              <w:rPr>
                <w:rFonts w:hint="eastAsia" w:asciiTheme="minorEastAsia" w:hAnsiTheme="minorEastAsia" w:eastAsiaTheme="minorEastAsia" w:cstheme="minorEastAsia"/>
                <w:sz w:val="24"/>
                <w:szCs w:val="24"/>
              </w:rPr>
            </w:pPr>
          </w:p>
        </w:tc>
      </w:tr>
      <w:tr w14:paraId="75804541">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4E0AAB3">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w:t>
            </w:r>
          </w:p>
        </w:tc>
        <w:tc>
          <w:tcPr>
            <w:tcW w:w="1087" w:type="dxa"/>
            <w:tcBorders>
              <w:top w:val="single" w:color="000000" w:sz="4" w:space="0"/>
              <w:left w:val="single" w:color="000000" w:sz="4" w:space="0"/>
              <w:bottom w:val="single" w:color="000000" w:sz="4" w:space="0"/>
              <w:right w:val="single" w:color="000000" w:sz="4" w:space="0"/>
            </w:tcBorders>
            <w:vAlign w:val="center"/>
          </w:tcPr>
          <w:p w14:paraId="311B1CC5">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23591076">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2AF69F0D">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121A1E16">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6661B495">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4EE2221E">
            <w:pPr>
              <w:rPr>
                <w:rFonts w:hint="eastAsia" w:asciiTheme="minorEastAsia" w:hAnsiTheme="minorEastAsia" w:eastAsiaTheme="minorEastAsia" w:cstheme="minorEastAsia"/>
                <w:sz w:val="24"/>
                <w:szCs w:val="24"/>
              </w:rPr>
            </w:pPr>
          </w:p>
        </w:tc>
      </w:tr>
      <w:tr w14:paraId="79CA2812">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46E09355">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w:t>
            </w:r>
          </w:p>
        </w:tc>
        <w:tc>
          <w:tcPr>
            <w:tcW w:w="1087" w:type="dxa"/>
            <w:tcBorders>
              <w:top w:val="single" w:color="000000" w:sz="4" w:space="0"/>
              <w:left w:val="single" w:color="000000" w:sz="4" w:space="0"/>
              <w:bottom w:val="single" w:color="000000" w:sz="4" w:space="0"/>
              <w:right w:val="single" w:color="000000" w:sz="4" w:space="0"/>
            </w:tcBorders>
            <w:vAlign w:val="center"/>
          </w:tcPr>
          <w:p w14:paraId="55A83032">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4DD05D75">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0140B740">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5F0B5B09">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077EFFBF">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2A873412">
            <w:pPr>
              <w:rPr>
                <w:rFonts w:hint="eastAsia" w:asciiTheme="minorEastAsia" w:hAnsiTheme="minorEastAsia" w:eastAsiaTheme="minorEastAsia" w:cstheme="minorEastAsia"/>
                <w:sz w:val="24"/>
                <w:szCs w:val="24"/>
              </w:rPr>
            </w:pPr>
          </w:p>
        </w:tc>
      </w:tr>
      <w:tr w14:paraId="38CF8061">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DD910B2">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2927A3DE">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6D85A1F7">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174251A4">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2873B12E">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638B8495">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60377706">
            <w:pPr>
              <w:rPr>
                <w:rFonts w:hint="eastAsia" w:asciiTheme="minorEastAsia" w:hAnsiTheme="minorEastAsia" w:eastAsiaTheme="minorEastAsia" w:cstheme="minorEastAsia"/>
                <w:sz w:val="24"/>
                <w:szCs w:val="24"/>
              </w:rPr>
            </w:pPr>
          </w:p>
        </w:tc>
      </w:tr>
      <w:tr w14:paraId="488263D7">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11EEEB99">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06EAD78D">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285C9676">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218B71D1">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0A0FE8E5">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545942D">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18BF3FB4">
            <w:pPr>
              <w:rPr>
                <w:rFonts w:hint="eastAsia" w:asciiTheme="minorEastAsia" w:hAnsiTheme="minorEastAsia" w:eastAsiaTheme="minorEastAsia" w:cstheme="minorEastAsia"/>
                <w:sz w:val="24"/>
                <w:szCs w:val="24"/>
              </w:rPr>
            </w:pPr>
          </w:p>
        </w:tc>
      </w:tr>
      <w:tr w14:paraId="64CC8037">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71B84A39">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BF1A902">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1E51D250">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760C729A">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09106700">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05AE309C">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11388150">
            <w:pPr>
              <w:rPr>
                <w:rFonts w:hint="eastAsia" w:asciiTheme="minorEastAsia" w:hAnsiTheme="minorEastAsia" w:eastAsiaTheme="minorEastAsia" w:cstheme="minorEastAsia"/>
                <w:sz w:val="24"/>
                <w:szCs w:val="24"/>
              </w:rPr>
            </w:pPr>
          </w:p>
        </w:tc>
      </w:tr>
      <w:tr w14:paraId="1F5E0A3B">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42B219C">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37A5343A">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76E399E2">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4CFF0747">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7A82A024">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6EB90AE1">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09C400F2">
            <w:pPr>
              <w:rPr>
                <w:rFonts w:hint="eastAsia" w:asciiTheme="minorEastAsia" w:hAnsiTheme="minorEastAsia" w:eastAsiaTheme="minorEastAsia" w:cstheme="minorEastAsia"/>
                <w:sz w:val="24"/>
                <w:szCs w:val="24"/>
              </w:rPr>
            </w:pPr>
          </w:p>
        </w:tc>
      </w:tr>
    </w:tbl>
    <w:p w14:paraId="623E013F">
      <w:pPr>
        <w:snapToGrid w:val="0"/>
        <w:rPr>
          <w:rFonts w:hint="eastAsia" w:asciiTheme="minorEastAsia" w:hAnsiTheme="minorEastAsia" w:eastAsiaTheme="minorEastAsia" w:cstheme="minorEastAsia"/>
          <w:b/>
          <w:sz w:val="24"/>
          <w:szCs w:val="24"/>
        </w:rPr>
      </w:pPr>
    </w:p>
    <w:p w14:paraId="56BE72C4">
      <w:pPr>
        <w:snapToGrid w:val="0"/>
        <w:rPr>
          <w:rFonts w:hint="eastAsia" w:asciiTheme="minorEastAsia" w:hAnsiTheme="minorEastAsia" w:eastAsiaTheme="minorEastAsia" w:cstheme="minorEastAsia"/>
          <w:b/>
          <w:sz w:val="24"/>
          <w:szCs w:val="24"/>
        </w:rPr>
      </w:pPr>
    </w:p>
    <w:p w14:paraId="46986940">
      <w:pPr>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注：1.投标人应如实列出以上情况，如有隐瞒，一经查实将导致其投标申请被视为无效投标。</w:t>
      </w:r>
    </w:p>
    <w:p w14:paraId="1296A75D">
      <w:pPr>
        <w:numPr>
          <w:ilvl w:val="0"/>
          <w:numId w:val="0"/>
        </w:numPr>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对于已完项目，投标人应附收到的中标</w:t>
      </w:r>
      <w:r>
        <w:rPr>
          <w:rFonts w:hint="eastAsia" w:asciiTheme="minorEastAsia" w:hAnsiTheme="minorEastAsia" w:eastAsiaTheme="minorEastAsia" w:cstheme="minorEastAsia"/>
          <w:b/>
          <w:sz w:val="24"/>
          <w:szCs w:val="24"/>
          <w:lang w:val="en-US" w:eastAsia="zh-CN"/>
        </w:rPr>
        <w:t>/成交</w:t>
      </w:r>
      <w:r>
        <w:rPr>
          <w:rFonts w:hint="eastAsia" w:asciiTheme="minorEastAsia" w:hAnsiTheme="minorEastAsia" w:eastAsiaTheme="minorEastAsia" w:cstheme="minorEastAsia"/>
          <w:b/>
          <w:sz w:val="24"/>
          <w:szCs w:val="24"/>
        </w:rPr>
        <w:t>通知书或双方签订的合同。</w:t>
      </w:r>
    </w:p>
    <w:p w14:paraId="76EE6391">
      <w:pPr>
        <w:widowControl/>
        <w:spacing w:line="360" w:lineRule="auto"/>
        <w:jc w:val="center"/>
        <w:outlineLvl w:val="0"/>
        <w:rPr>
          <w:rFonts w:ascii="宋体" w:hAnsi="宋体" w:cs="宋体"/>
          <w:b/>
          <w:bCs/>
          <w:kern w:val="0"/>
          <w:szCs w:val="21"/>
        </w:rPr>
      </w:pPr>
    </w:p>
    <w:p w14:paraId="7996804B">
      <w:pPr>
        <w:widowControl/>
        <w:spacing w:line="360" w:lineRule="auto"/>
        <w:jc w:val="center"/>
        <w:outlineLvl w:val="0"/>
        <w:rPr>
          <w:rFonts w:ascii="宋体" w:hAnsi="宋体" w:cs="宋体"/>
          <w:b/>
          <w:bCs/>
          <w:kern w:val="0"/>
          <w:szCs w:val="21"/>
        </w:rPr>
      </w:pPr>
    </w:p>
    <w:p w14:paraId="3D206386">
      <w:pPr>
        <w:widowControl/>
        <w:spacing w:line="360" w:lineRule="auto"/>
        <w:jc w:val="center"/>
        <w:outlineLvl w:val="0"/>
        <w:rPr>
          <w:rFonts w:ascii="宋体" w:hAnsi="宋体" w:cs="宋体"/>
          <w:b/>
          <w:bCs/>
          <w:kern w:val="0"/>
          <w:szCs w:val="21"/>
        </w:rPr>
      </w:pPr>
    </w:p>
    <w:p w14:paraId="3B9AA9CF">
      <w:pPr>
        <w:widowControl/>
        <w:spacing w:line="360" w:lineRule="auto"/>
        <w:jc w:val="center"/>
        <w:outlineLvl w:val="0"/>
        <w:rPr>
          <w:rFonts w:ascii="宋体" w:hAnsi="宋体" w:cs="宋体"/>
          <w:b/>
          <w:bCs/>
          <w:kern w:val="0"/>
          <w:szCs w:val="21"/>
        </w:rPr>
      </w:pPr>
    </w:p>
    <w:p w14:paraId="7399EEBA">
      <w:pPr>
        <w:widowControl/>
        <w:spacing w:line="360" w:lineRule="auto"/>
        <w:jc w:val="center"/>
        <w:outlineLvl w:val="0"/>
        <w:rPr>
          <w:rFonts w:ascii="宋体" w:hAnsi="宋体" w:cs="宋体"/>
          <w:b/>
          <w:bCs/>
          <w:kern w:val="0"/>
          <w:szCs w:val="21"/>
        </w:rPr>
      </w:pPr>
    </w:p>
    <w:p w14:paraId="1BD23219">
      <w:pPr>
        <w:widowControl/>
        <w:spacing w:line="360" w:lineRule="auto"/>
        <w:jc w:val="center"/>
        <w:outlineLvl w:val="0"/>
        <w:rPr>
          <w:rFonts w:ascii="宋体" w:hAnsi="宋体" w:cs="宋体"/>
          <w:b/>
          <w:bCs/>
          <w:kern w:val="0"/>
          <w:szCs w:val="21"/>
        </w:rPr>
      </w:pPr>
    </w:p>
    <w:p w14:paraId="47B7B462">
      <w:pPr>
        <w:widowControl/>
        <w:spacing w:line="360" w:lineRule="auto"/>
        <w:jc w:val="center"/>
        <w:outlineLvl w:val="0"/>
        <w:rPr>
          <w:rFonts w:ascii="宋体" w:hAnsi="宋体" w:cs="宋体"/>
          <w:b/>
          <w:bCs/>
          <w:kern w:val="0"/>
          <w:szCs w:val="21"/>
        </w:rPr>
      </w:pPr>
    </w:p>
    <w:p w14:paraId="31BCB7AE">
      <w:pPr>
        <w:rPr>
          <w:rFonts w:hint="eastAsia" w:asciiTheme="minorEastAsia" w:hAnsiTheme="minorEastAsia" w:eastAsiaTheme="minorEastAsia" w:cstheme="minorEastAsia"/>
          <w:b/>
          <w:bCs/>
          <w:kern w:val="0"/>
          <w:sz w:val="24"/>
          <w:szCs w:val="24"/>
        </w:rPr>
      </w:pPr>
      <w:bookmarkStart w:id="314" w:name="_Toc9027"/>
      <w:bookmarkStart w:id="315" w:name="_Toc28904"/>
      <w:bookmarkStart w:id="316" w:name="_Toc30549"/>
      <w:bookmarkStart w:id="317" w:name="_Toc26433"/>
      <w:r>
        <w:rPr>
          <w:rFonts w:hint="eastAsia" w:asciiTheme="minorEastAsia" w:hAnsiTheme="minorEastAsia" w:eastAsiaTheme="minorEastAsia" w:cstheme="minorEastAsia"/>
          <w:b/>
          <w:bCs/>
          <w:kern w:val="0"/>
          <w:sz w:val="24"/>
          <w:szCs w:val="24"/>
        </w:rPr>
        <w:br w:type="page"/>
      </w:r>
    </w:p>
    <w:p w14:paraId="2D3E5562">
      <w:pPr>
        <w:widowControl/>
        <w:spacing w:line="360" w:lineRule="auto"/>
        <w:jc w:val="center"/>
        <w:outlineLvl w:val="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8"/>
          <w:szCs w:val="28"/>
        </w:rPr>
        <w:t>8、商务条款偏离表</w:t>
      </w:r>
      <w:bookmarkEnd w:id="306"/>
      <w:bookmarkEnd w:id="307"/>
      <w:bookmarkEnd w:id="308"/>
      <w:bookmarkEnd w:id="309"/>
      <w:bookmarkEnd w:id="314"/>
      <w:bookmarkEnd w:id="315"/>
      <w:bookmarkEnd w:id="316"/>
      <w:bookmarkEnd w:id="317"/>
    </w:p>
    <w:tbl>
      <w:tblPr>
        <w:tblStyle w:val="42"/>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199"/>
        <w:gridCol w:w="2237"/>
        <w:gridCol w:w="1723"/>
        <w:gridCol w:w="1723"/>
      </w:tblGrid>
      <w:tr w14:paraId="2914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36" w:type="dxa"/>
            <w:vAlign w:val="center"/>
          </w:tcPr>
          <w:p w14:paraId="14A79B40">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2199" w:type="dxa"/>
            <w:vAlign w:val="center"/>
          </w:tcPr>
          <w:p w14:paraId="02F79C90">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招标文件的</w:t>
            </w:r>
          </w:p>
          <w:p w14:paraId="1CFF8DCE">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商务条款</w:t>
            </w:r>
          </w:p>
        </w:tc>
        <w:tc>
          <w:tcPr>
            <w:tcW w:w="2237" w:type="dxa"/>
            <w:vAlign w:val="center"/>
          </w:tcPr>
          <w:p w14:paraId="385F66A1">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投标文件的</w:t>
            </w:r>
          </w:p>
          <w:p w14:paraId="72078B34">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商务条款</w:t>
            </w:r>
          </w:p>
        </w:tc>
        <w:tc>
          <w:tcPr>
            <w:tcW w:w="1723" w:type="dxa"/>
            <w:vAlign w:val="center"/>
          </w:tcPr>
          <w:p w14:paraId="1DFF9592">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偏离/不偏离</w:t>
            </w:r>
          </w:p>
        </w:tc>
        <w:tc>
          <w:tcPr>
            <w:tcW w:w="1723" w:type="dxa"/>
            <w:vAlign w:val="center"/>
          </w:tcPr>
          <w:p w14:paraId="598D8542">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备注说明</w:t>
            </w:r>
          </w:p>
        </w:tc>
      </w:tr>
      <w:tr w14:paraId="44D2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6E27720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199" w:type="dxa"/>
            <w:vAlign w:val="center"/>
          </w:tcPr>
          <w:p w14:paraId="6B54E663">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23F95836">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33F401C2">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3EFDEBBE">
            <w:pPr>
              <w:spacing w:line="360" w:lineRule="auto"/>
              <w:jc w:val="center"/>
              <w:rPr>
                <w:rFonts w:hint="eastAsia" w:asciiTheme="minorEastAsia" w:hAnsiTheme="minorEastAsia" w:eastAsiaTheme="minorEastAsia" w:cstheme="minorEastAsia"/>
                <w:sz w:val="24"/>
                <w:szCs w:val="24"/>
              </w:rPr>
            </w:pPr>
          </w:p>
        </w:tc>
      </w:tr>
      <w:tr w14:paraId="3F48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5D4DB4D7">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199" w:type="dxa"/>
            <w:vAlign w:val="center"/>
          </w:tcPr>
          <w:p w14:paraId="1628EEDD">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25091AD2">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08CCD1D3">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221C7621">
            <w:pPr>
              <w:spacing w:line="360" w:lineRule="auto"/>
              <w:jc w:val="center"/>
              <w:rPr>
                <w:rFonts w:hint="eastAsia" w:asciiTheme="minorEastAsia" w:hAnsiTheme="minorEastAsia" w:eastAsiaTheme="minorEastAsia" w:cstheme="minorEastAsia"/>
                <w:sz w:val="24"/>
                <w:szCs w:val="24"/>
              </w:rPr>
            </w:pPr>
          </w:p>
        </w:tc>
      </w:tr>
      <w:tr w14:paraId="5450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077F0B62">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199" w:type="dxa"/>
            <w:vAlign w:val="center"/>
          </w:tcPr>
          <w:p w14:paraId="38FD56A2">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0AB06CE8">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41226930">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0E3727B2">
            <w:pPr>
              <w:spacing w:line="360" w:lineRule="auto"/>
              <w:jc w:val="center"/>
              <w:rPr>
                <w:rFonts w:hint="eastAsia" w:asciiTheme="minorEastAsia" w:hAnsiTheme="minorEastAsia" w:eastAsiaTheme="minorEastAsia" w:cstheme="minorEastAsia"/>
                <w:sz w:val="24"/>
                <w:szCs w:val="24"/>
              </w:rPr>
            </w:pPr>
          </w:p>
        </w:tc>
      </w:tr>
      <w:tr w14:paraId="344D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118A8605">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199" w:type="dxa"/>
            <w:vAlign w:val="center"/>
          </w:tcPr>
          <w:p w14:paraId="53CAAA7E">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6071F96F">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565F48AB">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31C5A5C3">
            <w:pPr>
              <w:spacing w:line="360" w:lineRule="auto"/>
              <w:jc w:val="center"/>
              <w:rPr>
                <w:rFonts w:hint="eastAsia" w:asciiTheme="minorEastAsia" w:hAnsiTheme="minorEastAsia" w:eastAsiaTheme="minorEastAsia" w:cstheme="minorEastAsia"/>
                <w:sz w:val="24"/>
                <w:szCs w:val="24"/>
              </w:rPr>
            </w:pPr>
          </w:p>
        </w:tc>
      </w:tr>
      <w:tr w14:paraId="03DA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4EFBFD22">
            <w:pPr>
              <w:spacing w:line="360" w:lineRule="auto"/>
              <w:jc w:val="center"/>
              <w:rPr>
                <w:rFonts w:hint="eastAsia" w:asciiTheme="minorEastAsia" w:hAnsiTheme="minorEastAsia" w:eastAsiaTheme="minorEastAsia" w:cstheme="minorEastAsia"/>
                <w:sz w:val="24"/>
                <w:szCs w:val="24"/>
              </w:rPr>
            </w:pPr>
          </w:p>
        </w:tc>
        <w:tc>
          <w:tcPr>
            <w:tcW w:w="2199" w:type="dxa"/>
            <w:vAlign w:val="center"/>
          </w:tcPr>
          <w:p w14:paraId="3833FBD9">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038A8764">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4723054D">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67A38257">
            <w:pPr>
              <w:spacing w:line="360" w:lineRule="auto"/>
              <w:jc w:val="center"/>
              <w:rPr>
                <w:rFonts w:hint="eastAsia" w:asciiTheme="minorEastAsia" w:hAnsiTheme="minorEastAsia" w:eastAsiaTheme="minorEastAsia" w:cstheme="minorEastAsia"/>
                <w:sz w:val="24"/>
                <w:szCs w:val="24"/>
              </w:rPr>
            </w:pPr>
          </w:p>
        </w:tc>
      </w:tr>
      <w:tr w14:paraId="2C2D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3C9C5B90">
            <w:pPr>
              <w:spacing w:line="360" w:lineRule="auto"/>
              <w:jc w:val="center"/>
              <w:rPr>
                <w:rFonts w:hint="eastAsia" w:asciiTheme="minorEastAsia" w:hAnsiTheme="minorEastAsia" w:eastAsiaTheme="minorEastAsia" w:cstheme="minorEastAsia"/>
                <w:sz w:val="24"/>
                <w:szCs w:val="24"/>
              </w:rPr>
            </w:pPr>
          </w:p>
        </w:tc>
        <w:tc>
          <w:tcPr>
            <w:tcW w:w="2199" w:type="dxa"/>
            <w:vAlign w:val="center"/>
          </w:tcPr>
          <w:p w14:paraId="68D62520">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2702A0E8">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4EF99E63">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387BC91C">
            <w:pPr>
              <w:spacing w:line="360" w:lineRule="auto"/>
              <w:jc w:val="center"/>
              <w:rPr>
                <w:rFonts w:hint="eastAsia" w:asciiTheme="minorEastAsia" w:hAnsiTheme="minorEastAsia" w:eastAsiaTheme="minorEastAsia" w:cstheme="minorEastAsia"/>
                <w:sz w:val="24"/>
                <w:szCs w:val="24"/>
              </w:rPr>
            </w:pPr>
          </w:p>
        </w:tc>
      </w:tr>
      <w:tr w14:paraId="77B3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36" w:type="dxa"/>
            <w:vAlign w:val="center"/>
          </w:tcPr>
          <w:p w14:paraId="1CFB69F8">
            <w:pPr>
              <w:spacing w:line="360" w:lineRule="auto"/>
              <w:jc w:val="center"/>
              <w:rPr>
                <w:rFonts w:hint="eastAsia" w:asciiTheme="minorEastAsia" w:hAnsiTheme="minorEastAsia" w:eastAsiaTheme="minorEastAsia" w:cstheme="minorEastAsia"/>
                <w:sz w:val="24"/>
                <w:szCs w:val="24"/>
              </w:rPr>
            </w:pPr>
          </w:p>
        </w:tc>
        <w:tc>
          <w:tcPr>
            <w:tcW w:w="2199" w:type="dxa"/>
            <w:vAlign w:val="center"/>
          </w:tcPr>
          <w:p w14:paraId="00522B39">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3A68B6D2">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5BFEB5BD">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5B1C44C3">
            <w:pPr>
              <w:spacing w:line="360" w:lineRule="auto"/>
              <w:jc w:val="center"/>
              <w:rPr>
                <w:rFonts w:hint="eastAsia" w:asciiTheme="minorEastAsia" w:hAnsiTheme="minorEastAsia" w:eastAsiaTheme="minorEastAsia" w:cstheme="minorEastAsia"/>
                <w:sz w:val="24"/>
                <w:szCs w:val="24"/>
              </w:rPr>
            </w:pPr>
          </w:p>
        </w:tc>
      </w:tr>
    </w:tbl>
    <w:p w14:paraId="7AEAC67D">
      <w:pPr>
        <w:spacing w:line="360" w:lineRule="auto"/>
        <w:ind w:firstLine="480" w:firstLineChars="200"/>
        <w:rPr>
          <w:rFonts w:hint="eastAsia" w:asciiTheme="minorEastAsia" w:hAnsiTheme="minorEastAsia" w:eastAsiaTheme="minorEastAsia" w:cstheme="minorEastAsia"/>
          <w:sz w:val="24"/>
          <w:szCs w:val="24"/>
        </w:rPr>
      </w:pPr>
    </w:p>
    <w:p w14:paraId="1EB46007">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w:t>
      </w:r>
      <w:r>
        <w:rPr>
          <w:rFonts w:hint="eastAsia" w:asciiTheme="minorEastAsia" w:hAnsiTheme="minorEastAsia" w:eastAsiaTheme="minorEastAsia" w:cstheme="minorEastAsia"/>
          <w:sz w:val="24"/>
          <w:szCs w:val="24"/>
        </w:rPr>
        <w:t>：1、应与文件要求逐条对应填写。</w:t>
      </w:r>
    </w:p>
    <w:p w14:paraId="5DEBA49C">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2、本表如填写不完，可以续页。</w:t>
      </w:r>
    </w:p>
    <w:p w14:paraId="4A824B9E">
      <w:pPr>
        <w:pStyle w:val="103"/>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3、商务条款</w:t>
      </w:r>
      <w:r>
        <w:rPr>
          <w:rFonts w:hint="eastAsia" w:asciiTheme="minorEastAsia" w:hAnsiTheme="minorEastAsia" w:eastAsiaTheme="minorEastAsia" w:cstheme="minorEastAsia"/>
          <w:sz w:val="24"/>
          <w:szCs w:val="24"/>
          <w:lang w:val="en-US" w:eastAsia="zh-CN"/>
        </w:rPr>
        <w:t>还应</w:t>
      </w:r>
      <w:r>
        <w:rPr>
          <w:rFonts w:hint="eastAsia" w:asciiTheme="minorEastAsia" w:hAnsiTheme="minorEastAsia" w:eastAsiaTheme="minorEastAsia" w:cstheme="minorEastAsia"/>
          <w:sz w:val="24"/>
          <w:szCs w:val="24"/>
        </w:rPr>
        <w:t>包含：合同履行期限、投标有效期、投标保证金、售后服务等。</w:t>
      </w:r>
    </w:p>
    <w:p w14:paraId="766C55F3">
      <w:pPr>
        <w:pStyle w:val="103"/>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4、投标人应据实填写，否则视为不响应。</w:t>
      </w:r>
    </w:p>
    <w:p w14:paraId="5A8B7348">
      <w:pPr>
        <w:spacing w:line="360" w:lineRule="auto"/>
        <w:rPr>
          <w:rFonts w:hint="eastAsia" w:asciiTheme="minorEastAsia" w:hAnsiTheme="minorEastAsia" w:eastAsiaTheme="minorEastAsia" w:cstheme="minorEastAsia"/>
          <w:sz w:val="24"/>
          <w:szCs w:val="24"/>
        </w:rPr>
      </w:pPr>
    </w:p>
    <w:p w14:paraId="06B5B7ED">
      <w:pPr>
        <w:pStyle w:val="4"/>
        <w:ind w:left="0" w:firstLine="0"/>
        <w:rPr>
          <w:rFonts w:hint="eastAsia" w:asciiTheme="minorEastAsia" w:hAnsiTheme="minorEastAsia" w:eastAsiaTheme="minorEastAsia" w:cstheme="minorEastAsia"/>
          <w:sz w:val="24"/>
          <w:szCs w:val="24"/>
        </w:rPr>
      </w:pPr>
    </w:p>
    <w:p w14:paraId="4FEF1B36">
      <w:pPr>
        <w:spacing w:line="360" w:lineRule="auto"/>
        <w:ind w:firstLine="480" w:firstLineChars="200"/>
        <w:rPr>
          <w:rFonts w:hint="eastAsia" w:asciiTheme="minorEastAsia" w:hAnsiTheme="minorEastAsia" w:eastAsiaTheme="minorEastAsia" w:cstheme="minorEastAsia"/>
          <w:sz w:val="24"/>
          <w:szCs w:val="24"/>
        </w:rPr>
      </w:pPr>
    </w:p>
    <w:p w14:paraId="55DD2722">
      <w:pPr>
        <w:adjustRightInd w:val="0"/>
        <w:snapToGrid w:val="0"/>
        <w:ind w:left="1611" w:leftChars="767" w:firstLine="2400" w:firstLineChars="10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p>
    <w:p w14:paraId="6BE20B66">
      <w:pPr>
        <w:adjustRightInd w:val="0"/>
        <w:snapToGrid w:val="0"/>
        <w:ind w:left="1611" w:leftChars="767"/>
        <w:rPr>
          <w:rFonts w:hint="eastAsia" w:asciiTheme="minorEastAsia" w:hAnsiTheme="minorEastAsia" w:eastAsiaTheme="minorEastAsia" w:cstheme="minorEastAsia"/>
          <w:sz w:val="24"/>
          <w:szCs w:val="24"/>
        </w:rPr>
      </w:pPr>
    </w:p>
    <w:p w14:paraId="00BAEBEA">
      <w:pPr>
        <w:adjustRightInd w:val="0"/>
        <w:snapToGrid w:val="0"/>
        <w:ind w:firstLine="4080" w:firstLineChars="17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7B89B5D3">
      <w:pPr>
        <w:adjustRightInd w:val="0"/>
        <w:snapToGrid w:val="0"/>
        <w:ind w:left="1611" w:leftChars="767"/>
        <w:rPr>
          <w:rFonts w:hint="eastAsia" w:asciiTheme="minorEastAsia" w:hAnsiTheme="minorEastAsia" w:eastAsiaTheme="minorEastAsia" w:cstheme="minorEastAsia"/>
          <w:sz w:val="24"/>
          <w:szCs w:val="24"/>
        </w:rPr>
      </w:pPr>
    </w:p>
    <w:p w14:paraId="5E706007">
      <w:pPr>
        <w:adjustRightInd w:val="0"/>
        <w:snapToGrid w:val="0"/>
        <w:ind w:left="1611" w:leftChars="767"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3248DEC">
      <w:pPr>
        <w:widowControl/>
        <w:spacing w:line="360" w:lineRule="auto"/>
        <w:jc w:val="center"/>
        <w:outlineLvl w:val="0"/>
        <w:rPr>
          <w:rFonts w:hint="eastAsia" w:asciiTheme="minorEastAsia" w:hAnsiTheme="minorEastAsia" w:eastAsiaTheme="minorEastAsia" w:cstheme="minorEastAsia"/>
          <w:sz w:val="24"/>
          <w:szCs w:val="24"/>
        </w:rPr>
      </w:pPr>
    </w:p>
    <w:p w14:paraId="18833E6A">
      <w:pPr>
        <w:pStyle w:val="16"/>
        <w:rPr>
          <w:rFonts w:ascii="宋体" w:hAnsi="宋体"/>
          <w:szCs w:val="21"/>
        </w:rPr>
      </w:pPr>
    </w:p>
    <w:p w14:paraId="500BCBFB">
      <w:pPr>
        <w:rPr>
          <w:rFonts w:ascii="宋体" w:hAnsi="宋体"/>
          <w:szCs w:val="21"/>
        </w:rPr>
      </w:pPr>
    </w:p>
    <w:p w14:paraId="740D5351">
      <w:pPr>
        <w:rPr>
          <w:rFonts w:hint="eastAsia" w:asciiTheme="minorEastAsia" w:hAnsiTheme="minorEastAsia" w:eastAsiaTheme="minorEastAsia" w:cstheme="minorEastAsia"/>
          <w:kern w:val="0"/>
          <w:sz w:val="24"/>
          <w:szCs w:val="24"/>
        </w:rPr>
      </w:pPr>
      <w:bookmarkStart w:id="318" w:name="_Toc28446"/>
      <w:bookmarkStart w:id="319" w:name="_Toc5045"/>
      <w:bookmarkStart w:id="320" w:name="_Toc4202"/>
      <w:bookmarkStart w:id="321" w:name="_Toc11472"/>
      <w:bookmarkStart w:id="322" w:name="_Toc10580"/>
      <w:bookmarkStart w:id="323" w:name="_Toc4624"/>
      <w:bookmarkStart w:id="324" w:name="_Toc5203"/>
      <w:r>
        <w:rPr>
          <w:rFonts w:hint="eastAsia" w:asciiTheme="minorEastAsia" w:hAnsiTheme="minorEastAsia" w:eastAsiaTheme="minorEastAsia" w:cstheme="minorEastAsia"/>
          <w:kern w:val="0"/>
          <w:sz w:val="24"/>
          <w:szCs w:val="24"/>
        </w:rPr>
        <w:br w:type="page"/>
      </w:r>
    </w:p>
    <w:p w14:paraId="7EDD2E1E">
      <w:pPr>
        <w:pStyle w:val="3"/>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9、</w:t>
      </w:r>
      <w:r>
        <w:rPr>
          <w:rFonts w:hint="eastAsia" w:asciiTheme="minorEastAsia" w:hAnsiTheme="minorEastAsia" w:eastAsiaTheme="minorEastAsia" w:cstheme="minorEastAsia"/>
          <w:kern w:val="0"/>
          <w:sz w:val="28"/>
          <w:szCs w:val="28"/>
          <w:lang w:val="en-US" w:eastAsia="zh-CN"/>
        </w:rPr>
        <w:t>服务条款</w:t>
      </w:r>
      <w:r>
        <w:rPr>
          <w:rFonts w:hint="eastAsia" w:asciiTheme="minorEastAsia" w:hAnsiTheme="minorEastAsia" w:eastAsiaTheme="minorEastAsia" w:cstheme="minorEastAsia"/>
          <w:kern w:val="0"/>
          <w:sz w:val="28"/>
          <w:szCs w:val="28"/>
        </w:rPr>
        <w:t>偏离表</w:t>
      </w:r>
      <w:bookmarkEnd w:id="318"/>
      <w:bookmarkEnd w:id="319"/>
      <w:bookmarkEnd w:id="320"/>
      <w:bookmarkEnd w:id="321"/>
      <w:bookmarkEnd w:id="322"/>
      <w:bookmarkEnd w:id="323"/>
    </w:p>
    <w:tbl>
      <w:tblPr>
        <w:tblStyle w:val="42"/>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059"/>
        <w:gridCol w:w="1829"/>
        <w:gridCol w:w="1680"/>
        <w:gridCol w:w="1558"/>
      </w:tblGrid>
      <w:tr w14:paraId="3945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52" w:type="dxa"/>
            <w:vAlign w:val="center"/>
          </w:tcPr>
          <w:p w14:paraId="13438D8D">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059" w:type="dxa"/>
            <w:vAlign w:val="center"/>
          </w:tcPr>
          <w:p w14:paraId="67A6425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kern w:val="0"/>
                <w:sz w:val="24"/>
                <w:szCs w:val="24"/>
                <w:lang w:val="en-US" w:eastAsia="zh-CN"/>
              </w:rPr>
              <w:t>服务条款</w:t>
            </w:r>
          </w:p>
        </w:tc>
        <w:tc>
          <w:tcPr>
            <w:tcW w:w="1829" w:type="dxa"/>
            <w:vAlign w:val="center"/>
          </w:tcPr>
          <w:p w14:paraId="5F146D9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w:t>
            </w:r>
            <w:r>
              <w:rPr>
                <w:rFonts w:hint="eastAsia" w:asciiTheme="minorEastAsia" w:hAnsiTheme="minorEastAsia" w:eastAsiaTheme="minorEastAsia" w:cstheme="minorEastAsia"/>
                <w:kern w:val="0"/>
                <w:sz w:val="24"/>
                <w:szCs w:val="24"/>
                <w:lang w:val="en-US" w:eastAsia="zh-CN"/>
              </w:rPr>
              <w:t>服务条款</w:t>
            </w:r>
          </w:p>
        </w:tc>
        <w:tc>
          <w:tcPr>
            <w:tcW w:w="1680" w:type="dxa"/>
            <w:vAlign w:val="center"/>
          </w:tcPr>
          <w:p w14:paraId="7759DD5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偏离/不偏离</w:t>
            </w:r>
          </w:p>
        </w:tc>
        <w:tc>
          <w:tcPr>
            <w:tcW w:w="1558" w:type="dxa"/>
            <w:vAlign w:val="center"/>
          </w:tcPr>
          <w:p w14:paraId="15321C1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备注</w:t>
            </w:r>
            <w:r>
              <w:rPr>
                <w:rFonts w:hint="eastAsia" w:asciiTheme="minorEastAsia" w:hAnsiTheme="minorEastAsia" w:eastAsiaTheme="minorEastAsia" w:cstheme="minorEastAsia"/>
                <w:sz w:val="24"/>
                <w:szCs w:val="24"/>
              </w:rPr>
              <w:t>说明</w:t>
            </w:r>
          </w:p>
        </w:tc>
      </w:tr>
      <w:tr w14:paraId="1BC1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52" w:type="dxa"/>
            <w:vAlign w:val="center"/>
          </w:tcPr>
          <w:p w14:paraId="00B941C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59" w:type="dxa"/>
            <w:vAlign w:val="center"/>
          </w:tcPr>
          <w:p w14:paraId="072E2B02">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658E97B0">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24A06CBE">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0F7FA74A">
            <w:pPr>
              <w:spacing w:line="360" w:lineRule="auto"/>
              <w:jc w:val="center"/>
              <w:rPr>
                <w:rFonts w:hint="eastAsia" w:asciiTheme="minorEastAsia" w:hAnsiTheme="minorEastAsia" w:eastAsiaTheme="minorEastAsia" w:cstheme="minorEastAsia"/>
                <w:sz w:val="24"/>
                <w:szCs w:val="24"/>
              </w:rPr>
            </w:pPr>
          </w:p>
        </w:tc>
      </w:tr>
      <w:tr w14:paraId="16BB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3C07648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059" w:type="dxa"/>
            <w:vAlign w:val="center"/>
          </w:tcPr>
          <w:p w14:paraId="6E195F35">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791834A6">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7D223459">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41C5F9F2">
            <w:pPr>
              <w:spacing w:line="360" w:lineRule="auto"/>
              <w:jc w:val="center"/>
              <w:rPr>
                <w:rFonts w:hint="eastAsia" w:asciiTheme="minorEastAsia" w:hAnsiTheme="minorEastAsia" w:eastAsiaTheme="minorEastAsia" w:cstheme="minorEastAsia"/>
                <w:sz w:val="24"/>
                <w:szCs w:val="24"/>
              </w:rPr>
            </w:pPr>
          </w:p>
        </w:tc>
      </w:tr>
      <w:tr w14:paraId="0862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584ED5A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059" w:type="dxa"/>
            <w:vAlign w:val="center"/>
          </w:tcPr>
          <w:p w14:paraId="57652675">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436DCA7A">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222291C0">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5FE471BB">
            <w:pPr>
              <w:spacing w:line="360" w:lineRule="auto"/>
              <w:jc w:val="center"/>
              <w:rPr>
                <w:rFonts w:hint="eastAsia" w:asciiTheme="minorEastAsia" w:hAnsiTheme="minorEastAsia" w:eastAsiaTheme="minorEastAsia" w:cstheme="minorEastAsia"/>
                <w:sz w:val="24"/>
                <w:szCs w:val="24"/>
              </w:rPr>
            </w:pPr>
          </w:p>
        </w:tc>
      </w:tr>
      <w:tr w14:paraId="693E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008B377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059" w:type="dxa"/>
            <w:vAlign w:val="center"/>
          </w:tcPr>
          <w:p w14:paraId="38913F7B">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531E26B9">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078DD01D">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5418E099">
            <w:pPr>
              <w:spacing w:line="360" w:lineRule="auto"/>
              <w:jc w:val="center"/>
              <w:rPr>
                <w:rFonts w:hint="eastAsia" w:asciiTheme="minorEastAsia" w:hAnsiTheme="minorEastAsia" w:eastAsiaTheme="minorEastAsia" w:cstheme="minorEastAsia"/>
                <w:sz w:val="24"/>
                <w:szCs w:val="24"/>
              </w:rPr>
            </w:pPr>
          </w:p>
        </w:tc>
      </w:tr>
      <w:tr w14:paraId="2072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472E260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059" w:type="dxa"/>
            <w:vAlign w:val="center"/>
          </w:tcPr>
          <w:p w14:paraId="719DE819">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43FDA0A0">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61F97565">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20D4917F">
            <w:pPr>
              <w:spacing w:line="360" w:lineRule="auto"/>
              <w:jc w:val="center"/>
              <w:rPr>
                <w:rFonts w:hint="eastAsia" w:asciiTheme="minorEastAsia" w:hAnsiTheme="minorEastAsia" w:eastAsiaTheme="minorEastAsia" w:cstheme="minorEastAsia"/>
                <w:sz w:val="24"/>
                <w:szCs w:val="24"/>
              </w:rPr>
            </w:pPr>
          </w:p>
        </w:tc>
      </w:tr>
      <w:tr w14:paraId="4177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564E90F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059" w:type="dxa"/>
            <w:vAlign w:val="center"/>
          </w:tcPr>
          <w:p w14:paraId="5715BE5D">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1DBC07FE">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58DE9DF0">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6DA362C2">
            <w:pPr>
              <w:spacing w:line="360" w:lineRule="auto"/>
              <w:jc w:val="center"/>
              <w:rPr>
                <w:rFonts w:hint="eastAsia" w:asciiTheme="minorEastAsia" w:hAnsiTheme="minorEastAsia" w:eastAsiaTheme="minorEastAsia" w:cstheme="minorEastAsia"/>
                <w:sz w:val="24"/>
                <w:szCs w:val="24"/>
              </w:rPr>
            </w:pPr>
          </w:p>
        </w:tc>
      </w:tr>
      <w:tr w14:paraId="3CA9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52" w:type="dxa"/>
            <w:vAlign w:val="center"/>
          </w:tcPr>
          <w:p w14:paraId="63143BFD">
            <w:pPr>
              <w:spacing w:line="360" w:lineRule="auto"/>
              <w:jc w:val="center"/>
              <w:rPr>
                <w:rFonts w:hint="eastAsia" w:asciiTheme="minorEastAsia" w:hAnsiTheme="minorEastAsia" w:eastAsiaTheme="minorEastAsia" w:cstheme="minorEastAsia"/>
                <w:sz w:val="24"/>
                <w:szCs w:val="24"/>
              </w:rPr>
            </w:pPr>
          </w:p>
        </w:tc>
        <w:tc>
          <w:tcPr>
            <w:tcW w:w="2059" w:type="dxa"/>
            <w:vAlign w:val="center"/>
          </w:tcPr>
          <w:p w14:paraId="1B0DEF37">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5613EDEE">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0C7A0CFB">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3EE7554C">
            <w:pPr>
              <w:spacing w:line="360" w:lineRule="auto"/>
              <w:jc w:val="center"/>
              <w:rPr>
                <w:rFonts w:hint="eastAsia" w:asciiTheme="minorEastAsia" w:hAnsiTheme="minorEastAsia" w:eastAsiaTheme="minorEastAsia" w:cstheme="minorEastAsia"/>
                <w:sz w:val="24"/>
                <w:szCs w:val="24"/>
              </w:rPr>
            </w:pPr>
          </w:p>
        </w:tc>
      </w:tr>
    </w:tbl>
    <w:p w14:paraId="550349D4">
      <w:pPr>
        <w:spacing w:line="360" w:lineRule="auto"/>
        <w:ind w:firstLine="480" w:firstLineChars="200"/>
        <w:rPr>
          <w:rFonts w:hint="eastAsia" w:asciiTheme="minorEastAsia" w:hAnsiTheme="minorEastAsia" w:eastAsiaTheme="minorEastAsia" w:cstheme="minorEastAsia"/>
          <w:sz w:val="24"/>
          <w:szCs w:val="24"/>
        </w:rPr>
      </w:pPr>
    </w:p>
    <w:p w14:paraId="10130AF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w:t>
      </w:r>
      <w:r>
        <w:rPr>
          <w:rFonts w:hint="eastAsia" w:asciiTheme="minorEastAsia" w:hAnsiTheme="minorEastAsia" w:eastAsiaTheme="minorEastAsia" w:cstheme="minorEastAsia"/>
          <w:sz w:val="24"/>
          <w:szCs w:val="24"/>
        </w:rPr>
        <w:t>：1、应与文件要求逐条对应填写，投标人应据实填写，否则视为不响应。</w:t>
      </w:r>
    </w:p>
    <w:p w14:paraId="13C0B33C">
      <w:pPr>
        <w:spacing w:line="360" w:lineRule="auto"/>
        <w:ind w:firstLine="480" w:firstLineChars="200"/>
        <w:outlineLvl w:val="0"/>
        <w:rPr>
          <w:rFonts w:hint="eastAsia" w:asciiTheme="minorEastAsia" w:hAnsiTheme="minorEastAsia" w:eastAsiaTheme="minorEastAsia" w:cstheme="minorEastAsia"/>
          <w:sz w:val="24"/>
          <w:szCs w:val="24"/>
        </w:rPr>
      </w:pPr>
      <w:bookmarkStart w:id="325" w:name="_Toc27260"/>
      <w:bookmarkStart w:id="326" w:name="_Toc10128"/>
      <w:bookmarkStart w:id="327" w:name="_Toc16515"/>
      <w:bookmarkStart w:id="328" w:name="_Toc26710"/>
      <w:bookmarkStart w:id="329" w:name="_Toc22102"/>
      <w:bookmarkStart w:id="330" w:name="_Toc19947"/>
      <w:bookmarkStart w:id="331" w:name="_Toc25044"/>
      <w:bookmarkStart w:id="332" w:name="_Toc31559"/>
      <w:bookmarkStart w:id="333" w:name="_Toc11867"/>
      <w:bookmarkStart w:id="334" w:name="_Toc2895"/>
      <w:bookmarkStart w:id="335" w:name="_Toc27615"/>
      <w:bookmarkStart w:id="336" w:name="_Toc17337"/>
      <w:r>
        <w:rPr>
          <w:rFonts w:hint="eastAsia" w:asciiTheme="minorEastAsia" w:hAnsiTheme="minorEastAsia" w:eastAsiaTheme="minorEastAsia" w:cstheme="minorEastAsia"/>
          <w:sz w:val="24"/>
          <w:szCs w:val="24"/>
        </w:rPr>
        <w:t>2、本表如填写不完，可以续页。</w:t>
      </w:r>
      <w:bookmarkEnd w:id="325"/>
      <w:bookmarkEnd w:id="326"/>
      <w:bookmarkEnd w:id="327"/>
      <w:bookmarkEnd w:id="328"/>
      <w:bookmarkEnd w:id="329"/>
      <w:bookmarkEnd w:id="330"/>
      <w:bookmarkEnd w:id="331"/>
      <w:bookmarkEnd w:id="332"/>
      <w:bookmarkEnd w:id="333"/>
      <w:bookmarkEnd w:id="334"/>
      <w:bookmarkEnd w:id="335"/>
      <w:bookmarkEnd w:id="336"/>
    </w:p>
    <w:p w14:paraId="3B94305D">
      <w:pPr>
        <w:spacing w:line="360" w:lineRule="auto"/>
        <w:ind w:firstLine="480" w:firstLineChars="200"/>
        <w:outlineLvl w:val="0"/>
        <w:rPr>
          <w:rFonts w:hint="eastAsia" w:asciiTheme="minorEastAsia" w:hAnsiTheme="minorEastAsia" w:eastAsiaTheme="minorEastAsia" w:cstheme="minorEastAsia"/>
          <w:sz w:val="24"/>
          <w:szCs w:val="24"/>
        </w:rPr>
      </w:pPr>
    </w:p>
    <w:p w14:paraId="4AD0E8E1">
      <w:pPr>
        <w:spacing w:line="360" w:lineRule="auto"/>
        <w:rPr>
          <w:rFonts w:hint="eastAsia" w:asciiTheme="minorEastAsia" w:hAnsiTheme="minorEastAsia" w:eastAsiaTheme="minorEastAsia" w:cstheme="minorEastAsia"/>
          <w:sz w:val="24"/>
          <w:szCs w:val="24"/>
        </w:rPr>
      </w:pPr>
    </w:p>
    <w:p w14:paraId="2A95B3A1">
      <w:pPr>
        <w:spacing w:line="360" w:lineRule="auto"/>
        <w:rPr>
          <w:rFonts w:hint="eastAsia" w:asciiTheme="minorEastAsia" w:hAnsiTheme="minorEastAsia" w:eastAsiaTheme="minorEastAsia" w:cstheme="minorEastAsia"/>
          <w:sz w:val="24"/>
          <w:szCs w:val="24"/>
        </w:rPr>
      </w:pPr>
    </w:p>
    <w:p w14:paraId="48571FDA">
      <w:pPr>
        <w:spacing w:line="360" w:lineRule="auto"/>
        <w:rPr>
          <w:rFonts w:hint="eastAsia" w:asciiTheme="minorEastAsia" w:hAnsiTheme="minorEastAsia" w:eastAsiaTheme="minorEastAsia" w:cstheme="minorEastAsia"/>
          <w:sz w:val="24"/>
          <w:szCs w:val="24"/>
        </w:rPr>
      </w:pPr>
    </w:p>
    <w:p w14:paraId="490EE7FC">
      <w:pPr>
        <w:adjustRightInd w:val="0"/>
        <w:snapToGrid w:val="0"/>
        <w:ind w:left="1611" w:leftChars="767" w:firstLine="2400" w:firstLineChars="10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p>
    <w:p w14:paraId="0C8FE7F5">
      <w:pPr>
        <w:adjustRightInd w:val="0"/>
        <w:snapToGrid w:val="0"/>
        <w:ind w:left="1611" w:leftChars="767"/>
        <w:rPr>
          <w:rFonts w:hint="eastAsia" w:asciiTheme="minorEastAsia" w:hAnsiTheme="minorEastAsia" w:eastAsiaTheme="minorEastAsia" w:cstheme="minorEastAsia"/>
          <w:sz w:val="24"/>
          <w:szCs w:val="24"/>
        </w:rPr>
      </w:pPr>
    </w:p>
    <w:p w14:paraId="08DDB5EA">
      <w:pPr>
        <w:adjustRightInd w:val="0"/>
        <w:snapToGrid w:val="0"/>
        <w:ind w:firstLine="4080" w:firstLineChars="17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6E277108">
      <w:pPr>
        <w:adjustRightInd w:val="0"/>
        <w:snapToGrid w:val="0"/>
        <w:ind w:left="1611" w:leftChars="767"/>
        <w:rPr>
          <w:rFonts w:hint="eastAsia" w:asciiTheme="minorEastAsia" w:hAnsiTheme="minorEastAsia" w:eastAsiaTheme="minorEastAsia" w:cstheme="minorEastAsia"/>
          <w:sz w:val="24"/>
          <w:szCs w:val="24"/>
        </w:rPr>
      </w:pPr>
    </w:p>
    <w:p w14:paraId="109470DD">
      <w:pPr>
        <w:adjustRightInd w:val="0"/>
        <w:snapToGrid w:val="0"/>
        <w:ind w:left="1611" w:leftChars="767"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D8A6A99">
      <w:pPr>
        <w:adjustRightInd w:val="0"/>
        <w:snapToGrid w:val="0"/>
        <w:ind w:left="2108" w:leftChars="1004"/>
        <w:rPr>
          <w:rFonts w:hint="eastAsia" w:asciiTheme="minorEastAsia" w:hAnsiTheme="minorEastAsia" w:eastAsiaTheme="minorEastAsia" w:cstheme="minorEastAsia"/>
          <w:sz w:val="24"/>
          <w:szCs w:val="24"/>
        </w:rPr>
      </w:pPr>
    </w:p>
    <w:p w14:paraId="3A0BAE1E">
      <w:pPr>
        <w:adjustRightInd w:val="0"/>
        <w:snapToGrid w:val="0"/>
        <w:ind w:left="2108" w:leftChars="1004"/>
        <w:rPr>
          <w:rFonts w:ascii="宋体" w:hAnsi="宋体"/>
          <w:szCs w:val="21"/>
        </w:rPr>
      </w:pPr>
    </w:p>
    <w:p w14:paraId="3D8443C1">
      <w:pPr>
        <w:adjustRightInd w:val="0"/>
        <w:snapToGrid w:val="0"/>
        <w:jc w:val="center"/>
        <w:rPr>
          <w:rFonts w:hAnsi="宋体"/>
        </w:rPr>
      </w:pPr>
      <w:bookmarkStart w:id="337" w:name="_Toc387653055"/>
      <w:r>
        <w:rPr>
          <w:rFonts w:hint="eastAsia" w:hAnsi="宋体"/>
        </w:rPr>
        <w:br w:type="page"/>
      </w:r>
    </w:p>
    <w:bookmarkEnd w:id="337"/>
    <w:p w14:paraId="5D576013">
      <w:pPr>
        <w:widowControl/>
        <w:spacing w:line="360" w:lineRule="auto"/>
        <w:jc w:val="center"/>
        <w:outlineLvl w:val="0"/>
        <w:rPr>
          <w:rFonts w:hint="eastAsia" w:ascii="宋体" w:hAnsi="宋体" w:cs="宋体"/>
          <w:b/>
          <w:bCs/>
          <w:kern w:val="0"/>
          <w:szCs w:val="21"/>
        </w:rPr>
      </w:pPr>
      <w:bookmarkStart w:id="338" w:name="_Toc13642"/>
      <w:bookmarkStart w:id="339" w:name="_Toc17336"/>
      <w:bookmarkStart w:id="340" w:name="_Toc20916"/>
      <w:bookmarkStart w:id="341" w:name="_Toc1064"/>
      <w:bookmarkStart w:id="342" w:name="_Toc24940"/>
      <w:bookmarkStart w:id="343" w:name="_Toc515570493"/>
      <w:bookmarkStart w:id="344" w:name="_Toc17204509"/>
    </w:p>
    <w:p w14:paraId="7CEE8937">
      <w:pPr>
        <w:widowControl/>
        <w:spacing w:line="360" w:lineRule="auto"/>
        <w:jc w:val="center"/>
        <w:outlineLvl w:val="0"/>
        <w:rPr>
          <w:rFonts w:ascii="宋体" w:hAnsi="宋体" w:cs="宋体"/>
          <w:b/>
          <w:bCs/>
          <w:kern w:val="0"/>
          <w:sz w:val="28"/>
          <w:szCs w:val="28"/>
        </w:rPr>
      </w:pPr>
      <w:r>
        <w:rPr>
          <w:rFonts w:hint="eastAsia" w:ascii="宋体" w:hAnsi="宋体" w:cs="宋体"/>
          <w:b/>
          <w:bCs/>
          <w:kern w:val="0"/>
          <w:sz w:val="28"/>
          <w:szCs w:val="28"/>
        </w:rPr>
        <w:t>10.</w:t>
      </w:r>
      <w:r>
        <w:rPr>
          <w:rFonts w:hint="eastAsia" w:ascii="宋体" w:hAnsi="宋体" w:cs="宋体"/>
          <w:b/>
          <w:bCs/>
          <w:kern w:val="0"/>
          <w:sz w:val="28"/>
          <w:szCs w:val="28"/>
          <w:lang w:val="en-US" w:eastAsia="zh-CN"/>
        </w:rPr>
        <w:t>服务</w:t>
      </w:r>
      <w:r>
        <w:rPr>
          <w:rFonts w:hint="eastAsia" w:ascii="宋体" w:hAnsi="宋体" w:cs="宋体"/>
          <w:b/>
          <w:bCs/>
          <w:kern w:val="0"/>
          <w:sz w:val="28"/>
          <w:szCs w:val="28"/>
        </w:rPr>
        <w:t>方案</w:t>
      </w:r>
      <w:bookmarkEnd w:id="338"/>
      <w:bookmarkEnd w:id="339"/>
      <w:bookmarkEnd w:id="340"/>
      <w:bookmarkEnd w:id="341"/>
    </w:p>
    <w:p w14:paraId="62F6E9FF">
      <w:pPr>
        <w:pStyle w:val="16"/>
        <w:jc w:val="center"/>
        <w:rPr>
          <w:sz w:val="24"/>
          <w:szCs w:val="24"/>
        </w:rPr>
      </w:pPr>
      <w:r>
        <w:rPr>
          <w:rFonts w:hint="eastAsia"/>
          <w:sz w:val="24"/>
          <w:szCs w:val="24"/>
        </w:rPr>
        <w:t>（格式自拟）</w:t>
      </w:r>
    </w:p>
    <w:p w14:paraId="09AE955E">
      <w:pPr>
        <w:widowControl/>
        <w:spacing w:line="360" w:lineRule="auto"/>
        <w:jc w:val="center"/>
        <w:outlineLvl w:val="0"/>
        <w:rPr>
          <w:rFonts w:ascii="宋体" w:hAnsi="宋体" w:cs="宋体"/>
          <w:b/>
          <w:bCs/>
          <w:kern w:val="0"/>
          <w:sz w:val="24"/>
          <w:szCs w:val="24"/>
        </w:rPr>
      </w:pPr>
    </w:p>
    <w:p w14:paraId="129CDD41">
      <w:pPr>
        <w:widowControl/>
        <w:spacing w:line="360" w:lineRule="auto"/>
        <w:jc w:val="center"/>
        <w:outlineLvl w:val="0"/>
        <w:rPr>
          <w:rFonts w:hint="eastAsia" w:ascii="宋体" w:hAnsi="宋体" w:cs="宋体"/>
          <w:b/>
          <w:bCs/>
          <w:kern w:val="0"/>
          <w:sz w:val="24"/>
          <w:szCs w:val="24"/>
        </w:rPr>
      </w:pPr>
      <w:bookmarkStart w:id="345" w:name="_Toc21749"/>
      <w:bookmarkStart w:id="346" w:name="_Toc660"/>
      <w:bookmarkStart w:id="347" w:name="_Toc19690"/>
      <w:bookmarkStart w:id="348" w:name="_Toc4172"/>
    </w:p>
    <w:p w14:paraId="6E875854">
      <w:pPr>
        <w:widowControl/>
        <w:spacing w:line="360" w:lineRule="auto"/>
        <w:jc w:val="center"/>
        <w:outlineLvl w:val="0"/>
        <w:rPr>
          <w:rFonts w:hint="eastAsia" w:ascii="宋体" w:hAnsi="宋体" w:cs="宋体"/>
          <w:b/>
          <w:bCs/>
          <w:kern w:val="0"/>
          <w:sz w:val="24"/>
          <w:szCs w:val="24"/>
        </w:rPr>
      </w:pPr>
    </w:p>
    <w:p w14:paraId="717545E7">
      <w:pPr>
        <w:widowControl/>
        <w:spacing w:line="360" w:lineRule="auto"/>
        <w:jc w:val="center"/>
        <w:outlineLvl w:val="0"/>
        <w:rPr>
          <w:rFonts w:hint="eastAsia" w:ascii="宋体" w:hAnsi="宋体" w:cs="宋体"/>
          <w:b/>
          <w:bCs/>
          <w:kern w:val="0"/>
          <w:sz w:val="24"/>
          <w:szCs w:val="24"/>
        </w:rPr>
      </w:pPr>
    </w:p>
    <w:p w14:paraId="6374284A">
      <w:pPr>
        <w:widowControl/>
        <w:spacing w:line="360" w:lineRule="auto"/>
        <w:jc w:val="center"/>
        <w:outlineLvl w:val="0"/>
        <w:rPr>
          <w:rFonts w:hint="eastAsia" w:ascii="宋体" w:hAnsi="宋体" w:cs="宋体"/>
          <w:b/>
          <w:bCs/>
          <w:kern w:val="0"/>
          <w:sz w:val="24"/>
          <w:szCs w:val="24"/>
        </w:rPr>
      </w:pPr>
    </w:p>
    <w:p w14:paraId="3B332C22">
      <w:pPr>
        <w:widowControl/>
        <w:spacing w:line="360" w:lineRule="auto"/>
        <w:jc w:val="center"/>
        <w:outlineLvl w:val="0"/>
        <w:rPr>
          <w:rFonts w:hint="eastAsia" w:ascii="宋体" w:hAnsi="宋体" w:cs="宋体"/>
          <w:b/>
          <w:bCs/>
          <w:kern w:val="0"/>
          <w:sz w:val="24"/>
          <w:szCs w:val="24"/>
        </w:rPr>
      </w:pPr>
    </w:p>
    <w:p w14:paraId="40D236E4">
      <w:pPr>
        <w:widowControl/>
        <w:spacing w:line="360" w:lineRule="auto"/>
        <w:jc w:val="center"/>
        <w:outlineLvl w:val="0"/>
        <w:rPr>
          <w:rFonts w:ascii="宋体" w:hAnsi="宋体" w:cs="宋体"/>
          <w:b/>
          <w:bCs/>
          <w:kern w:val="0"/>
          <w:sz w:val="28"/>
          <w:szCs w:val="28"/>
        </w:rPr>
      </w:pPr>
      <w:r>
        <w:rPr>
          <w:rFonts w:hint="eastAsia" w:ascii="宋体" w:hAnsi="宋体" w:cs="宋体"/>
          <w:b/>
          <w:bCs/>
          <w:kern w:val="0"/>
          <w:sz w:val="28"/>
          <w:szCs w:val="28"/>
        </w:rPr>
        <w:t>11.售后服务方案及承诺书</w:t>
      </w:r>
      <w:bookmarkEnd w:id="345"/>
      <w:bookmarkEnd w:id="346"/>
      <w:bookmarkEnd w:id="347"/>
      <w:bookmarkEnd w:id="348"/>
    </w:p>
    <w:p w14:paraId="4F394782">
      <w:pPr>
        <w:pStyle w:val="16"/>
        <w:jc w:val="center"/>
        <w:rPr>
          <w:sz w:val="24"/>
          <w:szCs w:val="24"/>
        </w:rPr>
      </w:pPr>
      <w:r>
        <w:rPr>
          <w:rFonts w:hint="eastAsia"/>
          <w:sz w:val="24"/>
          <w:szCs w:val="24"/>
        </w:rPr>
        <w:t>（格式自拟）</w:t>
      </w:r>
    </w:p>
    <w:p w14:paraId="25BBE66E">
      <w:pPr>
        <w:widowControl/>
        <w:spacing w:line="360" w:lineRule="auto"/>
        <w:jc w:val="center"/>
        <w:outlineLvl w:val="0"/>
        <w:rPr>
          <w:rFonts w:ascii="宋体" w:hAnsi="宋体" w:cs="宋体"/>
          <w:b/>
          <w:bCs/>
          <w:kern w:val="0"/>
          <w:sz w:val="24"/>
          <w:szCs w:val="24"/>
        </w:rPr>
      </w:pPr>
    </w:p>
    <w:p w14:paraId="0BFB048B">
      <w:pPr>
        <w:widowControl/>
        <w:spacing w:line="360" w:lineRule="auto"/>
        <w:jc w:val="center"/>
        <w:outlineLvl w:val="0"/>
        <w:rPr>
          <w:rFonts w:ascii="宋体" w:hAnsi="宋体" w:cs="宋体"/>
          <w:b/>
          <w:bCs/>
          <w:kern w:val="0"/>
          <w:sz w:val="24"/>
          <w:szCs w:val="24"/>
        </w:rPr>
      </w:pPr>
    </w:p>
    <w:p w14:paraId="7D34A6DE">
      <w:pPr>
        <w:widowControl/>
        <w:spacing w:line="360" w:lineRule="auto"/>
        <w:jc w:val="center"/>
        <w:outlineLvl w:val="0"/>
        <w:rPr>
          <w:rFonts w:hint="eastAsia" w:ascii="宋体" w:hAnsi="宋体" w:cs="宋体"/>
          <w:b/>
          <w:bCs/>
          <w:kern w:val="0"/>
          <w:sz w:val="24"/>
          <w:szCs w:val="24"/>
        </w:rPr>
      </w:pPr>
      <w:bookmarkStart w:id="349" w:name="_Toc20618"/>
      <w:bookmarkStart w:id="350" w:name="_Toc3460"/>
      <w:bookmarkStart w:id="351" w:name="_Toc497"/>
      <w:bookmarkStart w:id="352" w:name="_Toc11445"/>
    </w:p>
    <w:p w14:paraId="16B8C4F2">
      <w:pPr>
        <w:widowControl/>
        <w:spacing w:line="360" w:lineRule="auto"/>
        <w:jc w:val="center"/>
        <w:outlineLvl w:val="0"/>
        <w:rPr>
          <w:rFonts w:hint="eastAsia" w:ascii="宋体" w:hAnsi="宋体" w:cs="宋体"/>
          <w:b/>
          <w:bCs/>
          <w:kern w:val="0"/>
          <w:sz w:val="24"/>
          <w:szCs w:val="24"/>
        </w:rPr>
      </w:pPr>
    </w:p>
    <w:p w14:paraId="62E2FFA7">
      <w:pPr>
        <w:widowControl/>
        <w:spacing w:line="360" w:lineRule="auto"/>
        <w:jc w:val="center"/>
        <w:outlineLvl w:val="0"/>
        <w:rPr>
          <w:rFonts w:hint="eastAsia" w:ascii="宋体" w:hAnsi="宋体" w:cs="宋体"/>
          <w:b/>
          <w:bCs/>
          <w:kern w:val="0"/>
          <w:sz w:val="24"/>
          <w:szCs w:val="24"/>
        </w:rPr>
      </w:pPr>
    </w:p>
    <w:p w14:paraId="55BF1D7A">
      <w:pPr>
        <w:widowControl/>
        <w:spacing w:line="360" w:lineRule="auto"/>
        <w:jc w:val="center"/>
        <w:outlineLvl w:val="0"/>
        <w:rPr>
          <w:rFonts w:hint="eastAsia" w:ascii="宋体" w:hAnsi="宋体" w:cs="宋体"/>
          <w:b/>
          <w:bCs/>
          <w:kern w:val="0"/>
          <w:sz w:val="24"/>
          <w:szCs w:val="24"/>
        </w:rPr>
      </w:pPr>
    </w:p>
    <w:p w14:paraId="2F500808">
      <w:pPr>
        <w:widowControl/>
        <w:spacing w:line="360" w:lineRule="auto"/>
        <w:jc w:val="center"/>
        <w:outlineLvl w:val="0"/>
        <w:rPr>
          <w:rFonts w:hint="eastAsia" w:ascii="宋体" w:hAnsi="宋体" w:cs="宋体"/>
          <w:b/>
          <w:bCs/>
          <w:kern w:val="0"/>
          <w:sz w:val="24"/>
          <w:szCs w:val="24"/>
        </w:rPr>
      </w:pPr>
    </w:p>
    <w:p w14:paraId="78E8E73E">
      <w:pPr>
        <w:widowControl/>
        <w:spacing w:line="360" w:lineRule="auto"/>
        <w:jc w:val="center"/>
        <w:outlineLvl w:val="0"/>
        <w:rPr>
          <w:rFonts w:ascii="宋体" w:hAnsi="宋体" w:cs="宋体"/>
          <w:b/>
          <w:bCs/>
          <w:kern w:val="0"/>
          <w:sz w:val="28"/>
          <w:szCs w:val="28"/>
        </w:rPr>
      </w:pPr>
      <w:r>
        <w:rPr>
          <w:rFonts w:hint="eastAsia" w:ascii="宋体" w:hAnsi="宋体" w:cs="宋体"/>
          <w:b/>
          <w:bCs/>
          <w:kern w:val="0"/>
          <w:sz w:val="28"/>
          <w:szCs w:val="28"/>
        </w:rPr>
        <w:t>12.其它证明材料</w:t>
      </w:r>
      <w:bookmarkEnd w:id="324"/>
      <w:bookmarkEnd w:id="342"/>
      <w:bookmarkEnd w:id="343"/>
      <w:bookmarkEnd w:id="344"/>
      <w:bookmarkEnd w:id="349"/>
      <w:bookmarkEnd w:id="350"/>
      <w:bookmarkEnd w:id="351"/>
      <w:bookmarkEnd w:id="352"/>
    </w:p>
    <w:p w14:paraId="45C71043">
      <w:pPr>
        <w:ind w:firstLine="720" w:firstLineChars="300"/>
        <w:rPr>
          <w:rFonts w:ascii="宋体" w:hAnsi="宋体"/>
          <w:sz w:val="24"/>
          <w:szCs w:val="24"/>
        </w:rPr>
      </w:pPr>
      <w:r>
        <w:rPr>
          <w:rFonts w:hint="eastAsia" w:ascii="宋体" w:hAnsi="宋体"/>
          <w:sz w:val="24"/>
          <w:szCs w:val="24"/>
        </w:rPr>
        <w:t>投标人根据评标办法认为对其参与评审有利的其它证明材料（格式自拟）。</w:t>
      </w:r>
    </w:p>
    <w:p w14:paraId="4EC7E921">
      <w:pPr>
        <w:pStyle w:val="4"/>
        <w:rPr>
          <w:rFonts w:hint="default" w:ascii="宋体" w:hAnsi="宋体"/>
          <w:sz w:val="24"/>
          <w:szCs w:val="24"/>
        </w:rPr>
      </w:pPr>
    </w:p>
    <w:p w14:paraId="0E3CB3DA"/>
    <w:p w14:paraId="0CDF3074">
      <w:pPr>
        <w:pStyle w:val="16"/>
      </w:pPr>
    </w:p>
    <w:p w14:paraId="694963C9"/>
    <w:p w14:paraId="76B59788">
      <w:pPr>
        <w:pStyle w:val="16"/>
      </w:pPr>
    </w:p>
    <w:p w14:paraId="4FFF861C"/>
    <w:p w14:paraId="508F91B7">
      <w:pPr>
        <w:pStyle w:val="16"/>
      </w:pPr>
    </w:p>
    <w:p w14:paraId="0626336B"/>
    <w:p w14:paraId="3AC94031">
      <w:pPr>
        <w:pStyle w:val="16"/>
      </w:pPr>
    </w:p>
    <w:p w14:paraId="0E60E995"/>
    <w:p w14:paraId="42B83314">
      <w:pPr>
        <w:pStyle w:val="16"/>
      </w:pPr>
    </w:p>
    <w:p w14:paraId="628C0A70"/>
    <w:p w14:paraId="085BA97F">
      <w:pPr>
        <w:pStyle w:val="16"/>
      </w:pPr>
    </w:p>
    <w:p w14:paraId="38F9BB83">
      <w:pPr>
        <w:widowControl/>
        <w:spacing w:line="360" w:lineRule="auto"/>
        <w:jc w:val="center"/>
        <w:outlineLvl w:val="0"/>
        <w:rPr>
          <w:rFonts w:hint="eastAsia" w:asciiTheme="minorEastAsia" w:hAnsiTheme="minorEastAsia" w:eastAsiaTheme="minorEastAsia" w:cstheme="minorEastAsia"/>
          <w:b/>
          <w:bCs/>
          <w:kern w:val="0"/>
          <w:sz w:val="28"/>
          <w:szCs w:val="28"/>
        </w:rPr>
      </w:pPr>
      <w:bookmarkStart w:id="353" w:name="_Toc28119"/>
      <w:bookmarkStart w:id="354" w:name="_Toc6493"/>
      <w:bookmarkStart w:id="355" w:name="_Toc11178"/>
      <w:bookmarkStart w:id="356" w:name="_Toc4723"/>
      <w:r>
        <w:rPr>
          <w:rFonts w:hint="eastAsia" w:asciiTheme="minorEastAsia" w:hAnsiTheme="minorEastAsia" w:eastAsiaTheme="minorEastAsia" w:cstheme="minorEastAsia"/>
          <w:b/>
          <w:bCs/>
          <w:kern w:val="0"/>
          <w:sz w:val="28"/>
          <w:szCs w:val="28"/>
        </w:rPr>
        <w:t>13.声明函</w:t>
      </w:r>
      <w:bookmarkEnd w:id="310"/>
      <w:bookmarkEnd w:id="311"/>
      <w:bookmarkEnd w:id="312"/>
      <w:bookmarkEnd w:id="313"/>
      <w:bookmarkEnd w:id="353"/>
      <w:bookmarkEnd w:id="354"/>
      <w:bookmarkEnd w:id="355"/>
      <w:bookmarkEnd w:id="356"/>
    </w:p>
    <w:p w14:paraId="12C8C77D">
      <w:pPr>
        <w:pStyle w:val="39"/>
        <w:spacing w:line="375" w:lineRule="atLeast"/>
        <w:jc w:val="center"/>
        <w:outlineLvl w:val="0"/>
        <w:rPr>
          <w:rFonts w:hint="eastAsia" w:asciiTheme="minorEastAsia" w:hAnsiTheme="minorEastAsia" w:eastAsiaTheme="minorEastAsia" w:cstheme="minorEastAsia"/>
          <w:sz w:val="24"/>
          <w:szCs w:val="24"/>
        </w:rPr>
      </w:pPr>
      <w:bookmarkStart w:id="357" w:name="_Toc23935"/>
      <w:bookmarkStart w:id="358" w:name="_Toc29854"/>
      <w:bookmarkStart w:id="359" w:name="_Toc515570488"/>
      <w:bookmarkStart w:id="360" w:name="_Toc27136"/>
      <w:bookmarkStart w:id="361" w:name="_Toc32220"/>
      <w:bookmarkStart w:id="362" w:name="_Toc17809"/>
      <w:bookmarkStart w:id="363" w:name="_Toc28931"/>
      <w:bookmarkStart w:id="364" w:name="_Toc17204503"/>
      <w:bookmarkStart w:id="365" w:name="_Toc515520686"/>
      <w:r>
        <w:rPr>
          <w:rFonts w:hint="eastAsia" w:asciiTheme="minorEastAsia" w:hAnsiTheme="minorEastAsia" w:eastAsiaTheme="minorEastAsia" w:cstheme="minorEastAsia"/>
          <w:sz w:val="24"/>
          <w:szCs w:val="24"/>
        </w:rPr>
        <w:t>（一）中小企业声明函</w:t>
      </w:r>
      <w:bookmarkEnd w:id="357"/>
      <w:bookmarkEnd w:id="358"/>
      <w:bookmarkEnd w:id="359"/>
      <w:bookmarkEnd w:id="360"/>
      <w:bookmarkEnd w:id="361"/>
      <w:bookmarkEnd w:id="362"/>
      <w:bookmarkEnd w:id="363"/>
      <w:bookmarkEnd w:id="364"/>
      <w:bookmarkEnd w:id="365"/>
    </w:p>
    <w:p w14:paraId="483990E7">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本公司（联合体）郑重声明，根据《政府采购促进中小企业发展管理办法》（财库﹝2020﹞46号）的规定，本公司 （联合体）参加</w:t>
      </w:r>
      <w:r>
        <w:rPr>
          <w:rFonts w:hint="eastAsia" w:asciiTheme="minorEastAsia" w:hAnsiTheme="minorEastAsia" w:eastAsiaTheme="minorEastAsia" w:cstheme="minorEastAsia"/>
          <w:spacing w:val="6"/>
          <w:sz w:val="24"/>
          <w:szCs w:val="24"/>
          <w:u w:val="single"/>
        </w:rPr>
        <w:t>（单位名称）</w:t>
      </w: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6"/>
          <w:sz w:val="24"/>
          <w:szCs w:val="24"/>
          <w:u w:val="single"/>
        </w:rPr>
        <w:t>（项目名称）</w:t>
      </w:r>
      <w:r>
        <w:rPr>
          <w:rFonts w:hint="eastAsia" w:asciiTheme="minorEastAsia" w:hAnsiTheme="minorEastAsia" w:eastAsiaTheme="minorEastAsia" w:cstheme="minorEastAsia"/>
          <w:spacing w:val="6"/>
          <w:sz w:val="24"/>
          <w:szCs w:val="24"/>
        </w:rPr>
        <w:t xml:space="preserve">采购活动，服务全部由符合政策要求的中小企业承接。相关企业（含联合体中的中小企业、签订分包意向协议的中小企业）的具体情况如下： </w:t>
      </w:r>
    </w:p>
    <w:p w14:paraId="4C77602B">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6"/>
          <w:sz w:val="24"/>
          <w:szCs w:val="24"/>
          <w:u w:val="single"/>
        </w:rPr>
        <w:t>（标的名称）</w:t>
      </w:r>
      <w:r>
        <w:rPr>
          <w:rFonts w:hint="eastAsia" w:asciiTheme="minorEastAsia" w:hAnsiTheme="minorEastAsia" w:eastAsiaTheme="minorEastAsia" w:cstheme="minorEastAsia"/>
          <w:spacing w:val="6"/>
          <w:sz w:val="24"/>
          <w:szCs w:val="24"/>
        </w:rPr>
        <w:t>，属于</w:t>
      </w:r>
      <w:r>
        <w:rPr>
          <w:rFonts w:hint="eastAsia" w:asciiTheme="minorEastAsia" w:hAnsiTheme="minorEastAsia" w:eastAsiaTheme="minorEastAsia" w:cstheme="minorEastAsia"/>
          <w:spacing w:val="6"/>
          <w:sz w:val="24"/>
          <w:szCs w:val="24"/>
          <w:u w:val="single"/>
        </w:rPr>
        <w:t>（采购文件中明确的所属行业）行业</w:t>
      </w:r>
      <w:r>
        <w:rPr>
          <w:rFonts w:hint="eastAsia" w:asciiTheme="minorEastAsia" w:hAnsiTheme="minorEastAsia" w:eastAsiaTheme="minorEastAsia" w:cstheme="minorEastAsia"/>
          <w:spacing w:val="6"/>
          <w:sz w:val="24"/>
          <w:szCs w:val="24"/>
        </w:rPr>
        <w:t>；承接企业为</w:t>
      </w:r>
      <w:r>
        <w:rPr>
          <w:rFonts w:hint="eastAsia" w:asciiTheme="minorEastAsia" w:hAnsiTheme="minorEastAsia" w:eastAsiaTheme="minorEastAsia" w:cstheme="minorEastAsia"/>
          <w:spacing w:val="6"/>
          <w:sz w:val="24"/>
          <w:szCs w:val="24"/>
          <w:u w:val="single"/>
        </w:rPr>
        <w:t>（企业名称</w:t>
      </w:r>
      <w:r>
        <w:rPr>
          <w:rFonts w:hint="eastAsia" w:asciiTheme="minorEastAsia" w:hAnsiTheme="minorEastAsia" w:eastAsiaTheme="minorEastAsia" w:cstheme="minorEastAsia"/>
          <w:spacing w:val="6"/>
          <w:sz w:val="24"/>
          <w:szCs w:val="24"/>
        </w:rPr>
        <w:t>），从业人员</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人，营业收入为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万元，资产总额为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万元，属于</w:t>
      </w:r>
      <w:r>
        <w:rPr>
          <w:rFonts w:hint="eastAsia" w:asciiTheme="minorEastAsia" w:hAnsiTheme="minorEastAsia" w:eastAsiaTheme="minorEastAsia" w:cstheme="minorEastAsia"/>
          <w:spacing w:val="6"/>
          <w:sz w:val="24"/>
          <w:szCs w:val="24"/>
          <w:u w:val="single"/>
        </w:rPr>
        <w:t>（中型企业、小型企业、微型企业）</w:t>
      </w:r>
      <w:r>
        <w:rPr>
          <w:rFonts w:hint="eastAsia" w:asciiTheme="minorEastAsia" w:hAnsiTheme="minorEastAsia" w:eastAsiaTheme="minorEastAsia" w:cstheme="minorEastAsia"/>
          <w:spacing w:val="6"/>
          <w:sz w:val="24"/>
          <w:szCs w:val="24"/>
        </w:rPr>
        <w:t>；</w:t>
      </w:r>
    </w:p>
    <w:p w14:paraId="212D53C4">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2.</w:t>
      </w:r>
      <w:r>
        <w:rPr>
          <w:rFonts w:hint="eastAsia" w:asciiTheme="minorEastAsia" w:hAnsiTheme="minorEastAsia" w:eastAsiaTheme="minorEastAsia" w:cstheme="minorEastAsia"/>
          <w:spacing w:val="6"/>
          <w:sz w:val="24"/>
          <w:szCs w:val="24"/>
          <w:u w:val="single"/>
        </w:rPr>
        <w:t>（标的名称）</w:t>
      </w:r>
      <w:r>
        <w:rPr>
          <w:rFonts w:hint="eastAsia" w:asciiTheme="minorEastAsia" w:hAnsiTheme="minorEastAsia" w:eastAsiaTheme="minorEastAsia" w:cstheme="minorEastAsia"/>
          <w:spacing w:val="6"/>
          <w:sz w:val="24"/>
          <w:szCs w:val="24"/>
        </w:rPr>
        <w:t>，属于</w:t>
      </w:r>
      <w:r>
        <w:rPr>
          <w:rFonts w:hint="eastAsia" w:asciiTheme="minorEastAsia" w:hAnsiTheme="minorEastAsia" w:eastAsiaTheme="minorEastAsia" w:cstheme="minorEastAsia"/>
          <w:spacing w:val="6"/>
          <w:sz w:val="24"/>
          <w:szCs w:val="24"/>
          <w:u w:val="single"/>
        </w:rPr>
        <w:t>（采购文件中明确的所属行业）行业</w:t>
      </w:r>
      <w:r>
        <w:rPr>
          <w:rFonts w:hint="eastAsia" w:asciiTheme="minorEastAsia" w:hAnsiTheme="minorEastAsia" w:eastAsiaTheme="minorEastAsia" w:cstheme="minorEastAsia"/>
          <w:spacing w:val="6"/>
          <w:sz w:val="24"/>
          <w:szCs w:val="24"/>
        </w:rPr>
        <w:t>；承接企业为</w:t>
      </w:r>
      <w:r>
        <w:rPr>
          <w:rFonts w:hint="eastAsia" w:asciiTheme="minorEastAsia" w:hAnsiTheme="minorEastAsia" w:eastAsiaTheme="minorEastAsia" w:cstheme="minorEastAsia"/>
          <w:spacing w:val="6"/>
          <w:sz w:val="24"/>
          <w:szCs w:val="24"/>
          <w:u w:val="single"/>
        </w:rPr>
        <w:t>（企业名称）</w:t>
      </w:r>
      <w:r>
        <w:rPr>
          <w:rFonts w:hint="eastAsia" w:asciiTheme="minorEastAsia" w:hAnsiTheme="minorEastAsia" w:eastAsiaTheme="minorEastAsia" w:cstheme="minorEastAsia"/>
          <w:spacing w:val="6"/>
          <w:sz w:val="24"/>
          <w:szCs w:val="24"/>
        </w:rPr>
        <w:t>，从业人员</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人，营业收入为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万元，资产总额为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万元，属于</w:t>
      </w:r>
      <w:r>
        <w:rPr>
          <w:rFonts w:hint="eastAsia" w:asciiTheme="minorEastAsia" w:hAnsiTheme="minorEastAsia" w:eastAsiaTheme="minorEastAsia" w:cstheme="minorEastAsia"/>
          <w:spacing w:val="6"/>
          <w:sz w:val="24"/>
          <w:szCs w:val="24"/>
          <w:u w:val="single"/>
        </w:rPr>
        <w:t>（中型企业、小型企业、微型企业</w:t>
      </w:r>
      <w:r>
        <w:rPr>
          <w:rFonts w:hint="eastAsia" w:asciiTheme="minorEastAsia" w:hAnsiTheme="minorEastAsia" w:eastAsiaTheme="minorEastAsia" w:cstheme="minorEastAsia"/>
          <w:spacing w:val="6"/>
          <w:sz w:val="24"/>
          <w:szCs w:val="24"/>
        </w:rPr>
        <w:t>）；</w:t>
      </w:r>
    </w:p>
    <w:p w14:paraId="45105928">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w:t>
      </w:r>
    </w:p>
    <w:p w14:paraId="23FE83AD">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以上企业，不属于大企业的分支机构，不存在控股股东 为大企业的情形，也不存在与大企业的负责人为同一人的情形。</w:t>
      </w:r>
    </w:p>
    <w:p w14:paraId="7A2C7B06">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本企业对上述声明内容的真实性负责。如有虚假，将依法承担相应责任。</w:t>
      </w:r>
    </w:p>
    <w:p w14:paraId="5E3F8A34">
      <w:pPr>
        <w:ind w:left="2604" w:leftChars="1240"/>
        <w:jc w:val="left"/>
        <w:rPr>
          <w:rFonts w:hint="eastAsia" w:asciiTheme="minorEastAsia" w:hAnsiTheme="minorEastAsia" w:eastAsiaTheme="minorEastAsia" w:cstheme="minorEastAsia"/>
          <w:sz w:val="24"/>
          <w:szCs w:val="24"/>
        </w:rPr>
      </w:pPr>
    </w:p>
    <w:p w14:paraId="11B58481">
      <w:pPr>
        <w:adjustRightInd w:val="0"/>
        <w:snapToGrid w:val="0"/>
        <w:spacing w:line="360" w:lineRule="auto"/>
        <w:ind w:left="1611" w:leftChars="767" w:firstLine="2400" w:firstLineChars="10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p>
    <w:p w14:paraId="17C7F3F6">
      <w:pPr>
        <w:adjustRightInd w:val="0"/>
        <w:snapToGrid w:val="0"/>
        <w:spacing w:line="360" w:lineRule="auto"/>
        <w:ind w:firstLine="4080" w:firstLineChars="17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24B7E208">
      <w:pPr>
        <w:adjustRightInd w:val="0"/>
        <w:snapToGrid w:val="0"/>
        <w:spacing w:line="360" w:lineRule="auto"/>
        <w:ind w:left="1611" w:leftChars="767"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DBAFEE1">
      <w:pPr>
        <w:widowControl/>
        <w:jc w:val="left"/>
        <w:rPr>
          <w:rFonts w:hint="eastAsia" w:asciiTheme="minorEastAsia" w:hAnsiTheme="minorEastAsia" w:eastAsiaTheme="minorEastAsia" w:cstheme="minorEastAsia"/>
          <w:sz w:val="24"/>
          <w:szCs w:val="24"/>
        </w:rPr>
      </w:pPr>
    </w:p>
    <w:p w14:paraId="73080FD8">
      <w:pPr>
        <w:spacing w:line="56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6"/>
          <w:sz w:val="24"/>
          <w:szCs w:val="24"/>
        </w:rPr>
        <w:t>说明：</w:t>
      </w:r>
      <w:r>
        <w:rPr>
          <w:rFonts w:hint="eastAsia" w:asciiTheme="minorEastAsia" w:hAnsiTheme="minorEastAsia" w:eastAsiaTheme="minorEastAsia" w:cstheme="minorEastAsia"/>
          <w:sz w:val="24"/>
          <w:szCs w:val="24"/>
        </w:rPr>
        <w:t>1、供应商参加政府采购时，提供虚假中小企业申明函的，以提供虚假材料谋取成交处理。</w:t>
      </w:r>
    </w:p>
    <w:p w14:paraId="1EC89715">
      <w:pPr>
        <w:pStyle w:val="10"/>
        <w:keepNext w:val="0"/>
        <w:keepLines w:val="0"/>
        <w:pageBreakBefore w:val="0"/>
        <w:widowControl w:val="0"/>
        <w:kinsoku/>
        <w:wordWrap/>
        <w:overflowPunct/>
        <w:topLinePunct w:val="0"/>
        <w:autoSpaceDE/>
        <w:autoSpaceDN/>
        <w:bidi w:val="0"/>
        <w:adjustRightInd/>
        <w:snapToGrid/>
        <w:ind w:left="0" w:leftChars="0" w:firstLine="1200" w:firstLineChars="5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采购文件中明确的所属行业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租赁和商务服务业</w:t>
      </w:r>
      <w:r>
        <w:rPr>
          <w:rFonts w:hint="eastAsia" w:asciiTheme="minorEastAsia" w:hAnsiTheme="minorEastAsia" w:eastAsiaTheme="minorEastAsia" w:cstheme="minorEastAsia"/>
          <w:sz w:val="24"/>
          <w:szCs w:val="24"/>
          <w:u w:val="none"/>
          <w:lang w:val="en-US" w:eastAsia="zh-CN"/>
        </w:rPr>
        <w:t>。</w:t>
      </w:r>
    </w:p>
    <w:p w14:paraId="6265C0CC">
      <w:pPr>
        <w:pStyle w:val="39"/>
        <w:spacing w:line="375" w:lineRule="atLeast"/>
        <w:jc w:val="center"/>
        <w:outlineLvl w:val="0"/>
        <w:rPr>
          <w:rFonts w:hint="eastAsia" w:asciiTheme="minorEastAsia" w:hAnsiTheme="minorEastAsia" w:eastAsiaTheme="minorEastAsia" w:cstheme="minorEastAsia"/>
          <w:sz w:val="24"/>
          <w:szCs w:val="24"/>
        </w:rPr>
      </w:pPr>
      <w:r>
        <w:rPr>
          <w:sz w:val="21"/>
          <w:szCs w:val="21"/>
        </w:rPr>
        <w:br w:type="page"/>
      </w:r>
      <w:bookmarkStart w:id="366" w:name="_Toc17045"/>
      <w:bookmarkStart w:id="367" w:name="_Toc8177"/>
      <w:bookmarkStart w:id="368" w:name="_Toc32197"/>
      <w:bookmarkStart w:id="369" w:name="_Toc515520688"/>
      <w:bookmarkStart w:id="370" w:name="_Toc4803"/>
      <w:bookmarkStart w:id="371" w:name="_Toc20106"/>
      <w:bookmarkStart w:id="372" w:name="_Toc3071"/>
      <w:bookmarkStart w:id="373" w:name="_Toc17204505"/>
      <w:r>
        <w:rPr>
          <w:rFonts w:hint="eastAsia" w:asciiTheme="minorEastAsia" w:hAnsiTheme="minorEastAsia" w:eastAsiaTheme="minorEastAsia" w:cstheme="minorEastAsia"/>
          <w:sz w:val="24"/>
          <w:szCs w:val="24"/>
        </w:rPr>
        <w:t>（二）残疾人福利性单位声明函</w:t>
      </w:r>
      <w:bookmarkEnd w:id="366"/>
      <w:bookmarkEnd w:id="367"/>
      <w:bookmarkEnd w:id="368"/>
      <w:bookmarkEnd w:id="369"/>
      <w:bookmarkEnd w:id="370"/>
      <w:bookmarkEnd w:id="371"/>
      <w:bookmarkEnd w:id="372"/>
      <w:bookmarkEnd w:id="373"/>
    </w:p>
    <w:p w14:paraId="5471BB4F">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本单位郑重声明，根据《财政部民政部中国残疾人联合会关于促进残疾人就业政府采购政策的通知》（财库</w:t>
      </w:r>
      <w:r>
        <w:rPr>
          <w:rFonts w:hint="eastAsia" w:asciiTheme="minorEastAsia" w:hAnsiTheme="minorEastAsia" w:eastAsiaTheme="minorEastAsia" w:cstheme="minorEastAsia"/>
          <w:sz w:val="24"/>
          <w:szCs w:val="24"/>
        </w:rPr>
        <w:t>〔2017〕141</w:t>
      </w:r>
      <w:r>
        <w:rPr>
          <w:rFonts w:hint="eastAsia" w:asciiTheme="minorEastAsia" w:hAnsiTheme="minorEastAsia" w:eastAsiaTheme="minorEastAsia" w:cstheme="minor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FAE29A">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本单位对上述声明的真实性负责。如有虚假，将依法承担相应责任。</w:t>
      </w:r>
    </w:p>
    <w:p w14:paraId="7467BA78">
      <w:pPr>
        <w:spacing w:line="588" w:lineRule="exact"/>
        <w:ind w:firstLine="504" w:firstLineChars="200"/>
        <w:rPr>
          <w:rFonts w:hint="eastAsia" w:asciiTheme="minorEastAsia" w:hAnsiTheme="minorEastAsia" w:eastAsiaTheme="minorEastAsia" w:cstheme="minorEastAsia"/>
          <w:spacing w:val="6"/>
          <w:sz w:val="24"/>
          <w:szCs w:val="24"/>
        </w:rPr>
      </w:pPr>
    </w:p>
    <w:p w14:paraId="149E89E0">
      <w:pPr>
        <w:spacing w:line="588" w:lineRule="exact"/>
        <w:ind w:firstLine="504" w:firstLineChars="200"/>
        <w:rPr>
          <w:rFonts w:hint="eastAsia" w:asciiTheme="minorEastAsia" w:hAnsiTheme="minorEastAsia" w:eastAsiaTheme="minorEastAsia" w:cstheme="minorEastAsia"/>
          <w:spacing w:val="6"/>
          <w:sz w:val="24"/>
          <w:szCs w:val="24"/>
        </w:rPr>
      </w:pPr>
    </w:p>
    <w:p w14:paraId="27B4B1BC">
      <w:pPr>
        <w:adjustRightInd w:val="0"/>
        <w:snapToGrid w:val="0"/>
        <w:spacing w:line="360" w:lineRule="auto"/>
        <w:ind w:left="1611" w:leftChars="767" w:firstLine="2400" w:firstLineChars="10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p>
    <w:p w14:paraId="02176B08">
      <w:pPr>
        <w:adjustRightInd w:val="0"/>
        <w:snapToGrid w:val="0"/>
        <w:spacing w:line="360" w:lineRule="auto"/>
        <w:ind w:firstLine="4080" w:firstLineChars="17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01D8CF9C">
      <w:pPr>
        <w:adjustRightInd w:val="0"/>
        <w:snapToGrid w:val="0"/>
        <w:spacing w:line="360" w:lineRule="auto"/>
        <w:ind w:left="1611" w:leftChars="767"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F09B39B">
      <w:pPr>
        <w:tabs>
          <w:tab w:val="left" w:pos="4860"/>
        </w:tabs>
        <w:spacing w:line="588" w:lineRule="exact"/>
        <w:ind w:right="1560" w:firstLine="480" w:firstLineChars="200"/>
        <w:jc w:val="center"/>
        <w:rPr>
          <w:rFonts w:hint="eastAsia" w:asciiTheme="minorEastAsia" w:hAnsiTheme="minorEastAsia" w:eastAsiaTheme="minorEastAsia" w:cstheme="minorEastAsia"/>
          <w:sz w:val="24"/>
          <w:szCs w:val="24"/>
        </w:rPr>
      </w:pPr>
    </w:p>
    <w:p w14:paraId="075CD817">
      <w:pPr>
        <w:rPr>
          <w:rFonts w:hint="eastAsia" w:asciiTheme="minorEastAsia" w:hAnsiTheme="minorEastAsia" w:eastAsiaTheme="minorEastAsia" w:cstheme="minorEastAsia"/>
          <w:sz w:val="24"/>
          <w:szCs w:val="24"/>
        </w:rPr>
      </w:pPr>
    </w:p>
    <w:p w14:paraId="13B3B69C">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说明</w:t>
      </w:r>
      <w:r>
        <w:rPr>
          <w:rFonts w:hint="eastAsia" w:asciiTheme="minorEastAsia" w:hAnsiTheme="minorEastAsia" w:eastAsiaTheme="minorEastAsia" w:cstheme="minorEastAsia"/>
          <w:sz w:val="24"/>
          <w:szCs w:val="24"/>
        </w:rPr>
        <w:t>：填写本声明函时应详细阅读《财政部 民政部 中国残疾人联合会关于促进残疾人就业政府采购政策的通知》（财库〔2017〕141号），投标人不满足此要求则无须提供，一旦提供将视为满足其要求，如有虚假，将依法承担相应责任。</w:t>
      </w:r>
    </w:p>
    <w:p w14:paraId="0A6E3C94">
      <w:pPr>
        <w:spacing w:line="588" w:lineRule="exact"/>
        <w:jc w:val="center"/>
        <w:rPr>
          <w:rFonts w:ascii="宋体" w:hAnsi="宋体"/>
          <w:sz w:val="18"/>
          <w:szCs w:val="18"/>
        </w:rPr>
      </w:pPr>
    </w:p>
    <w:p w14:paraId="597727C6">
      <w:pPr>
        <w:pStyle w:val="39"/>
        <w:spacing w:line="375" w:lineRule="atLeast"/>
        <w:jc w:val="center"/>
        <w:outlineLvl w:val="0"/>
        <w:rPr>
          <w:rFonts w:hint="eastAsia" w:asciiTheme="minorEastAsia" w:hAnsiTheme="minorEastAsia" w:eastAsiaTheme="minorEastAsia" w:cstheme="minorEastAsia"/>
          <w:sz w:val="24"/>
          <w:szCs w:val="24"/>
        </w:rPr>
      </w:pPr>
      <w:r>
        <w:rPr>
          <w:sz w:val="18"/>
          <w:szCs w:val="18"/>
        </w:rPr>
        <w:br w:type="page"/>
      </w:r>
      <w:bookmarkStart w:id="374" w:name="_Toc8753"/>
      <w:bookmarkStart w:id="375" w:name="_Toc4534"/>
      <w:bookmarkStart w:id="376" w:name="_Toc11234"/>
      <w:bookmarkStart w:id="377" w:name="_Toc515520689"/>
      <w:bookmarkStart w:id="378" w:name="_Toc17204506"/>
      <w:bookmarkStart w:id="379" w:name="_Toc515570490"/>
      <w:bookmarkStart w:id="380" w:name="_Toc23260"/>
      <w:r>
        <w:rPr>
          <w:rFonts w:hint="eastAsia" w:asciiTheme="minorEastAsia" w:hAnsiTheme="minorEastAsia" w:eastAsiaTheme="minorEastAsia" w:cstheme="minorEastAsia"/>
          <w:sz w:val="24"/>
          <w:szCs w:val="24"/>
        </w:rPr>
        <w:t>（三）监狱企业声明函</w:t>
      </w:r>
      <w:bookmarkEnd w:id="374"/>
      <w:bookmarkEnd w:id="375"/>
      <w:bookmarkEnd w:id="376"/>
      <w:bookmarkEnd w:id="377"/>
      <w:bookmarkEnd w:id="378"/>
      <w:bookmarkEnd w:id="379"/>
      <w:bookmarkEnd w:id="380"/>
    </w:p>
    <w:p w14:paraId="4DC7EC6E">
      <w:pPr>
        <w:spacing w:before="468" w:beforeLines="150" w:line="480" w:lineRule="auto"/>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本单位郑重声明，根据</w:t>
      </w:r>
      <w:r>
        <w:rPr>
          <w:rFonts w:hint="eastAsia" w:asciiTheme="minorEastAsia" w:hAnsiTheme="minorEastAsia" w:eastAsiaTheme="minorEastAsia" w:cstheme="minorEastAsia"/>
          <w:sz w:val="24"/>
          <w:szCs w:val="24"/>
        </w:rPr>
        <w:t>《关于政府采购支持监狱企业发展有关问题的通知》</w:t>
      </w:r>
      <w:r>
        <w:rPr>
          <w:rFonts w:hint="eastAsia" w:asciiTheme="minorEastAsia" w:hAnsiTheme="minorEastAsia" w:eastAsiaTheme="minorEastAsia" w:cstheme="minorEastAsia"/>
          <w:spacing w:val="6"/>
          <w:sz w:val="24"/>
          <w:szCs w:val="24"/>
        </w:rPr>
        <w:t>（财库</w:t>
      </w:r>
      <w:r>
        <w:rPr>
          <w:rFonts w:hint="eastAsia" w:asciiTheme="minorEastAsia" w:hAnsiTheme="minorEastAsia" w:eastAsiaTheme="minorEastAsia" w:cstheme="minorEastAsia"/>
          <w:sz w:val="24"/>
          <w:szCs w:val="24"/>
        </w:rPr>
        <w:t>〔2014〕 68</w:t>
      </w:r>
      <w:r>
        <w:rPr>
          <w:rFonts w:hint="eastAsia" w:asciiTheme="minorEastAsia" w:hAnsiTheme="minorEastAsia" w:eastAsiaTheme="minorEastAsia" w:cstheme="minorEastAsia"/>
          <w:spacing w:val="6"/>
          <w:sz w:val="24"/>
          <w:szCs w:val="24"/>
        </w:rPr>
        <w:t>号）的规定，本单位为符合条件的监狱单位，且本单位参加______单位的______项目采购活动提供本单位制造的货物（由本单位承担工程/提供服务）。</w:t>
      </w:r>
    </w:p>
    <w:p w14:paraId="10170A49">
      <w:pPr>
        <w:spacing w:line="480" w:lineRule="auto"/>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本单位对上述声明的真实性负责。如有虚假，将依法承担相应责任。</w:t>
      </w:r>
    </w:p>
    <w:p w14:paraId="4ADBC58C">
      <w:pPr>
        <w:spacing w:line="480" w:lineRule="auto"/>
        <w:ind w:firstLine="200"/>
        <w:rPr>
          <w:rFonts w:hint="eastAsia" w:asciiTheme="minorEastAsia" w:hAnsiTheme="minorEastAsia" w:eastAsiaTheme="minorEastAsia" w:cstheme="minorEastAsia"/>
          <w:spacing w:val="6"/>
          <w:sz w:val="24"/>
          <w:szCs w:val="24"/>
        </w:rPr>
      </w:pPr>
    </w:p>
    <w:p w14:paraId="6E3E5970">
      <w:pPr>
        <w:spacing w:line="588" w:lineRule="exact"/>
        <w:ind w:firstLine="504" w:firstLineChars="200"/>
        <w:rPr>
          <w:rFonts w:hint="eastAsia" w:asciiTheme="minorEastAsia" w:hAnsiTheme="minorEastAsia" w:eastAsiaTheme="minorEastAsia" w:cstheme="minorEastAsia"/>
          <w:spacing w:val="6"/>
          <w:sz w:val="24"/>
          <w:szCs w:val="24"/>
        </w:rPr>
      </w:pPr>
    </w:p>
    <w:p w14:paraId="1281864E">
      <w:pPr>
        <w:spacing w:line="588" w:lineRule="exact"/>
        <w:ind w:firstLine="504" w:firstLineChars="200"/>
        <w:rPr>
          <w:rFonts w:hint="eastAsia" w:asciiTheme="minorEastAsia" w:hAnsiTheme="minorEastAsia" w:eastAsiaTheme="minorEastAsia" w:cstheme="minorEastAsia"/>
          <w:spacing w:val="6"/>
          <w:sz w:val="24"/>
          <w:szCs w:val="24"/>
        </w:rPr>
      </w:pPr>
    </w:p>
    <w:p w14:paraId="1163E09B">
      <w:pPr>
        <w:adjustRightInd w:val="0"/>
        <w:snapToGrid w:val="0"/>
        <w:spacing w:line="360" w:lineRule="auto"/>
        <w:ind w:left="1611" w:leftChars="767" w:firstLine="2400" w:firstLineChars="10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p>
    <w:p w14:paraId="434609F2">
      <w:pPr>
        <w:adjustRightInd w:val="0"/>
        <w:snapToGrid w:val="0"/>
        <w:spacing w:line="360" w:lineRule="auto"/>
        <w:ind w:firstLine="4080" w:firstLineChars="17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1BF23AB1">
      <w:pPr>
        <w:adjustRightInd w:val="0"/>
        <w:snapToGrid w:val="0"/>
        <w:spacing w:line="360" w:lineRule="auto"/>
        <w:ind w:left="1611" w:leftChars="767"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C79CB99">
      <w:pPr>
        <w:spacing w:line="480" w:lineRule="auto"/>
        <w:ind w:firstLine="200"/>
        <w:rPr>
          <w:rFonts w:hint="eastAsia" w:asciiTheme="minorEastAsia" w:hAnsiTheme="minorEastAsia" w:eastAsiaTheme="minorEastAsia" w:cstheme="minorEastAsia"/>
          <w:spacing w:val="6"/>
          <w:sz w:val="24"/>
          <w:szCs w:val="24"/>
        </w:rPr>
      </w:pPr>
    </w:p>
    <w:p w14:paraId="1DBE1733">
      <w:pPr>
        <w:spacing w:line="588" w:lineRule="exact"/>
        <w:ind w:firstLine="504" w:firstLineChars="200"/>
        <w:rPr>
          <w:rFonts w:hint="eastAsia" w:asciiTheme="minorEastAsia" w:hAnsiTheme="minorEastAsia" w:eastAsiaTheme="minorEastAsia" w:cstheme="minorEastAsia"/>
          <w:spacing w:val="6"/>
          <w:sz w:val="24"/>
          <w:szCs w:val="24"/>
        </w:rPr>
      </w:pPr>
    </w:p>
    <w:p w14:paraId="44FC2E81">
      <w:pPr>
        <w:spacing w:line="48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说明</w:t>
      </w:r>
      <w:r>
        <w:rPr>
          <w:rFonts w:hint="eastAsia" w:asciiTheme="minorEastAsia" w:hAnsiTheme="minorEastAsia" w:eastAsiaTheme="minorEastAsia" w:cstheme="minorEastAsia"/>
          <w:sz w:val="24"/>
          <w:szCs w:val="24"/>
        </w:rPr>
        <w:t>：填写本声明函时应详细阅读《关于政府采购支持监狱企业发展有关问题的通知》（财库〔2014〕68号），投标人不满足此要求则无须提供，一旦提供将视为满足其要求，如有虚假，将依法承担相应责任。</w:t>
      </w:r>
    </w:p>
    <w:p w14:paraId="530FA4B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435F701F">
      <w:pPr>
        <w:ind w:firstLine="0" w:firstLineChars="0"/>
        <w:jc w:val="center"/>
        <w:rPr>
          <w:rFonts w:cs="宋体"/>
          <w:b/>
          <w:kern w:val="44"/>
          <w:sz w:val="32"/>
          <w:szCs w:val="20"/>
        </w:rPr>
      </w:pPr>
      <w:r>
        <w:rPr>
          <w:rFonts w:hint="eastAsia" w:cs="宋体"/>
          <w:b/>
          <w:bCs/>
          <w:sz w:val="28"/>
          <w:szCs w:val="28"/>
        </w:rPr>
        <w:t>中小微企业划型标准</w:t>
      </w:r>
    </w:p>
    <w:tbl>
      <w:tblPr>
        <w:tblStyle w:val="42"/>
        <w:tblW w:w="10915" w:type="dxa"/>
        <w:jc w:val="center"/>
        <w:tblLayout w:type="fixed"/>
        <w:tblCellMar>
          <w:top w:w="0" w:type="dxa"/>
          <w:left w:w="108" w:type="dxa"/>
          <w:bottom w:w="0" w:type="dxa"/>
          <w:right w:w="108" w:type="dxa"/>
        </w:tblCellMar>
      </w:tblPr>
      <w:tblGrid>
        <w:gridCol w:w="3671"/>
        <w:gridCol w:w="1452"/>
        <w:gridCol w:w="1159"/>
        <w:gridCol w:w="1878"/>
        <w:gridCol w:w="1707"/>
        <w:gridCol w:w="1048"/>
      </w:tblGrid>
      <w:tr w14:paraId="6C835E8E">
        <w:tblPrEx>
          <w:tblCellMar>
            <w:top w:w="0" w:type="dxa"/>
            <w:left w:w="108" w:type="dxa"/>
            <w:bottom w:w="0" w:type="dxa"/>
            <w:right w:w="108" w:type="dxa"/>
          </w:tblCellMar>
        </w:tblPrEx>
        <w:trPr>
          <w:trHeight w:val="362" w:hRule="atLeast"/>
          <w:jc w:val="center"/>
        </w:trPr>
        <w:tc>
          <w:tcPr>
            <w:tcW w:w="3671" w:type="dxa"/>
            <w:tcBorders>
              <w:top w:val="single" w:color="auto" w:sz="4" w:space="0"/>
              <w:left w:val="single" w:color="auto" w:sz="4" w:space="0"/>
              <w:bottom w:val="single" w:color="auto" w:sz="4" w:space="0"/>
              <w:right w:val="single" w:color="auto" w:sz="4" w:space="0"/>
            </w:tcBorders>
            <w:vAlign w:val="center"/>
          </w:tcPr>
          <w:p w14:paraId="0EDFC241">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行业名称</w:t>
            </w:r>
          </w:p>
        </w:tc>
        <w:tc>
          <w:tcPr>
            <w:tcW w:w="1452" w:type="dxa"/>
            <w:tcBorders>
              <w:top w:val="single" w:color="auto" w:sz="4" w:space="0"/>
              <w:left w:val="nil"/>
              <w:bottom w:val="single" w:color="auto" w:sz="4" w:space="0"/>
              <w:right w:val="single" w:color="auto" w:sz="4" w:space="0"/>
            </w:tcBorders>
            <w:vAlign w:val="center"/>
          </w:tcPr>
          <w:p w14:paraId="5C9C19BC">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指标名称</w:t>
            </w:r>
          </w:p>
        </w:tc>
        <w:tc>
          <w:tcPr>
            <w:tcW w:w="1159" w:type="dxa"/>
            <w:tcBorders>
              <w:top w:val="single" w:color="auto" w:sz="4" w:space="0"/>
              <w:left w:val="nil"/>
              <w:bottom w:val="single" w:color="auto" w:sz="4" w:space="0"/>
              <w:right w:val="single" w:color="auto" w:sz="4" w:space="0"/>
            </w:tcBorders>
            <w:vAlign w:val="center"/>
          </w:tcPr>
          <w:p w14:paraId="54D24FB2">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计量单位</w:t>
            </w:r>
          </w:p>
        </w:tc>
        <w:tc>
          <w:tcPr>
            <w:tcW w:w="1878" w:type="dxa"/>
            <w:tcBorders>
              <w:top w:val="single" w:color="auto" w:sz="4" w:space="0"/>
              <w:left w:val="nil"/>
              <w:bottom w:val="single" w:color="auto" w:sz="4" w:space="0"/>
              <w:right w:val="single" w:color="auto" w:sz="4" w:space="0"/>
            </w:tcBorders>
            <w:vAlign w:val="center"/>
          </w:tcPr>
          <w:p w14:paraId="7FACFEF7">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中型</w:t>
            </w:r>
          </w:p>
        </w:tc>
        <w:tc>
          <w:tcPr>
            <w:tcW w:w="1707" w:type="dxa"/>
            <w:tcBorders>
              <w:top w:val="single" w:color="auto" w:sz="4" w:space="0"/>
              <w:left w:val="nil"/>
              <w:bottom w:val="single" w:color="auto" w:sz="4" w:space="0"/>
              <w:right w:val="single" w:color="auto" w:sz="4" w:space="0"/>
            </w:tcBorders>
            <w:vAlign w:val="center"/>
          </w:tcPr>
          <w:p w14:paraId="0A8AF9EE">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小型</w:t>
            </w:r>
          </w:p>
        </w:tc>
        <w:tc>
          <w:tcPr>
            <w:tcW w:w="1048" w:type="dxa"/>
            <w:tcBorders>
              <w:top w:val="single" w:color="auto" w:sz="4" w:space="0"/>
              <w:left w:val="nil"/>
              <w:bottom w:val="single" w:color="auto" w:sz="4" w:space="0"/>
              <w:right w:val="single" w:color="auto" w:sz="4" w:space="0"/>
            </w:tcBorders>
            <w:vAlign w:val="center"/>
          </w:tcPr>
          <w:p w14:paraId="3B75A421">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微型</w:t>
            </w:r>
          </w:p>
        </w:tc>
      </w:tr>
      <w:tr w14:paraId="2B996AE3">
        <w:tblPrEx>
          <w:tblCellMar>
            <w:top w:w="0" w:type="dxa"/>
            <w:left w:w="108" w:type="dxa"/>
            <w:bottom w:w="0" w:type="dxa"/>
            <w:right w:w="108" w:type="dxa"/>
          </w:tblCellMar>
        </w:tblPrEx>
        <w:trPr>
          <w:trHeight w:val="90" w:hRule="atLeast"/>
          <w:jc w:val="center"/>
        </w:trPr>
        <w:tc>
          <w:tcPr>
            <w:tcW w:w="3671" w:type="dxa"/>
            <w:tcBorders>
              <w:top w:val="nil"/>
              <w:left w:val="single" w:color="auto" w:sz="4" w:space="0"/>
              <w:bottom w:val="single" w:color="auto" w:sz="4" w:space="0"/>
              <w:right w:val="single" w:color="auto" w:sz="4" w:space="0"/>
            </w:tcBorders>
            <w:vAlign w:val="center"/>
          </w:tcPr>
          <w:p w14:paraId="1AFC6DE6">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农、林、牧、渔</w:t>
            </w:r>
          </w:p>
        </w:tc>
        <w:tc>
          <w:tcPr>
            <w:tcW w:w="1452" w:type="dxa"/>
            <w:tcBorders>
              <w:top w:val="nil"/>
              <w:left w:val="nil"/>
              <w:bottom w:val="single" w:color="auto" w:sz="4" w:space="0"/>
              <w:right w:val="single" w:color="auto" w:sz="4" w:space="0"/>
            </w:tcBorders>
            <w:vAlign w:val="center"/>
          </w:tcPr>
          <w:p w14:paraId="69FFD6D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32C559B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0C8A769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500≤Y＜20000</w:t>
            </w:r>
          </w:p>
        </w:tc>
        <w:tc>
          <w:tcPr>
            <w:tcW w:w="1707" w:type="dxa"/>
            <w:tcBorders>
              <w:top w:val="nil"/>
              <w:left w:val="nil"/>
              <w:bottom w:val="single" w:color="auto" w:sz="4" w:space="0"/>
              <w:right w:val="single" w:color="auto" w:sz="4" w:space="0"/>
            </w:tcBorders>
            <w:vAlign w:val="center"/>
          </w:tcPr>
          <w:p w14:paraId="2A12656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50≤Y＜500</w:t>
            </w:r>
          </w:p>
        </w:tc>
        <w:tc>
          <w:tcPr>
            <w:tcW w:w="1048" w:type="dxa"/>
            <w:tcBorders>
              <w:top w:val="nil"/>
              <w:left w:val="nil"/>
              <w:bottom w:val="single" w:color="auto" w:sz="4" w:space="0"/>
              <w:right w:val="single" w:color="auto" w:sz="4" w:space="0"/>
            </w:tcBorders>
            <w:vAlign w:val="center"/>
          </w:tcPr>
          <w:p w14:paraId="25AB495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Y＜50</w:t>
            </w:r>
          </w:p>
        </w:tc>
      </w:tr>
      <w:tr w14:paraId="63FBD5F0">
        <w:tblPrEx>
          <w:tblCellMar>
            <w:top w:w="0" w:type="dxa"/>
            <w:left w:w="108" w:type="dxa"/>
            <w:bottom w:w="0" w:type="dxa"/>
            <w:right w:w="108" w:type="dxa"/>
          </w:tblCellMar>
        </w:tblPrEx>
        <w:trPr>
          <w:trHeight w:val="295"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7ABBA1F4">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工业（包括采矿业，制造业，电力、热力、燃气及水生产和供应业）</w:t>
            </w:r>
          </w:p>
        </w:tc>
        <w:tc>
          <w:tcPr>
            <w:tcW w:w="1452" w:type="dxa"/>
            <w:tcBorders>
              <w:top w:val="nil"/>
              <w:left w:val="nil"/>
              <w:bottom w:val="single" w:color="auto" w:sz="4" w:space="0"/>
              <w:right w:val="single" w:color="auto" w:sz="4" w:space="0"/>
            </w:tcBorders>
            <w:vAlign w:val="center"/>
          </w:tcPr>
          <w:p w14:paraId="3499E73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6B5DEA8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5825ACB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6F6A6C9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20≤X＜300</w:t>
            </w:r>
          </w:p>
        </w:tc>
        <w:tc>
          <w:tcPr>
            <w:tcW w:w="1048" w:type="dxa"/>
            <w:tcBorders>
              <w:top w:val="nil"/>
              <w:left w:val="nil"/>
              <w:bottom w:val="single" w:color="auto" w:sz="4" w:space="0"/>
              <w:right w:val="single" w:color="auto" w:sz="4" w:space="0"/>
            </w:tcBorders>
            <w:vAlign w:val="center"/>
          </w:tcPr>
          <w:p w14:paraId="5226E90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7839A910">
        <w:tblPrEx>
          <w:tblCellMar>
            <w:top w:w="0" w:type="dxa"/>
            <w:left w:w="108" w:type="dxa"/>
            <w:bottom w:w="0" w:type="dxa"/>
            <w:right w:w="108" w:type="dxa"/>
          </w:tblCellMar>
        </w:tblPrEx>
        <w:trPr>
          <w:trHeight w:val="112"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6DF3941B">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7424663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4FC8D27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1CC9E13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2000≤Y＜40000</w:t>
            </w:r>
          </w:p>
        </w:tc>
        <w:tc>
          <w:tcPr>
            <w:tcW w:w="1707" w:type="dxa"/>
            <w:tcBorders>
              <w:top w:val="nil"/>
              <w:left w:val="nil"/>
              <w:bottom w:val="single" w:color="auto" w:sz="4" w:space="0"/>
              <w:right w:val="single" w:color="auto" w:sz="4" w:space="0"/>
            </w:tcBorders>
            <w:vAlign w:val="center"/>
          </w:tcPr>
          <w:p w14:paraId="4859484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300≤Y＜2000</w:t>
            </w:r>
          </w:p>
        </w:tc>
        <w:tc>
          <w:tcPr>
            <w:tcW w:w="1048" w:type="dxa"/>
            <w:tcBorders>
              <w:top w:val="nil"/>
              <w:left w:val="nil"/>
              <w:bottom w:val="single" w:color="auto" w:sz="4" w:space="0"/>
              <w:right w:val="single" w:color="auto" w:sz="4" w:space="0"/>
            </w:tcBorders>
            <w:vAlign w:val="center"/>
          </w:tcPr>
          <w:p w14:paraId="2B676D3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Y＜300</w:t>
            </w:r>
          </w:p>
        </w:tc>
      </w:tr>
      <w:tr w14:paraId="77F667BF">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32A38D08">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建筑业</w:t>
            </w:r>
          </w:p>
        </w:tc>
        <w:tc>
          <w:tcPr>
            <w:tcW w:w="1452" w:type="dxa"/>
            <w:tcBorders>
              <w:top w:val="nil"/>
              <w:left w:val="nil"/>
              <w:bottom w:val="single" w:color="auto" w:sz="4" w:space="0"/>
              <w:right w:val="single" w:color="auto" w:sz="4" w:space="0"/>
            </w:tcBorders>
            <w:vAlign w:val="center"/>
          </w:tcPr>
          <w:p w14:paraId="2AC0A32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63D317D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23F29EB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6000≤Y＜80000</w:t>
            </w:r>
          </w:p>
        </w:tc>
        <w:tc>
          <w:tcPr>
            <w:tcW w:w="1707" w:type="dxa"/>
            <w:tcBorders>
              <w:top w:val="nil"/>
              <w:left w:val="nil"/>
              <w:bottom w:val="single" w:color="auto" w:sz="4" w:space="0"/>
              <w:right w:val="single" w:color="auto" w:sz="4" w:space="0"/>
            </w:tcBorders>
            <w:vAlign w:val="center"/>
          </w:tcPr>
          <w:p w14:paraId="547E28E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300≤Y＜6000</w:t>
            </w:r>
          </w:p>
        </w:tc>
        <w:tc>
          <w:tcPr>
            <w:tcW w:w="1048" w:type="dxa"/>
            <w:tcBorders>
              <w:top w:val="nil"/>
              <w:left w:val="nil"/>
              <w:bottom w:val="single" w:color="auto" w:sz="4" w:space="0"/>
              <w:right w:val="single" w:color="auto" w:sz="4" w:space="0"/>
            </w:tcBorders>
            <w:vAlign w:val="center"/>
          </w:tcPr>
          <w:p w14:paraId="3620794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Y＜300</w:t>
            </w:r>
          </w:p>
        </w:tc>
      </w:tr>
      <w:tr w14:paraId="2204BFF0">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6C7F062E">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47B9C05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资产总额（Z）</w:t>
            </w:r>
          </w:p>
        </w:tc>
        <w:tc>
          <w:tcPr>
            <w:tcW w:w="1159" w:type="dxa"/>
            <w:tcBorders>
              <w:top w:val="nil"/>
              <w:left w:val="nil"/>
              <w:bottom w:val="single" w:color="auto" w:sz="4" w:space="0"/>
              <w:right w:val="single" w:color="auto" w:sz="4" w:space="0"/>
            </w:tcBorders>
            <w:vAlign w:val="center"/>
          </w:tcPr>
          <w:p w14:paraId="05FD96C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4C5A130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5000≤Z＜80000</w:t>
            </w:r>
          </w:p>
        </w:tc>
        <w:tc>
          <w:tcPr>
            <w:tcW w:w="1707" w:type="dxa"/>
            <w:tcBorders>
              <w:top w:val="nil"/>
              <w:left w:val="nil"/>
              <w:bottom w:val="single" w:color="auto" w:sz="4" w:space="0"/>
              <w:right w:val="single" w:color="auto" w:sz="4" w:space="0"/>
            </w:tcBorders>
            <w:vAlign w:val="center"/>
          </w:tcPr>
          <w:p w14:paraId="00BAB5F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300≤Z＜5000</w:t>
            </w:r>
          </w:p>
        </w:tc>
        <w:tc>
          <w:tcPr>
            <w:tcW w:w="1048" w:type="dxa"/>
            <w:tcBorders>
              <w:top w:val="nil"/>
              <w:left w:val="nil"/>
              <w:bottom w:val="single" w:color="auto" w:sz="4" w:space="0"/>
              <w:right w:val="single" w:color="auto" w:sz="4" w:space="0"/>
            </w:tcBorders>
            <w:vAlign w:val="center"/>
          </w:tcPr>
          <w:p w14:paraId="4D623F5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Z＜300</w:t>
            </w:r>
          </w:p>
        </w:tc>
      </w:tr>
      <w:tr w14:paraId="433E2DF1">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47A608E">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批发业</w:t>
            </w:r>
          </w:p>
        </w:tc>
        <w:tc>
          <w:tcPr>
            <w:tcW w:w="1452" w:type="dxa"/>
            <w:tcBorders>
              <w:top w:val="nil"/>
              <w:left w:val="nil"/>
              <w:bottom w:val="single" w:color="auto" w:sz="4" w:space="0"/>
              <w:right w:val="single" w:color="auto" w:sz="4" w:space="0"/>
            </w:tcBorders>
            <w:vAlign w:val="center"/>
          </w:tcPr>
          <w:p w14:paraId="3BF99FE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496731A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7533D1D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20≤X＜200</w:t>
            </w:r>
          </w:p>
        </w:tc>
        <w:tc>
          <w:tcPr>
            <w:tcW w:w="1707" w:type="dxa"/>
            <w:tcBorders>
              <w:top w:val="nil"/>
              <w:left w:val="nil"/>
              <w:bottom w:val="single" w:color="auto" w:sz="4" w:space="0"/>
              <w:right w:val="single" w:color="auto" w:sz="4" w:space="0"/>
            </w:tcBorders>
            <w:vAlign w:val="center"/>
          </w:tcPr>
          <w:p w14:paraId="1D32EF1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5≤X＜20</w:t>
            </w:r>
          </w:p>
        </w:tc>
        <w:tc>
          <w:tcPr>
            <w:tcW w:w="1048" w:type="dxa"/>
            <w:tcBorders>
              <w:top w:val="nil"/>
              <w:left w:val="nil"/>
              <w:bottom w:val="single" w:color="auto" w:sz="4" w:space="0"/>
              <w:right w:val="single" w:color="auto" w:sz="4" w:space="0"/>
            </w:tcBorders>
            <w:vAlign w:val="center"/>
          </w:tcPr>
          <w:p w14:paraId="77F99FE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X＜5</w:t>
            </w:r>
          </w:p>
        </w:tc>
      </w:tr>
      <w:tr w14:paraId="305ADEAE">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4BE9638C">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0B73747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4F407EE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2E4211D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5000≤Y＜40000</w:t>
            </w:r>
          </w:p>
        </w:tc>
        <w:tc>
          <w:tcPr>
            <w:tcW w:w="1707" w:type="dxa"/>
            <w:tcBorders>
              <w:top w:val="nil"/>
              <w:left w:val="nil"/>
              <w:bottom w:val="single" w:color="auto" w:sz="4" w:space="0"/>
              <w:right w:val="single" w:color="auto" w:sz="4" w:space="0"/>
            </w:tcBorders>
            <w:vAlign w:val="center"/>
          </w:tcPr>
          <w:p w14:paraId="68E1257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1000≤Y＜5000</w:t>
            </w:r>
          </w:p>
        </w:tc>
        <w:tc>
          <w:tcPr>
            <w:tcW w:w="1048" w:type="dxa"/>
            <w:tcBorders>
              <w:top w:val="nil"/>
              <w:left w:val="nil"/>
              <w:bottom w:val="single" w:color="auto" w:sz="4" w:space="0"/>
              <w:right w:val="single" w:color="auto" w:sz="4" w:space="0"/>
            </w:tcBorders>
            <w:vAlign w:val="center"/>
          </w:tcPr>
          <w:p w14:paraId="7F5175E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Y＜1000</w:t>
            </w:r>
          </w:p>
        </w:tc>
      </w:tr>
      <w:tr w14:paraId="1C5B741D">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39BBC4E9">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零售业</w:t>
            </w:r>
          </w:p>
        </w:tc>
        <w:tc>
          <w:tcPr>
            <w:tcW w:w="1452" w:type="dxa"/>
            <w:tcBorders>
              <w:top w:val="nil"/>
              <w:left w:val="nil"/>
              <w:bottom w:val="single" w:color="auto" w:sz="4" w:space="0"/>
              <w:right w:val="single" w:color="auto" w:sz="4" w:space="0"/>
            </w:tcBorders>
            <w:vAlign w:val="center"/>
          </w:tcPr>
          <w:p w14:paraId="7A765C5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1F01328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4137997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50≤X＜300</w:t>
            </w:r>
          </w:p>
        </w:tc>
        <w:tc>
          <w:tcPr>
            <w:tcW w:w="1707" w:type="dxa"/>
            <w:tcBorders>
              <w:top w:val="nil"/>
              <w:left w:val="nil"/>
              <w:bottom w:val="single" w:color="auto" w:sz="4" w:space="0"/>
              <w:right w:val="single" w:color="auto" w:sz="4" w:space="0"/>
            </w:tcBorders>
            <w:vAlign w:val="center"/>
          </w:tcPr>
          <w:p w14:paraId="7ED392B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10≤X＜50</w:t>
            </w:r>
          </w:p>
        </w:tc>
        <w:tc>
          <w:tcPr>
            <w:tcW w:w="1048" w:type="dxa"/>
            <w:tcBorders>
              <w:top w:val="nil"/>
              <w:left w:val="nil"/>
              <w:bottom w:val="single" w:color="auto" w:sz="4" w:space="0"/>
              <w:right w:val="single" w:color="auto" w:sz="4" w:space="0"/>
            </w:tcBorders>
            <w:vAlign w:val="center"/>
          </w:tcPr>
          <w:p w14:paraId="6DC46BF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27052BC1">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771242B3">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78376C0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724E7A9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3494C9A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500≤Y＜20000</w:t>
            </w:r>
          </w:p>
        </w:tc>
        <w:tc>
          <w:tcPr>
            <w:tcW w:w="1707" w:type="dxa"/>
            <w:tcBorders>
              <w:top w:val="nil"/>
              <w:left w:val="nil"/>
              <w:bottom w:val="single" w:color="auto" w:sz="4" w:space="0"/>
              <w:right w:val="single" w:color="auto" w:sz="4" w:space="0"/>
            </w:tcBorders>
            <w:vAlign w:val="center"/>
          </w:tcPr>
          <w:p w14:paraId="3288BF2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100≤Y＜500</w:t>
            </w:r>
          </w:p>
        </w:tc>
        <w:tc>
          <w:tcPr>
            <w:tcW w:w="1048" w:type="dxa"/>
            <w:tcBorders>
              <w:top w:val="nil"/>
              <w:left w:val="nil"/>
              <w:bottom w:val="single" w:color="auto" w:sz="4" w:space="0"/>
              <w:right w:val="single" w:color="auto" w:sz="4" w:space="0"/>
            </w:tcBorders>
            <w:vAlign w:val="center"/>
          </w:tcPr>
          <w:p w14:paraId="44AF12E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64DAB49C">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2DEF408A">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交通运输业（不含铁路运输业）</w:t>
            </w:r>
          </w:p>
        </w:tc>
        <w:tc>
          <w:tcPr>
            <w:tcW w:w="1452" w:type="dxa"/>
            <w:tcBorders>
              <w:top w:val="nil"/>
              <w:left w:val="nil"/>
              <w:bottom w:val="single" w:color="auto" w:sz="4" w:space="0"/>
              <w:right w:val="single" w:color="auto" w:sz="4" w:space="0"/>
            </w:tcBorders>
            <w:vAlign w:val="center"/>
          </w:tcPr>
          <w:p w14:paraId="7B78B05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15B348F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3AB37AE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2D482B8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20≤X＜300</w:t>
            </w:r>
          </w:p>
        </w:tc>
        <w:tc>
          <w:tcPr>
            <w:tcW w:w="1048" w:type="dxa"/>
            <w:tcBorders>
              <w:top w:val="nil"/>
              <w:left w:val="nil"/>
              <w:bottom w:val="single" w:color="auto" w:sz="4" w:space="0"/>
              <w:right w:val="single" w:color="auto" w:sz="4" w:space="0"/>
            </w:tcBorders>
            <w:vAlign w:val="center"/>
          </w:tcPr>
          <w:p w14:paraId="53DF619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20873A2D">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54146839">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60C8433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632F0FB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4348FDB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3000≤Y＜30000</w:t>
            </w:r>
          </w:p>
        </w:tc>
        <w:tc>
          <w:tcPr>
            <w:tcW w:w="1707" w:type="dxa"/>
            <w:tcBorders>
              <w:top w:val="nil"/>
              <w:left w:val="nil"/>
              <w:bottom w:val="single" w:color="auto" w:sz="4" w:space="0"/>
              <w:right w:val="single" w:color="auto" w:sz="4" w:space="0"/>
            </w:tcBorders>
            <w:vAlign w:val="center"/>
          </w:tcPr>
          <w:p w14:paraId="465C05F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200≤Y＜3000</w:t>
            </w:r>
          </w:p>
        </w:tc>
        <w:tc>
          <w:tcPr>
            <w:tcW w:w="1048" w:type="dxa"/>
            <w:tcBorders>
              <w:top w:val="nil"/>
              <w:left w:val="nil"/>
              <w:bottom w:val="single" w:color="auto" w:sz="4" w:space="0"/>
              <w:right w:val="single" w:color="auto" w:sz="4" w:space="0"/>
            </w:tcBorders>
            <w:vAlign w:val="center"/>
          </w:tcPr>
          <w:p w14:paraId="0FC9D98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Y＜200</w:t>
            </w:r>
          </w:p>
        </w:tc>
      </w:tr>
      <w:tr w14:paraId="0BCAB066">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12769D47">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仓储业</w:t>
            </w:r>
          </w:p>
        </w:tc>
        <w:tc>
          <w:tcPr>
            <w:tcW w:w="1452" w:type="dxa"/>
            <w:tcBorders>
              <w:top w:val="nil"/>
              <w:left w:val="nil"/>
              <w:bottom w:val="single" w:color="auto" w:sz="4" w:space="0"/>
              <w:right w:val="single" w:color="auto" w:sz="4" w:space="0"/>
            </w:tcBorders>
            <w:vAlign w:val="center"/>
          </w:tcPr>
          <w:p w14:paraId="3CFB9ED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07C8881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4E97278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100≤X＜200</w:t>
            </w:r>
          </w:p>
        </w:tc>
        <w:tc>
          <w:tcPr>
            <w:tcW w:w="1707" w:type="dxa"/>
            <w:tcBorders>
              <w:top w:val="nil"/>
              <w:left w:val="nil"/>
              <w:bottom w:val="single" w:color="auto" w:sz="4" w:space="0"/>
              <w:right w:val="single" w:color="auto" w:sz="4" w:space="0"/>
            </w:tcBorders>
            <w:vAlign w:val="center"/>
          </w:tcPr>
          <w:p w14:paraId="0E2FA64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20≤X＜100</w:t>
            </w:r>
          </w:p>
        </w:tc>
        <w:tc>
          <w:tcPr>
            <w:tcW w:w="1048" w:type="dxa"/>
            <w:tcBorders>
              <w:top w:val="nil"/>
              <w:left w:val="nil"/>
              <w:bottom w:val="single" w:color="auto" w:sz="4" w:space="0"/>
              <w:right w:val="single" w:color="auto" w:sz="4" w:space="0"/>
            </w:tcBorders>
            <w:vAlign w:val="center"/>
          </w:tcPr>
          <w:p w14:paraId="6BDA600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2BADE94F">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5F8E6A22">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56940CA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7D5D62E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0267C7E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1000≤Y＜30000</w:t>
            </w:r>
          </w:p>
        </w:tc>
        <w:tc>
          <w:tcPr>
            <w:tcW w:w="1707" w:type="dxa"/>
            <w:tcBorders>
              <w:top w:val="nil"/>
              <w:left w:val="nil"/>
              <w:bottom w:val="single" w:color="auto" w:sz="4" w:space="0"/>
              <w:right w:val="single" w:color="auto" w:sz="4" w:space="0"/>
            </w:tcBorders>
            <w:vAlign w:val="center"/>
          </w:tcPr>
          <w:p w14:paraId="6B6B4A4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100≤Y＜1000</w:t>
            </w:r>
          </w:p>
        </w:tc>
        <w:tc>
          <w:tcPr>
            <w:tcW w:w="1048" w:type="dxa"/>
            <w:tcBorders>
              <w:top w:val="nil"/>
              <w:left w:val="nil"/>
              <w:bottom w:val="single" w:color="auto" w:sz="4" w:space="0"/>
              <w:right w:val="single" w:color="auto" w:sz="4" w:space="0"/>
            </w:tcBorders>
            <w:vAlign w:val="center"/>
          </w:tcPr>
          <w:p w14:paraId="0B54AB7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4F354529">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6295CBC8">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邮政业</w:t>
            </w:r>
          </w:p>
        </w:tc>
        <w:tc>
          <w:tcPr>
            <w:tcW w:w="1452" w:type="dxa"/>
            <w:tcBorders>
              <w:top w:val="nil"/>
              <w:left w:val="nil"/>
              <w:bottom w:val="single" w:color="auto" w:sz="4" w:space="0"/>
              <w:right w:val="single" w:color="auto" w:sz="4" w:space="0"/>
            </w:tcBorders>
            <w:vAlign w:val="center"/>
          </w:tcPr>
          <w:p w14:paraId="7AFFD08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780F5C9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7E4BC99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2EAB6D7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20≤X＜300</w:t>
            </w:r>
          </w:p>
        </w:tc>
        <w:tc>
          <w:tcPr>
            <w:tcW w:w="1048" w:type="dxa"/>
            <w:tcBorders>
              <w:top w:val="nil"/>
              <w:left w:val="nil"/>
              <w:bottom w:val="single" w:color="auto" w:sz="4" w:space="0"/>
              <w:right w:val="single" w:color="auto" w:sz="4" w:space="0"/>
            </w:tcBorders>
            <w:vAlign w:val="center"/>
          </w:tcPr>
          <w:p w14:paraId="46967B6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20EDE893">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6E661FEE">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09D7F43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6BC61FF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353EF45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2000≤Y＜30000</w:t>
            </w:r>
          </w:p>
        </w:tc>
        <w:tc>
          <w:tcPr>
            <w:tcW w:w="1707" w:type="dxa"/>
            <w:tcBorders>
              <w:top w:val="nil"/>
              <w:left w:val="nil"/>
              <w:bottom w:val="single" w:color="auto" w:sz="4" w:space="0"/>
              <w:right w:val="single" w:color="auto" w:sz="4" w:space="0"/>
            </w:tcBorders>
            <w:vAlign w:val="center"/>
          </w:tcPr>
          <w:p w14:paraId="6BE4801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100≤Y＜2000</w:t>
            </w:r>
          </w:p>
        </w:tc>
        <w:tc>
          <w:tcPr>
            <w:tcW w:w="1048" w:type="dxa"/>
            <w:tcBorders>
              <w:top w:val="nil"/>
              <w:left w:val="nil"/>
              <w:bottom w:val="single" w:color="auto" w:sz="4" w:space="0"/>
              <w:right w:val="single" w:color="auto" w:sz="4" w:space="0"/>
            </w:tcBorders>
            <w:vAlign w:val="center"/>
          </w:tcPr>
          <w:p w14:paraId="5E5F026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0F76031A">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6F54925D">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住宿业</w:t>
            </w:r>
          </w:p>
        </w:tc>
        <w:tc>
          <w:tcPr>
            <w:tcW w:w="1452" w:type="dxa"/>
            <w:tcBorders>
              <w:top w:val="nil"/>
              <w:left w:val="nil"/>
              <w:bottom w:val="single" w:color="auto" w:sz="4" w:space="0"/>
              <w:right w:val="single" w:color="auto" w:sz="4" w:space="0"/>
            </w:tcBorders>
            <w:vAlign w:val="center"/>
          </w:tcPr>
          <w:p w14:paraId="0228619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027B3AC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33A8406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71E68D6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0F72E3D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73D1BAF7">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042CABDE">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2447503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724D733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08367DC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2000≤Y＜10000</w:t>
            </w:r>
          </w:p>
        </w:tc>
        <w:tc>
          <w:tcPr>
            <w:tcW w:w="1707" w:type="dxa"/>
            <w:tcBorders>
              <w:top w:val="nil"/>
              <w:left w:val="nil"/>
              <w:bottom w:val="single" w:color="auto" w:sz="4" w:space="0"/>
              <w:right w:val="single" w:color="auto" w:sz="4" w:space="0"/>
            </w:tcBorders>
            <w:vAlign w:val="center"/>
          </w:tcPr>
          <w:p w14:paraId="6D1B4EA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100≤Y＜2000</w:t>
            </w:r>
          </w:p>
        </w:tc>
        <w:tc>
          <w:tcPr>
            <w:tcW w:w="1048" w:type="dxa"/>
            <w:tcBorders>
              <w:top w:val="nil"/>
              <w:left w:val="nil"/>
              <w:bottom w:val="single" w:color="auto" w:sz="4" w:space="0"/>
              <w:right w:val="single" w:color="auto" w:sz="4" w:space="0"/>
            </w:tcBorders>
            <w:vAlign w:val="center"/>
          </w:tcPr>
          <w:p w14:paraId="4ABE533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7EE3F23B">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27AE6537">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餐饮业</w:t>
            </w:r>
          </w:p>
        </w:tc>
        <w:tc>
          <w:tcPr>
            <w:tcW w:w="1452" w:type="dxa"/>
            <w:tcBorders>
              <w:top w:val="nil"/>
              <w:left w:val="nil"/>
              <w:bottom w:val="single" w:color="auto" w:sz="4" w:space="0"/>
              <w:right w:val="single" w:color="auto" w:sz="4" w:space="0"/>
            </w:tcBorders>
            <w:vAlign w:val="center"/>
          </w:tcPr>
          <w:p w14:paraId="5182961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5474834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3F1B065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6BB78CF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0A43D1B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615A3E1B">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5A64D693">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38F1C16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606E5BA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5CC652B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2000≤Y＜10000</w:t>
            </w:r>
          </w:p>
        </w:tc>
        <w:tc>
          <w:tcPr>
            <w:tcW w:w="1707" w:type="dxa"/>
            <w:tcBorders>
              <w:top w:val="nil"/>
              <w:left w:val="nil"/>
              <w:bottom w:val="single" w:color="auto" w:sz="4" w:space="0"/>
              <w:right w:val="single" w:color="auto" w:sz="4" w:space="0"/>
            </w:tcBorders>
            <w:vAlign w:val="center"/>
          </w:tcPr>
          <w:p w14:paraId="7D626C8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100≤Y＜2000</w:t>
            </w:r>
          </w:p>
        </w:tc>
        <w:tc>
          <w:tcPr>
            <w:tcW w:w="1048" w:type="dxa"/>
            <w:tcBorders>
              <w:top w:val="nil"/>
              <w:left w:val="nil"/>
              <w:bottom w:val="single" w:color="auto" w:sz="4" w:space="0"/>
              <w:right w:val="single" w:color="auto" w:sz="4" w:space="0"/>
            </w:tcBorders>
            <w:vAlign w:val="center"/>
          </w:tcPr>
          <w:p w14:paraId="4CD66DC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61C0C2F4">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0733152">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信息传输业（包括电信、互联网和相关服务）</w:t>
            </w:r>
          </w:p>
        </w:tc>
        <w:tc>
          <w:tcPr>
            <w:tcW w:w="1452" w:type="dxa"/>
            <w:tcBorders>
              <w:top w:val="nil"/>
              <w:left w:val="nil"/>
              <w:bottom w:val="single" w:color="auto" w:sz="4" w:space="0"/>
              <w:right w:val="single" w:color="auto" w:sz="4" w:space="0"/>
            </w:tcBorders>
            <w:vAlign w:val="center"/>
          </w:tcPr>
          <w:p w14:paraId="22AD115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661C800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0AE6C75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100≤X＜2000</w:t>
            </w:r>
          </w:p>
        </w:tc>
        <w:tc>
          <w:tcPr>
            <w:tcW w:w="1707" w:type="dxa"/>
            <w:tcBorders>
              <w:top w:val="nil"/>
              <w:left w:val="nil"/>
              <w:bottom w:val="single" w:color="auto" w:sz="4" w:space="0"/>
              <w:right w:val="single" w:color="auto" w:sz="4" w:space="0"/>
            </w:tcBorders>
            <w:vAlign w:val="center"/>
          </w:tcPr>
          <w:p w14:paraId="756F88E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11AC995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2992A8C7">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149B216C">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1013357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7A1363D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7D3529D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1000≤Y＜100000</w:t>
            </w:r>
          </w:p>
        </w:tc>
        <w:tc>
          <w:tcPr>
            <w:tcW w:w="1707" w:type="dxa"/>
            <w:tcBorders>
              <w:top w:val="nil"/>
              <w:left w:val="nil"/>
              <w:bottom w:val="single" w:color="auto" w:sz="4" w:space="0"/>
              <w:right w:val="single" w:color="auto" w:sz="4" w:space="0"/>
            </w:tcBorders>
            <w:vAlign w:val="center"/>
          </w:tcPr>
          <w:p w14:paraId="77E3598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100≤Y＜1000</w:t>
            </w:r>
          </w:p>
        </w:tc>
        <w:tc>
          <w:tcPr>
            <w:tcW w:w="1048" w:type="dxa"/>
            <w:tcBorders>
              <w:top w:val="nil"/>
              <w:left w:val="nil"/>
              <w:bottom w:val="single" w:color="auto" w:sz="4" w:space="0"/>
              <w:right w:val="single" w:color="auto" w:sz="4" w:space="0"/>
            </w:tcBorders>
            <w:vAlign w:val="center"/>
          </w:tcPr>
          <w:p w14:paraId="22A9B81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1BB27892">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76A2ECE5">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软件和信息技术服务业</w:t>
            </w:r>
          </w:p>
        </w:tc>
        <w:tc>
          <w:tcPr>
            <w:tcW w:w="1452" w:type="dxa"/>
            <w:tcBorders>
              <w:top w:val="nil"/>
              <w:left w:val="nil"/>
              <w:bottom w:val="single" w:color="auto" w:sz="4" w:space="0"/>
              <w:right w:val="single" w:color="auto" w:sz="4" w:space="0"/>
            </w:tcBorders>
            <w:vAlign w:val="center"/>
          </w:tcPr>
          <w:p w14:paraId="323589D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169BBA3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0853AE9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04910DC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774866A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724CC729">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428CDBE5">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5315C2A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7D57D20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1AFA3EE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1000≤Y＜10000</w:t>
            </w:r>
          </w:p>
        </w:tc>
        <w:tc>
          <w:tcPr>
            <w:tcW w:w="1707" w:type="dxa"/>
            <w:tcBorders>
              <w:top w:val="nil"/>
              <w:left w:val="nil"/>
              <w:bottom w:val="single" w:color="auto" w:sz="4" w:space="0"/>
              <w:right w:val="single" w:color="auto" w:sz="4" w:space="0"/>
            </w:tcBorders>
            <w:vAlign w:val="center"/>
          </w:tcPr>
          <w:p w14:paraId="5FB5E6C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50≤Y＜1000</w:t>
            </w:r>
          </w:p>
        </w:tc>
        <w:tc>
          <w:tcPr>
            <w:tcW w:w="1048" w:type="dxa"/>
            <w:tcBorders>
              <w:top w:val="nil"/>
              <w:left w:val="nil"/>
              <w:bottom w:val="single" w:color="auto" w:sz="4" w:space="0"/>
              <w:right w:val="single" w:color="auto" w:sz="4" w:space="0"/>
            </w:tcBorders>
            <w:vAlign w:val="center"/>
          </w:tcPr>
          <w:p w14:paraId="050AC47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Y＜50</w:t>
            </w:r>
          </w:p>
        </w:tc>
      </w:tr>
      <w:tr w14:paraId="64757ACD">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0ED6D2CD">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房地产开发经营</w:t>
            </w:r>
          </w:p>
        </w:tc>
        <w:tc>
          <w:tcPr>
            <w:tcW w:w="1452" w:type="dxa"/>
            <w:tcBorders>
              <w:top w:val="nil"/>
              <w:left w:val="nil"/>
              <w:bottom w:val="single" w:color="auto" w:sz="4" w:space="0"/>
              <w:right w:val="single" w:color="auto" w:sz="4" w:space="0"/>
            </w:tcBorders>
            <w:vAlign w:val="center"/>
          </w:tcPr>
          <w:p w14:paraId="374B29C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1F47E81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349913C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1000≤Y＜200000</w:t>
            </w:r>
          </w:p>
        </w:tc>
        <w:tc>
          <w:tcPr>
            <w:tcW w:w="1707" w:type="dxa"/>
            <w:tcBorders>
              <w:top w:val="nil"/>
              <w:left w:val="nil"/>
              <w:bottom w:val="single" w:color="auto" w:sz="4" w:space="0"/>
              <w:right w:val="single" w:color="auto" w:sz="4" w:space="0"/>
            </w:tcBorders>
            <w:vAlign w:val="center"/>
          </w:tcPr>
          <w:p w14:paraId="0749AA8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100≤X＜1000</w:t>
            </w:r>
          </w:p>
        </w:tc>
        <w:tc>
          <w:tcPr>
            <w:tcW w:w="1048" w:type="dxa"/>
            <w:tcBorders>
              <w:top w:val="nil"/>
              <w:left w:val="nil"/>
              <w:bottom w:val="single" w:color="auto" w:sz="4" w:space="0"/>
              <w:right w:val="single" w:color="auto" w:sz="4" w:space="0"/>
            </w:tcBorders>
            <w:vAlign w:val="center"/>
          </w:tcPr>
          <w:p w14:paraId="668A84E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X＜100</w:t>
            </w:r>
          </w:p>
        </w:tc>
      </w:tr>
      <w:tr w14:paraId="5DC77CCE">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3D59A90C">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7EC13DD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资产总额（Z）</w:t>
            </w:r>
          </w:p>
        </w:tc>
        <w:tc>
          <w:tcPr>
            <w:tcW w:w="1159" w:type="dxa"/>
            <w:tcBorders>
              <w:top w:val="nil"/>
              <w:left w:val="nil"/>
              <w:bottom w:val="single" w:color="auto" w:sz="4" w:space="0"/>
              <w:right w:val="single" w:color="auto" w:sz="4" w:space="0"/>
            </w:tcBorders>
            <w:vAlign w:val="center"/>
          </w:tcPr>
          <w:p w14:paraId="331B53B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52A6F9C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5000≤Z＜10000</w:t>
            </w:r>
          </w:p>
        </w:tc>
        <w:tc>
          <w:tcPr>
            <w:tcW w:w="1707" w:type="dxa"/>
            <w:tcBorders>
              <w:top w:val="nil"/>
              <w:left w:val="nil"/>
              <w:bottom w:val="single" w:color="auto" w:sz="4" w:space="0"/>
              <w:right w:val="single" w:color="auto" w:sz="4" w:space="0"/>
            </w:tcBorders>
            <w:vAlign w:val="center"/>
          </w:tcPr>
          <w:p w14:paraId="51412F6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2000≤Y＜5000</w:t>
            </w:r>
          </w:p>
        </w:tc>
        <w:tc>
          <w:tcPr>
            <w:tcW w:w="1048" w:type="dxa"/>
            <w:tcBorders>
              <w:top w:val="nil"/>
              <w:left w:val="nil"/>
              <w:bottom w:val="single" w:color="auto" w:sz="4" w:space="0"/>
              <w:right w:val="single" w:color="auto" w:sz="4" w:space="0"/>
            </w:tcBorders>
            <w:vAlign w:val="center"/>
          </w:tcPr>
          <w:p w14:paraId="5A544A9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Y＜2000</w:t>
            </w:r>
          </w:p>
        </w:tc>
      </w:tr>
      <w:tr w14:paraId="01FA43C5">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8E747BB">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物业管理</w:t>
            </w:r>
          </w:p>
        </w:tc>
        <w:tc>
          <w:tcPr>
            <w:tcW w:w="1452" w:type="dxa"/>
            <w:tcBorders>
              <w:top w:val="nil"/>
              <w:left w:val="nil"/>
              <w:bottom w:val="single" w:color="auto" w:sz="4" w:space="0"/>
              <w:right w:val="single" w:color="auto" w:sz="4" w:space="0"/>
            </w:tcBorders>
            <w:vAlign w:val="center"/>
          </w:tcPr>
          <w:p w14:paraId="7DDFEB0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227298D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2591F0C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3179E5D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048" w:type="dxa"/>
            <w:tcBorders>
              <w:top w:val="nil"/>
              <w:left w:val="nil"/>
              <w:bottom w:val="single" w:color="auto" w:sz="4" w:space="0"/>
              <w:right w:val="single" w:color="auto" w:sz="4" w:space="0"/>
            </w:tcBorders>
            <w:vAlign w:val="center"/>
          </w:tcPr>
          <w:p w14:paraId="484693F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X＜100</w:t>
            </w:r>
          </w:p>
        </w:tc>
      </w:tr>
      <w:tr w14:paraId="2BD2F093">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664F40B1">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2D30293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42AC560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192077F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1000≤Y＜5000</w:t>
            </w:r>
          </w:p>
        </w:tc>
        <w:tc>
          <w:tcPr>
            <w:tcW w:w="1707" w:type="dxa"/>
            <w:tcBorders>
              <w:top w:val="nil"/>
              <w:left w:val="nil"/>
              <w:bottom w:val="single" w:color="auto" w:sz="4" w:space="0"/>
              <w:right w:val="single" w:color="auto" w:sz="4" w:space="0"/>
            </w:tcBorders>
            <w:vAlign w:val="center"/>
          </w:tcPr>
          <w:p w14:paraId="2668266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500≤Y＜1000</w:t>
            </w:r>
          </w:p>
        </w:tc>
        <w:tc>
          <w:tcPr>
            <w:tcW w:w="1048" w:type="dxa"/>
            <w:tcBorders>
              <w:top w:val="nil"/>
              <w:left w:val="nil"/>
              <w:bottom w:val="single" w:color="auto" w:sz="4" w:space="0"/>
              <w:right w:val="single" w:color="auto" w:sz="4" w:space="0"/>
            </w:tcBorders>
            <w:vAlign w:val="center"/>
          </w:tcPr>
          <w:p w14:paraId="785A11B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Y＜500</w:t>
            </w:r>
          </w:p>
        </w:tc>
      </w:tr>
      <w:tr w14:paraId="447A7DA0">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7FB3AE87">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租赁和商务服务业</w:t>
            </w:r>
          </w:p>
        </w:tc>
        <w:tc>
          <w:tcPr>
            <w:tcW w:w="1452" w:type="dxa"/>
            <w:tcBorders>
              <w:top w:val="nil"/>
              <w:left w:val="nil"/>
              <w:bottom w:val="single" w:color="auto" w:sz="4" w:space="0"/>
              <w:right w:val="single" w:color="auto" w:sz="4" w:space="0"/>
            </w:tcBorders>
            <w:vAlign w:val="center"/>
          </w:tcPr>
          <w:p w14:paraId="5CA10BD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37FED2A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0CBA617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7F534F7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360A893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408C8A9A">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5EABAF8C">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1B9BF84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资产总额（Z）</w:t>
            </w:r>
          </w:p>
        </w:tc>
        <w:tc>
          <w:tcPr>
            <w:tcW w:w="1159" w:type="dxa"/>
            <w:tcBorders>
              <w:top w:val="nil"/>
              <w:left w:val="nil"/>
              <w:bottom w:val="single" w:color="auto" w:sz="4" w:space="0"/>
              <w:right w:val="single" w:color="auto" w:sz="4" w:space="0"/>
            </w:tcBorders>
            <w:vAlign w:val="center"/>
          </w:tcPr>
          <w:p w14:paraId="28FFA33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51ED988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8000≤Z＜120000</w:t>
            </w:r>
          </w:p>
        </w:tc>
        <w:tc>
          <w:tcPr>
            <w:tcW w:w="1707" w:type="dxa"/>
            <w:tcBorders>
              <w:top w:val="nil"/>
              <w:left w:val="nil"/>
              <w:bottom w:val="single" w:color="auto" w:sz="4" w:space="0"/>
              <w:right w:val="single" w:color="auto" w:sz="4" w:space="0"/>
            </w:tcBorders>
            <w:vAlign w:val="center"/>
          </w:tcPr>
          <w:p w14:paraId="0C513AE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100≤Z＜8000</w:t>
            </w:r>
          </w:p>
        </w:tc>
        <w:tc>
          <w:tcPr>
            <w:tcW w:w="1048" w:type="dxa"/>
            <w:tcBorders>
              <w:top w:val="nil"/>
              <w:left w:val="nil"/>
              <w:bottom w:val="single" w:color="auto" w:sz="4" w:space="0"/>
              <w:right w:val="single" w:color="auto" w:sz="4" w:space="0"/>
            </w:tcBorders>
            <w:vAlign w:val="center"/>
          </w:tcPr>
          <w:p w14:paraId="2D12951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2DF1DC26">
        <w:tblPrEx>
          <w:tblCellMar>
            <w:top w:w="0" w:type="dxa"/>
            <w:left w:w="108" w:type="dxa"/>
            <w:bottom w:w="0" w:type="dxa"/>
            <w:right w:w="108" w:type="dxa"/>
          </w:tblCellMar>
        </w:tblPrEx>
        <w:trPr>
          <w:trHeight w:val="756" w:hRule="atLeast"/>
          <w:jc w:val="center"/>
        </w:trPr>
        <w:tc>
          <w:tcPr>
            <w:tcW w:w="3671" w:type="dxa"/>
            <w:tcBorders>
              <w:top w:val="nil"/>
              <w:left w:val="single" w:color="auto" w:sz="4" w:space="0"/>
              <w:bottom w:val="single" w:color="auto" w:sz="4" w:space="0"/>
              <w:right w:val="single" w:color="auto" w:sz="4" w:space="0"/>
            </w:tcBorders>
            <w:vAlign w:val="center"/>
          </w:tcPr>
          <w:p w14:paraId="2437B620">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其他未列明行业（包括科学研究和技术服务业，水利、环境和公共设施管理业，居民服务、修理和其他服务业，社会工作，文化、体育和娱乐业等）</w:t>
            </w:r>
          </w:p>
        </w:tc>
        <w:tc>
          <w:tcPr>
            <w:tcW w:w="1452" w:type="dxa"/>
            <w:tcBorders>
              <w:top w:val="nil"/>
              <w:left w:val="nil"/>
              <w:bottom w:val="single" w:color="auto" w:sz="4" w:space="0"/>
              <w:right w:val="single" w:color="auto" w:sz="4" w:space="0"/>
            </w:tcBorders>
            <w:vAlign w:val="center"/>
          </w:tcPr>
          <w:p w14:paraId="02AA164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5387161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11A3DC5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284FCCE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7C95DEB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bl>
    <w:p w14:paraId="2E0318D1">
      <w:pPr>
        <w:spacing w:line="480" w:lineRule="auto"/>
        <w:ind w:firstLine="482" w:firstLineChars="200"/>
        <w:rPr>
          <w:rFonts w:hint="eastAsia" w:cs="宋体"/>
          <w:lang w:eastAsia="zh-CN"/>
        </w:rPr>
      </w:pPr>
      <w:r>
        <w:rPr>
          <w:rFonts w:hint="eastAsia" w:ascii="宋体" w:hAnsi="宋体" w:eastAsia="宋体" w:cs="宋体"/>
          <w:b/>
          <w:sz w:val="24"/>
          <w:szCs w:val="32"/>
          <w:lang w:eastAsia="zh-CN"/>
        </w:rPr>
        <w:t>说明：</w:t>
      </w:r>
      <w:r>
        <w:rPr>
          <w:rFonts w:hint="eastAsia" w:ascii="宋体" w:hAnsi="宋体" w:eastAsia="宋体" w:cs="宋体"/>
          <w:sz w:val="24"/>
          <w:szCs w:val="32"/>
          <w:lang w:eastAsia="zh-CN"/>
        </w:rPr>
        <w:t>上述标准参照《关于印发中小企业划型标准规定的通知》（工信部联企业[2011]300号），大型、中型和小型企业须同时满足所列指标的下限，否则下划一档；微型企业只须满足所列指标中的一项即可。</w:t>
      </w:r>
    </w:p>
    <w:p w14:paraId="26BEA75F">
      <w:pPr>
        <w:rPr>
          <w:rFonts w:hint="default" w:cs="宋体"/>
          <w:lang w:val="en-US" w:eastAsia="zh-CN"/>
        </w:rPr>
      </w:pPr>
    </w:p>
    <w:sectPr>
      <w:headerReference r:id="rId7" w:type="default"/>
      <w:footerReference r:id="rId8" w:type="default"/>
      <w:pgSz w:w="11906" w:h="16838"/>
      <w:pgMar w:top="1077" w:right="1077" w:bottom="1077" w:left="107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Frutiger Roman">
    <w:altName w:val="Lucida Sans Unicode"/>
    <w:panose1 w:val="00000000000000000000"/>
    <w:charset w:val="00"/>
    <w:family w:val="swiss"/>
    <w:pitch w:val="default"/>
    <w:sig w:usb0="00000000" w:usb1="00000000" w:usb2="00000000" w:usb3="00000000" w:csb0="00000013"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C240">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BB1D8">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7ABB1D8">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ED31">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EAB2F">
                          <w:pPr>
                            <w:pStyle w:val="2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BCEAB2F">
                    <w:pPr>
                      <w:pStyle w:val="2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7A62">
    <w:pPr>
      <w:pStyle w:val="26"/>
      <w:pBdr>
        <w:top w:val="double" w:color="auto" w:sz="6" w:space="6"/>
      </w:pBdr>
      <w:tabs>
        <w:tab w:val="left" w:pos="6120"/>
        <w:tab w:val="clear" w:pos="4153"/>
        <w:tab w:val="clear" w:pos="8306"/>
      </w:tabs>
      <w:ind w:right="360"/>
      <w:rPr>
        <w:rFonts w:ascii="楷体_GB2312" w:eastAsia="楷体_GB2312"/>
        <w:i/>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1C4FA">
                          <w:pPr>
                            <w:pStyle w:val="2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31C4FA">
                    <w:pPr>
                      <w:pStyle w:val="2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A09E">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67">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D1EAC">
    <w:pPr>
      <w:jc w:val="center"/>
      <w:rPr>
        <w:szCs w:val="21"/>
      </w:rPr>
    </w:pPr>
    <w:r>
      <w:rPr>
        <w:rFonts w:hint="eastAsia" w:ascii="楷体_GB2312" w:hAnsi="宋体" w:eastAsia="楷体_GB2312"/>
        <w:b/>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F9EFC"/>
    <w:multiLevelType w:val="singleLevel"/>
    <w:tmpl w:val="554F9EFC"/>
    <w:lvl w:ilvl="0" w:tentative="0">
      <w:start w:val="5"/>
      <w:numFmt w:val="chineseCounting"/>
      <w:suff w:val="space"/>
      <w:lvlText w:val="第%1章"/>
      <w:lvlJc w:val="left"/>
      <w:rPr>
        <w:rFonts w:hint="eastAsia"/>
      </w:rPr>
    </w:lvl>
  </w:abstractNum>
  <w:abstractNum w:abstractNumId="1">
    <w:nsid w:val="5757A111"/>
    <w:multiLevelType w:val="singleLevel"/>
    <w:tmpl w:val="5757A111"/>
    <w:lvl w:ilvl="0" w:tentative="0">
      <w:start w:val="1"/>
      <w:numFmt w:val="decimal"/>
      <w:suff w:val="space"/>
      <w:lvlText w:val="%1."/>
      <w:lvlJc w:val="left"/>
    </w:lvl>
  </w:abstractNum>
  <w:abstractNum w:abstractNumId="2">
    <w:nsid w:val="6F7B0A6F"/>
    <w:multiLevelType w:val="multilevel"/>
    <w:tmpl w:val="6F7B0A6F"/>
    <w:lvl w:ilvl="0" w:tentative="0">
      <w:start w:val="4"/>
      <w:numFmt w:val="japaneseCounting"/>
      <w:pStyle w:val="93"/>
      <w:lvlText w:val="第%1章"/>
      <w:lvlJc w:val="left"/>
      <w:pPr>
        <w:tabs>
          <w:tab w:val="left" w:pos="1200"/>
        </w:tabs>
        <w:ind w:left="1200" w:hanging="1200"/>
      </w:pPr>
      <w:rPr>
        <w:rFonts w:hint="eastAsia"/>
      </w:rPr>
    </w:lvl>
    <w:lvl w:ilvl="1" w:tentative="0">
      <w:start w:val="5"/>
      <w:numFmt w:val="japaneseCounting"/>
      <w:lvlText w:val="%2）"/>
      <w:lvlJc w:val="left"/>
      <w:pPr>
        <w:tabs>
          <w:tab w:val="left" w:pos="840"/>
        </w:tabs>
        <w:ind w:left="840" w:hanging="420"/>
      </w:pPr>
      <w:rPr>
        <w:rFonts w:hint="default" w:ascii="Times New Roman" w:hAnsi="Times New Roman"/>
        <w:sz w:val="21"/>
        <w:u w:val="no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782B15"/>
    <w:rsid w:val="0002668E"/>
    <w:rsid w:val="0006386D"/>
    <w:rsid w:val="000A2B04"/>
    <w:rsid w:val="000B479A"/>
    <w:rsid w:val="000C6AF8"/>
    <w:rsid w:val="000D1F3A"/>
    <w:rsid w:val="000E2A08"/>
    <w:rsid w:val="000F01E2"/>
    <w:rsid w:val="00110B21"/>
    <w:rsid w:val="00157B38"/>
    <w:rsid w:val="0016062D"/>
    <w:rsid w:val="00160966"/>
    <w:rsid w:val="00180B94"/>
    <w:rsid w:val="001951AC"/>
    <w:rsid w:val="001A29AC"/>
    <w:rsid w:val="001A4862"/>
    <w:rsid w:val="001C0A2D"/>
    <w:rsid w:val="001D3C30"/>
    <w:rsid w:val="00236B45"/>
    <w:rsid w:val="00261957"/>
    <w:rsid w:val="002945EC"/>
    <w:rsid w:val="002A0289"/>
    <w:rsid w:val="002A339A"/>
    <w:rsid w:val="002D7795"/>
    <w:rsid w:val="002F3150"/>
    <w:rsid w:val="002F35FA"/>
    <w:rsid w:val="003239CD"/>
    <w:rsid w:val="003302E1"/>
    <w:rsid w:val="003341A3"/>
    <w:rsid w:val="003805BC"/>
    <w:rsid w:val="0039424F"/>
    <w:rsid w:val="003B4747"/>
    <w:rsid w:val="003B6E90"/>
    <w:rsid w:val="003C1BA6"/>
    <w:rsid w:val="003D0809"/>
    <w:rsid w:val="003D2FDB"/>
    <w:rsid w:val="003D4752"/>
    <w:rsid w:val="00424181"/>
    <w:rsid w:val="00426A0B"/>
    <w:rsid w:val="00432A8B"/>
    <w:rsid w:val="0049256C"/>
    <w:rsid w:val="00493E21"/>
    <w:rsid w:val="0049417E"/>
    <w:rsid w:val="004A0539"/>
    <w:rsid w:val="004A4ED4"/>
    <w:rsid w:val="004F6B36"/>
    <w:rsid w:val="004F727B"/>
    <w:rsid w:val="005134D1"/>
    <w:rsid w:val="00514FB5"/>
    <w:rsid w:val="0052022C"/>
    <w:rsid w:val="00545E65"/>
    <w:rsid w:val="005762E2"/>
    <w:rsid w:val="005773AD"/>
    <w:rsid w:val="00593117"/>
    <w:rsid w:val="005B7934"/>
    <w:rsid w:val="005B7CC6"/>
    <w:rsid w:val="006169AA"/>
    <w:rsid w:val="00617C43"/>
    <w:rsid w:val="00696ED8"/>
    <w:rsid w:val="006C2FD8"/>
    <w:rsid w:val="006C3AC0"/>
    <w:rsid w:val="006D6636"/>
    <w:rsid w:val="00736BD5"/>
    <w:rsid w:val="00782B15"/>
    <w:rsid w:val="007A52EC"/>
    <w:rsid w:val="007D4435"/>
    <w:rsid w:val="00820863"/>
    <w:rsid w:val="00834F10"/>
    <w:rsid w:val="00961678"/>
    <w:rsid w:val="009761A1"/>
    <w:rsid w:val="0099770A"/>
    <w:rsid w:val="009B331F"/>
    <w:rsid w:val="009B4582"/>
    <w:rsid w:val="009C5A76"/>
    <w:rsid w:val="009D01BE"/>
    <w:rsid w:val="00AC043D"/>
    <w:rsid w:val="00AC18BB"/>
    <w:rsid w:val="00AE5FB1"/>
    <w:rsid w:val="00B05494"/>
    <w:rsid w:val="00B117E5"/>
    <w:rsid w:val="00B136AA"/>
    <w:rsid w:val="00B53484"/>
    <w:rsid w:val="00B81146"/>
    <w:rsid w:val="00C00B58"/>
    <w:rsid w:val="00C25CD9"/>
    <w:rsid w:val="00C61A4D"/>
    <w:rsid w:val="00C93623"/>
    <w:rsid w:val="00CA40B9"/>
    <w:rsid w:val="00CA7925"/>
    <w:rsid w:val="00CD5FFD"/>
    <w:rsid w:val="00CE1FC5"/>
    <w:rsid w:val="00CF7038"/>
    <w:rsid w:val="00D03B4C"/>
    <w:rsid w:val="00D07E94"/>
    <w:rsid w:val="00D4499E"/>
    <w:rsid w:val="00D52474"/>
    <w:rsid w:val="00D55579"/>
    <w:rsid w:val="00D55670"/>
    <w:rsid w:val="00D9208E"/>
    <w:rsid w:val="00E00968"/>
    <w:rsid w:val="00E15949"/>
    <w:rsid w:val="00E63FF1"/>
    <w:rsid w:val="00EA3707"/>
    <w:rsid w:val="00EA3EF5"/>
    <w:rsid w:val="00F16F30"/>
    <w:rsid w:val="00F242E3"/>
    <w:rsid w:val="00F3335E"/>
    <w:rsid w:val="00F73847"/>
    <w:rsid w:val="00F82A6F"/>
    <w:rsid w:val="00F9257D"/>
    <w:rsid w:val="00FB1EBA"/>
    <w:rsid w:val="00FB74B6"/>
    <w:rsid w:val="00FC77FA"/>
    <w:rsid w:val="00FD0BD2"/>
    <w:rsid w:val="00FF1C6B"/>
    <w:rsid w:val="01492085"/>
    <w:rsid w:val="0160084E"/>
    <w:rsid w:val="01796587"/>
    <w:rsid w:val="01E32562"/>
    <w:rsid w:val="02024C45"/>
    <w:rsid w:val="023A3F4A"/>
    <w:rsid w:val="027A1878"/>
    <w:rsid w:val="036A1EB4"/>
    <w:rsid w:val="03767DDE"/>
    <w:rsid w:val="03B66504"/>
    <w:rsid w:val="03F936D4"/>
    <w:rsid w:val="04004400"/>
    <w:rsid w:val="04051239"/>
    <w:rsid w:val="042462B3"/>
    <w:rsid w:val="0436772A"/>
    <w:rsid w:val="04930F41"/>
    <w:rsid w:val="04A028E6"/>
    <w:rsid w:val="04A10F62"/>
    <w:rsid w:val="04A2271A"/>
    <w:rsid w:val="04AD0F8F"/>
    <w:rsid w:val="052D752C"/>
    <w:rsid w:val="05627AF3"/>
    <w:rsid w:val="05782A31"/>
    <w:rsid w:val="05B60433"/>
    <w:rsid w:val="05D9297D"/>
    <w:rsid w:val="06113EC5"/>
    <w:rsid w:val="063031B6"/>
    <w:rsid w:val="07060369"/>
    <w:rsid w:val="07577FFE"/>
    <w:rsid w:val="077A41F8"/>
    <w:rsid w:val="079762D2"/>
    <w:rsid w:val="08030AEB"/>
    <w:rsid w:val="087819A6"/>
    <w:rsid w:val="08900DCD"/>
    <w:rsid w:val="089075E2"/>
    <w:rsid w:val="090221EB"/>
    <w:rsid w:val="09342B78"/>
    <w:rsid w:val="093F0D49"/>
    <w:rsid w:val="096B336F"/>
    <w:rsid w:val="098D5344"/>
    <w:rsid w:val="09AD73A9"/>
    <w:rsid w:val="09C54583"/>
    <w:rsid w:val="09CA6F62"/>
    <w:rsid w:val="09CC201C"/>
    <w:rsid w:val="09FF215B"/>
    <w:rsid w:val="0A0F072C"/>
    <w:rsid w:val="0A491976"/>
    <w:rsid w:val="0A7D4664"/>
    <w:rsid w:val="0AA2437A"/>
    <w:rsid w:val="0AD803BC"/>
    <w:rsid w:val="0AE44AD4"/>
    <w:rsid w:val="0B17448E"/>
    <w:rsid w:val="0B325009"/>
    <w:rsid w:val="0B4E26BC"/>
    <w:rsid w:val="0BAD742B"/>
    <w:rsid w:val="0C0E5B4F"/>
    <w:rsid w:val="0C493A69"/>
    <w:rsid w:val="0CC7641C"/>
    <w:rsid w:val="0CFC573D"/>
    <w:rsid w:val="0D0D3117"/>
    <w:rsid w:val="0D894EDD"/>
    <w:rsid w:val="0DAA2AFB"/>
    <w:rsid w:val="0E4737D9"/>
    <w:rsid w:val="0E8536A2"/>
    <w:rsid w:val="0EB36839"/>
    <w:rsid w:val="0F0C1272"/>
    <w:rsid w:val="0F723F03"/>
    <w:rsid w:val="0F8E6B11"/>
    <w:rsid w:val="0F9E1716"/>
    <w:rsid w:val="0FB35FED"/>
    <w:rsid w:val="0FF90200"/>
    <w:rsid w:val="10643C64"/>
    <w:rsid w:val="1078279C"/>
    <w:rsid w:val="108A2FC0"/>
    <w:rsid w:val="11F213F3"/>
    <w:rsid w:val="11FA0ECE"/>
    <w:rsid w:val="12494D2C"/>
    <w:rsid w:val="126C134B"/>
    <w:rsid w:val="133660B5"/>
    <w:rsid w:val="138D515B"/>
    <w:rsid w:val="13C22CA3"/>
    <w:rsid w:val="13C6131F"/>
    <w:rsid w:val="141C0F50"/>
    <w:rsid w:val="14320F5F"/>
    <w:rsid w:val="14335093"/>
    <w:rsid w:val="147C32C1"/>
    <w:rsid w:val="14813070"/>
    <w:rsid w:val="14B60A59"/>
    <w:rsid w:val="15285CCA"/>
    <w:rsid w:val="15593F06"/>
    <w:rsid w:val="15AA6830"/>
    <w:rsid w:val="15E16AD2"/>
    <w:rsid w:val="15E963D7"/>
    <w:rsid w:val="15EA4EBA"/>
    <w:rsid w:val="160A16E8"/>
    <w:rsid w:val="16361726"/>
    <w:rsid w:val="16C909EC"/>
    <w:rsid w:val="17005FBC"/>
    <w:rsid w:val="172964AA"/>
    <w:rsid w:val="17634AFB"/>
    <w:rsid w:val="1763654B"/>
    <w:rsid w:val="1776002C"/>
    <w:rsid w:val="17AD102F"/>
    <w:rsid w:val="187D53EA"/>
    <w:rsid w:val="18963391"/>
    <w:rsid w:val="18B049DC"/>
    <w:rsid w:val="18C27188"/>
    <w:rsid w:val="18C76E12"/>
    <w:rsid w:val="18DA72AF"/>
    <w:rsid w:val="18F01063"/>
    <w:rsid w:val="192F78DD"/>
    <w:rsid w:val="19836CBD"/>
    <w:rsid w:val="1A353DDF"/>
    <w:rsid w:val="1ABD2416"/>
    <w:rsid w:val="1B0B1196"/>
    <w:rsid w:val="1B1D7D58"/>
    <w:rsid w:val="1B9424B6"/>
    <w:rsid w:val="1BB90E2F"/>
    <w:rsid w:val="1BED2887"/>
    <w:rsid w:val="1CA92C52"/>
    <w:rsid w:val="1CC7132A"/>
    <w:rsid w:val="1D534A06"/>
    <w:rsid w:val="1D5E3A3C"/>
    <w:rsid w:val="1DD232FD"/>
    <w:rsid w:val="1E616EDA"/>
    <w:rsid w:val="1E7352C5"/>
    <w:rsid w:val="1E74103D"/>
    <w:rsid w:val="1ED41446"/>
    <w:rsid w:val="1EE4017B"/>
    <w:rsid w:val="1F1F71FB"/>
    <w:rsid w:val="1F4239E5"/>
    <w:rsid w:val="1F5350F7"/>
    <w:rsid w:val="1F6A6592"/>
    <w:rsid w:val="1FBF6FEE"/>
    <w:rsid w:val="20056454"/>
    <w:rsid w:val="200C6AB7"/>
    <w:rsid w:val="201B3B5F"/>
    <w:rsid w:val="201D4189"/>
    <w:rsid w:val="201E24D7"/>
    <w:rsid w:val="20304A05"/>
    <w:rsid w:val="206155F1"/>
    <w:rsid w:val="2063710B"/>
    <w:rsid w:val="207954B5"/>
    <w:rsid w:val="208A2593"/>
    <w:rsid w:val="20C5730F"/>
    <w:rsid w:val="20EA55E7"/>
    <w:rsid w:val="21F94F3D"/>
    <w:rsid w:val="224C4011"/>
    <w:rsid w:val="225D0766"/>
    <w:rsid w:val="2277628E"/>
    <w:rsid w:val="22BB723B"/>
    <w:rsid w:val="236B0C61"/>
    <w:rsid w:val="238B3F47"/>
    <w:rsid w:val="23D7050C"/>
    <w:rsid w:val="240A2322"/>
    <w:rsid w:val="24184D98"/>
    <w:rsid w:val="255D4590"/>
    <w:rsid w:val="26065BCC"/>
    <w:rsid w:val="261521EF"/>
    <w:rsid w:val="263D3C6A"/>
    <w:rsid w:val="263D6D6B"/>
    <w:rsid w:val="26AA4A6B"/>
    <w:rsid w:val="27070755"/>
    <w:rsid w:val="272F3DCC"/>
    <w:rsid w:val="278138FF"/>
    <w:rsid w:val="27FF406E"/>
    <w:rsid w:val="283755B5"/>
    <w:rsid w:val="28642123"/>
    <w:rsid w:val="288D7134"/>
    <w:rsid w:val="28BA6DF8"/>
    <w:rsid w:val="28BB5EEC"/>
    <w:rsid w:val="295523A6"/>
    <w:rsid w:val="29826D04"/>
    <w:rsid w:val="2A266564"/>
    <w:rsid w:val="2A356347"/>
    <w:rsid w:val="2A44045E"/>
    <w:rsid w:val="2A5B166A"/>
    <w:rsid w:val="2AA169FC"/>
    <w:rsid w:val="2ABF5ADA"/>
    <w:rsid w:val="2AC20D54"/>
    <w:rsid w:val="2BD66135"/>
    <w:rsid w:val="2BF63649"/>
    <w:rsid w:val="2C212FF5"/>
    <w:rsid w:val="2C7E4856"/>
    <w:rsid w:val="2C815051"/>
    <w:rsid w:val="2CCA2E9C"/>
    <w:rsid w:val="2D27276C"/>
    <w:rsid w:val="2D60110A"/>
    <w:rsid w:val="2D886330"/>
    <w:rsid w:val="2DC5588C"/>
    <w:rsid w:val="2DCB00DA"/>
    <w:rsid w:val="2E045111"/>
    <w:rsid w:val="2E073C7C"/>
    <w:rsid w:val="2E313014"/>
    <w:rsid w:val="2EBF4557"/>
    <w:rsid w:val="2ECA0D21"/>
    <w:rsid w:val="2ED57295"/>
    <w:rsid w:val="2F210D6D"/>
    <w:rsid w:val="2FB239B7"/>
    <w:rsid w:val="2FE36023"/>
    <w:rsid w:val="2FF95846"/>
    <w:rsid w:val="2FF969A2"/>
    <w:rsid w:val="303C2A00"/>
    <w:rsid w:val="30692E8D"/>
    <w:rsid w:val="30967BD0"/>
    <w:rsid w:val="30AC6302"/>
    <w:rsid w:val="312266F8"/>
    <w:rsid w:val="31AD4E87"/>
    <w:rsid w:val="32116E77"/>
    <w:rsid w:val="32207918"/>
    <w:rsid w:val="326E4EA9"/>
    <w:rsid w:val="32A80E92"/>
    <w:rsid w:val="332735E3"/>
    <w:rsid w:val="33BE4FBC"/>
    <w:rsid w:val="342436B9"/>
    <w:rsid w:val="34621C0C"/>
    <w:rsid w:val="346C6481"/>
    <w:rsid w:val="346F257B"/>
    <w:rsid w:val="34800BB4"/>
    <w:rsid w:val="34AA1C54"/>
    <w:rsid w:val="34B22FF0"/>
    <w:rsid w:val="34D27D86"/>
    <w:rsid w:val="34DA18F4"/>
    <w:rsid w:val="34E02B31"/>
    <w:rsid w:val="35457C23"/>
    <w:rsid w:val="358636D8"/>
    <w:rsid w:val="35EA5C00"/>
    <w:rsid w:val="35F04FF6"/>
    <w:rsid w:val="369877C4"/>
    <w:rsid w:val="37405E7A"/>
    <w:rsid w:val="37535452"/>
    <w:rsid w:val="37A60062"/>
    <w:rsid w:val="37ED3FAD"/>
    <w:rsid w:val="38602906"/>
    <w:rsid w:val="38B75215"/>
    <w:rsid w:val="39620E3D"/>
    <w:rsid w:val="397D3044"/>
    <w:rsid w:val="39B313CE"/>
    <w:rsid w:val="39D76C03"/>
    <w:rsid w:val="39EE1973"/>
    <w:rsid w:val="3A4D0DD2"/>
    <w:rsid w:val="3A543DA5"/>
    <w:rsid w:val="3A81657B"/>
    <w:rsid w:val="3AC37AF6"/>
    <w:rsid w:val="3AEC222F"/>
    <w:rsid w:val="3BE55D7F"/>
    <w:rsid w:val="3BF770DE"/>
    <w:rsid w:val="3BF90EE1"/>
    <w:rsid w:val="3C237ED3"/>
    <w:rsid w:val="3CD44366"/>
    <w:rsid w:val="3CEE35E3"/>
    <w:rsid w:val="3D2276A3"/>
    <w:rsid w:val="3D417F2E"/>
    <w:rsid w:val="3D4C1252"/>
    <w:rsid w:val="3E4841AD"/>
    <w:rsid w:val="3E52684D"/>
    <w:rsid w:val="3EFB7B87"/>
    <w:rsid w:val="3F275F2C"/>
    <w:rsid w:val="3F5900B0"/>
    <w:rsid w:val="3F637478"/>
    <w:rsid w:val="3F650802"/>
    <w:rsid w:val="3F6F09F6"/>
    <w:rsid w:val="40083C61"/>
    <w:rsid w:val="400C65C6"/>
    <w:rsid w:val="402F6DFD"/>
    <w:rsid w:val="403703F1"/>
    <w:rsid w:val="406E0C01"/>
    <w:rsid w:val="40C12A0C"/>
    <w:rsid w:val="4157061F"/>
    <w:rsid w:val="41921198"/>
    <w:rsid w:val="41B63597"/>
    <w:rsid w:val="41E40104"/>
    <w:rsid w:val="42163188"/>
    <w:rsid w:val="42485C84"/>
    <w:rsid w:val="42884F34"/>
    <w:rsid w:val="42F061C2"/>
    <w:rsid w:val="43572B58"/>
    <w:rsid w:val="43DE6767"/>
    <w:rsid w:val="43FB6342"/>
    <w:rsid w:val="440A2DCB"/>
    <w:rsid w:val="449C6A74"/>
    <w:rsid w:val="44D37AC5"/>
    <w:rsid w:val="452B6350"/>
    <w:rsid w:val="454824AF"/>
    <w:rsid w:val="454F6FF3"/>
    <w:rsid w:val="457954B2"/>
    <w:rsid w:val="458D460F"/>
    <w:rsid w:val="458F6AA3"/>
    <w:rsid w:val="459A105C"/>
    <w:rsid w:val="45C75D73"/>
    <w:rsid w:val="45D466E2"/>
    <w:rsid w:val="468C0A62"/>
    <w:rsid w:val="46D4186E"/>
    <w:rsid w:val="472109AF"/>
    <w:rsid w:val="477637AC"/>
    <w:rsid w:val="47767A51"/>
    <w:rsid w:val="478F451F"/>
    <w:rsid w:val="47A10846"/>
    <w:rsid w:val="47B9154E"/>
    <w:rsid w:val="47E50732"/>
    <w:rsid w:val="47F607CD"/>
    <w:rsid w:val="482C771C"/>
    <w:rsid w:val="48592ECE"/>
    <w:rsid w:val="48AC061F"/>
    <w:rsid w:val="48C62C1A"/>
    <w:rsid w:val="48EC5AF0"/>
    <w:rsid w:val="49627492"/>
    <w:rsid w:val="49E77D66"/>
    <w:rsid w:val="4A1E3B62"/>
    <w:rsid w:val="4A6242BC"/>
    <w:rsid w:val="4A7F4E6E"/>
    <w:rsid w:val="4ABB39CC"/>
    <w:rsid w:val="4B3043BA"/>
    <w:rsid w:val="4BAC18F7"/>
    <w:rsid w:val="4BE11211"/>
    <w:rsid w:val="4C0E4D0A"/>
    <w:rsid w:val="4C163633"/>
    <w:rsid w:val="4C545E87"/>
    <w:rsid w:val="4C717F17"/>
    <w:rsid w:val="4C7E2F03"/>
    <w:rsid w:val="4D5C13A9"/>
    <w:rsid w:val="4D703B96"/>
    <w:rsid w:val="4E2E0951"/>
    <w:rsid w:val="4EA466A9"/>
    <w:rsid w:val="4EB55554"/>
    <w:rsid w:val="4ED849E4"/>
    <w:rsid w:val="4EF84398"/>
    <w:rsid w:val="4F846223"/>
    <w:rsid w:val="505D5878"/>
    <w:rsid w:val="511C7A57"/>
    <w:rsid w:val="515D2533"/>
    <w:rsid w:val="515D758B"/>
    <w:rsid w:val="51FE21AA"/>
    <w:rsid w:val="52093835"/>
    <w:rsid w:val="520D5F6F"/>
    <w:rsid w:val="522C7380"/>
    <w:rsid w:val="528648C0"/>
    <w:rsid w:val="52962438"/>
    <w:rsid w:val="52B0112F"/>
    <w:rsid w:val="53034162"/>
    <w:rsid w:val="530A729F"/>
    <w:rsid w:val="530C74BB"/>
    <w:rsid w:val="530E3233"/>
    <w:rsid w:val="532065BE"/>
    <w:rsid w:val="53373E0C"/>
    <w:rsid w:val="53407F4E"/>
    <w:rsid w:val="534377D4"/>
    <w:rsid w:val="53607807"/>
    <w:rsid w:val="53654E1D"/>
    <w:rsid w:val="53ED30BB"/>
    <w:rsid w:val="53FF5D0D"/>
    <w:rsid w:val="542E4BF4"/>
    <w:rsid w:val="550B5550"/>
    <w:rsid w:val="551E2CFB"/>
    <w:rsid w:val="55256688"/>
    <w:rsid w:val="557F1139"/>
    <w:rsid w:val="557F2A9D"/>
    <w:rsid w:val="558242D4"/>
    <w:rsid w:val="55C30A56"/>
    <w:rsid w:val="55CA09A8"/>
    <w:rsid w:val="56340AC9"/>
    <w:rsid w:val="56353A8A"/>
    <w:rsid w:val="564A2602"/>
    <w:rsid w:val="565813FF"/>
    <w:rsid w:val="569C5D15"/>
    <w:rsid w:val="569E683A"/>
    <w:rsid w:val="575907F5"/>
    <w:rsid w:val="577675F9"/>
    <w:rsid w:val="5853793A"/>
    <w:rsid w:val="58A12453"/>
    <w:rsid w:val="58AF4932"/>
    <w:rsid w:val="58EA204C"/>
    <w:rsid w:val="58F262D8"/>
    <w:rsid w:val="58F966C5"/>
    <w:rsid w:val="5956437E"/>
    <w:rsid w:val="596D2336"/>
    <w:rsid w:val="59D77598"/>
    <w:rsid w:val="59EE7B54"/>
    <w:rsid w:val="5A4A1178"/>
    <w:rsid w:val="5A7D2A4C"/>
    <w:rsid w:val="5AD50996"/>
    <w:rsid w:val="5AED1980"/>
    <w:rsid w:val="5B906095"/>
    <w:rsid w:val="5B9B719B"/>
    <w:rsid w:val="5BFF6942"/>
    <w:rsid w:val="5C230BD3"/>
    <w:rsid w:val="5C2E04A2"/>
    <w:rsid w:val="5C4557FF"/>
    <w:rsid w:val="5C9A1694"/>
    <w:rsid w:val="5C9C5D0F"/>
    <w:rsid w:val="5CAD4771"/>
    <w:rsid w:val="5CEA2602"/>
    <w:rsid w:val="5D4012A9"/>
    <w:rsid w:val="5D540B80"/>
    <w:rsid w:val="5D5F79D9"/>
    <w:rsid w:val="5D9C143B"/>
    <w:rsid w:val="5DFE5C52"/>
    <w:rsid w:val="5E6C4DAC"/>
    <w:rsid w:val="5E722585"/>
    <w:rsid w:val="5E873046"/>
    <w:rsid w:val="5EC24ED2"/>
    <w:rsid w:val="5EC9029D"/>
    <w:rsid w:val="5EE50BC0"/>
    <w:rsid w:val="5F155949"/>
    <w:rsid w:val="5F7C5998"/>
    <w:rsid w:val="5F8A2D18"/>
    <w:rsid w:val="5F952AF8"/>
    <w:rsid w:val="5FAB1E0A"/>
    <w:rsid w:val="5FE855C2"/>
    <w:rsid w:val="60716BAF"/>
    <w:rsid w:val="607E12CC"/>
    <w:rsid w:val="60D723AE"/>
    <w:rsid w:val="61075F0B"/>
    <w:rsid w:val="611278C6"/>
    <w:rsid w:val="615F4C5A"/>
    <w:rsid w:val="62887300"/>
    <w:rsid w:val="62942B88"/>
    <w:rsid w:val="629D0B87"/>
    <w:rsid w:val="62E40C98"/>
    <w:rsid w:val="63424833"/>
    <w:rsid w:val="635E2375"/>
    <w:rsid w:val="63771090"/>
    <w:rsid w:val="63BF1977"/>
    <w:rsid w:val="63CA78EA"/>
    <w:rsid w:val="644660CC"/>
    <w:rsid w:val="64504D2E"/>
    <w:rsid w:val="646D768E"/>
    <w:rsid w:val="64946690"/>
    <w:rsid w:val="64D82B9E"/>
    <w:rsid w:val="64EE6A20"/>
    <w:rsid w:val="64F75228"/>
    <w:rsid w:val="65075D34"/>
    <w:rsid w:val="65181CEF"/>
    <w:rsid w:val="65901EAE"/>
    <w:rsid w:val="65983943"/>
    <w:rsid w:val="66531780"/>
    <w:rsid w:val="667165ED"/>
    <w:rsid w:val="66BB5028"/>
    <w:rsid w:val="66F967DD"/>
    <w:rsid w:val="67AC671F"/>
    <w:rsid w:val="67B6759E"/>
    <w:rsid w:val="67E71DFF"/>
    <w:rsid w:val="681F721C"/>
    <w:rsid w:val="682722B6"/>
    <w:rsid w:val="68694F62"/>
    <w:rsid w:val="68830D6F"/>
    <w:rsid w:val="691C19EC"/>
    <w:rsid w:val="6932313F"/>
    <w:rsid w:val="69450BD9"/>
    <w:rsid w:val="69B67D29"/>
    <w:rsid w:val="69F31DF6"/>
    <w:rsid w:val="6A1E2B8C"/>
    <w:rsid w:val="6A3146D6"/>
    <w:rsid w:val="6A5102C2"/>
    <w:rsid w:val="6A6B40B7"/>
    <w:rsid w:val="6A866E92"/>
    <w:rsid w:val="6AE10DD5"/>
    <w:rsid w:val="6B2749F2"/>
    <w:rsid w:val="6B3135CF"/>
    <w:rsid w:val="6B43760E"/>
    <w:rsid w:val="6BA9685A"/>
    <w:rsid w:val="6BD6654A"/>
    <w:rsid w:val="6BDC0EB5"/>
    <w:rsid w:val="6BFD579B"/>
    <w:rsid w:val="6CBE00D1"/>
    <w:rsid w:val="6CC51CAE"/>
    <w:rsid w:val="6CED5810"/>
    <w:rsid w:val="6D39122F"/>
    <w:rsid w:val="6DA104CB"/>
    <w:rsid w:val="6E0358A8"/>
    <w:rsid w:val="6E2D54D3"/>
    <w:rsid w:val="6E463D8B"/>
    <w:rsid w:val="6ECF78C3"/>
    <w:rsid w:val="6EDF6D86"/>
    <w:rsid w:val="6EEB78A4"/>
    <w:rsid w:val="6F955195"/>
    <w:rsid w:val="6FAF3A60"/>
    <w:rsid w:val="6FCB4CA8"/>
    <w:rsid w:val="6FEB7C99"/>
    <w:rsid w:val="6FEC1DAE"/>
    <w:rsid w:val="701D640C"/>
    <w:rsid w:val="704610E1"/>
    <w:rsid w:val="708C61B2"/>
    <w:rsid w:val="708D2E05"/>
    <w:rsid w:val="71301B1F"/>
    <w:rsid w:val="71343BCC"/>
    <w:rsid w:val="71FF26EE"/>
    <w:rsid w:val="721C581F"/>
    <w:rsid w:val="72444124"/>
    <w:rsid w:val="725702C7"/>
    <w:rsid w:val="725B35FE"/>
    <w:rsid w:val="725E4ABA"/>
    <w:rsid w:val="72A74A41"/>
    <w:rsid w:val="72C8775B"/>
    <w:rsid w:val="72FD15D0"/>
    <w:rsid w:val="73287FAC"/>
    <w:rsid w:val="73386BB8"/>
    <w:rsid w:val="73B21561"/>
    <w:rsid w:val="742E484E"/>
    <w:rsid w:val="744821F1"/>
    <w:rsid w:val="74884A92"/>
    <w:rsid w:val="74E559DC"/>
    <w:rsid w:val="7516167C"/>
    <w:rsid w:val="75170A8E"/>
    <w:rsid w:val="75510453"/>
    <w:rsid w:val="75564652"/>
    <w:rsid w:val="75803A5E"/>
    <w:rsid w:val="759E3B4B"/>
    <w:rsid w:val="7671300D"/>
    <w:rsid w:val="768E0063"/>
    <w:rsid w:val="76A47893"/>
    <w:rsid w:val="76B33236"/>
    <w:rsid w:val="77471F06"/>
    <w:rsid w:val="77862AE9"/>
    <w:rsid w:val="77925931"/>
    <w:rsid w:val="77AD276B"/>
    <w:rsid w:val="77E45EA5"/>
    <w:rsid w:val="78137B0E"/>
    <w:rsid w:val="78336250"/>
    <w:rsid w:val="78B82D4B"/>
    <w:rsid w:val="78EA70A7"/>
    <w:rsid w:val="7908073B"/>
    <w:rsid w:val="792A7485"/>
    <w:rsid w:val="793876A3"/>
    <w:rsid w:val="79A116C3"/>
    <w:rsid w:val="7A0863A1"/>
    <w:rsid w:val="7A212C0C"/>
    <w:rsid w:val="7A2465E9"/>
    <w:rsid w:val="7A715538"/>
    <w:rsid w:val="7AC1208A"/>
    <w:rsid w:val="7AC44D8C"/>
    <w:rsid w:val="7AE964B3"/>
    <w:rsid w:val="7B060931"/>
    <w:rsid w:val="7B30793B"/>
    <w:rsid w:val="7B4F58E7"/>
    <w:rsid w:val="7B643141"/>
    <w:rsid w:val="7B825CBD"/>
    <w:rsid w:val="7C165FC6"/>
    <w:rsid w:val="7C2B1EB0"/>
    <w:rsid w:val="7C6453C2"/>
    <w:rsid w:val="7C8002F9"/>
    <w:rsid w:val="7CB508F1"/>
    <w:rsid w:val="7CD97B5E"/>
    <w:rsid w:val="7CF17AC9"/>
    <w:rsid w:val="7D2C517C"/>
    <w:rsid w:val="7D3F2B9B"/>
    <w:rsid w:val="7D417BA4"/>
    <w:rsid w:val="7D9D2053"/>
    <w:rsid w:val="7E0D6529"/>
    <w:rsid w:val="7E176FF6"/>
    <w:rsid w:val="7E3C03A5"/>
    <w:rsid w:val="7EB97C47"/>
    <w:rsid w:val="7ECB797B"/>
    <w:rsid w:val="7F236B93"/>
    <w:rsid w:val="7F722E84"/>
    <w:rsid w:val="7FEC1957"/>
    <w:rsid w:val="7FF5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99"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adjustRightInd w:val="0"/>
      <w:spacing w:before="160" w:after="160" w:line="160" w:lineRule="atLeast"/>
      <w:ind w:left="425" w:hanging="425"/>
      <w:outlineLvl w:val="0"/>
    </w:pPr>
    <w:rPr>
      <w:rFonts w:hint="eastAsia" w:ascii="黑体" w:hAnsi="Arial Unicode MS" w:eastAsia="黑体" w:cs="Arial Unicode MS"/>
      <w:kern w:val="44"/>
      <w:sz w:val="32"/>
      <w:szCs w:val="20"/>
    </w:rPr>
  </w:style>
  <w:style w:type="paragraph" w:styleId="3">
    <w:name w:val="heading 2"/>
    <w:basedOn w:val="1"/>
    <w:next w:val="1"/>
    <w:link w:val="53"/>
    <w:qFormat/>
    <w:uiPriority w:val="0"/>
    <w:pPr>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adjustRightInd w:val="0"/>
      <w:spacing w:before="160" w:after="160" w:line="160" w:lineRule="atLeast"/>
      <w:ind w:left="851" w:hanging="425"/>
      <w:outlineLvl w:val="2"/>
    </w:pPr>
    <w:rPr>
      <w:rFonts w:hint="eastAsia" w:ascii="黑体" w:hAnsi="Arial Unicode MS" w:eastAsia="黑体" w:cs="Arial Unicode MS"/>
      <w:kern w:val="0"/>
      <w:sz w:val="28"/>
      <w:szCs w:val="20"/>
    </w:rPr>
  </w:style>
  <w:style w:type="paragraph" w:styleId="5">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6"/>
    <w:qFormat/>
    <w:uiPriority w:val="0"/>
    <w:pPr>
      <w:keepNext/>
      <w:keepLines/>
      <w:spacing w:before="280" w:after="290" w:line="376" w:lineRule="auto"/>
      <w:outlineLvl w:val="4"/>
    </w:pPr>
    <w:rPr>
      <w:b/>
      <w:bCs/>
      <w:sz w:val="28"/>
      <w:szCs w:val="28"/>
    </w:rPr>
  </w:style>
  <w:style w:type="paragraph" w:styleId="7">
    <w:name w:val="heading 6"/>
    <w:basedOn w:val="1"/>
    <w:next w:val="1"/>
    <w:link w:val="57"/>
    <w:qFormat/>
    <w:uiPriority w:val="0"/>
    <w:pPr>
      <w:keepNext/>
      <w:keepLines/>
      <w:widowControl/>
      <w:spacing w:before="240" w:after="64" w:line="320" w:lineRule="auto"/>
      <w:jc w:val="left"/>
      <w:outlineLvl w:val="5"/>
    </w:pPr>
    <w:rPr>
      <w:rFonts w:ascii="Arial" w:hAnsi="Arial" w:cs="宋体"/>
      <w:b/>
      <w:bCs/>
      <w:kern w:val="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0"/>
    <w:pPr>
      <w:ind w:left="2520" w:leftChars="1200"/>
    </w:pPr>
  </w:style>
  <w:style w:type="paragraph" w:styleId="9">
    <w:name w:val="table of authorities"/>
    <w:basedOn w:val="1"/>
    <w:next w:val="1"/>
    <w:qFormat/>
    <w:uiPriority w:val="99"/>
    <w:pPr>
      <w:ind w:left="420" w:leftChars="200"/>
    </w:pPr>
  </w:style>
  <w:style w:type="paragraph" w:styleId="10">
    <w:name w:val="index 8"/>
    <w:basedOn w:val="1"/>
    <w:next w:val="1"/>
    <w:qFormat/>
    <w:uiPriority w:val="0"/>
    <w:pPr>
      <w:ind w:left="3920" w:leftChars="1400"/>
    </w:pPr>
  </w:style>
  <w:style w:type="paragraph" w:styleId="11">
    <w:name w:val="Normal Indent"/>
    <w:basedOn w:val="1"/>
    <w:link w:val="59"/>
    <w:qFormat/>
    <w:uiPriority w:val="0"/>
    <w:pPr>
      <w:ind w:firstLine="420"/>
    </w:pPr>
    <w:rPr>
      <w:rFonts w:asciiTheme="minorHAnsi" w:hAnsiTheme="minorHAnsi" w:cstheme="minorBidi"/>
      <w:szCs w:val="22"/>
    </w:rPr>
  </w:style>
  <w:style w:type="paragraph" w:styleId="12">
    <w:name w:val="List Bullet"/>
    <w:basedOn w:val="1"/>
    <w:qFormat/>
    <w:uiPriority w:val="0"/>
    <w:pPr>
      <w:adjustRightInd w:val="0"/>
      <w:snapToGrid w:val="0"/>
      <w:spacing w:line="360" w:lineRule="auto"/>
    </w:pPr>
    <w:rPr>
      <w:snapToGrid w:val="0"/>
      <w:kern w:val="0"/>
      <w:sz w:val="24"/>
      <w:szCs w:val="20"/>
    </w:rPr>
  </w:style>
  <w:style w:type="paragraph" w:styleId="13">
    <w:name w:val="toa heading"/>
    <w:basedOn w:val="1"/>
    <w:next w:val="1"/>
    <w:qFormat/>
    <w:uiPriority w:val="99"/>
    <w:pPr>
      <w:spacing w:before="120"/>
    </w:pPr>
    <w:rPr>
      <w:rFonts w:ascii="Arial" w:hAnsi="Arial" w:eastAsia="仿宋"/>
      <w:sz w:val="24"/>
      <w:szCs w:val="20"/>
    </w:rPr>
  </w:style>
  <w:style w:type="paragraph" w:styleId="14">
    <w:name w:val="annotation text"/>
    <w:basedOn w:val="1"/>
    <w:qFormat/>
    <w:uiPriority w:val="0"/>
    <w:pPr>
      <w:jc w:val="left"/>
    </w:pPr>
  </w:style>
  <w:style w:type="paragraph" w:styleId="15">
    <w:name w:val="index 6"/>
    <w:basedOn w:val="1"/>
    <w:next w:val="1"/>
    <w:qFormat/>
    <w:uiPriority w:val="99"/>
    <w:pPr>
      <w:ind w:left="2100"/>
    </w:pPr>
  </w:style>
  <w:style w:type="paragraph" w:styleId="16">
    <w:name w:val="Body Text"/>
    <w:basedOn w:val="1"/>
    <w:link w:val="71"/>
    <w:qFormat/>
    <w:uiPriority w:val="0"/>
    <w:pPr>
      <w:spacing w:after="120"/>
    </w:pPr>
    <w:rPr>
      <w:rFonts w:asciiTheme="minorHAnsi" w:hAnsiTheme="minorHAnsi" w:cstheme="minorBidi"/>
    </w:rPr>
  </w:style>
  <w:style w:type="paragraph" w:styleId="17">
    <w:name w:val="Body Text Indent"/>
    <w:basedOn w:val="1"/>
    <w:next w:val="18"/>
    <w:link w:val="73"/>
    <w:qFormat/>
    <w:uiPriority w:val="0"/>
    <w:pPr>
      <w:ind w:firstLine="640" w:firstLineChars="200"/>
    </w:pPr>
    <w:rPr>
      <w:sz w:val="32"/>
    </w:rPr>
  </w:style>
  <w:style w:type="paragraph" w:styleId="18">
    <w:name w:val="Body Text First Indent 2"/>
    <w:basedOn w:val="17"/>
    <w:next w:val="1"/>
    <w:qFormat/>
    <w:uiPriority w:val="0"/>
    <w:pPr>
      <w:ind w:firstLine="420"/>
    </w:p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link w:val="66"/>
    <w:qFormat/>
    <w:uiPriority w:val="0"/>
    <w:rPr>
      <w:rFonts w:ascii="宋体" w:hAnsi="Courier New"/>
      <w:szCs w:val="20"/>
    </w:rPr>
  </w:style>
  <w:style w:type="paragraph" w:styleId="22">
    <w:name w:val="toc 8"/>
    <w:basedOn w:val="1"/>
    <w:next w:val="1"/>
    <w:qFormat/>
    <w:uiPriority w:val="0"/>
    <w:pPr>
      <w:ind w:left="2940" w:leftChars="1400"/>
    </w:pPr>
  </w:style>
  <w:style w:type="paragraph" w:styleId="23">
    <w:name w:val="Date"/>
    <w:basedOn w:val="1"/>
    <w:next w:val="1"/>
    <w:link w:val="70"/>
    <w:qFormat/>
    <w:uiPriority w:val="0"/>
    <w:pPr>
      <w:ind w:left="100" w:leftChars="2500"/>
    </w:pPr>
  </w:style>
  <w:style w:type="paragraph" w:styleId="24">
    <w:name w:val="Body Text Indent 2"/>
    <w:basedOn w:val="1"/>
    <w:link w:val="72"/>
    <w:qFormat/>
    <w:uiPriority w:val="0"/>
    <w:pPr>
      <w:spacing w:line="560" w:lineRule="exact"/>
      <w:ind w:firstLine="560" w:firstLineChars="200"/>
    </w:pPr>
    <w:rPr>
      <w:rFonts w:ascii="宋体" w:hAnsi="宋体"/>
      <w:bCs/>
      <w:color w:val="000000"/>
      <w:sz w:val="28"/>
    </w:rPr>
  </w:style>
  <w:style w:type="paragraph" w:styleId="25">
    <w:name w:val="Balloon Text"/>
    <w:basedOn w:val="1"/>
    <w:link w:val="104"/>
    <w:semiHidden/>
    <w:unhideWhenUsed/>
    <w:qFormat/>
    <w:uiPriority w:val="99"/>
    <w:rPr>
      <w:sz w:val="18"/>
      <w:szCs w:val="18"/>
    </w:rPr>
  </w:style>
  <w:style w:type="paragraph" w:styleId="26">
    <w:name w:val="footer"/>
    <w:basedOn w:val="1"/>
    <w:link w:val="51"/>
    <w:unhideWhenUsed/>
    <w:qFormat/>
    <w:uiPriority w:val="0"/>
    <w:pPr>
      <w:tabs>
        <w:tab w:val="center" w:pos="4153"/>
        <w:tab w:val="right" w:pos="8306"/>
      </w:tabs>
      <w:snapToGrid w:val="0"/>
      <w:jc w:val="left"/>
    </w:pPr>
    <w:rPr>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style>
  <w:style w:type="paragraph" w:styleId="30">
    <w:name w:val="toc 4"/>
    <w:basedOn w:val="1"/>
    <w:next w:val="1"/>
    <w:qFormat/>
    <w:uiPriority w:val="0"/>
    <w:pPr>
      <w:ind w:left="1260" w:leftChars="600"/>
    </w:pPr>
  </w:style>
  <w:style w:type="paragraph" w:styleId="3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2">
    <w:name w:val="List"/>
    <w:basedOn w:val="1"/>
    <w:qFormat/>
    <w:uiPriority w:val="0"/>
    <w:pPr>
      <w:ind w:left="420" w:hanging="420"/>
    </w:pPr>
  </w:style>
  <w:style w:type="paragraph" w:styleId="33">
    <w:name w:val="footnote text"/>
    <w:basedOn w:val="1"/>
    <w:unhideWhenUsed/>
    <w:qFormat/>
    <w:uiPriority w:val="99"/>
    <w:pPr>
      <w:snapToGrid w:val="0"/>
      <w:jc w:val="left"/>
    </w:pPr>
    <w:rPr>
      <w:sz w:val="18"/>
      <w:szCs w:val="18"/>
    </w:rPr>
  </w:style>
  <w:style w:type="paragraph" w:styleId="34">
    <w:name w:val="toc 6"/>
    <w:basedOn w:val="1"/>
    <w:next w:val="1"/>
    <w:qFormat/>
    <w:uiPriority w:val="0"/>
    <w:pPr>
      <w:ind w:left="2100" w:leftChars="1000"/>
    </w:pPr>
  </w:style>
  <w:style w:type="paragraph" w:styleId="35">
    <w:name w:val="Body Text Indent 3"/>
    <w:basedOn w:val="1"/>
    <w:link w:val="69"/>
    <w:qFormat/>
    <w:uiPriority w:val="0"/>
    <w:pPr>
      <w:spacing w:after="120"/>
      <w:ind w:left="420" w:leftChars="200"/>
    </w:pPr>
    <w:rPr>
      <w:sz w:val="16"/>
      <w:szCs w:val="16"/>
    </w:rPr>
  </w:style>
  <w:style w:type="paragraph" w:styleId="36">
    <w:name w:val="toc 2"/>
    <w:basedOn w:val="1"/>
    <w:next w:val="1"/>
    <w:qFormat/>
    <w:uiPriority w:val="0"/>
    <w:pPr>
      <w:ind w:left="420" w:leftChars="200"/>
    </w:pPr>
  </w:style>
  <w:style w:type="paragraph" w:styleId="37">
    <w:name w:val="toc 9"/>
    <w:basedOn w:val="1"/>
    <w:next w:val="1"/>
    <w:qFormat/>
    <w:uiPriority w:val="0"/>
    <w:pPr>
      <w:ind w:left="3360" w:leftChars="1600"/>
    </w:pPr>
  </w:style>
  <w:style w:type="paragraph" w:styleId="3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semiHidden/>
    <w:unhideWhenUsed/>
    <w:qFormat/>
    <w:uiPriority w:val="99"/>
    <w:pPr>
      <w:spacing w:beforeAutospacing="1" w:afterAutospacing="1"/>
      <w:jc w:val="left"/>
    </w:pPr>
    <w:rPr>
      <w:kern w:val="0"/>
      <w:sz w:val="24"/>
    </w:rPr>
  </w:style>
  <w:style w:type="paragraph" w:styleId="40">
    <w:name w:val="Title"/>
    <w:basedOn w:val="1"/>
    <w:next w:val="1"/>
    <w:link w:val="121"/>
    <w:qFormat/>
    <w:uiPriority w:val="0"/>
    <w:pPr>
      <w:tabs>
        <w:tab w:val="left" w:pos="360"/>
      </w:tabs>
      <w:spacing w:line="360" w:lineRule="auto"/>
      <w:ind w:left="360" w:hanging="360" w:hangingChars="200"/>
      <w:jc w:val="center"/>
    </w:pPr>
    <w:rPr>
      <w:rFonts w:ascii="宋体" w:hAnsi="宋体" w:eastAsia="楷体"/>
      <w:b/>
      <w:bCs/>
      <w:kern w:val="44"/>
      <w:sz w:val="84"/>
      <w:szCs w:val="44"/>
    </w:rPr>
  </w:style>
  <w:style w:type="paragraph" w:styleId="41">
    <w:name w:val="Body Text First Indent"/>
    <w:basedOn w:val="16"/>
    <w:next w:val="34"/>
    <w:qFormat/>
    <w:uiPriority w:val="0"/>
    <w:pPr>
      <w:ind w:firstLine="420" w:firstLineChars="100"/>
    </w:pPr>
  </w:style>
  <w:style w:type="table" w:styleId="43">
    <w:name w:val="Table Grid"/>
    <w:basedOn w:val="4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rPr>
  </w:style>
  <w:style w:type="character" w:styleId="46">
    <w:name w:val="page number"/>
    <w:basedOn w:val="44"/>
    <w:qFormat/>
    <w:uiPriority w:val="0"/>
  </w:style>
  <w:style w:type="character" w:styleId="47">
    <w:name w:val="FollowedHyperlink"/>
    <w:basedOn w:val="44"/>
    <w:semiHidden/>
    <w:unhideWhenUsed/>
    <w:qFormat/>
    <w:uiPriority w:val="99"/>
    <w:rPr>
      <w:rFonts w:hint="eastAsia" w:ascii="微软雅黑" w:hAnsi="微软雅黑" w:eastAsia="微软雅黑" w:cs="微软雅黑"/>
      <w:color w:val="02396F"/>
      <w:u w:val="single"/>
    </w:rPr>
  </w:style>
  <w:style w:type="character" w:styleId="48">
    <w:name w:val="Hyperlink"/>
    <w:basedOn w:val="44"/>
    <w:qFormat/>
    <w:uiPriority w:val="0"/>
    <w:rPr>
      <w:rFonts w:hint="eastAsia" w:ascii="微软雅黑" w:hAnsi="微软雅黑" w:eastAsia="微软雅黑" w:cs="微软雅黑"/>
      <w:color w:val="02396F"/>
      <w:u w:val="single"/>
    </w:rPr>
  </w:style>
  <w:style w:type="character" w:customStyle="1" w:styleId="49">
    <w:name w:val="正文文本 Char"/>
    <w:basedOn w:val="44"/>
    <w:qFormat/>
    <w:uiPriority w:val="0"/>
    <w:rPr>
      <w:rFonts w:eastAsia="宋体"/>
      <w:szCs w:val="24"/>
    </w:rPr>
  </w:style>
  <w:style w:type="character" w:customStyle="1" w:styleId="50">
    <w:name w:val="页眉 字符"/>
    <w:basedOn w:val="44"/>
    <w:link w:val="28"/>
    <w:semiHidden/>
    <w:qFormat/>
    <w:uiPriority w:val="99"/>
    <w:rPr>
      <w:sz w:val="18"/>
      <w:szCs w:val="18"/>
    </w:rPr>
  </w:style>
  <w:style w:type="character" w:customStyle="1" w:styleId="51">
    <w:name w:val="页脚 字符"/>
    <w:basedOn w:val="44"/>
    <w:link w:val="26"/>
    <w:semiHidden/>
    <w:qFormat/>
    <w:uiPriority w:val="99"/>
    <w:rPr>
      <w:sz w:val="18"/>
      <w:szCs w:val="18"/>
    </w:rPr>
  </w:style>
  <w:style w:type="character" w:customStyle="1" w:styleId="52">
    <w:name w:val="标题 1 字符"/>
    <w:basedOn w:val="44"/>
    <w:link w:val="2"/>
    <w:qFormat/>
    <w:uiPriority w:val="0"/>
    <w:rPr>
      <w:rFonts w:ascii="黑体" w:hAnsi="Arial Unicode MS" w:eastAsia="黑体" w:cs="Arial Unicode MS"/>
      <w:kern w:val="44"/>
      <w:sz w:val="32"/>
      <w:szCs w:val="20"/>
    </w:rPr>
  </w:style>
  <w:style w:type="character" w:customStyle="1" w:styleId="53">
    <w:name w:val="标题 2 字符"/>
    <w:basedOn w:val="44"/>
    <w:link w:val="3"/>
    <w:qFormat/>
    <w:uiPriority w:val="0"/>
    <w:rPr>
      <w:rFonts w:ascii="Arial" w:hAnsi="Arial" w:eastAsia="黑体" w:cs="Times New Roman"/>
      <w:b/>
      <w:bCs/>
      <w:sz w:val="32"/>
      <w:szCs w:val="32"/>
    </w:rPr>
  </w:style>
  <w:style w:type="character" w:customStyle="1" w:styleId="54">
    <w:name w:val="标题 3 字符"/>
    <w:basedOn w:val="44"/>
    <w:link w:val="4"/>
    <w:qFormat/>
    <w:uiPriority w:val="0"/>
    <w:rPr>
      <w:rFonts w:ascii="黑体" w:hAnsi="Arial Unicode MS" w:eastAsia="黑体" w:cs="Arial Unicode MS"/>
      <w:kern w:val="0"/>
      <w:sz w:val="28"/>
      <w:szCs w:val="20"/>
    </w:rPr>
  </w:style>
  <w:style w:type="character" w:customStyle="1" w:styleId="55">
    <w:name w:val="标题 4 字符"/>
    <w:basedOn w:val="44"/>
    <w:link w:val="5"/>
    <w:qFormat/>
    <w:uiPriority w:val="0"/>
    <w:rPr>
      <w:rFonts w:ascii="Arial" w:hAnsi="Arial" w:eastAsia="黑体" w:cs="Times New Roman"/>
      <w:b/>
      <w:bCs/>
      <w:sz w:val="28"/>
      <w:szCs w:val="28"/>
    </w:rPr>
  </w:style>
  <w:style w:type="character" w:customStyle="1" w:styleId="56">
    <w:name w:val="标题 5 字符"/>
    <w:basedOn w:val="44"/>
    <w:link w:val="6"/>
    <w:qFormat/>
    <w:uiPriority w:val="0"/>
    <w:rPr>
      <w:rFonts w:ascii="Times New Roman" w:hAnsi="Times New Roman" w:eastAsia="宋体" w:cs="Times New Roman"/>
      <w:b/>
      <w:bCs/>
      <w:sz w:val="28"/>
      <w:szCs w:val="28"/>
    </w:rPr>
  </w:style>
  <w:style w:type="character" w:customStyle="1" w:styleId="57">
    <w:name w:val="标题 6 字符"/>
    <w:basedOn w:val="44"/>
    <w:link w:val="7"/>
    <w:qFormat/>
    <w:uiPriority w:val="0"/>
    <w:rPr>
      <w:rFonts w:ascii="Arial" w:hAnsi="Arial" w:eastAsia="宋体" w:cs="宋体"/>
      <w:b/>
      <w:bCs/>
      <w:kern w:val="0"/>
      <w:szCs w:val="24"/>
    </w:rPr>
  </w:style>
  <w:style w:type="character" w:customStyle="1" w:styleId="58">
    <w:name w:val="ca-9"/>
    <w:basedOn w:val="44"/>
    <w:qFormat/>
    <w:uiPriority w:val="0"/>
  </w:style>
  <w:style w:type="character" w:customStyle="1" w:styleId="59">
    <w:name w:val="正文缩进 字符"/>
    <w:basedOn w:val="44"/>
    <w:link w:val="11"/>
    <w:qFormat/>
    <w:uiPriority w:val="0"/>
    <w:rPr>
      <w:rFonts w:eastAsia="宋体"/>
    </w:rPr>
  </w:style>
  <w:style w:type="character" w:customStyle="1" w:styleId="60">
    <w:name w:val="ca-6"/>
    <w:basedOn w:val="44"/>
    <w:qFormat/>
    <w:uiPriority w:val="0"/>
  </w:style>
  <w:style w:type="paragraph" w:customStyle="1" w:styleId="61">
    <w:name w:val="Char"/>
    <w:basedOn w:val="1"/>
    <w:qFormat/>
    <w:uiPriority w:val="0"/>
    <w:pPr>
      <w:widowControl/>
      <w:spacing w:after="160" w:line="240" w:lineRule="exact"/>
      <w:jc w:val="left"/>
    </w:pPr>
  </w:style>
  <w:style w:type="paragraph" w:customStyle="1" w:styleId="62">
    <w:name w:val="pa-12"/>
    <w:basedOn w:val="1"/>
    <w:qFormat/>
    <w:uiPriority w:val="0"/>
    <w:pPr>
      <w:widowControl/>
      <w:spacing w:before="150" w:after="150"/>
      <w:jc w:val="left"/>
    </w:pPr>
    <w:rPr>
      <w:rFonts w:ascii="宋体" w:hAnsi="宋体" w:cs="宋体"/>
      <w:kern w:val="0"/>
      <w:sz w:val="24"/>
    </w:rPr>
  </w:style>
  <w:style w:type="paragraph" w:customStyle="1" w:styleId="6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5">
    <w:name w:val="Default Text:1"/>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6">
    <w:name w:val="纯文本 字符"/>
    <w:basedOn w:val="44"/>
    <w:link w:val="21"/>
    <w:qFormat/>
    <w:uiPriority w:val="0"/>
    <w:rPr>
      <w:rFonts w:ascii="宋体" w:hAnsi="Courier New" w:eastAsia="宋体" w:cs="Times New Roman"/>
      <w:szCs w:val="20"/>
    </w:rPr>
  </w:style>
  <w:style w:type="character" w:customStyle="1" w:styleId="67">
    <w:name w:val="HTML 预设格式 字符"/>
    <w:basedOn w:val="44"/>
    <w:link w:val="38"/>
    <w:qFormat/>
    <w:uiPriority w:val="0"/>
    <w:rPr>
      <w:rFonts w:ascii="宋体" w:hAnsi="宋体" w:eastAsia="宋体" w:cs="宋体"/>
      <w:kern w:val="0"/>
      <w:sz w:val="24"/>
      <w:szCs w:val="24"/>
    </w:rPr>
  </w:style>
  <w:style w:type="paragraph" w:customStyle="1" w:styleId="6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69">
    <w:name w:val="正文文本缩进 3 字符"/>
    <w:basedOn w:val="44"/>
    <w:link w:val="35"/>
    <w:qFormat/>
    <w:uiPriority w:val="0"/>
    <w:rPr>
      <w:rFonts w:ascii="Times New Roman" w:hAnsi="Times New Roman" w:eastAsia="宋体" w:cs="Times New Roman"/>
      <w:sz w:val="16"/>
      <w:szCs w:val="16"/>
    </w:rPr>
  </w:style>
  <w:style w:type="character" w:customStyle="1" w:styleId="70">
    <w:name w:val="日期 字符"/>
    <w:basedOn w:val="44"/>
    <w:link w:val="23"/>
    <w:qFormat/>
    <w:uiPriority w:val="0"/>
    <w:rPr>
      <w:rFonts w:ascii="Times New Roman" w:hAnsi="Times New Roman" w:eastAsia="宋体" w:cs="Times New Roman"/>
      <w:szCs w:val="24"/>
    </w:rPr>
  </w:style>
  <w:style w:type="character" w:customStyle="1" w:styleId="71">
    <w:name w:val="正文文本 字符"/>
    <w:basedOn w:val="44"/>
    <w:link w:val="16"/>
    <w:semiHidden/>
    <w:qFormat/>
    <w:uiPriority w:val="99"/>
    <w:rPr>
      <w:rFonts w:ascii="Times New Roman" w:hAnsi="Times New Roman" w:eastAsia="宋体" w:cs="Times New Roman"/>
      <w:szCs w:val="24"/>
    </w:rPr>
  </w:style>
  <w:style w:type="character" w:customStyle="1" w:styleId="72">
    <w:name w:val="正文文本缩进 2 字符"/>
    <w:basedOn w:val="44"/>
    <w:link w:val="24"/>
    <w:qFormat/>
    <w:uiPriority w:val="0"/>
    <w:rPr>
      <w:rFonts w:ascii="宋体" w:hAnsi="宋体" w:eastAsia="宋体" w:cs="Times New Roman"/>
      <w:bCs/>
      <w:color w:val="000000"/>
      <w:sz w:val="28"/>
      <w:szCs w:val="24"/>
    </w:rPr>
  </w:style>
  <w:style w:type="character" w:customStyle="1" w:styleId="73">
    <w:name w:val="正文文本缩进 字符"/>
    <w:basedOn w:val="44"/>
    <w:link w:val="17"/>
    <w:qFormat/>
    <w:uiPriority w:val="0"/>
    <w:rPr>
      <w:rFonts w:ascii="Times New Roman" w:hAnsi="Times New Roman" w:eastAsia="宋体" w:cs="Times New Roman"/>
      <w:sz w:val="32"/>
      <w:szCs w:val="24"/>
    </w:rPr>
  </w:style>
  <w:style w:type="paragraph" w:customStyle="1" w:styleId="74">
    <w:name w:val="_Style 16"/>
    <w:basedOn w:val="1"/>
    <w:next w:val="21"/>
    <w:qFormat/>
    <w:uiPriority w:val="0"/>
    <w:rPr>
      <w:rFonts w:ascii="宋体" w:hAnsi="Courier New"/>
      <w:szCs w:val="20"/>
    </w:rPr>
  </w:style>
  <w:style w:type="paragraph" w:customStyle="1" w:styleId="7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6">
    <w:name w:val="¨¨¡À¨º???¡À?"/>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7">
    <w:name w:val="words"/>
    <w:basedOn w:val="1"/>
    <w:qFormat/>
    <w:uiPriority w:val="0"/>
    <w:pPr>
      <w:widowControl/>
      <w:spacing w:line="240" w:lineRule="atLeast"/>
      <w:jc w:val="left"/>
    </w:pPr>
    <w:rPr>
      <w:rFonts w:ascii="ˎ̥" w:hAnsi="ˎ̥" w:cs="宋体"/>
      <w:color w:val="333333"/>
      <w:kern w:val="0"/>
      <w:sz w:val="14"/>
      <w:szCs w:val="14"/>
    </w:rPr>
  </w:style>
  <w:style w:type="character" w:customStyle="1" w:styleId="78">
    <w:name w:val="ca-1"/>
    <w:qFormat/>
    <w:uiPriority w:val="0"/>
  </w:style>
  <w:style w:type="paragraph" w:styleId="79">
    <w:name w:val="List Paragraph"/>
    <w:basedOn w:val="1"/>
    <w:qFormat/>
    <w:uiPriority w:val="34"/>
    <w:pPr>
      <w:ind w:firstLine="420" w:firstLineChars="200"/>
    </w:pPr>
  </w:style>
  <w:style w:type="character" w:customStyle="1" w:styleId="80">
    <w:name w:val="qxdate"/>
    <w:basedOn w:val="44"/>
    <w:qFormat/>
    <w:uiPriority w:val="0"/>
    <w:rPr>
      <w:color w:val="333333"/>
      <w:sz w:val="12"/>
      <w:szCs w:val="12"/>
    </w:rPr>
  </w:style>
  <w:style w:type="character" w:customStyle="1" w:styleId="81">
    <w:name w:val="redfilefwwh"/>
    <w:basedOn w:val="44"/>
    <w:qFormat/>
    <w:uiPriority w:val="0"/>
    <w:rPr>
      <w:color w:val="BA2636"/>
      <w:sz w:val="12"/>
      <w:szCs w:val="12"/>
    </w:rPr>
  </w:style>
  <w:style w:type="character" w:customStyle="1" w:styleId="82">
    <w:name w:val="next"/>
    <w:basedOn w:val="44"/>
    <w:qFormat/>
    <w:uiPriority w:val="0"/>
    <w:rPr>
      <w:rFonts w:ascii="微软雅黑" w:hAnsi="微软雅黑" w:eastAsia="微软雅黑" w:cs="微软雅黑"/>
      <w:sz w:val="14"/>
      <w:szCs w:val="14"/>
    </w:rPr>
  </w:style>
  <w:style w:type="character" w:customStyle="1" w:styleId="83">
    <w:name w:val="cfdate"/>
    <w:basedOn w:val="44"/>
    <w:qFormat/>
    <w:uiPriority w:val="0"/>
    <w:rPr>
      <w:color w:val="333333"/>
      <w:sz w:val="12"/>
      <w:szCs w:val="12"/>
    </w:rPr>
  </w:style>
  <w:style w:type="character" w:customStyle="1" w:styleId="84">
    <w:name w:val="redfilenumber"/>
    <w:basedOn w:val="44"/>
    <w:qFormat/>
    <w:uiPriority w:val="0"/>
    <w:rPr>
      <w:color w:val="BA2636"/>
      <w:sz w:val="12"/>
      <w:szCs w:val="12"/>
    </w:rPr>
  </w:style>
  <w:style w:type="character" w:customStyle="1" w:styleId="85">
    <w:name w:val="gjfg"/>
    <w:basedOn w:val="44"/>
    <w:qFormat/>
    <w:uiPriority w:val="0"/>
  </w:style>
  <w:style w:type="character" w:customStyle="1" w:styleId="86">
    <w:name w:val="displayarti"/>
    <w:basedOn w:val="44"/>
    <w:qFormat/>
    <w:uiPriority w:val="0"/>
    <w:rPr>
      <w:color w:val="FFFFFF"/>
      <w:shd w:val="clear" w:color="auto" w:fill="A00000"/>
    </w:rPr>
  </w:style>
  <w:style w:type="character" w:customStyle="1" w:styleId="87">
    <w:name w:val="prev2"/>
    <w:basedOn w:val="44"/>
    <w:qFormat/>
    <w:uiPriority w:val="0"/>
    <w:rPr>
      <w:rFonts w:hint="eastAsia" w:ascii="微软雅黑" w:hAnsi="微软雅黑" w:eastAsia="微软雅黑" w:cs="微软雅黑"/>
      <w:sz w:val="14"/>
      <w:szCs w:val="14"/>
    </w:rPr>
  </w:style>
  <w:style w:type="character" w:customStyle="1" w:styleId="88">
    <w:name w:val="prev3"/>
    <w:basedOn w:val="44"/>
    <w:qFormat/>
    <w:uiPriority w:val="0"/>
    <w:rPr>
      <w:color w:val="888888"/>
    </w:rPr>
  </w:style>
  <w:style w:type="character" w:customStyle="1" w:styleId="89">
    <w:name w:val="next2"/>
    <w:basedOn w:val="44"/>
    <w:qFormat/>
    <w:uiPriority w:val="0"/>
    <w:rPr>
      <w:rFonts w:hint="eastAsia" w:ascii="微软雅黑" w:hAnsi="微软雅黑" w:eastAsia="微软雅黑" w:cs="微软雅黑"/>
      <w:sz w:val="14"/>
      <w:szCs w:val="14"/>
    </w:rPr>
  </w:style>
  <w:style w:type="character" w:customStyle="1" w:styleId="90">
    <w:name w:val="next3"/>
    <w:basedOn w:val="44"/>
    <w:qFormat/>
    <w:uiPriority w:val="0"/>
    <w:rPr>
      <w:color w:val="888888"/>
    </w:rPr>
  </w:style>
  <w:style w:type="paragraph" w:customStyle="1" w:styleId="91">
    <w:name w:val="图"/>
    <w:basedOn w:val="1"/>
    <w:qFormat/>
    <w:uiPriority w:val="0"/>
    <w:pPr>
      <w:keepNext/>
      <w:adjustRightInd w:val="0"/>
      <w:spacing w:before="60" w:after="60" w:line="300" w:lineRule="auto"/>
      <w:jc w:val="center"/>
      <w:textAlignment w:val="center"/>
    </w:pPr>
    <w:rPr>
      <w:snapToGrid w:val="0"/>
      <w:spacing w:val="20"/>
      <w:kern w:val="0"/>
      <w:szCs w:val="20"/>
    </w:rPr>
  </w:style>
  <w:style w:type="paragraph" w:customStyle="1" w:styleId="92">
    <w:name w:val="_Style 3"/>
    <w:basedOn w:val="1"/>
    <w:qFormat/>
    <w:uiPriority w:val="0"/>
    <w:pPr>
      <w:widowControl/>
      <w:ind w:firstLine="420" w:firstLineChars="200"/>
      <w:jc w:val="left"/>
    </w:pPr>
    <w:rPr>
      <w:rFonts w:ascii="Calibri" w:hAnsi="Calibri"/>
      <w:snapToGrid w:val="0"/>
      <w:kern w:val="0"/>
      <w:sz w:val="20"/>
    </w:rPr>
  </w:style>
  <w:style w:type="paragraph" w:customStyle="1" w:styleId="93">
    <w:name w:val="样式1"/>
    <w:basedOn w:val="1"/>
    <w:qFormat/>
    <w:uiPriority w:val="0"/>
    <w:pPr>
      <w:numPr>
        <w:ilvl w:val="0"/>
        <w:numId w:val="1"/>
      </w:numPr>
      <w:tabs>
        <w:tab w:val="left" w:pos="709"/>
      </w:tabs>
      <w:adjustRightInd w:val="0"/>
      <w:textAlignment w:val="baseline"/>
    </w:pPr>
    <w:rPr>
      <w:rFonts w:ascii="宋体" w:hAnsi="宋体"/>
      <w:kern w:val="0"/>
      <w:szCs w:val="21"/>
    </w:rPr>
  </w:style>
  <w:style w:type="paragraph" w:customStyle="1" w:styleId="94">
    <w:name w:val="样式 仿宋_GB2312 (符号) 宋体 小四 黑色 行距: 1.5 倍行距 首行缩进:  2 字符"/>
    <w:basedOn w:val="1"/>
    <w:qFormat/>
    <w:uiPriority w:val="0"/>
    <w:pPr>
      <w:ind w:firstLine="480" w:firstLineChars="200"/>
    </w:pPr>
    <w:rPr>
      <w:rFonts w:ascii="Verdana" w:hAnsi="Cambria" w:eastAsia="Times New Roman" w:cs="Verdana"/>
      <w:color w:val="000000"/>
      <w:sz w:val="28"/>
      <w:szCs w:val="28"/>
    </w:rPr>
  </w:style>
  <w:style w:type="paragraph" w:customStyle="1" w:styleId="95">
    <w:name w:val="正文文本1"/>
    <w:basedOn w:val="1"/>
    <w:qFormat/>
    <w:uiPriority w:val="0"/>
    <w:pPr>
      <w:ind w:left="700" w:hanging="700" w:hangingChars="250"/>
    </w:pPr>
    <w:rPr>
      <w:rFonts w:ascii="Verdana" w:hAnsi="楷体" w:eastAsia="Times New Roman" w:cs="Verdana"/>
      <w:color w:val="000000"/>
      <w:sz w:val="28"/>
      <w:szCs w:val="28"/>
    </w:rPr>
  </w:style>
  <w:style w:type="paragraph" w:customStyle="1" w:styleId="96">
    <w:name w:val="Normal no space after"/>
    <w:basedOn w:val="1"/>
    <w:qFormat/>
    <w:uiPriority w:val="0"/>
    <w:pPr>
      <w:widowControl/>
      <w:tabs>
        <w:tab w:val="left" w:pos="284"/>
        <w:tab w:val="left" w:pos="567"/>
      </w:tabs>
      <w:spacing w:line="280" w:lineRule="atLeast"/>
      <w:jc w:val="left"/>
    </w:pPr>
    <w:rPr>
      <w:rFonts w:ascii="Frutiger Roman" w:hAnsi="Frutiger Roman"/>
      <w:kern w:val="0"/>
      <w:sz w:val="20"/>
      <w:szCs w:val="20"/>
      <w:lang w:eastAsia="en-US"/>
    </w:rPr>
  </w:style>
  <w:style w:type="character" w:customStyle="1" w:styleId="97">
    <w:name w:val="font01"/>
    <w:basedOn w:val="44"/>
    <w:qFormat/>
    <w:uiPriority w:val="0"/>
    <w:rPr>
      <w:rFonts w:hint="eastAsia" w:ascii="宋体" w:hAnsi="宋体" w:eastAsia="宋体" w:cs="宋体"/>
      <w:color w:val="000000"/>
      <w:sz w:val="22"/>
      <w:szCs w:val="22"/>
      <w:u w:val="none"/>
    </w:rPr>
  </w:style>
  <w:style w:type="character" w:customStyle="1" w:styleId="98">
    <w:name w:val="font11"/>
    <w:basedOn w:val="44"/>
    <w:qFormat/>
    <w:uiPriority w:val="0"/>
    <w:rPr>
      <w:rFonts w:hint="eastAsia" w:ascii="宋体" w:hAnsi="宋体" w:eastAsia="宋体" w:cs="宋体"/>
      <w:color w:val="000000"/>
      <w:sz w:val="22"/>
      <w:szCs w:val="22"/>
      <w:u w:val="none"/>
    </w:rPr>
  </w:style>
  <w:style w:type="character" w:customStyle="1" w:styleId="99">
    <w:name w:val="font41"/>
    <w:basedOn w:val="44"/>
    <w:qFormat/>
    <w:uiPriority w:val="0"/>
    <w:rPr>
      <w:rFonts w:hint="eastAsia" w:ascii="宋体" w:hAnsi="宋体" w:eastAsia="宋体" w:cs="宋体"/>
      <w:color w:val="000000"/>
      <w:sz w:val="22"/>
      <w:szCs w:val="22"/>
      <w:u w:val="none"/>
    </w:rPr>
  </w:style>
  <w:style w:type="character" w:customStyle="1" w:styleId="100">
    <w:name w:val="NormalCharacter"/>
    <w:link w:val="101"/>
    <w:qFormat/>
    <w:uiPriority w:val="0"/>
  </w:style>
  <w:style w:type="paragraph" w:customStyle="1" w:styleId="101">
    <w:name w:val="UserStyle_5"/>
    <w:basedOn w:val="1"/>
    <w:link w:val="100"/>
    <w:qFormat/>
    <w:uiPriority w:val="0"/>
    <w:pPr>
      <w:widowControl/>
      <w:spacing w:after="160" w:line="240" w:lineRule="exact"/>
      <w:jc w:val="left"/>
      <w:textAlignment w:val="baseline"/>
    </w:pPr>
  </w:style>
  <w:style w:type="paragraph" w:customStyle="1" w:styleId="102">
    <w:name w:val="UserStyle_2"/>
    <w:basedOn w:val="1"/>
    <w:link w:val="100"/>
    <w:qFormat/>
    <w:uiPriority w:val="0"/>
    <w:pPr>
      <w:textAlignment w:val="baseline"/>
    </w:pPr>
    <w:rPr>
      <w:rFonts w:cstheme="minorBidi"/>
    </w:rPr>
  </w:style>
  <w:style w:type="paragraph" w:styleId="103">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104">
    <w:name w:val="批注框文本 字符"/>
    <w:basedOn w:val="44"/>
    <w:link w:val="25"/>
    <w:semiHidden/>
    <w:qFormat/>
    <w:uiPriority w:val="99"/>
    <w:rPr>
      <w:rFonts w:ascii="Times New Roman" w:hAnsi="Times New Roman" w:eastAsia="宋体" w:cs="Times New Roman"/>
      <w:kern w:val="2"/>
      <w:sz w:val="18"/>
      <w:szCs w:val="18"/>
    </w:rPr>
  </w:style>
  <w:style w:type="paragraph" w:customStyle="1" w:styleId="105">
    <w:name w:val="列出段落1"/>
    <w:basedOn w:val="1"/>
    <w:qFormat/>
    <w:uiPriority w:val="34"/>
    <w:pPr>
      <w:ind w:firstLine="420" w:firstLineChars="200"/>
    </w:pPr>
  </w:style>
  <w:style w:type="paragraph" w:customStyle="1" w:styleId="106">
    <w:name w:val="Default"/>
    <w:next w:val="10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
    <w:name w:val="大标题"/>
    <w:basedOn w:val="1"/>
    <w:next w:val="18"/>
    <w:qFormat/>
    <w:uiPriority w:val="0"/>
    <w:pPr>
      <w:jc w:val="center"/>
    </w:pPr>
    <w:rPr>
      <w:rFonts w:ascii="Arial" w:hAnsi="Arial" w:eastAsia="宋体"/>
      <w:b/>
      <w:sz w:val="28"/>
      <w:szCs w:val="24"/>
    </w:rPr>
  </w:style>
  <w:style w:type="paragraph" w:customStyle="1" w:styleId="108">
    <w:name w:val="p0"/>
    <w:basedOn w:val="1"/>
    <w:qFormat/>
    <w:uiPriority w:val="0"/>
    <w:rPr>
      <w:rFonts w:ascii="Times New Roman" w:hAnsi="Times New Roman"/>
      <w:kern w:val="0"/>
    </w:rPr>
  </w:style>
  <w:style w:type="paragraph" w:customStyle="1" w:styleId="109">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10">
    <w:name w:val="正文 A"/>
    <w:qFormat/>
    <w:uiPriority w:val="0"/>
    <w:pPr>
      <w:framePr w:wrap="around" w:vAnchor="margin" w:hAnchor="text" w:yAlign="top"/>
      <w:widowControl w:val="0"/>
      <w:jc w:val="both"/>
    </w:pPr>
    <w:rPr>
      <w:rFonts w:ascii="Calibri" w:hAnsi="Calibri" w:eastAsia="Calibri" w:cs="Calibri"/>
      <w:color w:val="000000"/>
      <w:kern w:val="2"/>
      <w:sz w:val="21"/>
      <w:szCs w:val="21"/>
      <w:u w:color="000000"/>
      <w:lang w:val="en-US" w:eastAsia="zh-CN" w:bidi="ar-SA"/>
    </w:rPr>
  </w:style>
  <w:style w:type="character" w:customStyle="1" w:styleId="111">
    <w:name w:val="a0"/>
    <w:qFormat/>
    <w:uiPriority w:val="0"/>
  </w:style>
  <w:style w:type="paragraph" w:customStyle="1" w:styleId="112">
    <w:name w:val="列表段落1"/>
    <w:basedOn w:val="1"/>
    <w:qFormat/>
    <w:uiPriority w:val="34"/>
    <w:pPr>
      <w:ind w:firstLine="420" w:firstLineChars="200"/>
    </w:pPr>
  </w:style>
  <w:style w:type="character" w:customStyle="1" w:styleId="113">
    <w:name w:val="font111"/>
    <w:qFormat/>
    <w:uiPriority w:val="0"/>
    <w:rPr>
      <w:rFonts w:hint="eastAsia" w:ascii="宋体" w:hAnsi="宋体" w:eastAsia="宋体" w:cs="宋体"/>
      <w:b/>
      <w:bCs/>
      <w:color w:val="000000"/>
      <w:sz w:val="36"/>
      <w:szCs w:val="36"/>
      <w:u w:val="none"/>
    </w:rPr>
  </w:style>
  <w:style w:type="character" w:customStyle="1" w:styleId="114">
    <w:name w:val="font141"/>
    <w:qFormat/>
    <w:uiPriority w:val="0"/>
    <w:rPr>
      <w:rFonts w:hint="eastAsia" w:ascii="宋体" w:hAnsi="宋体" w:eastAsia="宋体" w:cs="宋体"/>
      <w:b/>
      <w:bCs/>
      <w:color w:val="000000"/>
      <w:sz w:val="36"/>
      <w:szCs w:val="36"/>
      <w:u w:val="none"/>
    </w:rPr>
  </w:style>
  <w:style w:type="paragraph" w:customStyle="1" w:styleId="115">
    <w:name w:val="列出段落2"/>
    <w:basedOn w:val="1"/>
    <w:qFormat/>
    <w:uiPriority w:val="0"/>
    <w:pPr>
      <w:ind w:firstLine="420" w:firstLineChars="200"/>
    </w:pPr>
    <w:rPr>
      <w:rFonts w:ascii="Calibri" w:hAnsi="Calibri"/>
      <w:szCs w:val="22"/>
    </w:rPr>
  </w:style>
  <w:style w:type="paragraph" w:customStyle="1" w:styleId="116">
    <w:name w:val="Table Text"/>
    <w:basedOn w:val="1"/>
    <w:semiHidden/>
    <w:qFormat/>
    <w:uiPriority w:val="0"/>
    <w:rPr>
      <w:rFonts w:ascii="宋体" w:hAnsi="宋体" w:eastAsia="宋体" w:cs="宋体"/>
      <w:sz w:val="24"/>
      <w:szCs w:val="24"/>
      <w:lang w:val="en-US" w:eastAsia="en-US" w:bidi="ar-SA"/>
    </w:rPr>
  </w:style>
  <w:style w:type="table" w:customStyle="1" w:styleId="117">
    <w:name w:val="Table Normal"/>
    <w:semiHidden/>
    <w:unhideWhenUsed/>
    <w:qFormat/>
    <w:uiPriority w:val="0"/>
    <w:tblPr>
      <w:tblCellMar>
        <w:top w:w="0" w:type="dxa"/>
        <w:left w:w="0" w:type="dxa"/>
        <w:bottom w:w="0" w:type="dxa"/>
        <w:right w:w="0" w:type="dxa"/>
      </w:tblCellMar>
    </w:tblPr>
  </w:style>
  <w:style w:type="paragraph" w:customStyle="1" w:styleId="118">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20">
    <w:name w:val="纯文本1"/>
    <w:basedOn w:val="1"/>
    <w:qFormat/>
    <w:uiPriority w:val="0"/>
    <w:rPr>
      <w:rFonts w:ascii="宋体" w:hAnsi="Courier New"/>
      <w:kern w:val="0"/>
      <w:sz w:val="20"/>
      <w:szCs w:val="20"/>
    </w:rPr>
  </w:style>
  <w:style w:type="character" w:customStyle="1" w:styleId="121">
    <w:name w:val="标题 Char"/>
    <w:link w:val="40"/>
    <w:qFormat/>
    <w:uiPriority w:val="0"/>
    <w:rPr>
      <w:rFonts w:ascii="宋体" w:hAnsi="宋体" w:eastAsia="楷体"/>
      <w:b/>
      <w:bCs/>
      <w:kern w:val="44"/>
      <w:sz w:val="84"/>
      <w:szCs w:val="44"/>
    </w:rPr>
  </w:style>
  <w:style w:type="paragraph" w:customStyle="1" w:styleId="122">
    <w:name w:val="正文文本缩进_2"/>
    <w:qFormat/>
    <w:uiPriority w:val="0"/>
    <w:pPr>
      <w:widowControl w:val="0"/>
      <w:spacing w:line="500" w:lineRule="exact"/>
      <w:ind w:left="1588" w:leftChars="832" w:firstLine="433" w:firstLineChars="196"/>
      <w:jc w:val="both"/>
    </w:pPr>
    <w:rPr>
      <w:rFonts w:ascii="Times New Roman" w:hAnsi="Times New Roman" w:eastAsia="宋体" w:cs="Times New Roman"/>
      <w:kern w:val="0"/>
      <w:sz w:val="24"/>
      <w:szCs w:val="24"/>
      <w:lang w:val="en-US" w:eastAsia="zh-CN" w:bidi="ar-SA"/>
    </w:rPr>
  </w:style>
  <w:style w:type="paragraph" w:customStyle="1" w:styleId="123">
    <w:name w:val="正文_0_0_0"/>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A9748-C11D-4866-B345-639764CE26A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1479</Words>
  <Characters>1729</Characters>
  <Lines>247</Lines>
  <Paragraphs>69</Paragraphs>
  <TotalTime>0</TotalTime>
  <ScaleCrop>false</ScaleCrop>
  <LinksUpToDate>false</LinksUpToDate>
  <CharactersWithSpaces>1816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2020-01-31T05:35:00Z</dcterms:created>
  <dc:creator>lenovo</dc:creator>
  <cp:lastModifiedBy>张圆圆的圆。</cp:lastModifiedBy>
  <cp:lastPrinted>2022-04-19T11:32:00Z</cp:lastPrinted>
  <dcterms:modified xsi:type="dcterms:W3CDTF">2026-06-05T10:31:43Z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0E59D6E7F9B54DE2B22380C8E479A970_13</vt:lpwstr>
  </property>
  <property fmtid="{D5CDD505-2E9C-101B-9397-08002B2CF9AE}" pid="4" name="KSOTemplateDocerSaveRecord">
    <vt:lpwstr>eyJoZGlkIjoiNTIyNTkzNDEwNmIwOWMwN2Q1YWRmZTJmODI5MmRhODkiLCJ1c2VySWQiOiIxMTI0MzczNTAzIn0=</vt:lpwstr>
  </property>
</Properties>
</file>