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4DC226">
      <w:pPr>
        <w:spacing w:line="360" w:lineRule="auto"/>
        <w:jc w:val="center"/>
        <w:rPr>
          <w:rFonts w:hint="eastAsia" w:ascii="宋体" w:hAnsi="宋体" w:eastAsia="宋体" w:cs="宋体"/>
          <w:b/>
          <w:color w:val="auto"/>
          <w:sz w:val="24"/>
          <w:highlight w:val="none"/>
        </w:rPr>
      </w:pPr>
    </w:p>
    <w:p w14:paraId="5E84D8E9">
      <w:pPr>
        <w:adjustRightInd/>
        <w:spacing w:line="360" w:lineRule="auto"/>
        <w:jc w:val="center"/>
        <w:rPr>
          <w:rFonts w:hint="eastAsia" w:ascii="宋体" w:hAnsi="宋体" w:eastAsia="宋体" w:cs="宋体"/>
          <w:b/>
          <w:color w:val="auto"/>
          <w:sz w:val="48"/>
          <w:szCs w:val="48"/>
          <w:highlight w:val="none"/>
        </w:rPr>
      </w:pPr>
    </w:p>
    <w:p w14:paraId="76167CD1">
      <w:pPr>
        <w:adjustRightInd/>
        <w:spacing w:line="360" w:lineRule="auto"/>
        <w:jc w:val="center"/>
        <w:rPr>
          <w:rFonts w:hint="eastAsia" w:ascii="宋体" w:hAnsi="宋体" w:eastAsia="宋体" w:cs="宋体"/>
          <w:b/>
          <w:bCs/>
          <w:color w:val="auto"/>
          <w:sz w:val="48"/>
          <w:szCs w:val="48"/>
          <w:highlight w:val="none"/>
          <w:lang w:eastAsia="zh-CN"/>
        </w:rPr>
      </w:pPr>
      <w:r>
        <w:rPr>
          <w:rFonts w:hint="eastAsia" w:ascii="宋体" w:hAnsi="宋体" w:cs="宋体"/>
          <w:b/>
          <w:bCs/>
          <w:color w:val="auto"/>
          <w:sz w:val="48"/>
          <w:szCs w:val="48"/>
          <w:highlight w:val="none"/>
          <w:lang w:eastAsia="zh-CN"/>
        </w:rPr>
        <w:t>浙江省工商业联合会浙里惠企政策精准直达系统</w:t>
      </w:r>
      <w:r>
        <w:rPr>
          <w:rFonts w:hint="eastAsia" w:ascii="宋体" w:hAnsi="宋体" w:eastAsia="宋体" w:cs="宋体"/>
          <w:b/>
          <w:bCs/>
          <w:color w:val="auto"/>
          <w:sz w:val="48"/>
          <w:szCs w:val="48"/>
          <w:highlight w:val="none"/>
          <w:lang w:eastAsia="zh-CN"/>
        </w:rPr>
        <w:t>项目</w:t>
      </w:r>
    </w:p>
    <w:p w14:paraId="77B1F35B">
      <w:pPr>
        <w:pStyle w:val="33"/>
        <w:spacing w:line="360" w:lineRule="auto"/>
        <w:rPr>
          <w:rFonts w:hint="eastAsia" w:ascii="宋体" w:hAnsi="宋体" w:eastAsia="宋体" w:cs="宋体"/>
          <w:color w:val="auto"/>
          <w:highlight w:val="none"/>
          <w:lang w:eastAsia="zh-CN"/>
        </w:rPr>
      </w:pPr>
    </w:p>
    <w:p w14:paraId="26166E5A">
      <w:pPr>
        <w:adjustRightInd/>
        <w:spacing w:line="360" w:lineRule="auto"/>
        <w:jc w:val="center"/>
        <w:rPr>
          <w:rFonts w:hint="eastAsia" w:ascii="宋体" w:hAnsi="宋体" w:eastAsia="宋体" w:cs="宋体"/>
          <w:color w:val="auto"/>
          <w:sz w:val="48"/>
          <w:szCs w:val="48"/>
          <w:highlight w:val="none"/>
        </w:rPr>
      </w:pPr>
      <w:r>
        <w:rPr>
          <w:rFonts w:hint="eastAsia" w:ascii="宋体" w:hAnsi="宋体" w:eastAsia="宋体" w:cs="宋体"/>
          <w:color w:val="auto"/>
          <w:sz w:val="72"/>
          <w:szCs w:val="72"/>
          <w:highlight w:val="none"/>
        </w:rPr>
        <w:t>招标文件</w:t>
      </w:r>
      <w:r>
        <w:rPr>
          <w:rFonts w:hint="eastAsia" w:ascii="宋体" w:hAnsi="宋体" w:eastAsia="宋体" w:cs="宋体"/>
          <w:color w:val="auto"/>
          <w:sz w:val="48"/>
          <w:szCs w:val="48"/>
          <w:highlight w:val="none"/>
        </w:rPr>
        <w:t xml:space="preserve"> </w:t>
      </w:r>
    </w:p>
    <w:p w14:paraId="2F650EF9">
      <w:pPr>
        <w:adjustRightInd/>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 xml:space="preserve"> （电子招投标）</w:t>
      </w:r>
    </w:p>
    <w:p w14:paraId="3A4193C7">
      <w:pPr>
        <w:snapToGrid w:val="0"/>
        <w:spacing w:line="360" w:lineRule="auto"/>
        <w:jc w:val="center"/>
        <w:rPr>
          <w:rFonts w:hint="eastAsia" w:ascii="宋体" w:hAnsi="宋体" w:eastAsia="宋体" w:cs="宋体"/>
          <w:color w:val="auto"/>
          <w:sz w:val="30"/>
          <w:szCs w:val="30"/>
          <w:highlight w:val="none"/>
          <w:lang w:val="en-US" w:eastAsia="zh-CN"/>
        </w:rPr>
      </w:pPr>
    </w:p>
    <w:p w14:paraId="55EEA418">
      <w:pPr>
        <w:snapToGrid w:val="0"/>
        <w:spacing w:line="360" w:lineRule="auto"/>
        <w:jc w:val="both"/>
        <w:rPr>
          <w:rFonts w:hint="eastAsia" w:ascii="宋体" w:hAnsi="宋体" w:eastAsia="宋体" w:cs="宋体"/>
          <w:color w:val="auto"/>
          <w:sz w:val="30"/>
          <w:szCs w:val="30"/>
          <w:highlight w:val="none"/>
        </w:rPr>
      </w:pPr>
    </w:p>
    <w:p w14:paraId="3F6C7AEF">
      <w:pPr>
        <w:adjustRightInd/>
        <w:spacing w:line="360" w:lineRule="auto"/>
        <w:rPr>
          <w:rFonts w:hint="eastAsia" w:ascii="宋体" w:hAnsi="宋体" w:eastAsia="宋体" w:cs="宋体"/>
          <w:color w:val="auto"/>
          <w:sz w:val="28"/>
          <w:szCs w:val="20"/>
          <w:highlight w:val="none"/>
        </w:rPr>
      </w:pPr>
    </w:p>
    <w:p w14:paraId="5409FF00">
      <w:pPr>
        <w:pageBreakBefore w:val="0"/>
        <w:shd w:val="clear" w:color="auto" w:fill="auto"/>
        <w:kinsoku/>
        <w:overflowPunct/>
        <w:topLinePunct w:val="0"/>
        <w:bidi w:val="0"/>
        <w:adjustRightInd w:val="0"/>
        <w:snapToGrid w:val="0"/>
        <w:spacing w:line="360" w:lineRule="auto"/>
        <w:ind w:firstLine="578" w:firstLineChars="200"/>
        <w:rPr>
          <w:rFonts w:hint="eastAsia" w:ascii="宋体" w:hAnsi="宋体" w:eastAsia="宋体" w:cs="宋体"/>
          <w:b/>
          <w:color w:val="auto"/>
          <w:spacing w:val="-6"/>
          <w:sz w:val="30"/>
          <w:szCs w:val="30"/>
          <w:highlight w:val="none"/>
          <w:lang w:eastAsia="zh-CN"/>
        </w:rPr>
      </w:pPr>
      <w:r>
        <w:rPr>
          <w:rFonts w:hint="eastAsia" w:ascii="宋体" w:hAnsi="宋体" w:eastAsia="宋体" w:cs="宋体"/>
          <w:b/>
          <w:color w:val="auto"/>
          <w:spacing w:val="-6"/>
          <w:sz w:val="30"/>
          <w:szCs w:val="30"/>
          <w:highlight w:val="none"/>
        </w:rPr>
        <w:t>采购计划文号：临[2026]28716号</w:t>
      </w:r>
      <w:r>
        <w:rPr>
          <w:rFonts w:hint="eastAsia" w:ascii="宋体" w:hAnsi="宋体" w:cs="宋体"/>
          <w:b/>
          <w:color w:val="auto"/>
          <w:spacing w:val="-6"/>
          <w:sz w:val="30"/>
          <w:szCs w:val="30"/>
          <w:highlight w:val="none"/>
          <w:lang w:eastAsia="zh-CN"/>
        </w:rPr>
        <w:t>、[2026]28434号</w:t>
      </w:r>
      <w:r>
        <w:rPr>
          <w:rFonts w:hint="eastAsia" w:ascii="宋体" w:hAnsi="宋体" w:cs="宋体"/>
          <w:b/>
          <w:color w:val="auto"/>
          <w:spacing w:val="-6"/>
          <w:sz w:val="30"/>
          <w:szCs w:val="30"/>
          <w:highlight w:val="none"/>
          <w:lang w:val="en-US" w:eastAsia="zh-CN"/>
        </w:rPr>
        <w:t xml:space="preserve"> </w:t>
      </w:r>
    </w:p>
    <w:p w14:paraId="0369F898">
      <w:pPr>
        <w:pageBreakBefore w:val="0"/>
        <w:shd w:val="clear" w:color="auto" w:fill="auto"/>
        <w:kinsoku/>
        <w:overflowPunct/>
        <w:topLinePunct w:val="0"/>
        <w:bidi w:val="0"/>
        <w:adjustRightInd w:val="0"/>
        <w:snapToGrid w:val="0"/>
        <w:spacing w:line="360" w:lineRule="auto"/>
        <w:ind w:firstLine="578" w:firstLineChars="200"/>
        <w:rPr>
          <w:rFonts w:hint="eastAsia" w:ascii="宋体" w:hAnsi="宋体" w:eastAsia="宋体" w:cs="宋体"/>
          <w:b/>
          <w:color w:val="auto"/>
          <w:spacing w:val="-6"/>
          <w:sz w:val="30"/>
          <w:szCs w:val="30"/>
          <w:highlight w:val="none"/>
          <w:lang w:eastAsia="zh-CN"/>
        </w:rPr>
      </w:pPr>
      <w:r>
        <w:rPr>
          <w:rFonts w:hint="eastAsia" w:ascii="宋体" w:hAnsi="宋体" w:eastAsia="宋体" w:cs="宋体"/>
          <w:b/>
          <w:color w:val="auto"/>
          <w:spacing w:val="-6"/>
          <w:sz w:val="30"/>
          <w:szCs w:val="30"/>
          <w:highlight w:val="none"/>
        </w:rPr>
        <w:t>项目编</w:t>
      </w:r>
      <w:r>
        <w:rPr>
          <w:rFonts w:hint="eastAsia" w:ascii="宋体" w:hAnsi="宋体" w:cs="宋体"/>
          <w:b/>
          <w:color w:val="auto"/>
          <w:spacing w:val="-6"/>
          <w:sz w:val="30"/>
          <w:szCs w:val="30"/>
          <w:highlight w:val="none"/>
          <w:lang w:eastAsia="zh-CN"/>
        </w:rPr>
        <w:t>号：330000266080010000040</w:t>
      </w:r>
      <w:r>
        <w:rPr>
          <w:rFonts w:hint="eastAsia" w:ascii="宋体" w:hAnsi="宋体" w:cs="宋体"/>
          <w:b/>
          <w:color w:val="auto"/>
          <w:spacing w:val="-6"/>
          <w:sz w:val="30"/>
          <w:szCs w:val="30"/>
          <w:highlight w:val="none"/>
          <w:lang w:val="en-US" w:eastAsia="zh-CN"/>
        </w:rPr>
        <w:t>-</w:t>
      </w:r>
      <w:r>
        <w:rPr>
          <w:rFonts w:hint="eastAsia" w:ascii="宋体" w:hAnsi="宋体" w:cs="宋体"/>
          <w:b/>
          <w:color w:val="auto"/>
          <w:spacing w:val="-6"/>
          <w:sz w:val="30"/>
          <w:szCs w:val="30"/>
          <w:highlight w:val="none"/>
          <w:lang w:eastAsia="zh-CN"/>
        </w:rPr>
        <w:fldChar w:fldCharType="begin"/>
      </w:r>
      <w:r>
        <w:rPr>
          <w:rFonts w:hint="eastAsia" w:ascii="宋体" w:hAnsi="宋体" w:cs="宋体"/>
          <w:b/>
          <w:color w:val="auto"/>
          <w:spacing w:val="-6"/>
          <w:sz w:val="30"/>
          <w:szCs w:val="30"/>
          <w:highlight w:val="none"/>
          <w:lang w:eastAsia="zh-CN"/>
        </w:rPr>
        <w:instrText xml:space="preserve"> HYPERLINK "javascript:void(0)" \o "ZJ-2621091" </w:instrText>
      </w:r>
      <w:r>
        <w:rPr>
          <w:rFonts w:hint="eastAsia" w:ascii="宋体" w:hAnsi="宋体" w:cs="宋体"/>
          <w:b/>
          <w:color w:val="auto"/>
          <w:spacing w:val="-6"/>
          <w:sz w:val="30"/>
          <w:szCs w:val="30"/>
          <w:highlight w:val="none"/>
          <w:lang w:eastAsia="zh-CN"/>
        </w:rPr>
        <w:fldChar w:fldCharType="separate"/>
      </w:r>
      <w:r>
        <w:rPr>
          <w:rFonts w:hint="eastAsia" w:ascii="宋体" w:hAnsi="宋体" w:cs="宋体"/>
          <w:b/>
          <w:color w:val="auto"/>
          <w:spacing w:val="-6"/>
          <w:sz w:val="30"/>
          <w:szCs w:val="30"/>
          <w:highlight w:val="none"/>
          <w:lang w:eastAsia="zh-CN"/>
        </w:rPr>
        <w:t>ZJ-2621091</w:t>
      </w:r>
      <w:r>
        <w:rPr>
          <w:rFonts w:hint="eastAsia" w:ascii="宋体" w:hAnsi="宋体" w:cs="宋体"/>
          <w:b/>
          <w:color w:val="auto"/>
          <w:spacing w:val="-6"/>
          <w:sz w:val="30"/>
          <w:szCs w:val="30"/>
          <w:highlight w:val="none"/>
          <w:lang w:eastAsia="zh-CN"/>
        </w:rPr>
        <w:fldChar w:fldCharType="end"/>
      </w:r>
    </w:p>
    <w:p w14:paraId="3E93125A">
      <w:pPr>
        <w:pageBreakBefore w:val="0"/>
        <w:shd w:val="clear" w:color="auto" w:fill="auto"/>
        <w:kinsoku/>
        <w:overflowPunct/>
        <w:topLinePunct w:val="0"/>
        <w:bidi w:val="0"/>
        <w:adjustRightInd w:val="0"/>
        <w:snapToGrid w:val="0"/>
        <w:spacing w:line="360" w:lineRule="auto"/>
        <w:ind w:firstLine="578" w:firstLineChars="200"/>
        <w:rPr>
          <w:rFonts w:hint="eastAsia" w:ascii="宋体" w:hAnsi="宋体" w:eastAsia="宋体" w:cs="宋体"/>
          <w:b/>
          <w:color w:val="auto"/>
          <w:spacing w:val="-6"/>
          <w:sz w:val="30"/>
          <w:szCs w:val="30"/>
          <w:highlight w:val="none"/>
          <w:lang w:eastAsia="zh-CN"/>
        </w:rPr>
      </w:pPr>
      <w:r>
        <w:rPr>
          <w:rFonts w:hint="eastAsia" w:ascii="宋体" w:hAnsi="宋体" w:eastAsia="宋体" w:cs="宋体"/>
          <w:b/>
          <w:color w:val="auto"/>
          <w:spacing w:val="-6"/>
          <w:sz w:val="30"/>
          <w:szCs w:val="30"/>
          <w:highlight w:val="none"/>
        </w:rPr>
        <w:t>项目名称：</w:t>
      </w:r>
      <w:r>
        <w:rPr>
          <w:rFonts w:hint="eastAsia" w:ascii="宋体" w:hAnsi="宋体" w:cs="宋体"/>
          <w:b/>
          <w:color w:val="auto"/>
          <w:spacing w:val="-6"/>
          <w:sz w:val="30"/>
          <w:szCs w:val="30"/>
          <w:highlight w:val="none"/>
          <w:lang w:eastAsia="zh-CN"/>
        </w:rPr>
        <w:t>浙江省工商业联合会浙里惠企政策精准直达系统</w:t>
      </w:r>
      <w:r>
        <w:rPr>
          <w:rFonts w:hint="eastAsia" w:ascii="宋体" w:hAnsi="宋体" w:eastAsia="宋体" w:cs="宋体"/>
          <w:b/>
          <w:color w:val="auto"/>
          <w:spacing w:val="-6"/>
          <w:sz w:val="30"/>
          <w:szCs w:val="30"/>
          <w:highlight w:val="none"/>
          <w:lang w:eastAsia="zh-CN"/>
        </w:rPr>
        <w:t>项目</w:t>
      </w:r>
    </w:p>
    <w:p w14:paraId="1840C009">
      <w:pPr>
        <w:pageBreakBefore w:val="0"/>
        <w:shd w:val="clear" w:color="auto" w:fill="auto"/>
        <w:kinsoku/>
        <w:overflowPunct/>
        <w:topLinePunct w:val="0"/>
        <w:bidi w:val="0"/>
        <w:adjustRightInd w:val="0"/>
        <w:snapToGrid w:val="0"/>
        <w:spacing w:line="360" w:lineRule="auto"/>
        <w:ind w:firstLine="578" w:firstLineChars="200"/>
        <w:rPr>
          <w:rFonts w:hint="eastAsia" w:ascii="宋体" w:hAnsi="宋体" w:eastAsia="宋体" w:cs="宋体"/>
          <w:b/>
          <w:color w:val="auto"/>
          <w:spacing w:val="-6"/>
          <w:sz w:val="30"/>
          <w:szCs w:val="30"/>
          <w:highlight w:val="none"/>
          <w:lang w:eastAsia="zh-CN"/>
        </w:rPr>
      </w:pPr>
      <w:r>
        <w:rPr>
          <w:rFonts w:hint="eastAsia" w:ascii="宋体" w:hAnsi="宋体" w:eastAsia="宋体" w:cs="宋体"/>
          <w:b/>
          <w:color w:val="auto"/>
          <w:spacing w:val="-6"/>
          <w:sz w:val="30"/>
          <w:szCs w:val="30"/>
          <w:highlight w:val="none"/>
        </w:rPr>
        <w:t>采 购 人：</w:t>
      </w:r>
      <w:r>
        <w:rPr>
          <w:rFonts w:hint="eastAsia" w:ascii="宋体" w:hAnsi="宋体" w:cs="宋体"/>
          <w:b/>
          <w:color w:val="auto"/>
          <w:spacing w:val="-6"/>
          <w:sz w:val="30"/>
          <w:szCs w:val="30"/>
          <w:highlight w:val="none"/>
          <w:lang w:eastAsia="zh-CN"/>
        </w:rPr>
        <w:t>浙江省工商业联合会</w:t>
      </w:r>
    </w:p>
    <w:p w14:paraId="422E46ED">
      <w:pPr>
        <w:pageBreakBefore w:val="0"/>
        <w:shd w:val="clear" w:color="auto" w:fill="auto"/>
        <w:kinsoku/>
        <w:overflowPunct/>
        <w:topLinePunct w:val="0"/>
        <w:bidi w:val="0"/>
        <w:adjustRightInd w:val="0"/>
        <w:snapToGrid w:val="0"/>
        <w:spacing w:line="360" w:lineRule="auto"/>
        <w:ind w:firstLine="578" w:firstLineChars="200"/>
        <w:rPr>
          <w:rFonts w:hint="eastAsia" w:ascii="宋体" w:hAnsi="宋体" w:eastAsia="宋体" w:cs="宋体"/>
          <w:b/>
          <w:color w:val="auto"/>
          <w:spacing w:val="-6"/>
          <w:sz w:val="30"/>
          <w:szCs w:val="30"/>
          <w:highlight w:val="none"/>
        </w:rPr>
      </w:pPr>
      <w:r>
        <w:rPr>
          <w:rFonts w:hint="eastAsia" w:ascii="宋体" w:hAnsi="宋体" w:eastAsia="宋体" w:cs="宋体"/>
          <w:b/>
          <w:color w:val="auto"/>
          <w:spacing w:val="-6"/>
          <w:sz w:val="30"/>
          <w:szCs w:val="30"/>
          <w:highlight w:val="none"/>
        </w:rPr>
        <w:t>采购代理机构：浙江国际招投标有限公司</w:t>
      </w:r>
    </w:p>
    <w:p w14:paraId="11036877">
      <w:pPr>
        <w:pStyle w:val="33"/>
        <w:spacing w:line="360" w:lineRule="auto"/>
        <w:rPr>
          <w:rFonts w:hint="eastAsia" w:ascii="宋体" w:hAnsi="宋体" w:eastAsia="宋体" w:cs="宋体"/>
          <w:color w:val="auto"/>
          <w:highlight w:val="none"/>
          <w:lang w:eastAsia="zh-CN"/>
        </w:rPr>
      </w:pPr>
    </w:p>
    <w:p w14:paraId="0CA2AC57">
      <w:pPr>
        <w:snapToGrid w:val="0"/>
        <w:spacing w:line="360" w:lineRule="auto"/>
        <w:jc w:val="center"/>
        <w:rPr>
          <w:rFonts w:hint="eastAsia" w:ascii="宋体" w:hAnsi="宋体" w:eastAsia="宋体" w:cs="宋体"/>
          <w:bCs/>
          <w:color w:val="auto"/>
          <w:sz w:val="32"/>
          <w:szCs w:val="32"/>
          <w:highlight w:val="none"/>
        </w:rPr>
      </w:pPr>
    </w:p>
    <w:p w14:paraId="7C69FB5F">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b/>
          <w:bCs w:val="0"/>
          <w:color w:val="auto"/>
          <w:sz w:val="32"/>
          <w:szCs w:val="32"/>
          <w:highlight w:val="none"/>
        </w:rPr>
        <w:t>二〇二</w:t>
      </w:r>
      <w:r>
        <w:rPr>
          <w:rFonts w:hint="eastAsia" w:ascii="宋体" w:hAnsi="宋体" w:eastAsia="宋体" w:cs="宋体"/>
          <w:b/>
          <w:bCs w:val="0"/>
          <w:color w:val="auto"/>
          <w:sz w:val="32"/>
          <w:szCs w:val="32"/>
          <w:highlight w:val="none"/>
          <w:lang w:val="en-US" w:eastAsia="zh-CN"/>
        </w:rPr>
        <w:t>六</w:t>
      </w:r>
      <w:r>
        <w:rPr>
          <w:rFonts w:hint="eastAsia" w:ascii="宋体" w:hAnsi="宋体" w:eastAsia="宋体" w:cs="宋体"/>
          <w:b/>
          <w:bCs w:val="0"/>
          <w:color w:val="auto"/>
          <w:sz w:val="32"/>
          <w:szCs w:val="32"/>
          <w:highlight w:val="none"/>
        </w:rPr>
        <w:t>年</w:t>
      </w:r>
      <w:r>
        <w:rPr>
          <w:rFonts w:hint="eastAsia" w:ascii="宋体" w:hAnsi="宋体" w:cs="宋体"/>
          <w:b/>
          <w:bCs w:val="0"/>
          <w:color w:val="auto"/>
          <w:sz w:val="32"/>
          <w:szCs w:val="32"/>
          <w:highlight w:val="none"/>
          <w:lang w:val="en-US" w:eastAsia="zh-CN"/>
        </w:rPr>
        <w:t>五</w:t>
      </w:r>
      <w:r>
        <w:rPr>
          <w:rFonts w:hint="eastAsia" w:ascii="宋体" w:hAnsi="宋体" w:eastAsia="宋体" w:cs="宋体"/>
          <w:b/>
          <w:bCs w:val="0"/>
          <w:color w:val="auto"/>
          <w:sz w:val="32"/>
          <w:szCs w:val="32"/>
          <w:highlight w:val="none"/>
          <w:lang w:val="en-US" w:eastAsia="zh-CN"/>
        </w:rPr>
        <w:t>月</w:t>
      </w:r>
      <w:r>
        <w:rPr>
          <w:rFonts w:hint="eastAsia" w:ascii="宋体" w:hAnsi="宋体" w:eastAsia="宋体" w:cs="宋体"/>
          <w:color w:val="auto"/>
          <w:sz w:val="24"/>
          <w:highlight w:val="none"/>
        </w:rPr>
        <w:br w:type="page"/>
      </w:r>
      <w:bookmarkStart w:id="0" w:name="_Hlt67893495"/>
      <w:bookmarkEnd w:id="0"/>
    </w:p>
    <w:p w14:paraId="3D5DC2B6">
      <w:pPr>
        <w:bidi w:val="0"/>
        <w:spacing w:line="360" w:lineRule="auto"/>
        <w:rPr>
          <w:rFonts w:hint="eastAsia" w:ascii="宋体" w:hAnsi="宋体" w:eastAsia="宋体" w:cs="宋体"/>
          <w:color w:val="auto"/>
          <w:highlight w:val="none"/>
        </w:rPr>
      </w:pPr>
      <w:bookmarkStart w:id="1" w:name="_Hlt91233176"/>
      <w:bookmarkEnd w:id="1"/>
      <w:bookmarkStart w:id="2" w:name="第二部分"/>
      <w:bookmarkStart w:id="3" w:name="_Toc91899870"/>
      <w:bookmarkStart w:id="4" w:name="_Toc91899871"/>
    </w:p>
    <w:sdt>
      <w:sdtPr>
        <w:rPr>
          <w:rFonts w:hint="eastAsia" w:ascii="宋体" w:hAnsi="宋体" w:eastAsia="宋体" w:cs="宋体"/>
          <w:color w:val="auto"/>
          <w:kern w:val="2"/>
          <w:sz w:val="21"/>
          <w:szCs w:val="24"/>
          <w:highlight w:val="none"/>
          <w:lang w:val="en-US" w:eastAsia="zh-CN" w:bidi="ar-SA"/>
        </w:rPr>
        <w:id w:val="147457311"/>
        <w15:color w:val="DBDBDB"/>
        <w:docPartObj>
          <w:docPartGallery w:val="Table of Contents"/>
          <w:docPartUnique/>
        </w:docPartObj>
      </w:sdtPr>
      <w:sdtEndPr>
        <w:rPr>
          <w:rFonts w:hint="eastAsia" w:ascii="宋体" w:hAnsi="宋体" w:eastAsia="宋体" w:cs="宋体"/>
          <w:color w:val="auto"/>
          <w:kern w:val="2"/>
          <w:sz w:val="21"/>
          <w:szCs w:val="24"/>
          <w:highlight w:val="none"/>
          <w:lang w:val="en-US" w:eastAsia="zh-CN" w:bidi="ar-SA"/>
        </w:rPr>
      </w:sdtEndPr>
      <w:sdtContent>
        <w:p w14:paraId="3ADAA8CB">
          <w:pPr>
            <w:spacing w:before="0" w:beforeLines="0" w:after="0" w:afterLines="0" w:line="360" w:lineRule="auto"/>
            <w:ind w:left="0" w:leftChars="0" w:right="0" w:rightChars="0" w:firstLine="0" w:firstLineChars="0"/>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目</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录</w:t>
          </w:r>
        </w:p>
        <w:p w14:paraId="2EC52309">
          <w:pPr>
            <w:pStyle w:val="43"/>
            <w:tabs>
              <w:tab w:val="right" w:leader="dot" w:pos="8901"/>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TOC \o "1-3" \h \u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_Toc14875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第一部分 招标公告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_Toc14875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D39C5CA">
          <w:pPr>
            <w:pStyle w:val="43"/>
            <w:tabs>
              <w:tab w:val="right" w:leader="dot" w:pos="8901"/>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_Toc31757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第二部分 投标人须知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_Toc31757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277A88B">
          <w:pPr>
            <w:pStyle w:val="43"/>
            <w:tabs>
              <w:tab w:val="right" w:leader="dot" w:pos="890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_Toc9049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前附表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_Toc9049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C1CFB0B">
          <w:pPr>
            <w:pStyle w:val="43"/>
            <w:tabs>
              <w:tab w:val="right" w:leader="dot" w:pos="890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_Toc11367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一、总则</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_Toc11367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1A4C737">
          <w:pPr>
            <w:pStyle w:val="43"/>
            <w:tabs>
              <w:tab w:val="right" w:leader="dot" w:pos="890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_Toc18238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二、招标文件的构成、澄清、修改</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_Toc18238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9E798F7">
          <w:pPr>
            <w:pStyle w:val="43"/>
            <w:tabs>
              <w:tab w:val="right" w:leader="dot" w:pos="890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_Toc21904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三、投标</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_Toc21904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4790349">
          <w:pPr>
            <w:pStyle w:val="43"/>
            <w:tabs>
              <w:tab w:val="right" w:leader="dot" w:pos="890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_Toc18666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四、开标、资格审查与信用信息查询</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_Toc18666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4C5B00C">
          <w:pPr>
            <w:pStyle w:val="43"/>
            <w:tabs>
              <w:tab w:val="right" w:leader="dot" w:pos="890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_Toc7464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五、评标</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_Toc7464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963C9FE">
          <w:pPr>
            <w:pStyle w:val="43"/>
            <w:tabs>
              <w:tab w:val="right" w:leader="dot" w:pos="890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_Toc23943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六、定 标</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_Toc23943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E575A09">
          <w:pPr>
            <w:pStyle w:val="43"/>
            <w:tabs>
              <w:tab w:val="right" w:leader="dot" w:pos="890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_Toc6911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七、合同授予</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_Toc6911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5E8066D">
          <w:pPr>
            <w:pStyle w:val="43"/>
            <w:tabs>
              <w:tab w:val="right" w:leader="dot" w:pos="890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_Toc3870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八、电子交易活动的中止</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_Toc3870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0FC6524">
          <w:pPr>
            <w:pStyle w:val="43"/>
            <w:tabs>
              <w:tab w:val="right" w:leader="dot" w:pos="890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_Toc28045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九、验收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_Toc28045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DEDBFCF">
          <w:pPr>
            <w:pStyle w:val="43"/>
            <w:tabs>
              <w:tab w:val="right" w:leader="dot" w:pos="8901"/>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_Toc12177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第三部分 采购需求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_Toc12177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379B602">
          <w:pPr>
            <w:pStyle w:val="43"/>
            <w:tabs>
              <w:tab w:val="right" w:leader="dot" w:pos="8901"/>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_Toc29346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第四部分 评标办法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_Toc29346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A1B214D">
          <w:pPr>
            <w:pStyle w:val="54"/>
            <w:tabs>
              <w:tab w:val="right" w:leader="dot" w:pos="8901"/>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_Toc6717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一、评标方法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_Toc6717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E6BFA41">
          <w:pPr>
            <w:pStyle w:val="54"/>
            <w:tabs>
              <w:tab w:val="right" w:leader="dot" w:pos="8901"/>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_Toc4471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二、评标标准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_Toc4471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DD3127D">
          <w:pPr>
            <w:pStyle w:val="54"/>
            <w:tabs>
              <w:tab w:val="right" w:leader="dot" w:pos="8901"/>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_Toc8445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三、评标程序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_Toc8445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3D029F3">
          <w:pPr>
            <w:pStyle w:val="54"/>
            <w:tabs>
              <w:tab w:val="right" w:leader="dot" w:pos="8901"/>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_Toc8575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四、评标中的其他事项</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_Toc8575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EC4D085">
          <w:pPr>
            <w:pStyle w:val="43"/>
            <w:tabs>
              <w:tab w:val="right" w:leader="dot" w:pos="8901"/>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_Toc9899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第五部分 拟签订的合同文本</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_Toc9899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1CAC64E">
          <w:pPr>
            <w:pStyle w:val="43"/>
            <w:tabs>
              <w:tab w:val="right" w:leader="dot" w:pos="8901"/>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_Toc18609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第六部分 应提交的有关格式范例</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_Toc18609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58CA9BB">
          <w:pPr>
            <w:pStyle w:val="43"/>
            <w:tabs>
              <w:tab w:val="right" w:leader="dot" w:pos="8901"/>
            </w:tabs>
            <w:spacing w:line="360" w:lineRule="auto"/>
            <w:rPr>
              <w:rFonts w:hint="eastAsia" w:ascii="宋体" w:hAnsi="宋体" w:eastAsia="宋体" w:cs="宋体"/>
              <w:color w:val="auto"/>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_Toc9567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_Toc9567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2EE80E6">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end"/>
          </w:r>
        </w:p>
      </w:sdtContent>
    </w:sdt>
    <w:p w14:paraId="38813054">
      <w:pPr>
        <w:spacing w:line="360" w:lineRule="auto"/>
        <w:rPr>
          <w:rFonts w:hint="eastAsia" w:ascii="宋体" w:hAnsi="宋体" w:eastAsia="宋体" w:cs="宋体"/>
          <w:color w:val="auto"/>
          <w:highlight w:val="none"/>
        </w:rPr>
      </w:pPr>
    </w:p>
    <w:p w14:paraId="7DEB2284">
      <w:pPr>
        <w:adjustRightInd/>
        <w:spacing w:line="360" w:lineRule="auto"/>
        <w:jc w:val="center"/>
        <w:outlineLvl w:val="0"/>
        <w:rPr>
          <w:rFonts w:hint="eastAsia" w:ascii="宋体" w:hAnsi="宋体" w:eastAsia="宋体" w:cs="宋体"/>
          <w:b/>
          <w:color w:val="auto"/>
          <w:sz w:val="36"/>
          <w:szCs w:val="20"/>
          <w:highlight w:val="none"/>
        </w:rPr>
        <w:sectPr>
          <w:headerReference r:id="rId4" w:type="first"/>
          <w:headerReference r:id="rId3" w:type="default"/>
          <w:footerReference r:id="rId5" w:type="even"/>
          <w:pgSz w:w="11906" w:h="16838"/>
          <w:pgMar w:top="1417" w:right="1418" w:bottom="1417" w:left="1587" w:header="851" w:footer="850" w:gutter="0"/>
          <w:pgBorders>
            <w:top w:val="none" w:sz="0" w:space="0"/>
            <w:left w:val="none" w:sz="0" w:space="0"/>
            <w:bottom w:val="none" w:sz="0" w:space="0"/>
            <w:right w:val="none" w:sz="0" w:space="0"/>
          </w:pgBorders>
          <w:pgNumType w:fmt="decimal"/>
          <w:cols w:space="720" w:num="1"/>
          <w:titlePg/>
          <w:docGrid w:linePitch="312" w:charSpace="0"/>
        </w:sectPr>
      </w:pPr>
      <w:bookmarkStart w:id="5" w:name="_Toc14875"/>
    </w:p>
    <w:p w14:paraId="223E473C">
      <w:pPr>
        <w:adjustRightInd/>
        <w:spacing w:line="360" w:lineRule="auto"/>
        <w:jc w:val="center"/>
        <w:outlineLvl w:val="0"/>
        <w:rPr>
          <w:rFonts w:hint="eastAsia" w:ascii="宋体" w:hAnsi="宋体" w:eastAsia="宋体" w:cs="宋体"/>
          <w:b/>
          <w:color w:val="auto"/>
          <w:sz w:val="36"/>
          <w:szCs w:val="20"/>
          <w:highlight w:val="none"/>
        </w:rPr>
      </w:pPr>
      <w:r>
        <w:rPr>
          <w:rFonts w:hint="eastAsia" w:ascii="宋体" w:hAnsi="宋体" w:eastAsia="宋体" w:cs="宋体"/>
          <w:b/>
          <w:color w:val="auto"/>
          <w:sz w:val="36"/>
          <w:szCs w:val="20"/>
          <w:highlight w:val="none"/>
        </w:rPr>
        <w:t>第一部分 招标公告</w:t>
      </w:r>
      <w:bookmarkEnd w:id="5"/>
    </w:p>
    <w:p w14:paraId="7F748DF5">
      <w:pPr>
        <w:pBdr>
          <w:top w:val="single" w:color="auto" w:sz="4" w:space="1"/>
          <w:left w:val="single" w:color="auto" w:sz="4" w:space="4"/>
          <w:bottom w:val="single" w:color="auto" w:sz="4" w:space="2"/>
          <w:right w:val="single" w:color="auto" w:sz="4" w:space="4"/>
        </w:pBd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项目概况</w:t>
      </w:r>
    </w:p>
    <w:p w14:paraId="58B9BFBC">
      <w:pPr>
        <w:pBdr>
          <w:top w:val="single" w:color="auto" w:sz="4" w:space="1"/>
          <w:left w:val="single" w:color="auto" w:sz="4" w:space="4"/>
          <w:bottom w:val="single" w:color="auto" w:sz="4" w:space="2"/>
          <w:right w:val="single" w:color="auto" w:sz="4" w:space="4"/>
        </w:pBd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cs="宋体"/>
          <w:color w:val="auto"/>
          <w:sz w:val="21"/>
          <w:szCs w:val="21"/>
          <w:highlight w:val="none"/>
          <w:u w:val="single"/>
          <w:lang w:eastAsia="zh-CN"/>
        </w:rPr>
        <w:t>浙江省工商业联合会浙里惠企政策精准直达系统</w:t>
      </w:r>
      <w:r>
        <w:rPr>
          <w:rFonts w:hint="eastAsia" w:ascii="宋体" w:hAnsi="宋体" w:eastAsia="宋体" w:cs="宋体"/>
          <w:color w:val="auto"/>
          <w:sz w:val="21"/>
          <w:szCs w:val="21"/>
          <w:highlight w:val="none"/>
          <w:u w:val="single"/>
          <w:lang w:eastAsia="zh-CN"/>
        </w:rPr>
        <w:t>项目</w:t>
      </w:r>
      <w:r>
        <w:rPr>
          <w:rFonts w:hint="eastAsia" w:ascii="宋体" w:hAnsi="宋体" w:eastAsia="宋体" w:cs="宋体"/>
          <w:color w:val="auto"/>
          <w:sz w:val="21"/>
          <w:szCs w:val="21"/>
          <w:highlight w:val="none"/>
        </w:rPr>
        <w:t>招标项目的潜在投标人应在政采云平台（</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"https://www.zcygov.cn/）获取（下载）招标文件，并于202%20年%20月%20日%20点%20分00秒" </w:instrText>
      </w:r>
      <w:r>
        <w:rPr>
          <w:rFonts w:hint="eastAsia" w:ascii="宋体" w:hAnsi="宋体" w:eastAsia="宋体" w:cs="宋体"/>
          <w:color w:val="auto"/>
          <w:sz w:val="21"/>
          <w:szCs w:val="21"/>
          <w:highlight w:val="none"/>
        </w:rPr>
        <w:fldChar w:fldCharType="separate"/>
      </w:r>
      <w:r>
        <w:rPr>
          <w:rStyle w:val="76"/>
          <w:rFonts w:hint="eastAsia" w:ascii="宋体" w:hAnsi="宋体" w:eastAsia="宋体" w:cs="宋体"/>
          <w:color w:val="auto"/>
          <w:kern w:val="2"/>
          <w:sz w:val="21"/>
          <w:szCs w:val="21"/>
          <w:highlight w:val="none"/>
        </w:rPr>
        <w:t>https://www.zcygov.cn/）获取（下载）招标文件，并于202</w:t>
      </w:r>
      <w:r>
        <w:rPr>
          <w:rStyle w:val="76"/>
          <w:rFonts w:hint="eastAsia" w:ascii="宋体" w:hAnsi="宋体" w:eastAsia="宋体" w:cs="宋体"/>
          <w:color w:val="auto"/>
          <w:kern w:val="2"/>
          <w:sz w:val="21"/>
          <w:szCs w:val="21"/>
          <w:highlight w:val="none"/>
          <w:lang w:val="en-US" w:eastAsia="zh-CN"/>
        </w:rPr>
        <w:t>6</w:t>
      </w:r>
      <w:r>
        <w:rPr>
          <w:rStyle w:val="76"/>
          <w:rFonts w:hint="eastAsia" w:ascii="宋体" w:hAnsi="宋体" w:eastAsia="宋体" w:cs="宋体"/>
          <w:color w:val="auto"/>
          <w:kern w:val="2"/>
          <w:sz w:val="21"/>
          <w:szCs w:val="21"/>
          <w:highlight w:val="none"/>
        </w:rPr>
        <w:t>年</w:t>
      </w:r>
      <w:r>
        <w:rPr>
          <w:rStyle w:val="76"/>
          <w:rFonts w:hint="eastAsia" w:ascii="宋体" w:hAnsi="宋体" w:cs="宋体"/>
          <w:color w:val="auto"/>
          <w:kern w:val="2"/>
          <w:sz w:val="21"/>
          <w:szCs w:val="21"/>
          <w:highlight w:val="none"/>
          <w:lang w:val="en-US" w:eastAsia="zh-CN"/>
        </w:rPr>
        <w:t>06</w:t>
      </w:r>
      <w:r>
        <w:rPr>
          <w:rStyle w:val="76"/>
          <w:rFonts w:hint="eastAsia" w:ascii="宋体" w:hAnsi="宋体" w:eastAsia="宋体" w:cs="宋体"/>
          <w:color w:val="auto"/>
          <w:kern w:val="2"/>
          <w:sz w:val="21"/>
          <w:szCs w:val="21"/>
          <w:highlight w:val="none"/>
        </w:rPr>
        <w:t>月</w:t>
      </w:r>
      <w:r>
        <w:rPr>
          <w:rStyle w:val="76"/>
          <w:rFonts w:hint="eastAsia" w:ascii="宋体" w:hAnsi="宋体" w:cs="宋体"/>
          <w:color w:val="auto"/>
          <w:kern w:val="2"/>
          <w:sz w:val="21"/>
          <w:szCs w:val="21"/>
          <w:highlight w:val="none"/>
          <w:lang w:val="en-US" w:eastAsia="zh-CN"/>
        </w:rPr>
        <w:t>11</w:t>
      </w:r>
      <w:r>
        <w:rPr>
          <w:rStyle w:val="76"/>
          <w:rFonts w:hint="eastAsia" w:ascii="宋体" w:hAnsi="宋体" w:eastAsia="宋体" w:cs="宋体"/>
          <w:color w:val="auto"/>
          <w:kern w:val="2"/>
          <w:sz w:val="21"/>
          <w:szCs w:val="21"/>
          <w:highlight w:val="none"/>
        </w:rPr>
        <w:t>日</w:t>
      </w:r>
      <w:r>
        <w:rPr>
          <w:rStyle w:val="76"/>
          <w:rFonts w:hint="eastAsia" w:ascii="宋体" w:hAnsi="宋体" w:cs="宋体"/>
          <w:color w:val="auto"/>
          <w:kern w:val="2"/>
          <w:sz w:val="21"/>
          <w:szCs w:val="21"/>
          <w:highlight w:val="none"/>
          <w:lang w:val="en-US" w:eastAsia="zh-CN"/>
        </w:rPr>
        <w:t>14</w:t>
      </w:r>
      <w:r>
        <w:rPr>
          <w:rStyle w:val="76"/>
          <w:rFonts w:hint="eastAsia" w:ascii="宋体" w:hAnsi="宋体" w:eastAsia="宋体" w:cs="宋体"/>
          <w:color w:val="auto"/>
          <w:kern w:val="2"/>
          <w:sz w:val="21"/>
          <w:szCs w:val="21"/>
          <w:highlight w:val="none"/>
        </w:rPr>
        <w:t>点</w:t>
      </w:r>
      <w:r>
        <w:rPr>
          <w:rStyle w:val="76"/>
          <w:rFonts w:hint="eastAsia" w:ascii="宋体" w:hAnsi="宋体" w:eastAsia="宋体" w:cs="宋体"/>
          <w:color w:val="auto"/>
          <w:kern w:val="2"/>
          <w:sz w:val="21"/>
          <w:szCs w:val="21"/>
          <w:highlight w:val="none"/>
          <w:lang w:val="en-US" w:eastAsia="zh-CN"/>
        </w:rPr>
        <w:t>30</w:t>
      </w:r>
      <w:r>
        <w:rPr>
          <w:rStyle w:val="76"/>
          <w:rFonts w:hint="eastAsia" w:ascii="宋体" w:hAnsi="宋体" w:eastAsia="宋体" w:cs="宋体"/>
          <w:color w:val="auto"/>
          <w:kern w:val="2"/>
          <w:sz w:val="21"/>
          <w:szCs w:val="21"/>
          <w:highlight w:val="none"/>
        </w:rPr>
        <w:t>分</w:t>
      </w:r>
      <w:r>
        <w:rPr>
          <w:rStyle w:val="76"/>
          <w:rFonts w:hint="eastAsia" w:ascii="宋体" w:hAnsi="宋体" w:eastAsia="宋体" w:cs="宋体"/>
          <w:bCs/>
          <w:color w:val="auto"/>
          <w:kern w:val="2"/>
          <w:sz w:val="21"/>
          <w:szCs w:val="21"/>
          <w:highlight w:val="none"/>
        </w:rPr>
        <w:t>00秒</w:t>
      </w:r>
      <w:r>
        <w:rPr>
          <w:rStyle w:val="76"/>
          <w:rFonts w:hint="eastAsia" w:ascii="宋体" w:hAnsi="宋体" w:eastAsia="宋体" w:cs="宋体"/>
          <w:bCs/>
          <w:color w:val="auto"/>
          <w:kern w:val="2"/>
          <w:sz w:val="21"/>
          <w:szCs w:val="21"/>
          <w:highlight w:val="none"/>
        </w:rPr>
        <w:fldChar w:fldCharType="end"/>
      </w:r>
      <w:r>
        <w:rPr>
          <w:rFonts w:hint="eastAsia" w:ascii="宋体" w:hAnsi="宋体" w:eastAsia="宋体" w:cs="宋体"/>
          <w:bCs/>
          <w:color w:val="auto"/>
          <w:sz w:val="21"/>
          <w:szCs w:val="21"/>
          <w:highlight w:val="none"/>
        </w:rPr>
        <w:t>（北京时间）前</w:t>
      </w:r>
      <w:r>
        <w:rPr>
          <w:rFonts w:hint="eastAsia" w:ascii="宋体" w:hAnsi="宋体" w:eastAsia="宋体" w:cs="宋体"/>
          <w:color w:val="auto"/>
          <w:sz w:val="21"/>
          <w:szCs w:val="21"/>
          <w:highlight w:val="none"/>
        </w:rPr>
        <w:t>递交（上传）投标文件。</w:t>
      </w:r>
    </w:p>
    <w:p w14:paraId="2BD091B1">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一、项目基本情况                                            </w:t>
      </w:r>
    </w:p>
    <w:p w14:paraId="6B79462E">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    </w:t>
      </w:r>
      <w:r>
        <w:rPr>
          <w:rFonts w:hint="eastAsia" w:ascii="宋体" w:hAnsi="宋体" w:eastAsia="宋体" w:cs="宋体"/>
          <w:b/>
          <w:color w:val="auto"/>
          <w:sz w:val="21"/>
          <w:szCs w:val="21"/>
          <w:highlight w:val="none"/>
        </w:rPr>
        <w:t>项目编号：330000266080010000040-ZJ-2621091</w:t>
      </w:r>
      <w:r>
        <w:rPr>
          <w:rFonts w:hint="eastAsia" w:ascii="宋体" w:hAnsi="宋体" w:cs="宋体"/>
          <w:b/>
          <w:color w:val="auto"/>
          <w:sz w:val="21"/>
          <w:szCs w:val="21"/>
          <w:highlight w:val="none"/>
          <w:lang w:val="en-US" w:eastAsia="zh-CN"/>
        </w:rPr>
        <w:t xml:space="preserve"> </w:t>
      </w:r>
    </w:p>
    <w:p w14:paraId="403C1978">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   </w:t>
      </w:r>
      <w:r>
        <w:rPr>
          <w:rFonts w:hint="eastAsia" w:ascii="宋体" w:hAnsi="宋体" w:eastAsia="宋体" w:cs="宋体"/>
          <w:b/>
          <w:color w:val="auto"/>
          <w:sz w:val="21"/>
          <w:szCs w:val="21"/>
          <w:highlight w:val="none"/>
        </w:rPr>
        <w:t xml:space="preserve"> 项目名称：</w:t>
      </w:r>
      <w:r>
        <w:rPr>
          <w:rFonts w:hint="eastAsia" w:ascii="宋体" w:hAnsi="宋体" w:cs="宋体"/>
          <w:color w:val="auto"/>
          <w:sz w:val="21"/>
          <w:szCs w:val="21"/>
          <w:highlight w:val="none"/>
          <w:lang w:eastAsia="zh-CN"/>
        </w:rPr>
        <w:t>浙江省工商业联合会浙里惠企政策精准直达系统</w:t>
      </w:r>
      <w:r>
        <w:rPr>
          <w:rFonts w:hint="eastAsia" w:ascii="宋体" w:hAnsi="宋体" w:eastAsia="宋体" w:cs="宋体"/>
          <w:color w:val="auto"/>
          <w:sz w:val="21"/>
          <w:szCs w:val="21"/>
          <w:highlight w:val="none"/>
          <w:lang w:eastAsia="zh-CN"/>
        </w:rPr>
        <w:t>项目</w:t>
      </w:r>
    </w:p>
    <w:p w14:paraId="456F8575">
      <w:pPr>
        <w:spacing w:line="360" w:lineRule="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 xml:space="preserve">   </w:t>
      </w:r>
      <w:r>
        <w:rPr>
          <w:rFonts w:hint="eastAsia" w:ascii="宋体" w:hAnsi="宋体" w:eastAsia="宋体" w:cs="宋体"/>
          <w:b/>
          <w:color w:val="auto"/>
          <w:sz w:val="21"/>
          <w:szCs w:val="21"/>
          <w:highlight w:val="none"/>
        </w:rPr>
        <w:t xml:space="preserve"> 预算金额（元）：</w:t>
      </w:r>
      <w:r>
        <w:rPr>
          <w:rFonts w:hint="eastAsia" w:ascii="宋体" w:hAnsi="宋体" w:cs="宋体"/>
          <w:bCs/>
          <w:color w:val="auto"/>
          <w:kern w:val="2"/>
          <w:sz w:val="21"/>
          <w:szCs w:val="21"/>
          <w:highlight w:val="none"/>
          <w:lang w:val="en-US" w:eastAsia="zh-CN"/>
        </w:rPr>
        <w:t>318</w:t>
      </w:r>
      <w:r>
        <w:rPr>
          <w:rFonts w:hint="eastAsia" w:ascii="宋体" w:hAnsi="宋体" w:eastAsia="宋体" w:cs="宋体"/>
          <w:bCs/>
          <w:color w:val="auto"/>
          <w:kern w:val="2"/>
          <w:sz w:val="21"/>
          <w:szCs w:val="21"/>
          <w:highlight w:val="none"/>
          <w:lang w:val="en-US" w:eastAsia="zh-CN"/>
        </w:rPr>
        <w:t>0000.00</w:t>
      </w:r>
    </w:p>
    <w:p w14:paraId="79474415">
      <w:pPr>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最高限价（元）：</w:t>
      </w:r>
      <w:r>
        <w:rPr>
          <w:rFonts w:hint="eastAsia" w:ascii="宋体" w:hAnsi="宋体" w:cs="宋体"/>
          <w:bCs/>
          <w:color w:val="auto"/>
          <w:kern w:val="2"/>
          <w:sz w:val="21"/>
          <w:szCs w:val="21"/>
          <w:highlight w:val="none"/>
          <w:lang w:val="en-US" w:eastAsia="zh-CN"/>
        </w:rPr>
        <w:t>318</w:t>
      </w:r>
      <w:r>
        <w:rPr>
          <w:rFonts w:hint="eastAsia" w:ascii="宋体" w:hAnsi="宋体" w:eastAsia="宋体" w:cs="宋体"/>
          <w:bCs/>
          <w:color w:val="auto"/>
          <w:kern w:val="2"/>
          <w:sz w:val="21"/>
          <w:szCs w:val="21"/>
          <w:highlight w:val="none"/>
          <w:lang w:val="en-US" w:eastAsia="zh-CN"/>
        </w:rPr>
        <w:t>0000.00</w:t>
      </w:r>
      <w:r>
        <w:rPr>
          <w:rFonts w:hint="eastAsia" w:ascii="宋体" w:hAnsi="宋体" w:eastAsia="宋体" w:cs="宋体"/>
          <w:color w:val="auto"/>
          <w:sz w:val="21"/>
          <w:szCs w:val="21"/>
          <w:highlight w:val="none"/>
        </w:rPr>
        <w:t xml:space="preserve"> </w:t>
      </w:r>
    </w:p>
    <w:p w14:paraId="6F5FDB25">
      <w:pPr>
        <w:spacing w:line="360" w:lineRule="auto"/>
        <w:ind w:firstLine="48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采购需求：</w:t>
      </w:r>
    </w:p>
    <w:p w14:paraId="24C5BDEE">
      <w:pPr>
        <w:spacing w:line="360" w:lineRule="auto"/>
        <w:ind w:firstLine="688" w:firstLineChars="328"/>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标项名称</w:t>
      </w:r>
      <w:r>
        <w:rPr>
          <w:rFonts w:hint="eastAsia" w:ascii="宋体" w:hAnsi="宋体" w:eastAsia="宋体" w:cs="宋体"/>
          <w:bCs/>
          <w:color w:val="auto"/>
          <w:kern w:val="2"/>
          <w:sz w:val="21"/>
          <w:szCs w:val="21"/>
          <w:highlight w:val="none"/>
        </w:rPr>
        <w:t>：</w:t>
      </w:r>
      <w:r>
        <w:rPr>
          <w:rFonts w:hint="eastAsia" w:ascii="宋体" w:hAnsi="宋体" w:cs="宋体"/>
          <w:color w:val="auto"/>
          <w:sz w:val="21"/>
          <w:szCs w:val="21"/>
          <w:highlight w:val="none"/>
          <w:lang w:eastAsia="zh-CN"/>
        </w:rPr>
        <w:t>浙里惠企政策精准直达系统</w:t>
      </w:r>
    </w:p>
    <w:p w14:paraId="427EE74B">
      <w:pPr>
        <w:spacing w:line="360" w:lineRule="auto"/>
        <w:ind w:firstLine="688" w:firstLineChars="328"/>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数量：1</w:t>
      </w:r>
    </w:p>
    <w:p w14:paraId="31FF5BC7">
      <w:pPr>
        <w:spacing w:line="360" w:lineRule="auto"/>
        <w:ind w:firstLine="688" w:firstLineChars="328"/>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预算金额（元）：</w:t>
      </w:r>
      <w:r>
        <w:rPr>
          <w:rFonts w:hint="eastAsia" w:ascii="宋体" w:hAnsi="宋体" w:cs="宋体"/>
          <w:bCs/>
          <w:color w:val="auto"/>
          <w:kern w:val="2"/>
          <w:sz w:val="21"/>
          <w:szCs w:val="21"/>
          <w:highlight w:val="none"/>
          <w:lang w:val="en-US" w:eastAsia="zh-CN"/>
        </w:rPr>
        <w:t>318</w:t>
      </w:r>
      <w:r>
        <w:rPr>
          <w:rFonts w:hint="eastAsia" w:ascii="宋体" w:hAnsi="宋体" w:eastAsia="宋体" w:cs="宋体"/>
          <w:bCs/>
          <w:color w:val="auto"/>
          <w:kern w:val="2"/>
          <w:sz w:val="21"/>
          <w:szCs w:val="21"/>
          <w:highlight w:val="none"/>
          <w:lang w:val="en-US" w:eastAsia="zh-CN"/>
        </w:rPr>
        <w:t>0000.00</w:t>
      </w:r>
    </w:p>
    <w:p w14:paraId="37DE4854">
      <w:pPr>
        <w:spacing w:line="360" w:lineRule="auto"/>
        <w:ind w:firstLine="688" w:firstLineChars="328"/>
        <w:rPr>
          <w:rFonts w:hint="eastAsia" w:ascii="宋体" w:hAnsi="宋体" w:eastAsia="宋体" w:cs="宋体"/>
          <w:color w:val="auto"/>
          <w:kern w:val="2"/>
          <w:sz w:val="21"/>
          <w:szCs w:val="21"/>
          <w:highlight w:val="none"/>
        </w:rPr>
      </w:pPr>
      <w:r>
        <w:rPr>
          <w:rFonts w:hint="eastAsia" w:ascii="宋体" w:hAnsi="宋体" w:eastAsia="宋体" w:cs="宋体"/>
          <w:bCs/>
          <w:color w:val="auto"/>
          <w:kern w:val="2"/>
          <w:sz w:val="21"/>
          <w:szCs w:val="21"/>
          <w:highlight w:val="none"/>
          <w:lang w:val="en-US" w:eastAsia="zh-CN"/>
        </w:rPr>
        <w:t>简要规格描述或项目基本概况介绍、用途：</w:t>
      </w:r>
      <w:r>
        <w:rPr>
          <w:rFonts w:hint="eastAsia" w:ascii="宋体" w:hAnsi="宋体" w:cs="宋体"/>
          <w:bCs/>
          <w:color w:val="auto"/>
          <w:kern w:val="2"/>
          <w:sz w:val="21"/>
          <w:szCs w:val="21"/>
          <w:highlight w:val="none"/>
          <w:lang w:eastAsia="zh-CN"/>
        </w:rPr>
        <w:t>浙江省工商业联合会浙里惠企政策精准直达系统</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color w:val="auto"/>
          <w:kern w:val="2"/>
          <w:sz w:val="21"/>
          <w:szCs w:val="21"/>
          <w:highlight w:val="none"/>
        </w:rPr>
        <w:t>具体以招标文件第三部分采购需求为准。</w:t>
      </w:r>
    </w:p>
    <w:p w14:paraId="71D036A4">
      <w:pPr>
        <w:spacing w:line="360" w:lineRule="auto"/>
        <w:ind w:firstLine="688" w:firstLineChars="328"/>
        <w:rPr>
          <w:rFonts w:hint="eastAsia" w:ascii="宋体" w:hAnsi="宋体" w:eastAsia="宋体" w:cs="宋体"/>
          <w:b/>
          <w:color w:val="auto"/>
          <w:sz w:val="21"/>
          <w:szCs w:val="21"/>
          <w:highlight w:val="none"/>
          <w:lang w:val="en-US" w:eastAsia="zh-CN"/>
        </w:rPr>
      </w:pPr>
      <w:r>
        <w:rPr>
          <w:rFonts w:hint="eastAsia" w:ascii="宋体" w:hAnsi="宋体" w:eastAsia="宋体" w:cs="宋体"/>
          <w:bCs/>
          <w:color w:val="auto"/>
          <w:kern w:val="2"/>
          <w:sz w:val="21"/>
          <w:szCs w:val="21"/>
          <w:highlight w:val="none"/>
          <w:lang w:val="en-US" w:eastAsia="zh-CN"/>
        </w:rPr>
        <w:t>备注：</w:t>
      </w:r>
    </w:p>
    <w:p w14:paraId="10D43BEC">
      <w:pPr>
        <w:spacing w:line="360" w:lineRule="auto"/>
        <w:rPr>
          <w:rFonts w:hint="eastAsia" w:ascii="宋体" w:hAnsi="宋体" w:eastAsia="宋体" w:cs="宋体"/>
          <w:color w:val="auto"/>
          <w:sz w:val="21"/>
          <w:szCs w:val="21"/>
          <w:highlight w:val="none"/>
          <w:lang w:val="en-US" w:eastAsia="zh-CN"/>
        </w:rPr>
      </w:pPr>
    </w:p>
    <w:p w14:paraId="7E902ABA">
      <w:pPr>
        <w:spacing w:line="360" w:lineRule="auto"/>
        <w:ind w:firstLine="48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合同履约期限：</w:t>
      </w:r>
      <w:r>
        <w:rPr>
          <w:rFonts w:hint="eastAsia" w:ascii="宋体" w:hAnsi="宋体" w:eastAsia="宋体" w:cs="宋体"/>
          <w:color w:val="auto"/>
          <w:sz w:val="21"/>
          <w:szCs w:val="21"/>
          <w:highlight w:val="none"/>
          <w:lang w:val="zh-CN"/>
          <w:woUserID w:val="1"/>
        </w:rPr>
        <w:t>合同签订后</w:t>
      </w:r>
      <w:r>
        <w:rPr>
          <w:rFonts w:hint="eastAsia" w:ascii="宋体" w:hAnsi="宋体" w:cs="宋体"/>
          <w:color w:val="auto"/>
          <w:sz w:val="21"/>
          <w:szCs w:val="21"/>
          <w:highlight w:val="none"/>
          <w:lang w:val="en-US" w:eastAsia="zh-CN"/>
          <w:woUserID w:val="1"/>
        </w:rPr>
        <w:t>10个月</w:t>
      </w:r>
      <w:r>
        <w:rPr>
          <w:rFonts w:hint="eastAsia" w:ascii="宋体" w:hAnsi="宋体" w:eastAsia="宋体" w:cs="宋体"/>
          <w:color w:val="auto"/>
          <w:sz w:val="21"/>
          <w:szCs w:val="21"/>
          <w:highlight w:val="none"/>
          <w:lang w:val="zh-CN"/>
          <w:woUserID w:val="1"/>
        </w:rPr>
        <w:t>内完成项目的实施</w:t>
      </w:r>
      <w:r>
        <w:rPr>
          <w:rFonts w:hint="eastAsia" w:ascii="宋体" w:hAnsi="宋体" w:cs="宋体"/>
          <w:color w:val="auto"/>
          <w:sz w:val="21"/>
          <w:szCs w:val="21"/>
          <w:highlight w:val="none"/>
          <w:lang w:val="en-US" w:eastAsia="zh-CN"/>
          <w:woUserID w:val="1"/>
        </w:rPr>
        <w:t>并通过终验</w:t>
      </w:r>
      <w:r>
        <w:rPr>
          <w:rFonts w:hint="eastAsia" w:ascii="宋体" w:hAnsi="宋体" w:eastAsia="宋体" w:cs="宋体"/>
          <w:color w:val="auto"/>
          <w:sz w:val="21"/>
          <w:szCs w:val="21"/>
          <w:highlight w:val="none"/>
          <w:woUserID w:val="1"/>
        </w:rPr>
        <w:t>。其中建设工期为</w:t>
      </w:r>
      <w:r>
        <w:rPr>
          <w:rFonts w:hint="eastAsia" w:ascii="宋体" w:hAnsi="宋体" w:cs="宋体"/>
          <w:color w:val="auto"/>
          <w:sz w:val="21"/>
          <w:szCs w:val="21"/>
          <w:highlight w:val="none"/>
          <w:lang w:val="en-US" w:eastAsia="zh-CN"/>
          <w:woUserID w:val="1"/>
        </w:rPr>
        <w:t>4个月</w:t>
      </w:r>
      <w:r>
        <w:rPr>
          <w:rFonts w:hint="eastAsia" w:ascii="宋体" w:hAnsi="宋体" w:eastAsia="宋体" w:cs="宋体"/>
          <w:color w:val="auto"/>
          <w:sz w:val="21"/>
          <w:szCs w:val="21"/>
          <w:highlight w:val="none"/>
          <w:woUserID w:val="1"/>
        </w:rPr>
        <w:t>，试运行</w:t>
      </w:r>
      <w:r>
        <w:rPr>
          <w:rFonts w:hint="eastAsia" w:ascii="宋体" w:hAnsi="宋体" w:cs="宋体"/>
          <w:color w:val="auto"/>
          <w:sz w:val="21"/>
          <w:szCs w:val="21"/>
          <w:highlight w:val="none"/>
          <w:lang w:val="en-US" w:eastAsia="zh-CN"/>
          <w:woUserID w:val="1"/>
        </w:rPr>
        <w:t>6个月</w:t>
      </w:r>
      <w:r>
        <w:rPr>
          <w:rFonts w:hint="eastAsia" w:ascii="宋体" w:hAnsi="宋体" w:eastAsia="宋体" w:cs="宋体"/>
          <w:color w:val="auto"/>
          <w:sz w:val="21"/>
          <w:szCs w:val="21"/>
          <w:highlight w:val="none"/>
          <w:woUserID w:val="1"/>
        </w:rPr>
        <w:t>。</w:t>
      </w:r>
    </w:p>
    <w:p w14:paraId="30F9DEDA">
      <w:pPr>
        <w:pStyle w:val="5"/>
        <w:spacing w:line="360" w:lineRule="auto"/>
        <w:ind w:firstLine="480"/>
        <w:rPr>
          <w:rFonts w:hint="eastAsia" w:ascii="宋体" w:hAnsi="宋体" w:eastAsia="宋体" w:cs="宋体"/>
          <w:color w:val="auto"/>
          <w:kern w:val="0"/>
          <w:sz w:val="21"/>
          <w:szCs w:val="21"/>
          <w:highlight w:val="none"/>
        </w:rPr>
      </w:pPr>
      <w:r>
        <w:rPr>
          <w:rFonts w:hint="eastAsia" w:ascii="宋体" w:hAnsi="宋体" w:eastAsia="宋体" w:cs="宋体"/>
          <w:b/>
          <w:color w:val="auto"/>
          <w:sz w:val="21"/>
          <w:szCs w:val="21"/>
          <w:highlight w:val="none"/>
        </w:rPr>
        <w:t>本项目接受联合体投标：■是</w:t>
      </w:r>
      <w:r>
        <w:rPr>
          <w:rFonts w:hint="eastAsia" w:ascii="宋体" w:hAnsi="宋体" w:eastAsia="宋体" w:cs="宋体"/>
          <w:b/>
          <w:color w:val="auto"/>
          <w:kern w:val="2"/>
          <w:sz w:val="21"/>
          <w:szCs w:val="21"/>
          <w:highlight w:val="none"/>
        </w:rPr>
        <w:t>；</w:t>
      </w:r>
      <w:r>
        <w:rPr>
          <w:rFonts w:hint="eastAsia" w:ascii="宋体" w:hAnsi="宋体" w:eastAsia="宋体" w:cs="宋体"/>
          <w:color w:val="auto"/>
          <w:kern w:val="0"/>
          <w:sz w:val="21"/>
          <w:szCs w:val="21"/>
          <w:highlight w:val="none"/>
        </w:rPr>
        <w:t>☐</w:t>
      </w:r>
      <w:r>
        <w:rPr>
          <w:rFonts w:hint="eastAsia" w:ascii="宋体" w:hAnsi="宋体" w:eastAsia="宋体" w:cs="宋体"/>
          <w:b/>
          <w:color w:val="auto"/>
          <w:sz w:val="21"/>
          <w:szCs w:val="21"/>
          <w:highlight w:val="none"/>
        </w:rPr>
        <w:t>否</w:t>
      </w:r>
      <w:r>
        <w:rPr>
          <w:rFonts w:hint="eastAsia" w:ascii="宋体" w:hAnsi="宋体" w:eastAsia="宋体" w:cs="宋体"/>
          <w:color w:val="auto"/>
          <w:kern w:val="0"/>
          <w:sz w:val="21"/>
          <w:szCs w:val="21"/>
          <w:highlight w:val="none"/>
        </w:rPr>
        <w:t>。</w:t>
      </w:r>
    </w:p>
    <w:p w14:paraId="7A830743">
      <w:pPr>
        <w:spacing w:line="360" w:lineRule="auto"/>
        <w:rPr>
          <w:rFonts w:hint="eastAsia" w:ascii="宋体" w:hAnsi="宋体" w:eastAsia="宋体" w:cs="宋体"/>
          <w:color w:val="auto"/>
          <w:highlight w:val="none"/>
        </w:rPr>
      </w:pPr>
      <w:bookmarkStart w:id="473" w:name="_GoBack"/>
      <w:bookmarkEnd w:id="473"/>
    </w:p>
    <w:p w14:paraId="3837543D">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w:t>
      </w:r>
      <w:bookmarkStart w:id="6" w:name="_Hlk101132948"/>
      <w:r>
        <w:rPr>
          <w:rFonts w:hint="eastAsia" w:ascii="宋体" w:hAnsi="宋体" w:eastAsia="宋体" w:cs="宋体"/>
          <w:b/>
          <w:color w:val="auto"/>
          <w:sz w:val="21"/>
          <w:szCs w:val="21"/>
          <w:highlight w:val="none"/>
        </w:rPr>
        <w:t>申请人的资格要求</w:t>
      </w:r>
      <w:bookmarkEnd w:id="6"/>
      <w:r>
        <w:rPr>
          <w:rFonts w:hint="eastAsia" w:ascii="宋体" w:hAnsi="宋体" w:eastAsia="宋体" w:cs="宋体"/>
          <w:b/>
          <w:color w:val="auto"/>
          <w:sz w:val="21"/>
          <w:szCs w:val="21"/>
          <w:highlight w:val="none"/>
        </w:rPr>
        <w:t>：</w:t>
      </w:r>
    </w:p>
    <w:p w14:paraId="2C259B84">
      <w:pPr>
        <w:spacing w:line="360" w:lineRule="auto"/>
        <w:ind w:firstLine="480"/>
        <w:rPr>
          <w:rFonts w:hint="eastAsia" w:ascii="宋体" w:hAnsi="宋体" w:eastAsia="宋体" w:cs="宋体"/>
          <w:snapToGrid w:val="0"/>
          <w:color w:val="auto"/>
          <w:kern w:val="28"/>
          <w:sz w:val="21"/>
          <w:szCs w:val="21"/>
          <w:highlight w:val="none"/>
        </w:rPr>
      </w:pPr>
      <w:r>
        <w:rPr>
          <w:rFonts w:hint="eastAsia" w:ascii="宋体" w:hAnsi="宋体" w:eastAsia="宋体" w:cs="宋体"/>
          <w:snapToGrid w:val="0"/>
          <w:color w:val="auto"/>
          <w:kern w:val="28"/>
          <w:sz w:val="21"/>
          <w:szCs w:val="21"/>
          <w:highlight w:val="none"/>
        </w:rPr>
        <w:t>1.满足《中华人民共和国政府采购法》第二十二条规定；未被“信用中国”（www.creditchina.gov.cn)、中国政府采购网（www.ccgp.gov.cn）列入失信被执行人、重大税收违法案件当事人名单、政府采购严重违法失信行为记录名单；</w:t>
      </w:r>
    </w:p>
    <w:p w14:paraId="6C40B28C">
      <w:pPr>
        <w:spacing w:line="360" w:lineRule="auto"/>
        <w:rPr>
          <w:rFonts w:hint="eastAsia" w:ascii="宋体" w:hAnsi="宋体" w:eastAsia="宋体" w:cs="宋体"/>
          <w:snapToGrid w:val="0"/>
          <w:color w:val="auto"/>
          <w:kern w:val="28"/>
          <w:sz w:val="21"/>
          <w:szCs w:val="21"/>
          <w:highlight w:val="none"/>
        </w:rPr>
      </w:pPr>
      <w:r>
        <w:rPr>
          <w:rFonts w:hint="eastAsia" w:ascii="宋体" w:hAnsi="宋体" w:eastAsia="宋体" w:cs="宋体"/>
          <w:snapToGrid w:val="0"/>
          <w:color w:val="auto"/>
          <w:kern w:val="28"/>
          <w:sz w:val="21"/>
          <w:szCs w:val="21"/>
          <w:highlight w:val="none"/>
        </w:rPr>
        <w:t xml:space="preserve">    2.以联合体形式投标的，提供联合协议</w:t>
      </w:r>
      <w:r>
        <w:rPr>
          <w:rFonts w:hint="eastAsia" w:ascii="宋体" w:hAnsi="宋体" w:eastAsia="宋体" w:cs="宋体"/>
          <w:snapToGrid w:val="0"/>
          <w:color w:val="auto"/>
          <w:kern w:val="28"/>
          <w:sz w:val="21"/>
          <w:szCs w:val="21"/>
          <w:highlight w:val="none"/>
          <w:lang w:eastAsia="zh-CN"/>
        </w:rPr>
        <w:t>（</w:t>
      </w:r>
      <w:r>
        <w:rPr>
          <w:rFonts w:hint="eastAsia" w:ascii="宋体" w:hAnsi="宋体" w:eastAsia="宋体" w:cs="宋体"/>
          <w:snapToGrid w:val="0"/>
          <w:color w:val="auto"/>
          <w:kern w:val="28"/>
          <w:sz w:val="21"/>
          <w:szCs w:val="21"/>
          <w:highlight w:val="none"/>
        </w:rPr>
        <w:t>本项目不接受联合体投标或者投标人不以联合体形式投标的，则不需要提供) ；</w:t>
      </w:r>
    </w:p>
    <w:p w14:paraId="094A3D54">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snapToGrid w:val="0"/>
          <w:color w:val="auto"/>
          <w:kern w:val="28"/>
          <w:sz w:val="21"/>
          <w:szCs w:val="21"/>
          <w:highlight w:val="none"/>
        </w:rPr>
        <w:t>3.落实政府采购政策需满足的资格要求：</w:t>
      </w:r>
      <w:r>
        <w:rPr>
          <w:rFonts w:hint="eastAsia" w:ascii="宋体" w:hAnsi="宋体" w:eastAsia="宋体" w:cs="宋体"/>
          <w:snapToGrid w:val="0"/>
          <w:color w:val="auto"/>
          <w:kern w:val="28"/>
          <w:sz w:val="21"/>
          <w:szCs w:val="21"/>
          <w:highlight w:val="none"/>
          <w:lang w:val="en-US" w:eastAsia="zh-CN"/>
        </w:rPr>
        <w:t>服务全部由符合政策要求的中小企业承接，提供中小企业声明函；</w:t>
      </w:r>
    </w:p>
    <w:p w14:paraId="06B271A6">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4.本项目的特定资格要求：</w:t>
      </w:r>
      <w:r>
        <w:rPr>
          <w:rFonts w:hint="eastAsia" w:ascii="宋体" w:hAnsi="宋体" w:eastAsia="宋体" w:cs="宋体"/>
          <w:color w:val="auto"/>
          <w:sz w:val="21"/>
          <w:szCs w:val="21"/>
          <w:highlight w:val="none"/>
          <w:lang w:val="en-US" w:eastAsia="zh-CN"/>
        </w:rPr>
        <w:t>无</w:t>
      </w:r>
    </w:p>
    <w:p w14:paraId="503BB0DE">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49090E76">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三、获取招标文件 </w:t>
      </w:r>
    </w:p>
    <w:p w14:paraId="2494B381">
      <w:pPr>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时间：</w:t>
      </w:r>
      <w:r>
        <w:rPr>
          <w:rFonts w:hint="eastAsia" w:ascii="宋体" w:hAnsi="宋体" w:eastAsia="宋体" w:cs="宋体"/>
          <w:color w:val="auto"/>
          <w:sz w:val="21"/>
          <w:szCs w:val="21"/>
          <w:highlight w:val="none"/>
        </w:rPr>
        <w:t>/至</w:t>
      </w:r>
      <w:r>
        <w:rPr>
          <w:rStyle w:val="76"/>
          <w:rFonts w:hint="eastAsia" w:ascii="宋体" w:hAnsi="宋体" w:eastAsia="宋体" w:cs="宋体"/>
          <w:color w:val="auto"/>
          <w:kern w:val="2"/>
          <w:sz w:val="21"/>
          <w:szCs w:val="21"/>
          <w:highlight w:val="none"/>
        </w:rPr>
        <w:t>202</w:t>
      </w:r>
      <w:r>
        <w:rPr>
          <w:rStyle w:val="76"/>
          <w:rFonts w:hint="eastAsia" w:ascii="宋体" w:hAnsi="宋体" w:eastAsia="宋体" w:cs="宋体"/>
          <w:color w:val="auto"/>
          <w:kern w:val="2"/>
          <w:sz w:val="21"/>
          <w:szCs w:val="21"/>
          <w:highlight w:val="none"/>
          <w:lang w:val="en-US" w:eastAsia="zh-CN"/>
        </w:rPr>
        <w:t>6</w:t>
      </w:r>
      <w:r>
        <w:rPr>
          <w:rStyle w:val="76"/>
          <w:rFonts w:hint="eastAsia" w:ascii="宋体" w:hAnsi="宋体" w:eastAsia="宋体" w:cs="宋体"/>
          <w:color w:val="auto"/>
          <w:kern w:val="2"/>
          <w:sz w:val="21"/>
          <w:szCs w:val="21"/>
          <w:highlight w:val="none"/>
        </w:rPr>
        <w:t>年</w:t>
      </w:r>
      <w:r>
        <w:rPr>
          <w:rStyle w:val="76"/>
          <w:rFonts w:hint="eastAsia" w:ascii="宋体" w:hAnsi="宋体" w:cs="宋体"/>
          <w:color w:val="auto"/>
          <w:kern w:val="2"/>
          <w:sz w:val="21"/>
          <w:szCs w:val="21"/>
          <w:highlight w:val="none"/>
          <w:lang w:val="en-US" w:eastAsia="zh-CN"/>
        </w:rPr>
        <w:t>06</w:t>
      </w:r>
      <w:r>
        <w:rPr>
          <w:rStyle w:val="76"/>
          <w:rFonts w:hint="eastAsia" w:ascii="宋体" w:hAnsi="宋体" w:eastAsia="宋体" w:cs="宋体"/>
          <w:color w:val="auto"/>
          <w:kern w:val="2"/>
          <w:sz w:val="21"/>
          <w:szCs w:val="21"/>
          <w:highlight w:val="none"/>
        </w:rPr>
        <w:t>月</w:t>
      </w:r>
      <w:r>
        <w:rPr>
          <w:rStyle w:val="76"/>
          <w:rFonts w:hint="eastAsia" w:ascii="宋体" w:hAnsi="宋体" w:cs="宋体"/>
          <w:color w:val="auto"/>
          <w:kern w:val="2"/>
          <w:sz w:val="21"/>
          <w:szCs w:val="21"/>
          <w:highlight w:val="none"/>
          <w:lang w:val="en-US" w:eastAsia="zh-CN"/>
        </w:rPr>
        <w:t>11</w:t>
      </w:r>
      <w:r>
        <w:rPr>
          <w:rStyle w:val="76"/>
          <w:rFonts w:hint="eastAsia" w:ascii="宋体" w:hAnsi="宋体" w:eastAsia="宋体" w:cs="宋体"/>
          <w:color w:val="auto"/>
          <w:kern w:val="2"/>
          <w:sz w:val="21"/>
          <w:szCs w:val="21"/>
          <w:highlight w:val="none"/>
        </w:rPr>
        <w:t>日</w:t>
      </w:r>
      <w:r>
        <w:rPr>
          <w:rStyle w:val="76"/>
          <w:rFonts w:hint="eastAsia" w:ascii="宋体" w:hAnsi="宋体" w:cs="宋体"/>
          <w:color w:val="auto"/>
          <w:kern w:val="2"/>
          <w:sz w:val="21"/>
          <w:szCs w:val="21"/>
          <w:highlight w:val="none"/>
          <w:lang w:val="en-US" w:eastAsia="zh-CN"/>
        </w:rPr>
        <w:t>14</w:t>
      </w:r>
      <w:r>
        <w:rPr>
          <w:rStyle w:val="76"/>
          <w:rFonts w:hint="eastAsia" w:ascii="宋体" w:hAnsi="宋体" w:eastAsia="宋体" w:cs="宋体"/>
          <w:color w:val="auto"/>
          <w:kern w:val="2"/>
          <w:sz w:val="21"/>
          <w:szCs w:val="21"/>
          <w:highlight w:val="none"/>
        </w:rPr>
        <w:t>点</w:t>
      </w:r>
      <w:r>
        <w:rPr>
          <w:rStyle w:val="76"/>
          <w:rFonts w:hint="eastAsia" w:ascii="宋体" w:hAnsi="宋体" w:eastAsia="宋体" w:cs="宋体"/>
          <w:color w:val="auto"/>
          <w:kern w:val="2"/>
          <w:sz w:val="21"/>
          <w:szCs w:val="21"/>
          <w:highlight w:val="none"/>
          <w:lang w:val="en-US" w:eastAsia="zh-CN"/>
        </w:rPr>
        <w:t>30</w:t>
      </w:r>
      <w:r>
        <w:rPr>
          <w:rStyle w:val="76"/>
          <w:rFonts w:hint="eastAsia" w:ascii="宋体" w:hAnsi="宋体" w:eastAsia="宋体" w:cs="宋体"/>
          <w:color w:val="auto"/>
          <w:kern w:val="2"/>
          <w:sz w:val="21"/>
          <w:szCs w:val="21"/>
          <w:highlight w:val="none"/>
        </w:rPr>
        <w:t>分</w:t>
      </w:r>
      <w:r>
        <w:rPr>
          <w:rStyle w:val="76"/>
          <w:rFonts w:hint="eastAsia" w:ascii="宋体" w:hAnsi="宋体" w:eastAsia="宋体" w:cs="宋体"/>
          <w:bCs/>
          <w:color w:val="auto"/>
          <w:kern w:val="2"/>
          <w:sz w:val="21"/>
          <w:szCs w:val="21"/>
          <w:highlight w:val="none"/>
        </w:rPr>
        <w:t>0</w:t>
      </w:r>
      <w:r>
        <w:rPr>
          <w:rStyle w:val="76"/>
          <w:rFonts w:hint="eastAsia" w:ascii="宋体" w:hAnsi="宋体" w:eastAsia="宋体" w:cs="宋体"/>
          <w:color w:val="auto"/>
          <w:kern w:val="2"/>
          <w:sz w:val="21"/>
          <w:szCs w:val="21"/>
          <w:highlight w:val="none"/>
          <w:lang w:val="en-US" w:eastAsia="zh-CN"/>
        </w:rPr>
        <w:t>0秒（北京时间），每</w:t>
      </w:r>
      <w:r>
        <w:rPr>
          <w:rFonts w:hint="eastAsia" w:ascii="宋体" w:hAnsi="宋体" w:eastAsia="宋体" w:cs="宋体"/>
          <w:color w:val="auto"/>
          <w:sz w:val="21"/>
          <w:szCs w:val="21"/>
          <w:highlight w:val="none"/>
        </w:rPr>
        <w:t>天上午00:00至12:00 ，下午12:00至23:59（北京时间，线上获取法定节假日均可，线下获取文件法定节假日除外）</w:t>
      </w:r>
    </w:p>
    <w:p w14:paraId="2A09A249">
      <w:pPr>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地点（网址）：</w:t>
      </w:r>
      <w:r>
        <w:rPr>
          <w:rFonts w:hint="eastAsia" w:ascii="宋体" w:hAnsi="宋体" w:eastAsia="宋体" w:cs="宋体"/>
          <w:color w:val="auto"/>
          <w:sz w:val="21"/>
          <w:szCs w:val="21"/>
          <w:highlight w:val="none"/>
        </w:rPr>
        <w:t xml:space="preserve">政采云平台（https://www.zcygov.cn/） </w:t>
      </w:r>
    </w:p>
    <w:p w14:paraId="4C00237F">
      <w:pPr>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方式：</w:t>
      </w:r>
      <w:r>
        <w:rPr>
          <w:rFonts w:hint="eastAsia" w:ascii="宋体" w:hAnsi="宋体" w:eastAsia="宋体" w:cs="宋体"/>
          <w:color w:val="auto"/>
          <w:sz w:val="21"/>
          <w:szCs w:val="21"/>
          <w:highlight w:val="none"/>
        </w:rPr>
        <w:t xml:space="preserve">供应商登录政采云平台https://www.zcygov.cn/在线申请获取采购文件（进入“项目采购”应用，在获取采购文件菜单中选择项目，申请获取采购文件）。 </w:t>
      </w:r>
    </w:p>
    <w:p w14:paraId="5D1994EF">
      <w:pPr>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售价（元）：</w:t>
      </w:r>
      <w:r>
        <w:rPr>
          <w:rFonts w:hint="eastAsia" w:ascii="宋体" w:hAnsi="宋体" w:eastAsia="宋体" w:cs="宋体"/>
          <w:color w:val="auto"/>
          <w:sz w:val="21"/>
          <w:szCs w:val="21"/>
          <w:highlight w:val="none"/>
        </w:rPr>
        <w:t>0</w:t>
      </w:r>
    </w:p>
    <w:p w14:paraId="014F27C6">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四、提交投标文件截止时间、开标时间和地点</w:t>
      </w:r>
    </w:p>
    <w:p w14:paraId="55F7E86E">
      <w:pPr>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提交投标文件截止时间：</w:t>
      </w:r>
      <w:r>
        <w:rPr>
          <w:rStyle w:val="76"/>
          <w:rFonts w:hint="eastAsia" w:ascii="宋体" w:hAnsi="宋体" w:eastAsia="宋体" w:cs="宋体"/>
          <w:color w:val="auto"/>
          <w:kern w:val="2"/>
          <w:sz w:val="21"/>
          <w:szCs w:val="21"/>
          <w:highlight w:val="none"/>
        </w:rPr>
        <w:t>202</w:t>
      </w:r>
      <w:r>
        <w:rPr>
          <w:rStyle w:val="76"/>
          <w:rFonts w:hint="eastAsia" w:ascii="宋体" w:hAnsi="宋体" w:eastAsia="宋体" w:cs="宋体"/>
          <w:color w:val="auto"/>
          <w:kern w:val="2"/>
          <w:sz w:val="21"/>
          <w:szCs w:val="21"/>
          <w:highlight w:val="none"/>
          <w:lang w:val="en-US" w:eastAsia="zh-CN"/>
        </w:rPr>
        <w:t>6</w:t>
      </w:r>
      <w:r>
        <w:rPr>
          <w:rStyle w:val="76"/>
          <w:rFonts w:hint="eastAsia" w:ascii="宋体" w:hAnsi="宋体" w:eastAsia="宋体" w:cs="宋体"/>
          <w:color w:val="auto"/>
          <w:kern w:val="2"/>
          <w:sz w:val="21"/>
          <w:szCs w:val="21"/>
          <w:highlight w:val="none"/>
        </w:rPr>
        <w:t>年</w:t>
      </w:r>
      <w:r>
        <w:rPr>
          <w:rStyle w:val="76"/>
          <w:rFonts w:hint="eastAsia" w:ascii="宋体" w:hAnsi="宋体" w:cs="宋体"/>
          <w:color w:val="auto"/>
          <w:kern w:val="2"/>
          <w:sz w:val="21"/>
          <w:szCs w:val="21"/>
          <w:highlight w:val="none"/>
          <w:lang w:val="en-US" w:eastAsia="zh-CN"/>
        </w:rPr>
        <w:t>06</w:t>
      </w:r>
      <w:r>
        <w:rPr>
          <w:rStyle w:val="76"/>
          <w:rFonts w:hint="eastAsia" w:ascii="宋体" w:hAnsi="宋体" w:eastAsia="宋体" w:cs="宋体"/>
          <w:color w:val="auto"/>
          <w:kern w:val="2"/>
          <w:sz w:val="21"/>
          <w:szCs w:val="21"/>
          <w:highlight w:val="none"/>
        </w:rPr>
        <w:t>月</w:t>
      </w:r>
      <w:r>
        <w:rPr>
          <w:rStyle w:val="76"/>
          <w:rFonts w:hint="eastAsia" w:ascii="宋体" w:hAnsi="宋体" w:cs="宋体"/>
          <w:color w:val="auto"/>
          <w:kern w:val="2"/>
          <w:sz w:val="21"/>
          <w:szCs w:val="21"/>
          <w:highlight w:val="none"/>
          <w:lang w:val="en-US" w:eastAsia="zh-CN"/>
        </w:rPr>
        <w:t>11</w:t>
      </w:r>
      <w:r>
        <w:rPr>
          <w:rStyle w:val="76"/>
          <w:rFonts w:hint="eastAsia" w:ascii="宋体" w:hAnsi="宋体" w:eastAsia="宋体" w:cs="宋体"/>
          <w:color w:val="auto"/>
          <w:kern w:val="2"/>
          <w:sz w:val="21"/>
          <w:szCs w:val="21"/>
          <w:highlight w:val="none"/>
        </w:rPr>
        <w:t>日</w:t>
      </w:r>
      <w:r>
        <w:rPr>
          <w:rStyle w:val="76"/>
          <w:rFonts w:hint="eastAsia" w:ascii="宋体" w:hAnsi="宋体" w:cs="宋体"/>
          <w:color w:val="auto"/>
          <w:kern w:val="2"/>
          <w:sz w:val="21"/>
          <w:szCs w:val="21"/>
          <w:highlight w:val="none"/>
          <w:lang w:val="en-US" w:eastAsia="zh-CN"/>
        </w:rPr>
        <w:t>14</w:t>
      </w:r>
      <w:r>
        <w:rPr>
          <w:rStyle w:val="76"/>
          <w:rFonts w:hint="eastAsia" w:ascii="宋体" w:hAnsi="宋体" w:eastAsia="宋体" w:cs="宋体"/>
          <w:color w:val="auto"/>
          <w:kern w:val="2"/>
          <w:sz w:val="21"/>
          <w:szCs w:val="21"/>
          <w:highlight w:val="none"/>
        </w:rPr>
        <w:t>点</w:t>
      </w:r>
      <w:r>
        <w:rPr>
          <w:rStyle w:val="76"/>
          <w:rFonts w:hint="eastAsia" w:ascii="宋体" w:hAnsi="宋体" w:eastAsia="宋体" w:cs="宋体"/>
          <w:color w:val="auto"/>
          <w:kern w:val="2"/>
          <w:sz w:val="21"/>
          <w:szCs w:val="21"/>
          <w:highlight w:val="none"/>
          <w:lang w:val="en-US" w:eastAsia="zh-CN"/>
        </w:rPr>
        <w:t>30</w:t>
      </w:r>
      <w:r>
        <w:rPr>
          <w:rStyle w:val="76"/>
          <w:rFonts w:hint="eastAsia" w:ascii="宋体" w:hAnsi="宋体" w:eastAsia="宋体" w:cs="宋体"/>
          <w:color w:val="auto"/>
          <w:kern w:val="2"/>
          <w:sz w:val="21"/>
          <w:szCs w:val="21"/>
          <w:highlight w:val="none"/>
        </w:rPr>
        <w:t>分</w:t>
      </w:r>
      <w:r>
        <w:rPr>
          <w:rStyle w:val="76"/>
          <w:rFonts w:hint="eastAsia" w:ascii="宋体" w:hAnsi="宋体" w:eastAsia="宋体" w:cs="宋体"/>
          <w:bCs/>
          <w:color w:val="auto"/>
          <w:kern w:val="2"/>
          <w:sz w:val="21"/>
          <w:szCs w:val="21"/>
          <w:highlight w:val="none"/>
        </w:rPr>
        <w:t>0</w:t>
      </w:r>
      <w:r>
        <w:rPr>
          <w:rStyle w:val="76"/>
          <w:rFonts w:hint="eastAsia" w:ascii="宋体" w:hAnsi="宋体" w:eastAsia="宋体" w:cs="宋体"/>
          <w:color w:val="auto"/>
          <w:kern w:val="2"/>
          <w:sz w:val="21"/>
          <w:szCs w:val="21"/>
          <w:highlight w:val="none"/>
          <w:lang w:val="en-US" w:eastAsia="zh-CN"/>
        </w:rPr>
        <w:t>0秒（北京时间）</w:t>
      </w:r>
    </w:p>
    <w:p w14:paraId="1984C024">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投标地点（网址）：</w:t>
      </w:r>
      <w:r>
        <w:rPr>
          <w:rFonts w:hint="eastAsia" w:ascii="宋体" w:hAnsi="宋体" w:eastAsia="宋体" w:cs="宋体"/>
          <w:color w:val="auto"/>
          <w:sz w:val="21"/>
          <w:szCs w:val="21"/>
          <w:highlight w:val="none"/>
        </w:rPr>
        <w:t xml:space="preserve">政采云平台（https://www.zcygov.cn/） </w:t>
      </w:r>
    </w:p>
    <w:p w14:paraId="19DDE224">
      <w:pPr>
        <w:spacing w:line="360" w:lineRule="auto"/>
        <w:ind w:firstLine="422" w:firstLineChars="200"/>
        <w:rPr>
          <w:rFonts w:hint="eastAsia" w:ascii="宋体" w:hAnsi="宋体" w:eastAsia="宋体" w:cs="宋体"/>
          <w:bCs/>
          <w:color w:val="auto"/>
          <w:sz w:val="21"/>
          <w:szCs w:val="21"/>
          <w:highlight w:val="none"/>
          <w:u w:val="single"/>
        </w:rPr>
      </w:pPr>
      <w:r>
        <w:rPr>
          <w:rFonts w:hint="eastAsia" w:ascii="宋体" w:hAnsi="宋体" w:eastAsia="宋体" w:cs="宋体"/>
          <w:b/>
          <w:color w:val="auto"/>
          <w:sz w:val="21"/>
          <w:szCs w:val="21"/>
          <w:highlight w:val="none"/>
        </w:rPr>
        <w:t>开标时间：</w:t>
      </w:r>
      <w:r>
        <w:rPr>
          <w:rStyle w:val="76"/>
          <w:rFonts w:hint="eastAsia" w:ascii="宋体" w:hAnsi="宋体" w:eastAsia="宋体" w:cs="宋体"/>
          <w:color w:val="auto"/>
          <w:kern w:val="2"/>
          <w:sz w:val="21"/>
          <w:szCs w:val="21"/>
          <w:highlight w:val="none"/>
        </w:rPr>
        <w:t>202</w:t>
      </w:r>
      <w:r>
        <w:rPr>
          <w:rStyle w:val="76"/>
          <w:rFonts w:hint="eastAsia" w:ascii="宋体" w:hAnsi="宋体" w:eastAsia="宋体" w:cs="宋体"/>
          <w:color w:val="auto"/>
          <w:kern w:val="2"/>
          <w:sz w:val="21"/>
          <w:szCs w:val="21"/>
          <w:highlight w:val="none"/>
          <w:lang w:val="en-US" w:eastAsia="zh-CN"/>
        </w:rPr>
        <w:t>6</w:t>
      </w:r>
      <w:r>
        <w:rPr>
          <w:rStyle w:val="76"/>
          <w:rFonts w:hint="eastAsia" w:ascii="宋体" w:hAnsi="宋体" w:eastAsia="宋体" w:cs="宋体"/>
          <w:color w:val="auto"/>
          <w:kern w:val="2"/>
          <w:sz w:val="21"/>
          <w:szCs w:val="21"/>
          <w:highlight w:val="none"/>
        </w:rPr>
        <w:t>年</w:t>
      </w:r>
      <w:r>
        <w:rPr>
          <w:rStyle w:val="76"/>
          <w:rFonts w:hint="eastAsia" w:ascii="宋体" w:hAnsi="宋体" w:cs="宋体"/>
          <w:color w:val="auto"/>
          <w:kern w:val="2"/>
          <w:sz w:val="21"/>
          <w:szCs w:val="21"/>
          <w:highlight w:val="none"/>
          <w:lang w:val="en-US" w:eastAsia="zh-CN"/>
        </w:rPr>
        <w:t>06</w:t>
      </w:r>
      <w:r>
        <w:rPr>
          <w:rStyle w:val="76"/>
          <w:rFonts w:hint="eastAsia" w:ascii="宋体" w:hAnsi="宋体" w:eastAsia="宋体" w:cs="宋体"/>
          <w:color w:val="auto"/>
          <w:kern w:val="2"/>
          <w:sz w:val="21"/>
          <w:szCs w:val="21"/>
          <w:highlight w:val="none"/>
        </w:rPr>
        <w:t>月</w:t>
      </w:r>
      <w:r>
        <w:rPr>
          <w:rStyle w:val="76"/>
          <w:rFonts w:hint="eastAsia" w:ascii="宋体" w:hAnsi="宋体" w:cs="宋体"/>
          <w:color w:val="auto"/>
          <w:kern w:val="2"/>
          <w:sz w:val="21"/>
          <w:szCs w:val="21"/>
          <w:highlight w:val="none"/>
          <w:lang w:val="en-US" w:eastAsia="zh-CN"/>
        </w:rPr>
        <w:t>11</w:t>
      </w:r>
      <w:r>
        <w:rPr>
          <w:rStyle w:val="76"/>
          <w:rFonts w:hint="eastAsia" w:ascii="宋体" w:hAnsi="宋体" w:eastAsia="宋体" w:cs="宋体"/>
          <w:color w:val="auto"/>
          <w:kern w:val="2"/>
          <w:sz w:val="21"/>
          <w:szCs w:val="21"/>
          <w:highlight w:val="none"/>
        </w:rPr>
        <w:t>日</w:t>
      </w:r>
      <w:r>
        <w:rPr>
          <w:rStyle w:val="76"/>
          <w:rFonts w:hint="eastAsia" w:ascii="宋体" w:hAnsi="宋体" w:cs="宋体"/>
          <w:color w:val="auto"/>
          <w:kern w:val="2"/>
          <w:sz w:val="21"/>
          <w:szCs w:val="21"/>
          <w:highlight w:val="none"/>
          <w:lang w:val="en-US" w:eastAsia="zh-CN"/>
        </w:rPr>
        <w:t>14</w:t>
      </w:r>
      <w:r>
        <w:rPr>
          <w:rStyle w:val="76"/>
          <w:rFonts w:hint="eastAsia" w:ascii="宋体" w:hAnsi="宋体" w:eastAsia="宋体" w:cs="宋体"/>
          <w:color w:val="auto"/>
          <w:kern w:val="2"/>
          <w:sz w:val="21"/>
          <w:szCs w:val="21"/>
          <w:highlight w:val="none"/>
        </w:rPr>
        <w:t>点</w:t>
      </w:r>
      <w:r>
        <w:rPr>
          <w:rStyle w:val="76"/>
          <w:rFonts w:hint="eastAsia" w:ascii="宋体" w:hAnsi="宋体" w:eastAsia="宋体" w:cs="宋体"/>
          <w:color w:val="auto"/>
          <w:kern w:val="2"/>
          <w:sz w:val="21"/>
          <w:szCs w:val="21"/>
          <w:highlight w:val="none"/>
          <w:lang w:val="en-US" w:eastAsia="zh-CN"/>
        </w:rPr>
        <w:t>30</w:t>
      </w:r>
      <w:r>
        <w:rPr>
          <w:rStyle w:val="76"/>
          <w:rFonts w:hint="eastAsia" w:ascii="宋体" w:hAnsi="宋体" w:eastAsia="宋体" w:cs="宋体"/>
          <w:color w:val="auto"/>
          <w:kern w:val="2"/>
          <w:sz w:val="21"/>
          <w:szCs w:val="21"/>
          <w:highlight w:val="none"/>
        </w:rPr>
        <w:t>分</w:t>
      </w:r>
      <w:r>
        <w:rPr>
          <w:rStyle w:val="76"/>
          <w:rFonts w:hint="eastAsia" w:ascii="宋体" w:hAnsi="宋体" w:eastAsia="宋体" w:cs="宋体"/>
          <w:bCs/>
          <w:color w:val="auto"/>
          <w:kern w:val="2"/>
          <w:sz w:val="21"/>
          <w:szCs w:val="21"/>
          <w:highlight w:val="none"/>
        </w:rPr>
        <w:t>0</w:t>
      </w:r>
      <w:r>
        <w:rPr>
          <w:rStyle w:val="76"/>
          <w:rFonts w:hint="eastAsia" w:ascii="宋体" w:hAnsi="宋体" w:eastAsia="宋体" w:cs="宋体"/>
          <w:color w:val="auto"/>
          <w:kern w:val="2"/>
          <w:sz w:val="21"/>
          <w:szCs w:val="21"/>
          <w:highlight w:val="none"/>
          <w:lang w:val="en-US" w:eastAsia="zh-CN"/>
        </w:rPr>
        <w:t>0秒（北京时间）</w:t>
      </w:r>
    </w:p>
    <w:p w14:paraId="1895D462">
      <w:pPr>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开标地点（网址）：</w:t>
      </w:r>
      <w:r>
        <w:rPr>
          <w:rFonts w:hint="eastAsia" w:ascii="宋体" w:hAnsi="宋体" w:eastAsia="宋体" w:cs="宋体"/>
          <w:color w:val="auto"/>
          <w:sz w:val="21"/>
          <w:szCs w:val="21"/>
          <w:highlight w:val="none"/>
        </w:rPr>
        <w:t>政采云平台（https://www.zcygov.cn/）</w:t>
      </w:r>
    </w:p>
    <w:p w14:paraId="57E06878">
      <w:pPr>
        <w:spacing w:line="360" w:lineRule="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五、公告期限 </w:t>
      </w:r>
    </w:p>
    <w:p w14:paraId="16052A5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自本公告发布之日起5个工作日。</w:t>
      </w:r>
    </w:p>
    <w:p w14:paraId="49176D83">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六、其他补充事宜</w:t>
      </w:r>
    </w:p>
    <w:p w14:paraId="3EBB0AB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1.《浙江省财政厅关于进一步发挥政府采购政策功能全力推动经济稳进提质的通知》 （浙财采监</w:t>
      </w:r>
      <w:r>
        <w:rPr>
          <w:rFonts w:hint="eastAsia" w:ascii="宋体" w:hAnsi="宋体" w:eastAsia="宋体" w:cs="宋体"/>
          <w:color w:val="auto"/>
          <w:sz w:val="21"/>
          <w:szCs w:val="21"/>
          <w:highlight w:val="none"/>
          <w:lang w:eastAsia="zh-CN"/>
        </w:rPr>
        <w:t>〔2022〕3号</w:t>
      </w:r>
      <w:r>
        <w:rPr>
          <w:rFonts w:hint="eastAsia" w:ascii="宋体" w:hAnsi="宋体" w:eastAsia="宋体" w:cs="宋体"/>
          <w:color w:val="auto"/>
          <w:sz w:val="21"/>
          <w:szCs w:val="21"/>
          <w:highlight w:val="none"/>
        </w:rPr>
        <w:t>）、《浙江省财政厅关于进一步促进政府采购公平竞争打造最优营商环境的通知》（浙财采监</w:t>
      </w:r>
      <w:r>
        <w:rPr>
          <w:rFonts w:hint="eastAsia" w:ascii="宋体" w:hAnsi="宋体" w:eastAsia="宋体" w:cs="宋体"/>
          <w:color w:val="auto"/>
          <w:sz w:val="21"/>
          <w:szCs w:val="21"/>
          <w:highlight w:val="none"/>
          <w:lang w:eastAsia="zh-CN"/>
        </w:rPr>
        <w:t>〔2021〕22号</w:t>
      </w:r>
      <w:r>
        <w:rPr>
          <w:rFonts w:hint="eastAsia" w:ascii="宋体" w:hAnsi="宋体" w:eastAsia="宋体" w:cs="宋体"/>
          <w:color w:val="auto"/>
          <w:sz w:val="21"/>
          <w:szCs w:val="21"/>
          <w:highlight w:val="none"/>
        </w:rPr>
        <w:t>））、《浙江省财政厅关于进一步加大政府采购支持中小企业力度助力扎实稳住经济的通知》 （浙财采监</w:t>
      </w:r>
      <w:r>
        <w:rPr>
          <w:rFonts w:hint="eastAsia" w:ascii="宋体" w:hAnsi="宋体" w:eastAsia="宋体" w:cs="宋体"/>
          <w:color w:val="auto"/>
          <w:sz w:val="21"/>
          <w:szCs w:val="21"/>
          <w:highlight w:val="none"/>
          <w:lang w:eastAsia="zh-CN"/>
        </w:rPr>
        <w:t>〔2022〕8号</w:t>
      </w:r>
      <w:r>
        <w:rPr>
          <w:rFonts w:hint="eastAsia" w:ascii="宋体" w:hAnsi="宋体" w:eastAsia="宋体" w:cs="宋体"/>
          <w:color w:val="auto"/>
          <w:sz w:val="21"/>
          <w:szCs w:val="21"/>
          <w:highlight w:val="none"/>
        </w:rPr>
        <w:t>）已分别于2022年1月29日、2022年2月1日和2022年7月1日开始实施，此前有关规定与上述文件内容不一致的，按上述文件要求执行。</w:t>
      </w:r>
    </w:p>
    <w:p w14:paraId="1F9F683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2.根据《浙江省财政厅关于进一步促进政府采购公平竞争打造最优营商环境的通知》（浙财采监</w:t>
      </w:r>
      <w:r>
        <w:rPr>
          <w:rFonts w:hint="eastAsia" w:ascii="宋体" w:hAnsi="宋体" w:eastAsia="宋体" w:cs="宋体"/>
          <w:color w:val="auto"/>
          <w:sz w:val="21"/>
          <w:szCs w:val="21"/>
          <w:highlight w:val="none"/>
          <w:lang w:eastAsia="zh-CN"/>
        </w:rPr>
        <w:t>〔2021〕22号</w:t>
      </w:r>
      <w:r>
        <w:rPr>
          <w:rFonts w:hint="eastAsia" w:ascii="宋体" w:hAnsi="宋体" w:eastAsia="宋体" w:cs="宋体"/>
          <w:color w:val="auto"/>
          <w:sz w:val="21"/>
          <w:szCs w:val="21"/>
          <w:highlight w:val="none"/>
        </w:rPr>
        <w:t>）文件关于“健全行政裁决机制”要求，鼓励供应商在线提起询问，路径为：政采云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项目采购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询问质疑投诉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询问列表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鼓励供应商在线提起质疑，路径为：政采云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项目采购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询问质疑投诉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质疑列表。质疑供应商对在线质疑答复不满意的，可在线提起投诉，路径为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政采云平台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项目采购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询问质疑投诉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投诉列表。采购当事人通过在线方式提出或受理询问、质疑、投诉的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即视为认可电子送达方式与邮寄送达方式具有同等法律效力。相关文书送达日期以该文书到达本采购当事人在政采云平台账户的日期为准。各采购当事人应确保其政采云平台账户信息真实有效，并保持账户处于正常可用状态。</w:t>
      </w:r>
    </w:p>
    <w:p w14:paraId="5DA09BA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认为招标文件使自己的权益受到损害的，可以自获取招标文件之日或者招标文件公告期限届满之日（公告期限届满后获取招标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43B733C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点击“商家入驻”，进行政府采购供应商资料填写；申领CA数字证书---申领流程详见“浙江政府采购网-下载专区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电子交易客户端-CA驱动和申领流程”；安装“政采云电子交易客户端”----前往“浙江政府采购网-下载专区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w:t>
      </w:r>
      <w:r>
        <w:rPr>
          <w:rFonts w:hint="eastAsia" w:ascii="宋体" w:hAnsi="宋体" w:eastAsia="宋体" w:cs="宋体"/>
          <w:color w:val="auto"/>
          <w:sz w:val="21"/>
          <w:szCs w:val="21"/>
          <w:highlight w:val="none"/>
          <w:lang w:eastAsia="zh-CN"/>
        </w:rPr>
        <w:t>采购代理机构</w:t>
      </w:r>
      <w:r>
        <w:rPr>
          <w:rFonts w:hint="eastAsia" w:ascii="宋体" w:hAnsi="宋体" w:eastAsia="宋体" w:cs="宋体"/>
          <w:color w:val="auto"/>
          <w:sz w:val="21"/>
          <w:szCs w:val="21"/>
          <w:highlight w:val="none"/>
        </w:rPr>
        <w:t>将依托政采云平台完成本项目的电子交易活动，平台不接受未按上述方式获取招标文件的供应商进行投标活动；⑥对未按上述方式获取招标文件的供应商对该文件提出的质疑，采购人或采购代理机构将不予处理；⑦不提供招标文件纸质版；⑧投标文件的传输递交：投标人在投标截止时间前将加密的投标文件上传至政采云平台，还可以在投标截止时间前直接提交或者以邮政快递方式递交备份投标文件1份。备份投标文件的制作、存储、密封详见招标文件第二部分第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点—“备份投标文件”；⑨投标文件的解密：投标人按照平台提示和招标文件的规定在半小时内完成在线解密。通过“政采云平台”上传递交的投标文件无法按时解密，投标供应商递交了备份投标文件的，以备份投标文件为依据，否则视为投标文件撤回。通过“政采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p>
    <w:p w14:paraId="23B42261">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七、对本次采购提出询问、质疑、投诉，请按以下方式联系</w:t>
      </w:r>
    </w:p>
    <w:p w14:paraId="6761BD5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1.采购人信息</w:t>
      </w:r>
    </w:p>
    <w:p w14:paraId="48131F2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r>
        <w:rPr>
          <w:rFonts w:hint="eastAsia" w:ascii="宋体" w:hAnsi="宋体" w:cs="宋体"/>
          <w:color w:val="auto"/>
          <w:sz w:val="21"/>
          <w:szCs w:val="21"/>
          <w:highlight w:val="none"/>
          <w:lang w:eastAsia="zh-CN"/>
        </w:rPr>
        <w:t>浙江省工商业联合会</w:t>
      </w:r>
      <w:r>
        <w:rPr>
          <w:rFonts w:hint="eastAsia" w:ascii="宋体" w:hAnsi="宋体" w:eastAsia="宋体" w:cs="宋体"/>
          <w:color w:val="auto"/>
          <w:sz w:val="21"/>
          <w:szCs w:val="21"/>
          <w:highlight w:val="none"/>
        </w:rPr>
        <w:t xml:space="preserve"> </w:t>
      </w:r>
    </w:p>
    <w:p w14:paraId="2A42DE9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地址：浙江省杭州市拱墅区密渡桥路51-1号       </w:t>
      </w:r>
    </w:p>
    <w:p w14:paraId="6E88071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p w14:paraId="2AB0DE98">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项目联系人（询问）：</w:t>
      </w:r>
      <w:r>
        <w:rPr>
          <w:rFonts w:hint="eastAsia" w:ascii="宋体" w:hAnsi="宋体" w:eastAsia="宋体" w:cs="宋体"/>
          <w:color w:val="auto"/>
          <w:sz w:val="21"/>
          <w:szCs w:val="21"/>
          <w:highlight w:val="none"/>
          <w:lang w:val="en-US" w:eastAsia="zh-CN"/>
        </w:rPr>
        <w:t>王先生</w:t>
      </w:r>
    </w:p>
    <w:p w14:paraId="05BAC460">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项目联系方式（询问）：</w:t>
      </w:r>
      <w:r>
        <w:rPr>
          <w:rFonts w:hint="eastAsia" w:ascii="宋体" w:hAnsi="宋体" w:eastAsia="宋体" w:cs="宋体"/>
          <w:color w:val="auto"/>
          <w:sz w:val="21"/>
          <w:szCs w:val="21"/>
          <w:highlight w:val="none"/>
          <w:lang w:val="en-US" w:eastAsia="zh-CN"/>
        </w:rPr>
        <w:t>0571-</w:t>
      </w:r>
      <w:r>
        <w:rPr>
          <w:rFonts w:hint="eastAsia" w:ascii="宋体" w:hAnsi="宋体" w:eastAsia="宋体" w:cs="宋体"/>
          <w:color w:val="auto"/>
          <w:sz w:val="21"/>
          <w:szCs w:val="21"/>
          <w:highlight w:val="none"/>
          <w:lang w:eastAsia="zh-CN"/>
        </w:rPr>
        <w:t>87050444</w:t>
      </w:r>
    </w:p>
    <w:p w14:paraId="03BE1E24">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质疑联系人：</w:t>
      </w:r>
      <w:r>
        <w:rPr>
          <w:rFonts w:hint="eastAsia" w:ascii="宋体" w:hAnsi="宋体" w:eastAsia="宋体" w:cs="宋体"/>
          <w:color w:val="auto"/>
          <w:sz w:val="21"/>
          <w:szCs w:val="21"/>
          <w:highlight w:val="none"/>
          <w:lang w:val="en-US" w:eastAsia="zh-CN"/>
        </w:rPr>
        <w:t>兰先生</w:t>
      </w:r>
    </w:p>
    <w:p w14:paraId="03E319B4">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质疑联系方式：</w:t>
      </w:r>
      <w:r>
        <w:rPr>
          <w:rFonts w:hint="eastAsia" w:ascii="宋体" w:hAnsi="宋体" w:eastAsia="宋体" w:cs="宋体"/>
          <w:color w:val="auto"/>
          <w:sz w:val="21"/>
          <w:szCs w:val="21"/>
          <w:highlight w:val="none"/>
          <w:lang w:val="en-US" w:eastAsia="zh-CN"/>
        </w:rPr>
        <w:t>0571-87059499</w:t>
      </w:r>
      <w:r>
        <w:rPr>
          <w:rFonts w:hint="eastAsia" w:ascii="宋体" w:hAnsi="宋体" w:eastAsia="宋体" w:cs="宋体"/>
          <w:color w:val="auto"/>
          <w:sz w:val="21"/>
          <w:szCs w:val="21"/>
          <w:highlight w:val="none"/>
          <w:lang w:eastAsia="zh-CN"/>
        </w:rPr>
        <w:t xml:space="preserve"> </w:t>
      </w:r>
    </w:p>
    <w:p w14:paraId="5E0CBE8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2.采购代理机构信息</w:t>
      </w:r>
    </w:p>
    <w:p w14:paraId="24078BB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名称：浙江国际招投标有限公司 　　　　　　　　　　　</w:t>
      </w:r>
    </w:p>
    <w:p w14:paraId="643692A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地址：杭州市文三路90号东部软件园1号楼3楼</w:t>
      </w:r>
    </w:p>
    <w:p w14:paraId="69C8C51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传真：0571-88473430</w:t>
      </w:r>
    </w:p>
    <w:p w14:paraId="62D6A06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项目联系人（询问）：刘磊、钱妍  　　　　　　　　　　　</w:t>
      </w:r>
    </w:p>
    <w:p w14:paraId="340B429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项目联系方式（询问）：0571-81061810、0571-81061809</w:t>
      </w:r>
    </w:p>
    <w:p w14:paraId="73DA359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质疑联系人：王远南</w:t>
      </w:r>
    </w:p>
    <w:p w14:paraId="32F83A7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质疑联系方式：0571-81061811　　　　　　　　　　　　　　　　　　　　　　 </w:t>
      </w:r>
    </w:p>
    <w:p w14:paraId="1733F2A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3.同级政府采购监督管理部门</w:t>
      </w:r>
    </w:p>
    <w:p w14:paraId="22C1230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名称：浙江省政府采购行政裁决服务中心（杭州）</w:t>
      </w:r>
    </w:p>
    <w:p w14:paraId="618DC35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地址：杭州市上城区清泰街549号城建综合大楼11楼（快递仅限ems或顺丰）</w:t>
      </w:r>
    </w:p>
    <w:p w14:paraId="42F293B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p w14:paraId="6FB3BE4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联系人：匡老师</w:t>
      </w:r>
    </w:p>
    <w:p w14:paraId="19D8479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监督投诉电话：0571-87807798</w:t>
      </w:r>
    </w:p>
    <w:p w14:paraId="66C32288">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政策咨询：何一平、冯华，0571-87058424、87055741</w:t>
      </w:r>
    </w:p>
    <w:p w14:paraId="21AF2421">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246F000D">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若对项目采购电子交易系统操作有疑问，可登录政采云（https://www.zcygov.cn/），点击右侧咨询小采，获取采小蜜智能服务管家帮助，或拨打政采云服务热线95763获取热线服务帮助。</w:t>
      </w:r>
    </w:p>
    <w:p w14:paraId="324E0AFD">
      <w:pPr>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CA问题联系电话（人工）：汇信CA 400-888-4636；天谷CA 400-087-8198。</w:t>
      </w:r>
    </w:p>
    <w:p w14:paraId="34087579">
      <w:pPr>
        <w:spacing w:line="360" w:lineRule="auto"/>
        <w:rPr>
          <w:rFonts w:hint="eastAsia" w:ascii="宋体" w:hAnsi="宋体" w:eastAsia="宋体" w:cs="宋体"/>
          <w:b/>
          <w:color w:val="auto"/>
          <w:sz w:val="36"/>
          <w:szCs w:val="20"/>
          <w:highlight w:val="none"/>
        </w:rPr>
      </w:pPr>
      <w:r>
        <w:rPr>
          <w:rFonts w:hint="eastAsia" w:ascii="宋体" w:hAnsi="宋体" w:eastAsia="宋体" w:cs="宋体"/>
          <w:b/>
          <w:color w:val="auto"/>
          <w:sz w:val="36"/>
          <w:szCs w:val="20"/>
          <w:highlight w:val="none"/>
        </w:rPr>
        <w:br w:type="page"/>
      </w:r>
    </w:p>
    <w:p w14:paraId="19D94E5A">
      <w:pPr>
        <w:adjustRightInd/>
        <w:spacing w:line="360" w:lineRule="auto"/>
        <w:jc w:val="center"/>
        <w:outlineLvl w:val="0"/>
        <w:rPr>
          <w:rFonts w:hint="eastAsia" w:ascii="宋体" w:hAnsi="宋体" w:eastAsia="宋体" w:cs="宋体"/>
          <w:b/>
          <w:color w:val="auto"/>
          <w:sz w:val="36"/>
          <w:szCs w:val="20"/>
          <w:highlight w:val="none"/>
        </w:rPr>
      </w:pPr>
      <w:bookmarkStart w:id="7" w:name="_Toc31757"/>
      <w:r>
        <w:rPr>
          <w:rFonts w:hint="eastAsia" w:ascii="宋体" w:hAnsi="宋体" w:eastAsia="宋体" w:cs="宋体"/>
          <w:b/>
          <w:color w:val="auto"/>
          <w:sz w:val="36"/>
          <w:szCs w:val="20"/>
          <w:highlight w:val="none"/>
        </w:rPr>
        <w:t>第二部分</w:t>
      </w:r>
      <w:bookmarkEnd w:id="2"/>
      <w:r>
        <w:rPr>
          <w:rFonts w:hint="eastAsia" w:ascii="宋体" w:hAnsi="宋体" w:eastAsia="宋体" w:cs="宋体"/>
          <w:b/>
          <w:color w:val="auto"/>
          <w:sz w:val="36"/>
          <w:szCs w:val="20"/>
          <w:highlight w:val="none"/>
        </w:rPr>
        <w:t xml:space="preserve"> 投标人须知</w:t>
      </w:r>
      <w:bookmarkEnd w:id="3"/>
      <w:bookmarkEnd w:id="7"/>
    </w:p>
    <w:p w14:paraId="36F6A039">
      <w:pPr>
        <w:adjustRightInd/>
        <w:spacing w:line="360" w:lineRule="auto"/>
        <w:ind w:firstLine="3845" w:firstLineChars="1197"/>
        <w:outlineLvl w:val="0"/>
        <w:rPr>
          <w:rFonts w:hint="eastAsia" w:ascii="宋体" w:hAnsi="宋体" w:eastAsia="宋体" w:cs="宋体"/>
          <w:b/>
          <w:color w:val="auto"/>
          <w:sz w:val="32"/>
          <w:szCs w:val="20"/>
          <w:highlight w:val="none"/>
        </w:rPr>
      </w:pPr>
      <w:bookmarkStart w:id="8" w:name="_Toc9049"/>
      <w:r>
        <w:rPr>
          <w:rFonts w:hint="eastAsia" w:ascii="宋体" w:hAnsi="宋体" w:eastAsia="宋体" w:cs="宋体"/>
          <w:b/>
          <w:color w:val="auto"/>
          <w:sz w:val="32"/>
          <w:szCs w:val="20"/>
          <w:highlight w:val="none"/>
        </w:rPr>
        <w:t>前附表</w:t>
      </w:r>
      <w:bookmarkEnd w:id="8"/>
    </w:p>
    <w:tbl>
      <w:tblPr>
        <w:tblStyle w:val="62"/>
        <w:tblW w:w="9035" w:type="dxa"/>
        <w:jc w:val="right"/>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77"/>
        <w:gridCol w:w="1826"/>
        <w:gridCol w:w="6532"/>
      </w:tblGrid>
      <w:tr w14:paraId="4498C7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right"/>
        </w:trPr>
        <w:tc>
          <w:tcPr>
            <w:tcW w:w="677" w:type="dxa"/>
            <w:tcBorders>
              <w:tl2br w:val="nil"/>
              <w:tr2bl w:val="nil"/>
            </w:tcBorders>
            <w:vAlign w:val="center"/>
          </w:tcPr>
          <w:p w14:paraId="6C8A6D9C">
            <w:pPr>
              <w:keepNext w:val="0"/>
              <w:keepLines w:val="0"/>
              <w:pageBreakBefore w:val="0"/>
              <w:suppressLineNumbers w:val="0"/>
              <w:kinsoku/>
              <w:wordWrap/>
              <w:overflowPunct/>
              <w:topLinePunct w:val="0"/>
              <w:bidi w:val="0"/>
              <w:snapToGrid w:val="0"/>
              <w:spacing w:before="32" w:beforeLines="10" w:beforeAutospacing="0" w:after="32" w:afterLines="10" w:afterAutospacing="0" w:line="360" w:lineRule="auto"/>
              <w:ind w:left="21" w:leftChars="10" w:right="21" w:rightChars="1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826" w:type="dxa"/>
            <w:tcBorders>
              <w:tl2br w:val="nil"/>
              <w:tr2bl w:val="nil"/>
            </w:tcBorders>
            <w:vAlign w:val="center"/>
          </w:tcPr>
          <w:p w14:paraId="424684E0">
            <w:pPr>
              <w:keepNext w:val="0"/>
              <w:keepLines w:val="0"/>
              <w:pageBreakBefore w:val="0"/>
              <w:suppressLineNumbers w:val="0"/>
              <w:kinsoku/>
              <w:wordWrap/>
              <w:overflowPunct/>
              <w:topLinePunct w:val="0"/>
              <w:bidi w:val="0"/>
              <w:snapToGrid w:val="0"/>
              <w:spacing w:before="32" w:beforeLines="10" w:beforeAutospacing="0" w:after="32" w:afterLines="10" w:afterAutospacing="0" w:line="360" w:lineRule="auto"/>
              <w:ind w:left="21" w:leftChars="10" w:right="21" w:rightChars="1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事项</w:t>
            </w:r>
          </w:p>
        </w:tc>
        <w:tc>
          <w:tcPr>
            <w:tcW w:w="6532" w:type="dxa"/>
            <w:tcBorders>
              <w:tl2br w:val="nil"/>
              <w:tr2bl w:val="nil"/>
            </w:tcBorders>
            <w:vAlign w:val="center"/>
          </w:tcPr>
          <w:p w14:paraId="08DC0C44">
            <w:pPr>
              <w:keepNext w:val="0"/>
              <w:keepLines w:val="0"/>
              <w:pageBreakBefore w:val="0"/>
              <w:suppressLineNumbers w:val="0"/>
              <w:kinsoku/>
              <w:wordWrap/>
              <w:overflowPunct/>
              <w:topLinePunct w:val="0"/>
              <w:bidi w:val="0"/>
              <w:snapToGrid w:val="0"/>
              <w:spacing w:before="32" w:beforeLines="10" w:beforeAutospacing="0" w:after="32" w:afterLines="10" w:afterAutospacing="0" w:line="360" w:lineRule="auto"/>
              <w:ind w:left="21" w:leftChars="10" w:right="21" w:rightChars="1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本项目的特别规定</w:t>
            </w:r>
          </w:p>
        </w:tc>
      </w:tr>
      <w:tr w14:paraId="4D58F2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right"/>
        </w:trPr>
        <w:tc>
          <w:tcPr>
            <w:tcW w:w="677" w:type="dxa"/>
            <w:tcBorders>
              <w:tl2br w:val="nil"/>
              <w:tr2bl w:val="nil"/>
            </w:tcBorders>
          </w:tcPr>
          <w:p w14:paraId="6AB61246">
            <w:pPr>
              <w:keepNext w:val="0"/>
              <w:keepLines w:val="0"/>
              <w:pageBreakBefore w:val="0"/>
              <w:suppressLineNumbers w:val="0"/>
              <w:kinsoku/>
              <w:wordWrap/>
              <w:overflowPunct/>
              <w:topLinePunct w:val="0"/>
              <w:bidi w:val="0"/>
              <w:snapToGrid w:val="0"/>
              <w:spacing w:before="32" w:beforeLines="10" w:beforeAutospacing="0" w:after="32" w:afterLines="10" w:afterAutospacing="0" w:line="360" w:lineRule="auto"/>
              <w:ind w:left="21" w:leftChars="10" w:right="21" w:rightChars="10"/>
              <w:jc w:val="center"/>
              <w:textAlignment w:val="auto"/>
              <w:rPr>
                <w:rFonts w:hint="eastAsia" w:ascii="宋体" w:hAnsi="宋体" w:eastAsia="宋体" w:cs="宋体"/>
                <w:color w:val="auto"/>
                <w:sz w:val="21"/>
                <w:szCs w:val="21"/>
                <w:highlight w:val="none"/>
              </w:rPr>
            </w:pPr>
          </w:p>
          <w:p w14:paraId="7F2ABD52">
            <w:pPr>
              <w:keepNext w:val="0"/>
              <w:keepLines w:val="0"/>
              <w:pageBreakBefore w:val="0"/>
              <w:suppressLineNumbers w:val="0"/>
              <w:kinsoku/>
              <w:wordWrap/>
              <w:overflowPunct/>
              <w:topLinePunct w:val="0"/>
              <w:bidi w:val="0"/>
              <w:snapToGrid w:val="0"/>
              <w:spacing w:before="32" w:beforeLines="10" w:beforeAutospacing="0" w:after="32" w:afterLines="10" w:afterAutospacing="0" w:line="360" w:lineRule="auto"/>
              <w:ind w:left="21" w:leftChars="10" w:right="21" w:rightChars="1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26" w:type="dxa"/>
            <w:tcBorders>
              <w:tl2br w:val="nil"/>
              <w:tr2bl w:val="nil"/>
            </w:tcBorders>
            <w:vAlign w:val="center"/>
          </w:tcPr>
          <w:p w14:paraId="2BBCD832">
            <w:pPr>
              <w:keepNext w:val="0"/>
              <w:keepLines w:val="0"/>
              <w:pageBreakBefore w:val="0"/>
              <w:suppressLineNumbers w:val="0"/>
              <w:kinsoku/>
              <w:wordWrap/>
              <w:overflowPunct/>
              <w:topLinePunct w:val="0"/>
              <w:bidi w:val="0"/>
              <w:snapToGrid w:val="0"/>
              <w:spacing w:before="32" w:beforeLines="10" w:beforeAutospacing="0" w:after="32" w:afterLines="10" w:afterAutospacing="0" w:line="360" w:lineRule="auto"/>
              <w:ind w:left="21" w:leftChars="10" w:right="21" w:rightChars="1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项目属性与核心产品</w:t>
            </w:r>
          </w:p>
        </w:tc>
        <w:tc>
          <w:tcPr>
            <w:tcW w:w="6532" w:type="dxa"/>
            <w:tcBorders>
              <w:tl2br w:val="nil"/>
              <w:tr2bl w:val="nil"/>
            </w:tcBorders>
            <w:vAlign w:val="center"/>
          </w:tcPr>
          <w:p w14:paraId="37620ACC">
            <w:pPr>
              <w:keepNext w:val="0"/>
              <w:keepLines w:val="0"/>
              <w:pageBreakBefore w:val="0"/>
              <w:suppressLineNumbers w:val="0"/>
              <w:kinsoku/>
              <w:wordWrap/>
              <w:overflowPunct/>
              <w:topLinePunct w:val="0"/>
              <w:bidi w:val="0"/>
              <w:spacing w:before="32" w:beforeLines="10" w:beforeAutospacing="0" w:after="32" w:afterLines="10" w:afterAutospacing="0" w:line="360" w:lineRule="auto"/>
              <w:ind w:left="21" w:leftChars="10" w:right="21" w:rightChars="10"/>
              <w:textAlignment w:val="auto"/>
              <w:rPr>
                <w:rFonts w:hint="eastAsia" w:ascii="宋体" w:hAnsi="宋体" w:eastAsia="宋体" w:cs="宋体"/>
                <w:color w:val="auto"/>
                <w:szCs w:val="21"/>
                <w:highlight w:val="none"/>
                <w:lang w:val="en-US" w:eastAsia="zh-CN"/>
              </w:rPr>
            </w:pPr>
            <w:r>
              <w:rPr>
                <w:rFonts w:hint="eastAsia" w:ascii="宋体" w:hAnsi="宋体" w:cs="宋体"/>
                <w:color w:val="auto"/>
                <w:highlight w:val="none"/>
                <w:lang w:val="en-US" w:eastAsia="zh-CN"/>
              </w:rPr>
              <w:t>服务</w:t>
            </w:r>
            <w:r>
              <w:rPr>
                <w:rFonts w:hint="eastAsia" w:ascii="宋体" w:hAnsi="宋体" w:eastAsia="宋体" w:cs="宋体"/>
                <w:color w:val="auto"/>
                <w:highlight w:val="none"/>
              </w:rPr>
              <w:t>类</w:t>
            </w:r>
          </w:p>
        </w:tc>
      </w:tr>
      <w:tr w14:paraId="46A5FB4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136" w:hRule="atLeast"/>
          <w:jc w:val="right"/>
        </w:trPr>
        <w:tc>
          <w:tcPr>
            <w:tcW w:w="677" w:type="dxa"/>
            <w:tcBorders>
              <w:tl2br w:val="nil"/>
              <w:tr2bl w:val="nil"/>
            </w:tcBorders>
          </w:tcPr>
          <w:p w14:paraId="7CE8951A">
            <w:pPr>
              <w:keepNext w:val="0"/>
              <w:keepLines w:val="0"/>
              <w:pageBreakBefore w:val="0"/>
              <w:suppressLineNumbers w:val="0"/>
              <w:kinsoku/>
              <w:wordWrap/>
              <w:overflowPunct/>
              <w:topLinePunct w:val="0"/>
              <w:bidi w:val="0"/>
              <w:snapToGrid w:val="0"/>
              <w:spacing w:before="32" w:beforeLines="10" w:beforeAutospacing="0" w:after="32" w:afterLines="10" w:afterAutospacing="0" w:line="360" w:lineRule="auto"/>
              <w:ind w:left="21" w:leftChars="10" w:right="21" w:rightChars="10"/>
              <w:jc w:val="center"/>
              <w:textAlignment w:val="auto"/>
              <w:rPr>
                <w:rFonts w:hint="eastAsia" w:ascii="宋体" w:hAnsi="宋体" w:eastAsia="宋体" w:cs="宋体"/>
                <w:color w:val="auto"/>
                <w:sz w:val="21"/>
                <w:szCs w:val="21"/>
                <w:highlight w:val="none"/>
              </w:rPr>
            </w:pPr>
          </w:p>
          <w:p w14:paraId="4D6BD15F">
            <w:pPr>
              <w:keepNext w:val="0"/>
              <w:keepLines w:val="0"/>
              <w:pageBreakBefore w:val="0"/>
              <w:suppressLineNumbers w:val="0"/>
              <w:kinsoku/>
              <w:wordWrap/>
              <w:overflowPunct/>
              <w:topLinePunct w:val="0"/>
              <w:bidi w:val="0"/>
              <w:snapToGrid w:val="0"/>
              <w:spacing w:before="32" w:beforeLines="10" w:beforeAutospacing="0" w:after="32" w:afterLines="10" w:afterAutospacing="0" w:line="360" w:lineRule="auto"/>
              <w:ind w:left="21" w:leftChars="10" w:right="21" w:rightChars="10"/>
              <w:jc w:val="center"/>
              <w:textAlignment w:val="auto"/>
              <w:rPr>
                <w:rFonts w:hint="eastAsia" w:ascii="宋体" w:hAnsi="宋体" w:eastAsia="宋体" w:cs="宋体"/>
                <w:color w:val="auto"/>
                <w:sz w:val="21"/>
                <w:szCs w:val="21"/>
                <w:highlight w:val="none"/>
              </w:rPr>
            </w:pPr>
          </w:p>
          <w:p w14:paraId="02333B2A">
            <w:pPr>
              <w:keepNext w:val="0"/>
              <w:keepLines w:val="0"/>
              <w:pageBreakBefore w:val="0"/>
              <w:suppressLineNumbers w:val="0"/>
              <w:kinsoku/>
              <w:wordWrap/>
              <w:overflowPunct/>
              <w:topLinePunct w:val="0"/>
              <w:bidi w:val="0"/>
              <w:snapToGrid w:val="0"/>
              <w:spacing w:before="32" w:beforeLines="10" w:beforeAutospacing="0" w:after="32" w:afterLines="10" w:afterAutospacing="0" w:line="360" w:lineRule="auto"/>
              <w:ind w:left="21" w:leftChars="10" w:right="21" w:rightChars="10"/>
              <w:jc w:val="center"/>
              <w:textAlignment w:val="auto"/>
              <w:rPr>
                <w:rFonts w:hint="eastAsia" w:ascii="宋体" w:hAnsi="宋体" w:eastAsia="宋体" w:cs="宋体"/>
                <w:color w:val="auto"/>
                <w:sz w:val="21"/>
                <w:szCs w:val="21"/>
                <w:highlight w:val="none"/>
              </w:rPr>
            </w:pPr>
          </w:p>
          <w:p w14:paraId="3311731A">
            <w:pPr>
              <w:keepNext w:val="0"/>
              <w:keepLines w:val="0"/>
              <w:pageBreakBefore w:val="0"/>
              <w:suppressLineNumbers w:val="0"/>
              <w:kinsoku/>
              <w:wordWrap/>
              <w:overflowPunct/>
              <w:topLinePunct w:val="0"/>
              <w:bidi w:val="0"/>
              <w:snapToGrid w:val="0"/>
              <w:spacing w:before="32" w:beforeLines="10" w:beforeAutospacing="0" w:after="32" w:afterLines="10" w:afterAutospacing="0" w:line="360" w:lineRule="auto"/>
              <w:ind w:left="21" w:leftChars="10" w:right="21" w:rightChars="1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26" w:type="dxa"/>
            <w:tcBorders>
              <w:tl2br w:val="nil"/>
              <w:tr2bl w:val="nil"/>
            </w:tcBorders>
            <w:vAlign w:val="center"/>
          </w:tcPr>
          <w:p w14:paraId="090F3CE0">
            <w:pPr>
              <w:keepNext w:val="0"/>
              <w:keepLines w:val="0"/>
              <w:pageBreakBefore w:val="0"/>
              <w:suppressLineNumbers w:val="0"/>
              <w:kinsoku/>
              <w:wordWrap/>
              <w:overflowPunct/>
              <w:topLinePunct w:val="0"/>
              <w:bidi w:val="0"/>
              <w:snapToGrid w:val="0"/>
              <w:spacing w:before="32" w:beforeLines="10" w:beforeAutospacing="0" w:after="32" w:afterLines="10" w:afterAutospacing="0" w:line="360" w:lineRule="auto"/>
              <w:ind w:left="21" w:leftChars="10" w:right="21" w:rightChars="1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采购标的及其对应的中小企业划分标准所属行业</w:t>
            </w:r>
          </w:p>
        </w:tc>
        <w:tc>
          <w:tcPr>
            <w:tcW w:w="6532" w:type="dxa"/>
            <w:tcBorders>
              <w:tl2br w:val="nil"/>
              <w:tr2bl w:val="nil"/>
            </w:tcBorders>
            <w:vAlign w:val="center"/>
          </w:tcPr>
          <w:p w14:paraId="778CA283">
            <w:pPr>
              <w:pStyle w:val="3"/>
              <w:pageBreakBefore w:val="0"/>
              <w:suppressLineNumbers w:val="0"/>
              <w:kinsoku/>
              <w:wordWrap/>
              <w:overflowPunct/>
              <w:topLinePunct w:val="0"/>
              <w:bidi w:val="0"/>
              <w:spacing w:before="32" w:beforeLines="10" w:beforeAutospacing="0" w:after="32" w:afterLines="10" w:afterAutospacing="0" w:line="360" w:lineRule="auto"/>
              <w:ind w:right="21" w:rightChars="10"/>
              <w:textAlignment w:val="auto"/>
              <w:rPr>
                <w:rFonts w:hint="eastAsia" w:ascii="宋体" w:hAnsi="宋体" w:eastAsia="宋体" w:cs="宋体"/>
                <w:color w:val="auto"/>
                <w:kern w:val="0"/>
                <w:sz w:val="21"/>
                <w:szCs w:val="21"/>
                <w:highlight w:val="none"/>
              </w:rPr>
            </w:pPr>
            <w:bookmarkStart w:id="9" w:name="_Toc12798"/>
            <w:r>
              <w:rPr>
                <w:rFonts w:hint="eastAsia" w:ascii="宋体" w:hAnsi="宋体" w:eastAsia="宋体" w:cs="宋体"/>
                <w:color w:val="auto"/>
                <w:kern w:val="0"/>
                <w:sz w:val="21"/>
                <w:szCs w:val="21"/>
                <w:highlight w:val="none"/>
              </w:rPr>
              <w:t>标的：</w:t>
            </w:r>
            <w:r>
              <w:rPr>
                <w:rFonts w:hint="eastAsia" w:ascii="宋体" w:hAnsi="宋体" w:eastAsia="宋体" w:cs="宋体"/>
                <w:color w:val="auto"/>
                <w:kern w:val="0"/>
                <w:sz w:val="21"/>
                <w:szCs w:val="21"/>
                <w:highlight w:val="none"/>
                <w:u w:val="single"/>
                <w:lang w:eastAsia="zh-CN"/>
              </w:rPr>
              <w:t>浙里惠企政策精准直达系统</w:t>
            </w:r>
            <w:r>
              <w:rPr>
                <w:rFonts w:hint="eastAsia" w:ascii="宋体" w:hAnsi="宋体" w:eastAsia="宋体" w:cs="宋体"/>
                <w:color w:val="auto"/>
                <w:kern w:val="0"/>
                <w:sz w:val="21"/>
                <w:szCs w:val="21"/>
                <w:highlight w:val="none"/>
              </w:rPr>
              <w:t>，</w:t>
            </w:r>
            <w:bookmarkEnd w:id="9"/>
            <w:r>
              <w:rPr>
                <w:rFonts w:hint="eastAsia" w:ascii="宋体" w:hAnsi="宋体" w:eastAsia="宋体" w:cs="宋体"/>
                <w:color w:val="auto"/>
                <w:kern w:val="0"/>
                <w:sz w:val="21"/>
                <w:szCs w:val="21"/>
                <w:highlight w:val="none"/>
              </w:rPr>
              <w:t>属于</w:t>
            </w:r>
            <w:r>
              <w:rPr>
                <w:rFonts w:hint="eastAsia" w:ascii="宋体" w:hAnsi="宋体" w:eastAsia="宋体" w:cs="宋体"/>
                <w:color w:val="auto"/>
                <w:kern w:val="0"/>
                <w:sz w:val="21"/>
                <w:szCs w:val="21"/>
                <w:highlight w:val="none"/>
                <w:u w:val="single"/>
              </w:rPr>
              <w:t>软件和信息技术服务业</w:t>
            </w:r>
            <w:r>
              <w:rPr>
                <w:rFonts w:hint="eastAsia" w:ascii="宋体" w:hAnsi="宋体" w:eastAsia="宋体" w:cs="宋体"/>
                <w:color w:val="auto"/>
                <w:kern w:val="0"/>
                <w:sz w:val="21"/>
                <w:szCs w:val="21"/>
                <w:highlight w:val="none"/>
              </w:rPr>
              <w:t>；</w:t>
            </w:r>
          </w:p>
          <w:p w14:paraId="55F33315">
            <w:pPr>
              <w:pStyle w:val="3"/>
              <w:pageBreakBefore w:val="0"/>
              <w:suppressLineNumbers w:val="0"/>
              <w:kinsoku/>
              <w:wordWrap/>
              <w:overflowPunct/>
              <w:topLinePunct w:val="0"/>
              <w:bidi w:val="0"/>
              <w:spacing w:before="32" w:beforeLines="10" w:beforeAutospacing="0" w:after="32" w:afterLines="10" w:afterAutospacing="0" w:line="360" w:lineRule="auto"/>
              <w:ind w:left="21" w:leftChars="10" w:right="21" w:rightChars="1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kern w:val="0"/>
                <w:sz w:val="21"/>
                <w:szCs w:val="21"/>
                <w:highlight w:val="none"/>
              </w:rPr>
              <w:t>根据《关于印发中小企业划型标准规定的通知》（工信部联企业〔2011〕300号）第四条规定：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tc>
      </w:tr>
      <w:tr w14:paraId="1761F99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right"/>
        </w:trPr>
        <w:tc>
          <w:tcPr>
            <w:tcW w:w="677" w:type="dxa"/>
            <w:tcBorders>
              <w:tl2br w:val="nil"/>
              <w:tr2bl w:val="nil"/>
            </w:tcBorders>
          </w:tcPr>
          <w:p w14:paraId="18DBF028">
            <w:pPr>
              <w:keepNext w:val="0"/>
              <w:keepLines w:val="0"/>
              <w:pageBreakBefore w:val="0"/>
              <w:suppressLineNumbers w:val="0"/>
              <w:kinsoku/>
              <w:wordWrap/>
              <w:overflowPunct/>
              <w:topLinePunct w:val="0"/>
              <w:bidi w:val="0"/>
              <w:snapToGrid w:val="0"/>
              <w:spacing w:before="32" w:beforeLines="10" w:beforeAutospacing="0" w:after="32" w:afterLines="10" w:afterAutospacing="0" w:line="360" w:lineRule="auto"/>
              <w:ind w:left="21" w:leftChars="10" w:right="21" w:rightChars="10"/>
              <w:jc w:val="center"/>
              <w:textAlignment w:val="auto"/>
              <w:rPr>
                <w:rFonts w:hint="eastAsia" w:ascii="宋体" w:hAnsi="宋体" w:eastAsia="宋体" w:cs="宋体"/>
                <w:color w:val="auto"/>
                <w:sz w:val="21"/>
                <w:szCs w:val="21"/>
                <w:highlight w:val="none"/>
              </w:rPr>
            </w:pPr>
          </w:p>
          <w:p w14:paraId="29A54CD2">
            <w:pPr>
              <w:keepNext w:val="0"/>
              <w:keepLines w:val="0"/>
              <w:pageBreakBefore w:val="0"/>
              <w:suppressLineNumbers w:val="0"/>
              <w:kinsoku/>
              <w:wordWrap/>
              <w:overflowPunct/>
              <w:topLinePunct w:val="0"/>
              <w:bidi w:val="0"/>
              <w:snapToGrid w:val="0"/>
              <w:spacing w:before="32" w:beforeLines="10" w:beforeAutospacing="0" w:after="32" w:afterLines="10" w:afterAutospacing="0" w:line="360" w:lineRule="auto"/>
              <w:ind w:left="21" w:leftChars="10" w:right="21" w:rightChars="1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826" w:type="dxa"/>
            <w:tcBorders>
              <w:tl2br w:val="nil"/>
              <w:tr2bl w:val="nil"/>
            </w:tcBorders>
            <w:vAlign w:val="center"/>
          </w:tcPr>
          <w:p w14:paraId="4F0CDF60">
            <w:pPr>
              <w:keepNext w:val="0"/>
              <w:keepLines w:val="0"/>
              <w:pageBreakBefore w:val="0"/>
              <w:suppressLineNumbers w:val="0"/>
              <w:kinsoku/>
              <w:wordWrap/>
              <w:overflowPunct/>
              <w:topLinePunct w:val="0"/>
              <w:bidi w:val="0"/>
              <w:snapToGrid w:val="0"/>
              <w:spacing w:before="32" w:beforeLines="10" w:beforeAutospacing="0" w:after="32" w:afterLines="10" w:afterAutospacing="0" w:line="360" w:lineRule="auto"/>
              <w:ind w:left="21" w:leftChars="10" w:right="21" w:rightChars="1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是否允许采购进口产品</w:t>
            </w:r>
          </w:p>
        </w:tc>
        <w:tc>
          <w:tcPr>
            <w:tcW w:w="6532" w:type="dxa"/>
            <w:tcBorders>
              <w:tl2br w:val="nil"/>
              <w:tr2bl w:val="nil"/>
            </w:tcBorders>
            <w:vAlign w:val="center"/>
          </w:tcPr>
          <w:p w14:paraId="39A4C3DC">
            <w:pPr>
              <w:keepNext w:val="0"/>
              <w:keepLines w:val="0"/>
              <w:pageBreakBefore w:val="0"/>
              <w:suppressLineNumbers w:val="0"/>
              <w:kinsoku/>
              <w:wordWrap/>
              <w:overflowPunct/>
              <w:topLinePunct w:val="0"/>
              <w:bidi w:val="0"/>
              <w:spacing w:before="32" w:beforeLines="10" w:beforeAutospacing="0" w:after="32" w:afterLines="10" w:afterAutospacing="0" w:line="360" w:lineRule="auto"/>
              <w:ind w:left="21" w:leftChars="10" w:right="21" w:rightChars="10"/>
              <w:textAlignment w:val="auto"/>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w:t>
            </w:r>
            <w:r>
              <w:rPr>
                <w:rFonts w:hint="eastAsia" w:ascii="宋体" w:hAnsi="宋体" w:eastAsia="宋体" w:cs="宋体"/>
                <w:color w:val="auto"/>
                <w:kern w:val="0"/>
                <w:sz w:val="21"/>
                <w:szCs w:val="21"/>
                <w:highlight w:val="none"/>
              </w:rPr>
              <w:t>本项目不允许采购进口产品。</w:t>
            </w:r>
          </w:p>
          <w:p w14:paraId="44294CD0">
            <w:pPr>
              <w:keepNext w:val="0"/>
              <w:keepLines w:val="0"/>
              <w:pageBreakBefore w:val="0"/>
              <w:suppressLineNumbers w:val="0"/>
              <w:kinsoku/>
              <w:wordWrap/>
              <w:overflowPunct/>
              <w:topLinePunct w:val="0"/>
              <w:bidi w:val="0"/>
              <w:spacing w:before="32" w:beforeLines="10" w:beforeAutospacing="0" w:after="32" w:afterLines="10" w:afterAutospacing="0" w:line="360" w:lineRule="auto"/>
              <w:ind w:left="21" w:leftChars="10" w:right="21" w:rightChars="1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☐可以就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采购进口产品。</w:t>
            </w:r>
          </w:p>
        </w:tc>
      </w:tr>
      <w:tr w14:paraId="2698269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right"/>
        </w:trPr>
        <w:tc>
          <w:tcPr>
            <w:tcW w:w="677" w:type="dxa"/>
            <w:tcBorders>
              <w:tl2br w:val="nil"/>
              <w:tr2bl w:val="nil"/>
            </w:tcBorders>
            <w:vAlign w:val="center"/>
          </w:tcPr>
          <w:p w14:paraId="641339F1">
            <w:pPr>
              <w:keepNext w:val="0"/>
              <w:keepLines w:val="0"/>
              <w:pageBreakBefore w:val="0"/>
              <w:suppressLineNumbers w:val="0"/>
              <w:kinsoku/>
              <w:wordWrap/>
              <w:overflowPunct/>
              <w:topLinePunct w:val="0"/>
              <w:bidi w:val="0"/>
              <w:snapToGrid w:val="0"/>
              <w:spacing w:before="32" w:beforeLines="10" w:beforeAutospacing="0" w:after="32" w:afterLines="10" w:afterAutospacing="0" w:line="360" w:lineRule="auto"/>
              <w:ind w:left="21" w:leftChars="10" w:right="21" w:rightChars="1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826" w:type="dxa"/>
            <w:tcBorders>
              <w:tl2br w:val="nil"/>
              <w:tr2bl w:val="nil"/>
            </w:tcBorders>
            <w:vAlign w:val="center"/>
          </w:tcPr>
          <w:p w14:paraId="7D3DC75B">
            <w:pPr>
              <w:keepNext w:val="0"/>
              <w:keepLines w:val="0"/>
              <w:pageBreakBefore w:val="0"/>
              <w:suppressLineNumbers w:val="0"/>
              <w:kinsoku/>
              <w:wordWrap/>
              <w:overflowPunct/>
              <w:topLinePunct w:val="0"/>
              <w:bidi w:val="0"/>
              <w:snapToGrid w:val="0"/>
              <w:spacing w:before="32" w:beforeLines="10" w:beforeAutospacing="0" w:after="32" w:afterLines="10" w:afterAutospacing="0" w:line="360" w:lineRule="auto"/>
              <w:ind w:left="21" w:leftChars="10" w:right="21" w:rightChars="1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分包</w:t>
            </w:r>
          </w:p>
        </w:tc>
        <w:tc>
          <w:tcPr>
            <w:tcW w:w="6532" w:type="dxa"/>
            <w:tcBorders>
              <w:tl2br w:val="nil"/>
              <w:tr2bl w:val="nil"/>
            </w:tcBorders>
            <w:vAlign w:val="center"/>
          </w:tcPr>
          <w:p w14:paraId="371BDF1D">
            <w:pPr>
              <w:keepNext w:val="0"/>
              <w:keepLines w:val="0"/>
              <w:pageBreakBefore w:val="0"/>
              <w:suppressLineNumbers w:val="0"/>
              <w:kinsoku/>
              <w:wordWrap/>
              <w:overflowPunct/>
              <w:topLinePunct w:val="0"/>
              <w:bidi w:val="0"/>
              <w:spacing w:before="32" w:beforeLines="10" w:beforeAutospacing="0" w:after="32" w:afterLines="10" w:afterAutospacing="0" w:line="360" w:lineRule="auto"/>
              <w:ind w:left="21" w:leftChars="10" w:right="21" w:rightChars="1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rPr>
              <w:t>■</w:t>
            </w:r>
            <w:r>
              <w:rPr>
                <w:rFonts w:hint="eastAsia" w:ascii="宋体" w:hAnsi="宋体" w:eastAsia="宋体" w:cs="宋体"/>
                <w:color w:val="auto"/>
                <w:kern w:val="0"/>
                <w:sz w:val="21"/>
                <w:szCs w:val="21"/>
                <w:highlight w:val="none"/>
              </w:rPr>
              <w:t>A</w:t>
            </w:r>
            <w:r>
              <w:rPr>
                <w:rFonts w:hint="eastAsia" w:ascii="宋体" w:hAnsi="宋体" w:eastAsia="宋体" w:cs="宋体"/>
                <w:color w:val="auto"/>
                <w:sz w:val="21"/>
                <w:szCs w:val="21"/>
                <w:highlight w:val="none"/>
              </w:rPr>
              <w:t>同意将非主体、非关键性的</w:t>
            </w:r>
            <w:r>
              <w:rPr>
                <w:rFonts w:hint="eastAsia" w:ascii="宋体" w:hAnsi="宋体" w:eastAsia="宋体" w:cs="宋体"/>
                <w:b w:val="0"/>
                <w:bCs w:val="0"/>
                <w:color w:val="auto"/>
                <w:kern w:val="0"/>
                <w:sz w:val="21"/>
                <w:szCs w:val="21"/>
                <w:highlight w:val="none"/>
                <w:u w:val="single"/>
                <w:lang w:val="zh-CN" w:eastAsia="zh-CN" w:bidi="ar-SA"/>
              </w:rPr>
              <w:t xml:space="preserve"> </w:t>
            </w:r>
            <w:r>
              <w:rPr>
                <w:rFonts w:hint="eastAsia" w:ascii="宋体" w:hAnsi="宋体" w:eastAsia="宋体" w:cs="宋体"/>
                <w:b w:val="0"/>
                <w:bCs w:val="0"/>
                <w:color w:val="auto"/>
                <w:kern w:val="0"/>
                <w:sz w:val="21"/>
                <w:szCs w:val="21"/>
                <w:highlight w:val="none"/>
                <w:u w:val="single"/>
                <w:lang w:val="en-US" w:eastAsia="zh-CN" w:bidi="ar-SA"/>
              </w:rPr>
              <w:t xml:space="preserve">相关培训 </w:t>
            </w:r>
            <w:r>
              <w:rPr>
                <w:rFonts w:hint="eastAsia" w:ascii="宋体" w:hAnsi="宋体" w:eastAsia="宋体" w:cs="宋体"/>
                <w:color w:val="auto"/>
                <w:sz w:val="21"/>
                <w:szCs w:val="21"/>
                <w:highlight w:val="none"/>
              </w:rPr>
              <w:t>工作分包。</w:t>
            </w:r>
          </w:p>
          <w:p w14:paraId="53115E35">
            <w:pPr>
              <w:keepNext w:val="0"/>
              <w:keepLines w:val="0"/>
              <w:pageBreakBefore w:val="0"/>
              <w:suppressLineNumbers w:val="0"/>
              <w:kinsoku/>
              <w:wordWrap/>
              <w:overflowPunct/>
              <w:topLinePunct w:val="0"/>
              <w:bidi w:val="0"/>
              <w:spacing w:before="32" w:beforeLines="10" w:beforeAutospacing="0" w:after="32" w:afterLines="10" w:afterAutospacing="0" w:line="360" w:lineRule="auto"/>
              <w:ind w:left="21" w:leftChars="10" w:right="21" w:rightChars="1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☐B</w:t>
            </w:r>
            <w:r>
              <w:rPr>
                <w:rFonts w:hint="eastAsia" w:ascii="宋体" w:hAnsi="宋体" w:eastAsia="宋体" w:cs="宋体"/>
                <w:color w:val="auto"/>
                <w:sz w:val="21"/>
                <w:szCs w:val="21"/>
                <w:highlight w:val="none"/>
              </w:rPr>
              <w:t>不同意分包。</w:t>
            </w:r>
          </w:p>
          <w:p w14:paraId="73FC21DC">
            <w:pPr>
              <w:keepNext w:val="0"/>
              <w:keepLines w:val="0"/>
              <w:pageBreakBefore w:val="0"/>
              <w:suppressLineNumbers w:val="0"/>
              <w:kinsoku/>
              <w:wordWrap/>
              <w:overflowPunct/>
              <w:topLinePunct w:val="0"/>
              <w:bidi w:val="0"/>
              <w:spacing w:before="32" w:beforeLines="10" w:beforeAutospacing="0" w:after="32" w:afterLines="10" w:afterAutospacing="0" w:line="360" w:lineRule="auto"/>
              <w:ind w:left="21" w:leftChars="10" w:right="21" w:rightChars="1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注：不得限制大中型企业向小微企业合理分包。</w:t>
            </w:r>
          </w:p>
        </w:tc>
      </w:tr>
      <w:tr w14:paraId="35F0CC4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right"/>
        </w:trPr>
        <w:tc>
          <w:tcPr>
            <w:tcW w:w="677" w:type="dxa"/>
            <w:tcBorders>
              <w:tl2br w:val="nil"/>
              <w:tr2bl w:val="nil"/>
            </w:tcBorders>
          </w:tcPr>
          <w:p w14:paraId="4C9FF8F3">
            <w:pPr>
              <w:keepNext w:val="0"/>
              <w:keepLines w:val="0"/>
              <w:pageBreakBefore w:val="0"/>
              <w:suppressLineNumbers w:val="0"/>
              <w:kinsoku/>
              <w:wordWrap/>
              <w:overflowPunct/>
              <w:topLinePunct w:val="0"/>
              <w:bidi w:val="0"/>
              <w:snapToGrid w:val="0"/>
              <w:spacing w:before="32" w:beforeLines="10" w:beforeAutospacing="0" w:after="32" w:afterLines="10" w:afterAutospacing="0" w:line="360" w:lineRule="auto"/>
              <w:ind w:left="21" w:leftChars="10" w:right="21" w:rightChars="10"/>
              <w:jc w:val="center"/>
              <w:textAlignment w:val="auto"/>
              <w:rPr>
                <w:rFonts w:hint="eastAsia" w:ascii="宋体" w:hAnsi="宋体" w:eastAsia="宋体" w:cs="宋体"/>
                <w:color w:val="auto"/>
                <w:sz w:val="21"/>
                <w:szCs w:val="21"/>
                <w:highlight w:val="none"/>
              </w:rPr>
            </w:pPr>
          </w:p>
          <w:p w14:paraId="12108D8C">
            <w:pPr>
              <w:keepNext w:val="0"/>
              <w:keepLines w:val="0"/>
              <w:pageBreakBefore w:val="0"/>
              <w:suppressLineNumbers w:val="0"/>
              <w:kinsoku/>
              <w:wordWrap/>
              <w:overflowPunct/>
              <w:topLinePunct w:val="0"/>
              <w:bidi w:val="0"/>
              <w:snapToGrid w:val="0"/>
              <w:spacing w:before="32" w:beforeLines="10" w:beforeAutospacing="0" w:after="32" w:afterLines="10" w:afterAutospacing="0" w:line="360" w:lineRule="auto"/>
              <w:ind w:left="21" w:leftChars="10" w:right="21" w:rightChars="10"/>
              <w:jc w:val="center"/>
              <w:textAlignment w:val="auto"/>
              <w:rPr>
                <w:rFonts w:hint="eastAsia" w:ascii="宋体" w:hAnsi="宋体" w:eastAsia="宋体" w:cs="宋体"/>
                <w:color w:val="auto"/>
                <w:sz w:val="21"/>
                <w:szCs w:val="21"/>
                <w:highlight w:val="none"/>
              </w:rPr>
            </w:pPr>
          </w:p>
          <w:p w14:paraId="6879B711">
            <w:pPr>
              <w:keepNext w:val="0"/>
              <w:keepLines w:val="0"/>
              <w:pageBreakBefore w:val="0"/>
              <w:suppressLineNumbers w:val="0"/>
              <w:kinsoku/>
              <w:wordWrap/>
              <w:overflowPunct/>
              <w:topLinePunct w:val="0"/>
              <w:bidi w:val="0"/>
              <w:snapToGrid w:val="0"/>
              <w:spacing w:before="32" w:beforeLines="10" w:beforeAutospacing="0" w:after="32" w:afterLines="10" w:afterAutospacing="0" w:line="360" w:lineRule="auto"/>
              <w:ind w:left="21" w:leftChars="10" w:right="21" w:rightChars="1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826" w:type="dxa"/>
            <w:tcBorders>
              <w:tl2br w:val="nil"/>
              <w:tr2bl w:val="nil"/>
            </w:tcBorders>
            <w:vAlign w:val="center"/>
          </w:tcPr>
          <w:p w14:paraId="36FC9473">
            <w:pPr>
              <w:keepNext w:val="0"/>
              <w:keepLines w:val="0"/>
              <w:pageBreakBefore w:val="0"/>
              <w:suppressLineNumbers w:val="0"/>
              <w:kinsoku/>
              <w:wordWrap/>
              <w:overflowPunct/>
              <w:topLinePunct w:val="0"/>
              <w:bidi w:val="0"/>
              <w:snapToGrid w:val="0"/>
              <w:spacing w:before="32" w:beforeLines="10" w:beforeAutospacing="0" w:after="32" w:afterLines="10" w:afterAutospacing="0" w:line="360" w:lineRule="auto"/>
              <w:ind w:left="21" w:leftChars="10" w:right="21" w:rightChars="1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开标前答疑会或现场考察</w:t>
            </w:r>
          </w:p>
        </w:tc>
        <w:tc>
          <w:tcPr>
            <w:tcW w:w="6532" w:type="dxa"/>
            <w:tcBorders>
              <w:tl2br w:val="nil"/>
              <w:tr2bl w:val="nil"/>
            </w:tcBorders>
            <w:vAlign w:val="center"/>
          </w:tcPr>
          <w:p w14:paraId="752104C8">
            <w:pPr>
              <w:keepNext w:val="0"/>
              <w:keepLines w:val="0"/>
              <w:pageBreakBefore w:val="0"/>
              <w:suppressLineNumbers w:val="0"/>
              <w:kinsoku/>
              <w:wordWrap/>
              <w:overflowPunct/>
              <w:topLinePunct w:val="0"/>
              <w:bidi w:val="0"/>
              <w:spacing w:before="32" w:beforeLines="10" w:beforeAutospacing="0" w:after="32" w:afterLines="10" w:afterAutospacing="0" w:line="360" w:lineRule="auto"/>
              <w:ind w:left="21" w:leftChars="10" w:right="21" w:rightChars="1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rPr>
              <w:t>■</w:t>
            </w:r>
            <w:r>
              <w:rPr>
                <w:rFonts w:hint="eastAsia" w:ascii="宋体" w:hAnsi="宋体" w:eastAsia="宋体" w:cs="宋体"/>
                <w:color w:val="auto"/>
                <w:sz w:val="21"/>
                <w:szCs w:val="21"/>
                <w:highlight w:val="none"/>
              </w:rPr>
              <w:t>A不组织。</w:t>
            </w:r>
          </w:p>
          <w:p w14:paraId="327CC63F">
            <w:pPr>
              <w:keepNext w:val="0"/>
              <w:keepLines w:val="0"/>
              <w:pageBreakBefore w:val="0"/>
              <w:suppressLineNumbers w:val="0"/>
              <w:kinsoku/>
              <w:wordWrap/>
              <w:overflowPunct/>
              <w:topLinePunct w:val="0"/>
              <w:bidi w:val="0"/>
              <w:spacing w:before="32" w:beforeLines="10" w:beforeAutospacing="0" w:after="32" w:afterLines="10" w:afterAutospacing="0" w:line="360" w:lineRule="auto"/>
              <w:ind w:left="21" w:leftChars="10" w:right="21" w:rightChars="1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☐B组织，时间：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，联系方式：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AA32713">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☐C不统一组织，供应商在获取采购文件后，自行至项目现场考察。地点：</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；联系人：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kern w:val="2"/>
                <w:sz w:val="21"/>
                <w:szCs w:val="21"/>
                <w:highlight w:val="none"/>
                <w:lang w:val="en-US" w:eastAsia="zh-CN" w:bidi="ar-SA"/>
              </w:rPr>
              <w:t>，联系方式：</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kern w:val="2"/>
                <w:sz w:val="21"/>
                <w:szCs w:val="21"/>
                <w:highlight w:val="none"/>
                <w:lang w:val="en-US" w:eastAsia="zh-CN" w:bidi="ar-SA"/>
              </w:rPr>
              <w:t>。</w:t>
            </w:r>
          </w:p>
        </w:tc>
      </w:tr>
      <w:tr w14:paraId="1CFB4C1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114" w:hRule="atLeast"/>
          <w:jc w:val="right"/>
        </w:trPr>
        <w:tc>
          <w:tcPr>
            <w:tcW w:w="677" w:type="dxa"/>
            <w:tcBorders>
              <w:tl2br w:val="nil"/>
              <w:tr2bl w:val="nil"/>
            </w:tcBorders>
          </w:tcPr>
          <w:p w14:paraId="2334253F">
            <w:pPr>
              <w:keepNext w:val="0"/>
              <w:keepLines w:val="0"/>
              <w:pageBreakBefore w:val="0"/>
              <w:suppressLineNumbers w:val="0"/>
              <w:kinsoku/>
              <w:wordWrap/>
              <w:overflowPunct/>
              <w:topLinePunct w:val="0"/>
              <w:bidi w:val="0"/>
              <w:snapToGrid w:val="0"/>
              <w:spacing w:before="32" w:beforeLines="10" w:beforeAutospacing="0" w:after="32" w:afterLines="10" w:afterAutospacing="0" w:line="360" w:lineRule="auto"/>
              <w:ind w:left="21" w:leftChars="10" w:right="21" w:rightChars="10"/>
              <w:jc w:val="center"/>
              <w:textAlignment w:val="auto"/>
              <w:rPr>
                <w:rFonts w:hint="eastAsia" w:ascii="宋体" w:hAnsi="宋体" w:eastAsia="宋体" w:cs="宋体"/>
                <w:color w:val="auto"/>
                <w:sz w:val="21"/>
                <w:szCs w:val="21"/>
                <w:highlight w:val="none"/>
              </w:rPr>
            </w:pPr>
          </w:p>
          <w:p w14:paraId="7FEDE779">
            <w:pPr>
              <w:keepNext w:val="0"/>
              <w:keepLines w:val="0"/>
              <w:pageBreakBefore w:val="0"/>
              <w:suppressLineNumbers w:val="0"/>
              <w:kinsoku/>
              <w:wordWrap/>
              <w:overflowPunct/>
              <w:topLinePunct w:val="0"/>
              <w:bidi w:val="0"/>
              <w:snapToGrid w:val="0"/>
              <w:spacing w:before="32" w:beforeLines="10" w:beforeAutospacing="0" w:after="32" w:afterLines="10" w:afterAutospacing="0" w:line="360" w:lineRule="auto"/>
              <w:ind w:left="21" w:leftChars="10" w:right="21" w:rightChars="10"/>
              <w:jc w:val="center"/>
              <w:textAlignment w:val="auto"/>
              <w:rPr>
                <w:rFonts w:hint="eastAsia" w:ascii="宋体" w:hAnsi="宋体" w:eastAsia="宋体" w:cs="宋体"/>
                <w:color w:val="auto"/>
                <w:sz w:val="21"/>
                <w:szCs w:val="21"/>
                <w:highlight w:val="none"/>
              </w:rPr>
            </w:pPr>
          </w:p>
          <w:p w14:paraId="6F769871">
            <w:pPr>
              <w:keepNext w:val="0"/>
              <w:keepLines w:val="0"/>
              <w:pageBreakBefore w:val="0"/>
              <w:suppressLineNumbers w:val="0"/>
              <w:kinsoku/>
              <w:wordWrap/>
              <w:overflowPunct/>
              <w:topLinePunct w:val="0"/>
              <w:bidi w:val="0"/>
              <w:snapToGrid w:val="0"/>
              <w:spacing w:before="32" w:beforeLines="10" w:beforeAutospacing="0" w:after="32" w:afterLines="10" w:afterAutospacing="0" w:line="360" w:lineRule="auto"/>
              <w:ind w:left="21" w:leftChars="10" w:right="21" w:rightChars="10"/>
              <w:jc w:val="center"/>
              <w:textAlignment w:val="auto"/>
              <w:rPr>
                <w:rFonts w:hint="eastAsia" w:ascii="宋体" w:hAnsi="宋体" w:eastAsia="宋体" w:cs="宋体"/>
                <w:color w:val="auto"/>
                <w:sz w:val="21"/>
                <w:szCs w:val="21"/>
                <w:highlight w:val="none"/>
              </w:rPr>
            </w:pPr>
          </w:p>
          <w:p w14:paraId="183CFD7E">
            <w:pPr>
              <w:keepNext w:val="0"/>
              <w:keepLines w:val="0"/>
              <w:pageBreakBefore w:val="0"/>
              <w:suppressLineNumbers w:val="0"/>
              <w:kinsoku/>
              <w:wordWrap/>
              <w:overflowPunct/>
              <w:topLinePunct w:val="0"/>
              <w:bidi w:val="0"/>
              <w:snapToGrid w:val="0"/>
              <w:spacing w:before="32" w:beforeLines="10" w:beforeAutospacing="0" w:after="32" w:afterLines="10" w:afterAutospacing="0" w:line="360" w:lineRule="auto"/>
              <w:ind w:left="21" w:leftChars="10" w:right="21" w:rightChars="10"/>
              <w:jc w:val="center"/>
              <w:textAlignment w:val="auto"/>
              <w:rPr>
                <w:rFonts w:hint="eastAsia" w:ascii="宋体" w:hAnsi="宋体" w:eastAsia="宋体" w:cs="宋体"/>
                <w:color w:val="auto"/>
                <w:sz w:val="21"/>
                <w:szCs w:val="21"/>
                <w:highlight w:val="none"/>
              </w:rPr>
            </w:pPr>
          </w:p>
          <w:p w14:paraId="7E9BB2BD">
            <w:pPr>
              <w:keepNext w:val="0"/>
              <w:keepLines w:val="0"/>
              <w:pageBreakBefore w:val="0"/>
              <w:suppressLineNumbers w:val="0"/>
              <w:kinsoku/>
              <w:wordWrap/>
              <w:overflowPunct/>
              <w:topLinePunct w:val="0"/>
              <w:bidi w:val="0"/>
              <w:snapToGrid w:val="0"/>
              <w:spacing w:before="32" w:beforeLines="10" w:beforeAutospacing="0" w:after="32" w:afterLines="10" w:afterAutospacing="0" w:line="360" w:lineRule="auto"/>
              <w:ind w:left="21" w:leftChars="10" w:right="21" w:rightChars="1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826" w:type="dxa"/>
            <w:tcBorders>
              <w:tl2br w:val="nil"/>
              <w:tr2bl w:val="nil"/>
            </w:tcBorders>
            <w:vAlign w:val="center"/>
          </w:tcPr>
          <w:p w14:paraId="428A7C3E">
            <w:pPr>
              <w:keepNext w:val="0"/>
              <w:keepLines w:val="0"/>
              <w:pageBreakBefore w:val="0"/>
              <w:suppressLineNumbers w:val="0"/>
              <w:kinsoku/>
              <w:wordWrap/>
              <w:overflowPunct/>
              <w:topLinePunct w:val="0"/>
              <w:bidi w:val="0"/>
              <w:snapToGrid w:val="0"/>
              <w:spacing w:before="32" w:beforeLines="10" w:beforeAutospacing="0" w:after="32" w:afterLines="10" w:afterAutospacing="0" w:line="360" w:lineRule="auto"/>
              <w:ind w:left="21" w:leftChars="10" w:right="21" w:rightChars="1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样品提供</w:t>
            </w:r>
          </w:p>
        </w:tc>
        <w:tc>
          <w:tcPr>
            <w:tcW w:w="6532" w:type="dxa"/>
            <w:tcBorders>
              <w:tl2br w:val="nil"/>
              <w:tr2bl w:val="nil"/>
            </w:tcBorders>
            <w:vAlign w:val="center"/>
          </w:tcPr>
          <w:p w14:paraId="5D47891C">
            <w:pPr>
              <w:keepNext w:val="0"/>
              <w:keepLines w:val="0"/>
              <w:pageBreakBefore w:val="0"/>
              <w:suppressLineNumbers w:val="0"/>
              <w:kinsoku/>
              <w:wordWrap/>
              <w:overflowPunct/>
              <w:topLinePunct w:val="0"/>
              <w:bidi w:val="0"/>
              <w:spacing w:before="32" w:beforeLines="10" w:beforeAutospacing="0" w:after="32" w:afterLines="10" w:afterAutospacing="0" w:line="360" w:lineRule="auto"/>
              <w:ind w:left="21" w:leftChars="10" w:right="21" w:rightChars="1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rPr>
              <w:t>■</w:t>
            </w:r>
            <w:r>
              <w:rPr>
                <w:rFonts w:hint="eastAsia" w:ascii="宋体" w:hAnsi="宋体" w:eastAsia="宋体" w:cs="宋体"/>
                <w:color w:val="auto"/>
                <w:kern w:val="0"/>
                <w:sz w:val="21"/>
                <w:szCs w:val="21"/>
                <w:highlight w:val="none"/>
              </w:rPr>
              <w:t>A</w:t>
            </w:r>
            <w:r>
              <w:rPr>
                <w:rFonts w:hint="eastAsia" w:ascii="宋体" w:hAnsi="宋体" w:eastAsia="宋体" w:cs="宋体"/>
                <w:color w:val="auto"/>
                <w:sz w:val="21"/>
                <w:szCs w:val="21"/>
                <w:highlight w:val="none"/>
              </w:rPr>
              <w:t>不要求提供。</w:t>
            </w:r>
          </w:p>
          <w:p w14:paraId="432FED43">
            <w:pPr>
              <w:keepNext w:val="0"/>
              <w:keepLines w:val="0"/>
              <w:pageBreakBefore w:val="0"/>
              <w:suppressLineNumbers w:val="0"/>
              <w:kinsoku/>
              <w:wordWrap/>
              <w:overflowPunct/>
              <w:topLinePunct w:val="0"/>
              <w:bidi w:val="0"/>
              <w:spacing w:before="32" w:beforeLines="10" w:beforeAutospacing="0" w:after="32" w:afterLines="10" w:afterAutospacing="0" w:line="360" w:lineRule="auto"/>
              <w:ind w:left="21" w:leftChars="10" w:right="21" w:rightChars="1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kern w:val="0"/>
                <w:sz w:val="21"/>
                <w:szCs w:val="21"/>
                <w:highlight w:val="none"/>
              </w:rPr>
              <w:t>B要求提供，</w:t>
            </w:r>
            <w:r>
              <w:rPr>
                <w:rFonts w:hint="eastAsia" w:ascii="宋体" w:hAnsi="宋体" w:eastAsia="宋体" w:cs="宋体"/>
                <w:color w:val="auto"/>
                <w:kern w:val="0"/>
                <w:sz w:val="21"/>
                <w:szCs w:val="21"/>
                <w:highlight w:val="none"/>
                <w:lang w:val="en-US" w:eastAsia="zh-CN"/>
              </w:rPr>
              <w:t>未提供样品或样品提供不全的投标无效</w:t>
            </w:r>
            <w:r>
              <w:rPr>
                <w:rFonts w:hint="eastAsia" w:ascii="宋体" w:hAnsi="宋体" w:eastAsia="宋体" w:cs="宋体"/>
                <w:b/>
                <w:bCs/>
                <w:color w:val="auto"/>
                <w:kern w:val="0"/>
                <w:sz w:val="21"/>
                <w:szCs w:val="21"/>
                <w:highlight w:val="none"/>
                <w:lang w:val="en-US" w:eastAsia="zh-CN"/>
              </w:rPr>
              <w:t>。</w:t>
            </w:r>
          </w:p>
          <w:p w14:paraId="38280C65">
            <w:pPr>
              <w:keepNext w:val="0"/>
              <w:keepLines w:val="0"/>
              <w:pageBreakBefore w:val="0"/>
              <w:suppressLineNumbers w:val="0"/>
              <w:kinsoku/>
              <w:wordWrap/>
              <w:overflowPunct/>
              <w:topLinePunct w:val="0"/>
              <w:bidi w:val="0"/>
              <w:spacing w:before="32" w:beforeLines="10" w:beforeAutospacing="0" w:after="32" w:afterLines="10" w:afterAutospacing="0" w:line="360" w:lineRule="auto"/>
              <w:ind w:left="21" w:leftChars="10" w:right="21" w:rightChars="1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样品：</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p>
          <w:p w14:paraId="793412F1">
            <w:pPr>
              <w:keepNext w:val="0"/>
              <w:keepLines w:val="0"/>
              <w:pageBreakBefore w:val="0"/>
              <w:suppressLineNumbers w:val="0"/>
              <w:kinsoku/>
              <w:wordWrap/>
              <w:overflowPunct/>
              <w:topLinePunct w:val="0"/>
              <w:bidi w:val="0"/>
              <w:spacing w:before="32" w:beforeLines="10" w:beforeAutospacing="0" w:after="32" w:afterLines="10" w:afterAutospacing="0" w:line="360" w:lineRule="auto"/>
              <w:ind w:left="21" w:leftChars="10" w:right="21" w:rightChars="1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snapToGrid w:val="0"/>
                <w:color w:val="auto"/>
                <w:kern w:val="28"/>
                <w:sz w:val="21"/>
                <w:szCs w:val="21"/>
                <w:highlight w:val="none"/>
              </w:rPr>
              <w:t>样品制作的标准和要求：</w:t>
            </w:r>
            <w:r>
              <w:rPr>
                <w:rFonts w:hint="eastAsia" w:ascii="宋体" w:hAnsi="宋体" w:eastAsia="宋体" w:cs="宋体"/>
                <w:color w:val="auto"/>
                <w:sz w:val="21"/>
                <w:szCs w:val="21"/>
                <w:highlight w:val="none"/>
                <w:u w:val="single"/>
              </w:rPr>
              <w:t>详见采购文件第三部分</w:t>
            </w:r>
            <w:r>
              <w:rPr>
                <w:rFonts w:hint="eastAsia" w:ascii="宋体" w:hAnsi="宋体" w:eastAsia="宋体" w:cs="宋体"/>
                <w:color w:val="auto"/>
                <w:kern w:val="0"/>
                <w:sz w:val="21"/>
                <w:szCs w:val="21"/>
                <w:highlight w:val="none"/>
              </w:rPr>
              <w:t>；</w:t>
            </w:r>
          </w:p>
          <w:p w14:paraId="7281FCA4">
            <w:pPr>
              <w:keepNext w:val="0"/>
              <w:keepLines w:val="0"/>
              <w:pageBreakBefore w:val="0"/>
              <w:suppressLineNumbers w:val="0"/>
              <w:kinsoku/>
              <w:wordWrap/>
              <w:overflowPunct/>
              <w:topLinePunct w:val="0"/>
              <w:bidi w:val="0"/>
              <w:spacing w:before="32" w:beforeLines="10" w:beforeAutospacing="0" w:after="32" w:afterLines="10" w:afterAutospacing="0" w:line="360" w:lineRule="auto"/>
              <w:ind w:left="21" w:leftChars="10" w:right="21" w:rightChars="1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（3）样品的评审方法以及评审标准</w:t>
            </w:r>
            <w:r>
              <w:rPr>
                <w:rFonts w:hint="eastAsia" w:ascii="宋体" w:hAnsi="宋体" w:eastAsia="宋体" w:cs="宋体"/>
                <w:snapToGrid w:val="0"/>
                <w:color w:val="auto"/>
                <w:kern w:val="28"/>
                <w:sz w:val="21"/>
                <w:szCs w:val="21"/>
                <w:highlight w:val="none"/>
              </w:rPr>
              <w:t>：详见</w:t>
            </w:r>
            <w:r>
              <w:rPr>
                <w:rFonts w:hint="eastAsia" w:ascii="宋体" w:hAnsi="宋体" w:eastAsia="宋体" w:cs="宋体"/>
                <w:color w:val="auto"/>
                <w:sz w:val="21"/>
                <w:szCs w:val="21"/>
                <w:highlight w:val="none"/>
                <w:u w:val="single"/>
              </w:rPr>
              <w:t>评标办法</w:t>
            </w:r>
            <w:r>
              <w:rPr>
                <w:rFonts w:hint="eastAsia" w:ascii="宋体" w:hAnsi="宋体" w:eastAsia="宋体" w:cs="宋体"/>
                <w:color w:val="auto"/>
                <w:kern w:val="0"/>
                <w:sz w:val="21"/>
                <w:szCs w:val="21"/>
                <w:highlight w:val="none"/>
              </w:rPr>
              <w:t>；</w:t>
            </w:r>
          </w:p>
          <w:p w14:paraId="53F0C5BD">
            <w:pPr>
              <w:keepNext w:val="0"/>
              <w:keepLines w:val="0"/>
              <w:pageBreakBefore w:val="0"/>
              <w:suppressLineNumbers w:val="0"/>
              <w:kinsoku/>
              <w:wordWrap/>
              <w:overflowPunct/>
              <w:topLinePunct w:val="0"/>
              <w:bidi w:val="0"/>
              <w:spacing w:before="32" w:beforeLines="10" w:beforeAutospacing="0" w:after="32" w:afterLines="10" w:afterAutospacing="0" w:line="360" w:lineRule="auto"/>
              <w:ind w:left="21" w:leftChars="10" w:right="21" w:rightChars="1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（4）是否需要随样品提交检测报告：</w:t>
            </w:r>
            <w:r>
              <w:rPr>
                <w:rFonts w:hint="eastAsia" w:ascii="宋体" w:hAnsi="宋体" w:eastAsia="宋体" w:cs="宋体"/>
                <w:color w:val="auto"/>
                <w:kern w:val="0"/>
                <w:highlight w:val="none"/>
              </w:rPr>
              <w:t>■</w:t>
            </w:r>
            <w:r>
              <w:rPr>
                <w:rFonts w:hint="eastAsia" w:ascii="宋体" w:hAnsi="宋体" w:eastAsia="宋体" w:cs="宋体"/>
                <w:color w:val="auto"/>
                <w:kern w:val="0"/>
                <w:sz w:val="21"/>
                <w:szCs w:val="21"/>
                <w:highlight w:val="none"/>
              </w:rPr>
              <w:t>否；☐是，检测机构的要求</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无</w:t>
            </w:r>
            <w:r>
              <w:rPr>
                <w:rFonts w:hint="eastAsia" w:ascii="宋体" w:hAnsi="宋体" w:eastAsia="宋体" w:cs="宋体"/>
                <w:color w:val="auto"/>
                <w:kern w:val="0"/>
                <w:sz w:val="21"/>
                <w:szCs w:val="21"/>
                <w:highlight w:val="none"/>
              </w:rPr>
              <w:t>；检测内容</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无</w:t>
            </w:r>
            <w:r>
              <w:rPr>
                <w:rFonts w:hint="eastAsia" w:ascii="宋体" w:hAnsi="宋体" w:eastAsia="宋体" w:cs="宋体"/>
                <w:color w:val="auto"/>
                <w:kern w:val="0"/>
                <w:sz w:val="21"/>
                <w:szCs w:val="21"/>
                <w:highlight w:val="none"/>
              </w:rPr>
              <w:t>。</w:t>
            </w:r>
          </w:p>
          <w:p w14:paraId="57E8AC1B">
            <w:pPr>
              <w:keepNext w:val="0"/>
              <w:keepLines w:val="0"/>
              <w:pageBreakBefore w:val="0"/>
              <w:suppressLineNumbers w:val="0"/>
              <w:kinsoku/>
              <w:wordWrap/>
              <w:overflowPunct/>
              <w:topLinePunct w:val="0"/>
              <w:bidi w:val="0"/>
              <w:spacing w:before="32" w:beforeLines="10" w:beforeAutospacing="0" w:after="32" w:afterLines="10" w:afterAutospacing="0" w:line="360" w:lineRule="auto"/>
              <w:ind w:left="21" w:leftChars="10" w:right="21" w:rightChars="1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（5）提供样品的时间：</w:t>
            </w:r>
            <w:r>
              <w:rPr>
                <w:rFonts w:hint="eastAsia" w:ascii="宋体" w:hAnsi="宋体" w:eastAsia="宋体" w:cs="宋体"/>
                <w:color w:val="auto"/>
                <w:sz w:val="21"/>
                <w:szCs w:val="21"/>
                <w:highlight w:val="none"/>
                <w:u w:val="single"/>
                <w:lang w:val="en-US" w:eastAsia="zh-CN"/>
              </w:rPr>
              <w:t xml:space="preserve">   年  月  日</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时</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分至</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时</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分</w:t>
            </w:r>
            <w:r>
              <w:rPr>
                <w:rFonts w:hint="eastAsia" w:ascii="宋体" w:hAnsi="宋体" w:eastAsia="宋体" w:cs="宋体"/>
                <w:color w:val="auto"/>
                <w:kern w:val="0"/>
                <w:sz w:val="21"/>
                <w:szCs w:val="21"/>
                <w:highlight w:val="none"/>
              </w:rPr>
              <w:t>；地点：</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；联系人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kern w:val="28"/>
                <w:sz w:val="21"/>
                <w:szCs w:val="21"/>
                <w:highlight w:val="none"/>
              </w:rPr>
              <w:t>联系电话：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。请投标人在上述时间内提供样品并按规定位置安装完毕。超过截止时间的，采购人或采购代理机构将不予接收，并将清场并封闭样品现场。</w:t>
            </w:r>
          </w:p>
          <w:p w14:paraId="6CFEBA2A">
            <w:pPr>
              <w:keepNext w:val="0"/>
              <w:keepLines w:val="0"/>
              <w:pageBreakBefore w:val="0"/>
              <w:suppressLineNumbers w:val="0"/>
              <w:kinsoku/>
              <w:wordWrap/>
              <w:overflowPunct/>
              <w:topLinePunct w:val="0"/>
              <w:bidi w:val="0"/>
              <w:spacing w:before="32" w:beforeLines="10" w:beforeAutospacing="0" w:after="32" w:afterLines="10" w:afterAutospacing="0" w:line="360" w:lineRule="auto"/>
              <w:ind w:left="21" w:leftChars="10" w:right="21" w:rightChars="1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采购活动结束后，对于未中标人提供的样品，采购人、</w:t>
            </w:r>
            <w:r>
              <w:rPr>
                <w:rFonts w:hint="eastAsia" w:ascii="宋体" w:hAnsi="宋体" w:eastAsia="宋体" w:cs="宋体"/>
                <w:color w:val="auto"/>
                <w:sz w:val="21"/>
                <w:szCs w:val="21"/>
                <w:highlight w:val="none"/>
                <w:lang w:eastAsia="zh-CN"/>
              </w:rPr>
              <w:t>采购代理机构</w:t>
            </w:r>
            <w:r>
              <w:rPr>
                <w:rFonts w:hint="eastAsia" w:ascii="宋体" w:hAnsi="宋体" w:eastAsia="宋体" w:cs="宋体"/>
                <w:color w:val="auto"/>
                <w:sz w:val="21"/>
                <w:szCs w:val="21"/>
                <w:highlight w:val="none"/>
              </w:rPr>
              <w:t>将通知未中标人在规定的时间内取回，逾期未取回的，采购人、</w:t>
            </w:r>
            <w:r>
              <w:rPr>
                <w:rFonts w:hint="eastAsia" w:ascii="宋体" w:hAnsi="宋体" w:eastAsia="宋体" w:cs="宋体"/>
                <w:color w:val="auto"/>
                <w:sz w:val="21"/>
                <w:szCs w:val="21"/>
                <w:highlight w:val="none"/>
                <w:lang w:eastAsia="zh-CN"/>
              </w:rPr>
              <w:t>采购代理机构</w:t>
            </w:r>
            <w:r>
              <w:rPr>
                <w:rFonts w:hint="eastAsia" w:ascii="宋体" w:hAnsi="宋体" w:eastAsia="宋体" w:cs="宋体"/>
                <w:color w:val="auto"/>
                <w:sz w:val="21"/>
                <w:szCs w:val="21"/>
                <w:highlight w:val="none"/>
              </w:rPr>
              <w:t>不负保管义务；对于中标人提供的样品，采购人将进行保管、封存，并作为履约验收的参考。</w:t>
            </w:r>
          </w:p>
          <w:p w14:paraId="6A274D65">
            <w:pPr>
              <w:keepNext w:val="0"/>
              <w:keepLines w:val="0"/>
              <w:pageBreakBefore w:val="0"/>
              <w:suppressLineNumbers w:val="0"/>
              <w:kinsoku/>
              <w:wordWrap/>
              <w:overflowPunct/>
              <w:topLinePunct w:val="0"/>
              <w:bidi w:val="0"/>
              <w:spacing w:before="32" w:beforeLines="10" w:beforeAutospacing="0" w:after="32" w:afterLines="10" w:afterAutospacing="0" w:line="360" w:lineRule="auto"/>
              <w:ind w:left="21" w:leftChars="10" w:right="21" w:rightChars="1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（7）制作、运输、安装和保管样品所发生的一切费用由投标人自理。</w:t>
            </w:r>
          </w:p>
        </w:tc>
      </w:tr>
      <w:tr w14:paraId="6B2DB53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right"/>
        </w:trPr>
        <w:tc>
          <w:tcPr>
            <w:tcW w:w="677" w:type="dxa"/>
            <w:tcBorders>
              <w:tl2br w:val="nil"/>
              <w:tr2bl w:val="nil"/>
            </w:tcBorders>
            <w:vAlign w:val="center"/>
          </w:tcPr>
          <w:p w14:paraId="08D4E5A2">
            <w:pPr>
              <w:keepNext w:val="0"/>
              <w:keepLines w:val="0"/>
              <w:pageBreakBefore w:val="0"/>
              <w:suppressLineNumbers w:val="0"/>
              <w:kinsoku/>
              <w:wordWrap/>
              <w:overflowPunct/>
              <w:topLinePunct w:val="0"/>
              <w:bidi w:val="0"/>
              <w:snapToGrid w:val="0"/>
              <w:spacing w:before="32" w:beforeLines="10" w:beforeAutospacing="0" w:after="32" w:afterLines="10" w:afterAutospacing="0" w:line="360" w:lineRule="auto"/>
              <w:ind w:left="21" w:leftChars="10" w:right="21" w:rightChars="1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1826" w:type="dxa"/>
            <w:tcBorders>
              <w:tl2br w:val="nil"/>
              <w:tr2bl w:val="nil"/>
            </w:tcBorders>
            <w:vAlign w:val="center"/>
          </w:tcPr>
          <w:p w14:paraId="17D565A0">
            <w:pPr>
              <w:keepNext w:val="0"/>
              <w:keepLines w:val="0"/>
              <w:pageBreakBefore w:val="0"/>
              <w:suppressLineNumbers w:val="0"/>
              <w:kinsoku/>
              <w:wordWrap/>
              <w:overflowPunct/>
              <w:topLinePunct w:val="0"/>
              <w:bidi w:val="0"/>
              <w:snapToGrid w:val="0"/>
              <w:spacing w:before="32" w:beforeLines="10" w:beforeAutospacing="0" w:after="32" w:afterLines="10" w:afterAutospacing="0" w:line="360" w:lineRule="auto"/>
              <w:ind w:left="21" w:leftChars="10" w:right="21" w:rightChars="10"/>
              <w:jc w:val="center"/>
              <w:textAlignment w:val="auto"/>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方案讲解演示</w:t>
            </w:r>
          </w:p>
        </w:tc>
        <w:tc>
          <w:tcPr>
            <w:tcW w:w="6532" w:type="dxa"/>
            <w:tcBorders>
              <w:tl2br w:val="nil"/>
              <w:tr2bl w:val="nil"/>
            </w:tcBorders>
            <w:vAlign w:val="center"/>
          </w:tcPr>
          <w:p w14:paraId="7F682320">
            <w:pPr>
              <w:keepNext w:val="0"/>
              <w:keepLines w:val="0"/>
              <w:pageBreakBefore w:val="0"/>
              <w:suppressLineNumbers w:val="0"/>
              <w:kinsoku/>
              <w:wordWrap/>
              <w:overflowPunct/>
              <w:topLinePunct w:val="0"/>
              <w:bidi w:val="0"/>
              <w:snapToGrid w:val="0"/>
              <w:spacing w:before="32" w:beforeLines="10" w:beforeAutospacing="0" w:after="32" w:afterLines="10" w:afterAutospacing="0" w:line="360" w:lineRule="auto"/>
              <w:ind w:left="21" w:leftChars="10" w:right="21" w:rightChars="1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woUserID w:val="1"/>
              </w:rPr>
              <w:t>☐</w:t>
            </w:r>
            <w:r>
              <w:rPr>
                <w:rFonts w:hint="eastAsia" w:ascii="宋体" w:hAnsi="宋体" w:eastAsia="宋体" w:cs="宋体"/>
                <w:color w:val="auto"/>
                <w:kern w:val="0"/>
                <w:sz w:val="21"/>
                <w:szCs w:val="21"/>
                <w:highlight w:val="none"/>
              </w:rPr>
              <w:t>A</w:t>
            </w:r>
            <w:r>
              <w:rPr>
                <w:rFonts w:hint="eastAsia" w:ascii="宋体" w:hAnsi="宋体" w:eastAsia="宋体" w:cs="宋体"/>
                <w:color w:val="auto"/>
                <w:sz w:val="21"/>
                <w:szCs w:val="21"/>
                <w:highlight w:val="none"/>
              </w:rPr>
              <w:t>不组织。</w:t>
            </w:r>
          </w:p>
          <w:p w14:paraId="698E0E2F">
            <w:pPr>
              <w:keepNext w:val="0"/>
              <w:keepLines w:val="0"/>
              <w:suppressLineNumbers w:val="0"/>
              <w:shd w:val="clear" w:color="auto" w:fill="auto"/>
              <w:spacing w:before="48" w:beforeLines="20" w:beforeAutospacing="0" w:after="48" w:afterLines="20" w:afterAutospacing="0" w:line="360" w:lineRule="auto"/>
              <w:ind w:left="42" w:leftChars="20" w:right="42" w:rightChars="20"/>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woUserID w:val="1"/>
              </w:rPr>
              <w:t>■</w:t>
            </w:r>
            <w:r>
              <w:rPr>
                <w:rFonts w:hint="eastAsia" w:ascii="宋体" w:hAnsi="宋体" w:eastAsia="宋体" w:cs="宋体"/>
                <w:color w:val="auto"/>
                <w:kern w:val="0"/>
                <w:sz w:val="21"/>
                <w:szCs w:val="21"/>
                <w:highlight w:val="none"/>
              </w:rPr>
              <w:t>B组织。</w:t>
            </w:r>
          </w:p>
          <w:p w14:paraId="26084D96">
            <w:pPr>
              <w:keepNext w:val="0"/>
              <w:keepLines w:val="0"/>
              <w:suppressLineNumbers w:val="0"/>
              <w:shd w:val="clear" w:color="auto" w:fill="auto"/>
              <w:spacing w:before="48" w:beforeLines="20" w:beforeAutospacing="0" w:after="48" w:afterLines="20" w:afterAutospacing="0" w:line="360" w:lineRule="auto"/>
              <w:ind w:left="42" w:leftChars="20" w:right="42" w:rightChars="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（1）在评标时安排每个投标人进行方案演示。每个投标人时间不超过</w:t>
            </w:r>
            <w:r>
              <w:rPr>
                <w:rFonts w:hint="eastAsia" w:ascii="宋体" w:hAnsi="宋体" w:cs="宋体"/>
                <w:color w:val="auto"/>
                <w:kern w:val="0"/>
                <w:sz w:val="21"/>
                <w:szCs w:val="21"/>
                <w:highlight w:val="none"/>
                <w:u w:val="single"/>
                <w:lang w:val="en-US" w:eastAsia="zh-CN"/>
              </w:rPr>
              <w:t xml:space="preserve"> 15</w:t>
            </w:r>
            <w:r>
              <w:rPr>
                <w:rFonts w:hint="eastAsia" w:ascii="宋体" w:hAnsi="宋体" w:eastAsia="宋体" w:cs="宋体"/>
                <w:color w:val="auto"/>
                <w:kern w:val="0"/>
                <w:sz w:val="21"/>
                <w:szCs w:val="21"/>
                <w:highlight w:val="none"/>
              </w:rPr>
              <w:t>分钟，</w:t>
            </w:r>
            <w:r>
              <w:rPr>
                <w:rFonts w:hint="eastAsia" w:ascii="宋体" w:hAnsi="宋体" w:eastAsia="宋体" w:cs="宋体"/>
                <w:color w:val="auto"/>
                <w:kern w:val="0"/>
                <w:sz w:val="21"/>
                <w:szCs w:val="21"/>
                <w:highlight w:val="none"/>
                <w:lang w:eastAsia="zh-CN"/>
              </w:rPr>
              <w:t>讲解演示人员不超过</w:t>
            </w:r>
            <w:r>
              <w:rPr>
                <w:rFonts w:hint="eastAsia" w:ascii="宋体" w:hAnsi="宋体" w:cs="宋体"/>
                <w:color w:val="auto"/>
                <w:kern w:val="0"/>
                <w:sz w:val="21"/>
                <w:szCs w:val="21"/>
                <w:highlight w:val="none"/>
                <w:u w:val="single"/>
                <w:lang w:val="en-US" w:eastAsia="zh-CN"/>
              </w:rPr>
              <w:t xml:space="preserve"> 2 </w:t>
            </w:r>
            <w:r>
              <w:rPr>
                <w:rFonts w:hint="eastAsia" w:ascii="宋体" w:hAnsi="宋体" w:eastAsia="宋体" w:cs="宋体"/>
                <w:color w:val="auto"/>
                <w:kern w:val="0"/>
                <w:sz w:val="21"/>
                <w:szCs w:val="21"/>
                <w:highlight w:val="none"/>
                <w:lang w:eastAsia="zh-CN"/>
              </w:rPr>
              <w:t>人</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演示次序以投标文件解密时间先后次序为准。</w:t>
            </w:r>
          </w:p>
          <w:p w14:paraId="0C3FDC6E">
            <w:pPr>
              <w:keepNext w:val="0"/>
              <w:keepLines w:val="0"/>
              <w:suppressLineNumbers w:val="0"/>
              <w:shd w:val="clear" w:color="auto" w:fill="auto"/>
              <w:spacing w:before="48" w:beforeLines="20" w:beforeAutospacing="0" w:after="48" w:afterLines="20" w:afterAutospacing="0" w:line="360" w:lineRule="auto"/>
              <w:ind w:left="42" w:leftChars="20" w:right="42" w:rightChars="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（2）方案讲解演示可选择以下其中一种方式：</w:t>
            </w:r>
          </w:p>
          <w:p w14:paraId="075E0952">
            <w:pPr>
              <w:keepNext w:val="0"/>
              <w:keepLines w:val="0"/>
              <w:suppressLineNumbers w:val="0"/>
              <w:shd w:val="clear" w:color="auto" w:fill="auto"/>
              <w:spacing w:before="48" w:beforeLines="20" w:beforeAutospacing="0" w:after="48" w:afterLines="20" w:afterAutospacing="0" w:line="360" w:lineRule="auto"/>
              <w:ind w:left="42" w:leftChars="20" w:right="42" w:rightChars="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☐方式一：政采云平台在线讲解演示。政采云平台在线讲解需投标人根据政采云平台操作要求做好准备工作，提前完善软硬件配置环境。</w:t>
            </w:r>
          </w:p>
          <w:p w14:paraId="55BE1A1A">
            <w:pPr>
              <w:keepNext w:val="0"/>
              <w:keepLines w:val="0"/>
              <w:suppressLineNumbers w:val="0"/>
              <w:shd w:val="clear" w:color="auto" w:fill="auto"/>
              <w:spacing w:before="48" w:beforeLines="20" w:beforeAutospacing="0" w:after="48" w:afterLines="20" w:afterAutospacing="0" w:line="360" w:lineRule="auto"/>
              <w:ind w:left="42" w:leftChars="20" w:right="42" w:rightChars="2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方式二：采购代理机构现场讲解演示。现场讲解地点为浙江国际招投标有限公司（杭州市西湖区文三路90号东部软件园1楼3楼301室），讲解演示所用电脑等设备由投标人自备。现场讲解演示人员请于开标时间前到达，进场时提供讲解人员名单（加盖公章或授权代表签名）及身份证明，否则不得讲解演示。</w:t>
            </w:r>
          </w:p>
          <w:p w14:paraId="0261E5DA">
            <w:pPr>
              <w:keepNext w:val="0"/>
              <w:keepLines w:val="0"/>
              <w:suppressLineNumbers w:val="0"/>
              <w:shd w:val="clear" w:color="auto" w:fill="auto"/>
              <w:spacing w:before="48" w:beforeLines="20" w:beforeAutospacing="0" w:after="48" w:afterLines="20" w:afterAutospacing="0" w:line="360" w:lineRule="auto"/>
              <w:ind w:left="42" w:leftChars="20" w:right="42" w:rightChars="2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woUserID w:val="1"/>
              </w:rPr>
              <w:t>■</w:t>
            </w:r>
            <w:r>
              <w:rPr>
                <w:rFonts w:hint="eastAsia" w:ascii="宋体" w:hAnsi="宋体" w:eastAsia="宋体" w:cs="宋体"/>
                <w:color w:val="auto"/>
                <w:kern w:val="0"/>
                <w:sz w:val="21"/>
                <w:szCs w:val="21"/>
                <w:highlight w:val="none"/>
              </w:rPr>
              <w:t>方式三：采用“不见面”形式演示。投标人在投标截止时间前，递交自行录制的“音视频文件”，评标委员会在评审现场对其进行播放并以此作为相关评审内容的评分依据。各投标人递交的音视频文件光盘或U盘中应有确保文件正常打开的播放器。</w:t>
            </w:r>
            <w:r>
              <w:rPr>
                <w:rFonts w:hint="eastAsia" w:ascii="宋体" w:hAnsi="宋体" w:eastAsia="宋体" w:cs="宋体"/>
                <w:b/>
                <w:bCs/>
                <w:color w:val="auto"/>
                <w:kern w:val="0"/>
                <w:sz w:val="21"/>
                <w:szCs w:val="21"/>
                <w:highlight w:val="none"/>
              </w:rPr>
              <w:t>演示文件送达地点与备份投标文件送达地点和签收人员一致，送达截止时间与提交投标文件截止时间一致。</w:t>
            </w:r>
          </w:p>
          <w:p w14:paraId="148D78D1">
            <w:pPr>
              <w:keepNext w:val="0"/>
              <w:keepLines w:val="0"/>
              <w:pageBreakBefore w:val="0"/>
              <w:suppressLineNumbers w:val="0"/>
              <w:kinsoku/>
              <w:wordWrap/>
              <w:overflowPunct/>
              <w:topLinePunct w:val="0"/>
              <w:bidi w:val="0"/>
              <w:snapToGrid w:val="0"/>
              <w:spacing w:before="32" w:beforeLines="10" w:beforeAutospacing="0" w:after="32" w:afterLines="10" w:afterAutospacing="0" w:line="360" w:lineRule="auto"/>
              <w:ind w:left="21" w:leftChars="10" w:right="21" w:rightChars="1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kern w:val="0"/>
                <w:sz w:val="21"/>
                <w:szCs w:val="21"/>
                <w:highlight w:val="none"/>
              </w:rPr>
              <w:t>注：因投标人自身原因导致无法演示或者演示效果不理想的，责任自负。因平台原因导致本项目方案讲解演示环节无法顺利开展，按照《浙江省政府采购项目电子交易管理暂行办法》相关规定执行</w:t>
            </w:r>
          </w:p>
        </w:tc>
      </w:tr>
      <w:tr w14:paraId="0773C7F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right"/>
        </w:trPr>
        <w:tc>
          <w:tcPr>
            <w:tcW w:w="677" w:type="dxa"/>
            <w:vMerge w:val="restart"/>
            <w:tcBorders>
              <w:tl2br w:val="nil"/>
              <w:tr2bl w:val="nil"/>
            </w:tcBorders>
            <w:vAlign w:val="center"/>
          </w:tcPr>
          <w:p w14:paraId="6A459637">
            <w:pPr>
              <w:keepNext w:val="0"/>
              <w:keepLines w:val="0"/>
              <w:pageBreakBefore w:val="0"/>
              <w:suppressLineNumbers w:val="0"/>
              <w:kinsoku/>
              <w:wordWrap/>
              <w:overflowPunct/>
              <w:topLinePunct w:val="0"/>
              <w:bidi w:val="0"/>
              <w:snapToGrid w:val="0"/>
              <w:spacing w:before="32" w:beforeLines="10" w:beforeAutospacing="0" w:after="32" w:afterLines="10" w:afterAutospacing="0" w:line="360" w:lineRule="auto"/>
              <w:ind w:left="21" w:leftChars="10" w:right="21" w:rightChars="10"/>
              <w:jc w:val="center"/>
              <w:textAlignment w:val="auto"/>
              <w:rPr>
                <w:rFonts w:hint="eastAsia" w:ascii="宋体" w:hAnsi="宋体" w:eastAsia="宋体" w:cs="宋体"/>
                <w:color w:val="auto"/>
                <w:sz w:val="21"/>
                <w:szCs w:val="21"/>
                <w:highlight w:val="none"/>
              </w:rPr>
            </w:pPr>
          </w:p>
          <w:p w14:paraId="131265F3">
            <w:pPr>
              <w:keepNext w:val="0"/>
              <w:keepLines w:val="0"/>
              <w:pageBreakBefore w:val="0"/>
              <w:suppressLineNumbers w:val="0"/>
              <w:kinsoku/>
              <w:wordWrap/>
              <w:overflowPunct/>
              <w:topLinePunct w:val="0"/>
              <w:bidi w:val="0"/>
              <w:snapToGrid w:val="0"/>
              <w:spacing w:before="32" w:beforeLines="10" w:beforeAutospacing="0" w:after="32" w:afterLines="10" w:afterAutospacing="0" w:line="360" w:lineRule="auto"/>
              <w:ind w:left="21" w:leftChars="10" w:right="21" w:rightChars="10"/>
              <w:jc w:val="center"/>
              <w:textAlignment w:val="auto"/>
              <w:rPr>
                <w:rFonts w:hint="eastAsia" w:ascii="宋体" w:hAnsi="宋体" w:eastAsia="宋体" w:cs="宋体"/>
                <w:color w:val="auto"/>
                <w:sz w:val="21"/>
                <w:szCs w:val="21"/>
                <w:highlight w:val="none"/>
              </w:rPr>
            </w:pPr>
          </w:p>
          <w:p w14:paraId="0C634752">
            <w:pPr>
              <w:keepNext w:val="0"/>
              <w:keepLines w:val="0"/>
              <w:pageBreakBefore w:val="0"/>
              <w:suppressLineNumbers w:val="0"/>
              <w:kinsoku/>
              <w:wordWrap/>
              <w:overflowPunct/>
              <w:topLinePunct w:val="0"/>
              <w:bidi w:val="0"/>
              <w:snapToGrid w:val="0"/>
              <w:spacing w:before="32" w:beforeLines="10" w:beforeAutospacing="0" w:after="32" w:afterLines="10" w:afterAutospacing="0" w:line="360" w:lineRule="auto"/>
              <w:ind w:left="21" w:leftChars="10" w:right="21" w:rightChars="1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826" w:type="dxa"/>
            <w:vMerge w:val="restart"/>
            <w:tcBorders>
              <w:tl2br w:val="nil"/>
              <w:tr2bl w:val="nil"/>
            </w:tcBorders>
            <w:vAlign w:val="center"/>
          </w:tcPr>
          <w:p w14:paraId="569046B1">
            <w:pPr>
              <w:keepNext w:val="0"/>
              <w:keepLines w:val="0"/>
              <w:pageBreakBefore w:val="0"/>
              <w:suppressLineNumbers w:val="0"/>
              <w:kinsoku/>
              <w:wordWrap/>
              <w:overflowPunct/>
              <w:topLinePunct w:val="0"/>
              <w:bidi w:val="0"/>
              <w:snapToGrid w:val="0"/>
              <w:spacing w:before="32" w:beforeLines="10" w:beforeAutospacing="0" w:after="32" w:afterLines="10" w:afterAutospacing="0" w:line="360" w:lineRule="auto"/>
              <w:ind w:left="21" w:leftChars="10" w:right="21" w:rightChars="1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投标人应当提供的资格、资信证明文件</w:t>
            </w:r>
          </w:p>
        </w:tc>
        <w:tc>
          <w:tcPr>
            <w:tcW w:w="6532" w:type="dxa"/>
            <w:tcBorders>
              <w:tl2br w:val="nil"/>
              <w:tr2bl w:val="nil"/>
            </w:tcBorders>
            <w:vAlign w:val="center"/>
          </w:tcPr>
          <w:p w14:paraId="0F1894D0">
            <w:pPr>
              <w:keepNext w:val="0"/>
              <w:keepLines w:val="0"/>
              <w:pageBreakBefore w:val="0"/>
              <w:suppressLineNumbers w:val="0"/>
              <w:kinsoku/>
              <w:wordWrap/>
              <w:overflowPunct/>
              <w:topLinePunct w:val="0"/>
              <w:bidi w:val="0"/>
              <w:spacing w:before="32" w:beforeLines="10" w:beforeAutospacing="0" w:after="32" w:afterLines="10" w:afterAutospacing="0" w:line="360" w:lineRule="auto"/>
              <w:ind w:left="21" w:leftChars="10" w:right="21" w:rightChars="1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（1）资格证明文件：见招标文件第二部分11.1。</w:t>
            </w:r>
          </w:p>
          <w:p w14:paraId="40CC604B">
            <w:pPr>
              <w:keepNext w:val="0"/>
              <w:keepLines w:val="0"/>
              <w:pageBreakBefore w:val="0"/>
              <w:suppressLineNumbers w:val="0"/>
              <w:kinsoku/>
              <w:wordWrap/>
              <w:overflowPunct/>
              <w:topLinePunct w:val="0"/>
              <w:bidi w:val="0"/>
              <w:spacing w:before="32" w:beforeLines="10" w:beforeAutospacing="0" w:after="32" w:afterLines="10" w:afterAutospacing="0" w:line="360" w:lineRule="auto"/>
              <w:ind w:left="21" w:leftChars="10" w:right="21" w:rightChars="1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color w:val="auto"/>
                <w:kern w:val="0"/>
                <w:sz w:val="21"/>
                <w:szCs w:val="21"/>
                <w:highlight w:val="none"/>
                <w:lang w:val="zh-CN"/>
              </w:rPr>
              <w:t>投标人未提供有效的资格证明文件的，视为投标人不具备招标文件中规定的资格要求，投标无效。</w:t>
            </w:r>
          </w:p>
        </w:tc>
      </w:tr>
      <w:tr w14:paraId="5AC4122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right"/>
        </w:trPr>
        <w:tc>
          <w:tcPr>
            <w:tcW w:w="677" w:type="dxa"/>
            <w:vMerge w:val="continue"/>
            <w:tcBorders>
              <w:tl2br w:val="nil"/>
              <w:tr2bl w:val="nil"/>
            </w:tcBorders>
          </w:tcPr>
          <w:p w14:paraId="4CDE03C2">
            <w:pPr>
              <w:keepNext w:val="0"/>
              <w:keepLines w:val="0"/>
              <w:pageBreakBefore w:val="0"/>
              <w:suppressLineNumbers w:val="0"/>
              <w:kinsoku/>
              <w:wordWrap/>
              <w:overflowPunct/>
              <w:topLinePunct w:val="0"/>
              <w:bidi w:val="0"/>
              <w:snapToGrid w:val="0"/>
              <w:spacing w:before="32" w:beforeLines="10" w:beforeAutospacing="0" w:after="32" w:afterLines="10" w:afterAutospacing="0" w:line="360" w:lineRule="auto"/>
              <w:ind w:left="21" w:leftChars="10" w:right="21" w:rightChars="10"/>
              <w:jc w:val="center"/>
              <w:textAlignment w:val="auto"/>
              <w:rPr>
                <w:rFonts w:hint="eastAsia" w:ascii="宋体" w:hAnsi="宋体" w:eastAsia="宋体" w:cs="宋体"/>
                <w:color w:val="auto"/>
                <w:sz w:val="21"/>
                <w:szCs w:val="21"/>
                <w:highlight w:val="none"/>
              </w:rPr>
            </w:pPr>
          </w:p>
        </w:tc>
        <w:tc>
          <w:tcPr>
            <w:tcW w:w="1826" w:type="dxa"/>
            <w:vMerge w:val="continue"/>
            <w:tcBorders>
              <w:tl2br w:val="nil"/>
              <w:tr2bl w:val="nil"/>
            </w:tcBorders>
            <w:vAlign w:val="center"/>
          </w:tcPr>
          <w:p w14:paraId="50988922">
            <w:pPr>
              <w:keepNext w:val="0"/>
              <w:keepLines w:val="0"/>
              <w:pageBreakBefore w:val="0"/>
              <w:suppressLineNumbers w:val="0"/>
              <w:kinsoku/>
              <w:wordWrap/>
              <w:overflowPunct/>
              <w:topLinePunct w:val="0"/>
              <w:bidi w:val="0"/>
              <w:snapToGrid w:val="0"/>
              <w:spacing w:before="32" w:beforeLines="10" w:beforeAutospacing="0" w:after="32" w:afterLines="10" w:afterAutospacing="0" w:line="360" w:lineRule="auto"/>
              <w:ind w:left="21" w:leftChars="10" w:right="21" w:rightChars="10"/>
              <w:jc w:val="center"/>
              <w:textAlignment w:val="auto"/>
              <w:rPr>
                <w:rFonts w:hint="eastAsia" w:ascii="宋体" w:hAnsi="宋体" w:eastAsia="宋体" w:cs="宋体"/>
                <w:b/>
                <w:color w:val="auto"/>
                <w:sz w:val="21"/>
                <w:szCs w:val="21"/>
                <w:highlight w:val="none"/>
              </w:rPr>
            </w:pPr>
          </w:p>
        </w:tc>
        <w:tc>
          <w:tcPr>
            <w:tcW w:w="6532" w:type="dxa"/>
            <w:tcBorders>
              <w:tl2br w:val="nil"/>
              <w:tr2bl w:val="nil"/>
            </w:tcBorders>
            <w:vAlign w:val="center"/>
          </w:tcPr>
          <w:p w14:paraId="493480C0">
            <w:pPr>
              <w:keepNext w:val="0"/>
              <w:keepLines w:val="0"/>
              <w:pageBreakBefore w:val="0"/>
              <w:suppressLineNumbers w:val="0"/>
              <w:kinsoku/>
              <w:wordWrap/>
              <w:overflowPunct/>
              <w:topLinePunct w:val="0"/>
              <w:bidi w:val="0"/>
              <w:spacing w:before="32" w:beforeLines="10" w:beforeAutospacing="0" w:after="32" w:afterLines="10" w:afterAutospacing="0" w:line="360" w:lineRule="auto"/>
              <w:ind w:left="21" w:leftChars="10" w:right="21" w:rightChars="1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（2）资信证明文件：根据招标文件第四部分评标标准提供。</w:t>
            </w:r>
          </w:p>
        </w:tc>
      </w:tr>
      <w:tr w14:paraId="5CEFDF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right"/>
        </w:trPr>
        <w:tc>
          <w:tcPr>
            <w:tcW w:w="677" w:type="dxa"/>
            <w:tcBorders>
              <w:tl2br w:val="nil"/>
              <w:tr2bl w:val="nil"/>
            </w:tcBorders>
          </w:tcPr>
          <w:p w14:paraId="2C3DA2BC">
            <w:pPr>
              <w:keepNext w:val="0"/>
              <w:keepLines w:val="0"/>
              <w:pageBreakBefore w:val="0"/>
              <w:suppressLineNumbers w:val="0"/>
              <w:kinsoku/>
              <w:wordWrap/>
              <w:overflowPunct/>
              <w:topLinePunct w:val="0"/>
              <w:bidi w:val="0"/>
              <w:snapToGrid w:val="0"/>
              <w:spacing w:before="32" w:beforeLines="10" w:beforeAutospacing="0" w:after="32" w:afterLines="10" w:afterAutospacing="0" w:line="360" w:lineRule="auto"/>
              <w:ind w:left="21" w:leftChars="10" w:right="21" w:rightChars="10"/>
              <w:jc w:val="center"/>
              <w:textAlignment w:val="auto"/>
              <w:rPr>
                <w:rFonts w:hint="eastAsia" w:ascii="宋体" w:hAnsi="宋体" w:eastAsia="宋体" w:cs="宋体"/>
                <w:color w:val="auto"/>
                <w:sz w:val="21"/>
                <w:szCs w:val="21"/>
                <w:highlight w:val="none"/>
              </w:rPr>
            </w:pPr>
          </w:p>
          <w:p w14:paraId="2587AE09">
            <w:pPr>
              <w:keepNext w:val="0"/>
              <w:keepLines w:val="0"/>
              <w:pageBreakBefore w:val="0"/>
              <w:suppressLineNumbers w:val="0"/>
              <w:kinsoku/>
              <w:wordWrap/>
              <w:overflowPunct/>
              <w:topLinePunct w:val="0"/>
              <w:bidi w:val="0"/>
              <w:snapToGrid w:val="0"/>
              <w:spacing w:before="32" w:beforeLines="10" w:beforeAutospacing="0" w:after="32" w:afterLines="10" w:afterAutospacing="0" w:line="360" w:lineRule="auto"/>
              <w:ind w:left="21" w:leftChars="10" w:right="21" w:rightChars="10"/>
              <w:jc w:val="center"/>
              <w:textAlignment w:val="auto"/>
              <w:rPr>
                <w:rFonts w:hint="eastAsia" w:ascii="宋体" w:hAnsi="宋体" w:eastAsia="宋体" w:cs="宋体"/>
                <w:color w:val="auto"/>
                <w:sz w:val="21"/>
                <w:szCs w:val="21"/>
                <w:highlight w:val="none"/>
              </w:rPr>
            </w:pPr>
          </w:p>
          <w:p w14:paraId="23039994">
            <w:pPr>
              <w:keepNext w:val="0"/>
              <w:keepLines w:val="0"/>
              <w:pageBreakBefore w:val="0"/>
              <w:suppressLineNumbers w:val="0"/>
              <w:kinsoku/>
              <w:wordWrap/>
              <w:overflowPunct/>
              <w:topLinePunct w:val="0"/>
              <w:bidi w:val="0"/>
              <w:snapToGrid w:val="0"/>
              <w:spacing w:before="32" w:beforeLines="10" w:beforeAutospacing="0" w:after="32" w:afterLines="10" w:afterAutospacing="0" w:line="360" w:lineRule="auto"/>
              <w:ind w:left="21" w:leftChars="10" w:right="21" w:rightChars="1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826" w:type="dxa"/>
            <w:tcBorders>
              <w:tl2br w:val="nil"/>
              <w:tr2bl w:val="nil"/>
            </w:tcBorders>
            <w:vAlign w:val="center"/>
          </w:tcPr>
          <w:p w14:paraId="168D5981">
            <w:pPr>
              <w:keepNext w:val="0"/>
              <w:keepLines w:val="0"/>
              <w:pageBreakBefore w:val="0"/>
              <w:suppressLineNumbers w:val="0"/>
              <w:kinsoku/>
              <w:wordWrap/>
              <w:overflowPunct/>
              <w:topLinePunct w:val="0"/>
              <w:bidi w:val="0"/>
              <w:snapToGrid w:val="0"/>
              <w:spacing w:before="32" w:beforeLines="10" w:beforeAutospacing="0" w:after="32" w:afterLines="10" w:afterAutospacing="0" w:line="360" w:lineRule="auto"/>
              <w:ind w:left="21" w:leftChars="10" w:right="21" w:rightChars="1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节能产品、环境标志产品</w:t>
            </w:r>
          </w:p>
        </w:tc>
        <w:tc>
          <w:tcPr>
            <w:tcW w:w="6532" w:type="dxa"/>
            <w:tcBorders>
              <w:tl2br w:val="nil"/>
              <w:tr2bl w:val="nil"/>
            </w:tcBorders>
            <w:vAlign w:val="center"/>
          </w:tcPr>
          <w:p w14:paraId="234C32E3">
            <w:pPr>
              <w:keepNext w:val="0"/>
              <w:keepLines w:val="0"/>
              <w:pageBreakBefore w:val="0"/>
              <w:suppressLineNumbers w:val="0"/>
              <w:kinsoku/>
              <w:wordWrap/>
              <w:overflowPunct/>
              <w:topLinePunct w:val="0"/>
              <w:bidi w:val="0"/>
              <w:snapToGrid w:val="0"/>
              <w:spacing w:before="32" w:beforeLines="10" w:beforeAutospacing="0" w:after="32" w:afterLines="10" w:afterAutospacing="0" w:line="360" w:lineRule="auto"/>
              <w:ind w:left="21" w:leftChars="10" w:right="21" w:rightChars="1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p w14:paraId="3CA2270A">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trike w:val="0"/>
                <w:color w:val="auto"/>
                <w:highlight w:val="none"/>
              </w:rPr>
            </w:pPr>
            <w:r>
              <w:rPr>
                <w:rFonts w:hint="eastAsia" w:ascii="宋体" w:hAnsi="宋体" w:eastAsia="宋体" w:cs="宋体"/>
                <w:strike w:val="0"/>
                <w:color w:val="auto"/>
                <w:kern w:val="2"/>
                <w:sz w:val="21"/>
                <w:szCs w:val="21"/>
                <w:highlight w:val="none"/>
                <w:lang w:val="en-US" w:eastAsia="zh-CN" w:bidi="ar-SA"/>
              </w:rPr>
              <w:t>☐</w:t>
            </w:r>
            <w:r>
              <w:rPr>
                <w:rFonts w:hint="eastAsia" w:ascii="宋体" w:hAnsi="宋体" w:eastAsia="宋体" w:cs="宋体"/>
                <w:strike w:val="0"/>
                <w:color w:val="auto"/>
                <w:sz w:val="21"/>
                <w:szCs w:val="21"/>
                <w:highlight w:val="none"/>
                <w:lang w:eastAsia="zh-CN"/>
              </w:rPr>
              <w:t>强制采购节能采购。产品：</w:t>
            </w:r>
          </w:p>
          <w:p w14:paraId="3292F488">
            <w:pPr>
              <w:keepNext w:val="0"/>
              <w:keepLines w:val="0"/>
              <w:pageBreakBefore w:val="0"/>
              <w:suppressLineNumbers w:val="0"/>
              <w:kinsoku/>
              <w:wordWrap/>
              <w:overflowPunct/>
              <w:topLinePunct w:val="0"/>
              <w:bidi w:val="0"/>
              <w:snapToGrid w:val="0"/>
              <w:spacing w:before="32" w:beforeLines="10" w:beforeAutospacing="0" w:after="32" w:afterLines="10" w:afterAutospacing="0" w:line="360" w:lineRule="auto"/>
              <w:ind w:left="21" w:leftChars="10" w:right="21" w:rightChars="10"/>
              <w:textAlignment w:val="auto"/>
              <w:rPr>
                <w:rFonts w:hint="eastAsia" w:ascii="宋体" w:hAnsi="宋体" w:eastAsia="宋体" w:cs="宋体"/>
                <w:strike w:val="0"/>
                <w:color w:val="auto"/>
                <w:sz w:val="21"/>
                <w:szCs w:val="21"/>
                <w:highlight w:val="none"/>
                <w:lang w:val="en-US" w:eastAsia="zh-CN"/>
              </w:rPr>
            </w:pPr>
            <w:r>
              <w:rPr>
                <w:rFonts w:hint="eastAsia" w:ascii="宋体" w:hAnsi="宋体" w:eastAsia="宋体" w:cs="宋体"/>
                <w:strike w:val="0"/>
                <w:color w:val="auto"/>
                <w:sz w:val="21"/>
                <w:szCs w:val="21"/>
                <w:highlight w:val="none"/>
                <w:lang w:eastAsia="zh-CN"/>
              </w:rPr>
              <w:t>□优先采购节能产品。产品：</w:t>
            </w:r>
            <w:r>
              <w:rPr>
                <w:rFonts w:hint="eastAsia" w:ascii="宋体" w:hAnsi="宋体" w:eastAsia="宋体" w:cs="宋体"/>
                <w:strike w:val="0"/>
                <w:color w:val="auto"/>
                <w:sz w:val="21"/>
                <w:szCs w:val="21"/>
                <w:highlight w:val="none"/>
                <w:lang w:val="en-US" w:eastAsia="zh-CN"/>
              </w:rPr>
              <w:t xml:space="preserve">   </w:t>
            </w:r>
          </w:p>
          <w:p w14:paraId="6099D868">
            <w:pPr>
              <w:keepNext w:val="0"/>
              <w:keepLines w:val="0"/>
              <w:pageBreakBefore w:val="0"/>
              <w:suppressLineNumbers w:val="0"/>
              <w:kinsoku/>
              <w:wordWrap/>
              <w:overflowPunct/>
              <w:topLinePunct w:val="0"/>
              <w:bidi w:val="0"/>
              <w:snapToGrid w:val="0"/>
              <w:spacing w:before="32" w:beforeLines="10" w:beforeAutospacing="0" w:after="32" w:afterLines="10" w:afterAutospacing="0" w:line="360" w:lineRule="auto"/>
              <w:ind w:left="21" w:leftChars="10" w:right="21" w:rightChars="10"/>
              <w:textAlignment w:val="auto"/>
              <w:rPr>
                <w:rFonts w:hint="eastAsia" w:ascii="宋体" w:hAnsi="宋体" w:eastAsia="宋体" w:cs="宋体"/>
                <w:strike w:val="0"/>
                <w:color w:val="auto"/>
                <w:sz w:val="21"/>
                <w:szCs w:val="21"/>
                <w:highlight w:val="none"/>
                <w:lang w:val="en-US" w:eastAsia="zh-CN"/>
              </w:rPr>
            </w:pPr>
            <w:r>
              <w:rPr>
                <w:rFonts w:hint="eastAsia" w:ascii="宋体" w:hAnsi="宋体" w:eastAsia="宋体" w:cs="宋体"/>
                <w:strike w:val="0"/>
                <w:color w:val="auto"/>
                <w:sz w:val="21"/>
                <w:szCs w:val="21"/>
                <w:highlight w:val="none"/>
                <w:lang w:eastAsia="zh-CN"/>
              </w:rPr>
              <w:t>□优先采购环保产品。产品：</w:t>
            </w:r>
            <w:r>
              <w:rPr>
                <w:rFonts w:hint="eastAsia" w:ascii="宋体" w:hAnsi="宋体" w:eastAsia="宋体" w:cs="宋体"/>
                <w:strike w:val="0"/>
                <w:color w:val="auto"/>
                <w:sz w:val="21"/>
                <w:szCs w:val="21"/>
                <w:highlight w:val="none"/>
                <w:lang w:val="en-US" w:eastAsia="zh-CN"/>
              </w:rPr>
              <w:t xml:space="preserve">    </w:t>
            </w:r>
          </w:p>
          <w:p w14:paraId="2088813E">
            <w:pPr>
              <w:keepNext w:val="0"/>
              <w:keepLines w:val="0"/>
              <w:pageBreakBefore w:val="0"/>
              <w:suppressLineNumbers w:val="0"/>
              <w:kinsoku/>
              <w:wordWrap/>
              <w:overflowPunct/>
              <w:topLinePunct w:val="0"/>
              <w:bidi w:val="0"/>
              <w:snapToGrid w:val="0"/>
              <w:spacing w:before="32" w:beforeLines="10" w:beforeAutospacing="0" w:after="32" w:afterLines="10" w:afterAutospacing="0" w:line="360" w:lineRule="auto"/>
              <w:ind w:left="21" w:leftChars="10" w:right="21" w:rightChars="1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b/>
                <w:bCs/>
                <w:strike w:val="0"/>
                <w:color w:val="auto"/>
                <w:kern w:val="0"/>
                <w:sz w:val="21"/>
                <w:szCs w:val="21"/>
                <w:highlight w:val="none"/>
              </w:rPr>
              <w:t>■</w:t>
            </w:r>
            <w:r>
              <w:rPr>
                <w:rFonts w:hint="eastAsia" w:ascii="宋体" w:hAnsi="宋体" w:eastAsia="宋体" w:cs="宋体"/>
                <w:strike w:val="0"/>
                <w:color w:val="auto"/>
                <w:sz w:val="21"/>
                <w:szCs w:val="21"/>
                <w:highlight w:val="none"/>
                <w:lang w:eastAsia="zh-CN"/>
              </w:rPr>
              <w:t>无</w:t>
            </w:r>
          </w:p>
        </w:tc>
      </w:tr>
      <w:tr w14:paraId="5074A8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right"/>
        </w:trPr>
        <w:tc>
          <w:tcPr>
            <w:tcW w:w="677" w:type="dxa"/>
            <w:tcBorders>
              <w:tl2br w:val="nil"/>
              <w:tr2bl w:val="nil"/>
            </w:tcBorders>
          </w:tcPr>
          <w:p w14:paraId="59D4A257">
            <w:pPr>
              <w:keepNext w:val="0"/>
              <w:keepLines w:val="0"/>
              <w:pageBreakBefore w:val="0"/>
              <w:suppressLineNumbers w:val="0"/>
              <w:kinsoku/>
              <w:wordWrap/>
              <w:overflowPunct/>
              <w:topLinePunct w:val="0"/>
              <w:bidi w:val="0"/>
              <w:snapToGrid w:val="0"/>
              <w:spacing w:before="32" w:beforeLines="10" w:beforeAutospacing="0" w:after="32" w:afterLines="10" w:afterAutospacing="0" w:line="360" w:lineRule="auto"/>
              <w:ind w:left="21" w:leftChars="10" w:right="21" w:rightChars="10"/>
              <w:jc w:val="center"/>
              <w:textAlignment w:val="auto"/>
              <w:rPr>
                <w:rFonts w:hint="eastAsia" w:ascii="宋体" w:hAnsi="宋体" w:eastAsia="宋体" w:cs="宋体"/>
                <w:color w:val="auto"/>
                <w:sz w:val="21"/>
                <w:szCs w:val="21"/>
                <w:highlight w:val="none"/>
              </w:rPr>
            </w:pPr>
          </w:p>
          <w:p w14:paraId="097D2242">
            <w:pPr>
              <w:keepNext w:val="0"/>
              <w:keepLines w:val="0"/>
              <w:pageBreakBefore w:val="0"/>
              <w:suppressLineNumbers w:val="0"/>
              <w:kinsoku/>
              <w:wordWrap/>
              <w:overflowPunct/>
              <w:topLinePunct w:val="0"/>
              <w:bidi w:val="0"/>
              <w:snapToGrid w:val="0"/>
              <w:spacing w:before="32" w:beforeLines="10" w:beforeAutospacing="0" w:after="32" w:afterLines="10" w:afterAutospacing="0" w:line="360" w:lineRule="auto"/>
              <w:ind w:left="21" w:leftChars="10" w:right="21" w:rightChars="10"/>
              <w:jc w:val="center"/>
              <w:textAlignment w:val="auto"/>
              <w:rPr>
                <w:rFonts w:hint="eastAsia" w:ascii="宋体" w:hAnsi="宋体" w:eastAsia="宋体" w:cs="宋体"/>
                <w:color w:val="auto"/>
                <w:sz w:val="21"/>
                <w:szCs w:val="21"/>
                <w:highlight w:val="none"/>
              </w:rPr>
            </w:pPr>
          </w:p>
          <w:p w14:paraId="3CC2780A">
            <w:pPr>
              <w:keepNext w:val="0"/>
              <w:keepLines w:val="0"/>
              <w:pageBreakBefore w:val="0"/>
              <w:suppressLineNumbers w:val="0"/>
              <w:kinsoku/>
              <w:wordWrap/>
              <w:overflowPunct/>
              <w:topLinePunct w:val="0"/>
              <w:bidi w:val="0"/>
              <w:snapToGrid w:val="0"/>
              <w:spacing w:before="32" w:beforeLines="10" w:beforeAutospacing="0" w:after="32" w:afterLines="10" w:afterAutospacing="0" w:line="360" w:lineRule="auto"/>
              <w:ind w:left="21" w:leftChars="10" w:right="21" w:rightChars="10"/>
              <w:jc w:val="center"/>
              <w:textAlignment w:val="auto"/>
              <w:rPr>
                <w:rFonts w:hint="eastAsia" w:ascii="宋体" w:hAnsi="宋体" w:eastAsia="宋体" w:cs="宋体"/>
                <w:color w:val="auto"/>
                <w:sz w:val="21"/>
                <w:szCs w:val="21"/>
                <w:highlight w:val="none"/>
              </w:rPr>
            </w:pPr>
          </w:p>
          <w:p w14:paraId="591AB84A">
            <w:pPr>
              <w:keepNext w:val="0"/>
              <w:keepLines w:val="0"/>
              <w:pageBreakBefore w:val="0"/>
              <w:suppressLineNumbers w:val="0"/>
              <w:kinsoku/>
              <w:wordWrap/>
              <w:overflowPunct/>
              <w:topLinePunct w:val="0"/>
              <w:bidi w:val="0"/>
              <w:snapToGrid w:val="0"/>
              <w:spacing w:before="32" w:beforeLines="10" w:beforeAutospacing="0" w:after="32" w:afterLines="10" w:afterAutospacing="0" w:line="360" w:lineRule="auto"/>
              <w:ind w:left="21" w:leftChars="10" w:right="21" w:rightChars="10"/>
              <w:jc w:val="center"/>
              <w:textAlignment w:val="auto"/>
              <w:rPr>
                <w:rFonts w:hint="eastAsia" w:ascii="宋体" w:hAnsi="宋体" w:eastAsia="宋体" w:cs="宋体"/>
                <w:color w:val="auto"/>
                <w:sz w:val="21"/>
                <w:szCs w:val="21"/>
                <w:highlight w:val="none"/>
              </w:rPr>
            </w:pPr>
          </w:p>
          <w:p w14:paraId="4C98503D">
            <w:pPr>
              <w:keepNext w:val="0"/>
              <w:keepLines w:val="0"/>
              <w:pageBreakBefore w:val="0"/>
              <w:suppressLineNumbers w:val="0"/>
              <w:kinsoku/>
              <w:wordWrap/>
              <w:overflowPunct/>
              <w:topLinePunct w:val="0"/>
              <w:bidi w:val="0"/>
              <w:snapToGrid w:val="0"/>
              <w:spacing w:before="32" w:beforeLines="10" w:beforeAutospacing="0" w:after="32" w:afterLines="10" w:afterAutospacing="0" w:line="360" w:lineRule="auto"/>
              <w:ind w:left="21" w:leftChars="10" w:right="21" w:rightChars="10"/>
              <w:jc w:val="center"/>
              <w:textAlignment w:val="auto"/>
              <w:rPr>
                <w:rFonts w:hint="eastAsia" w:ascii="宋体" w:hAnsi="宋体" w:eastAsia="宋体" w:cs="宋体"/>
                <w:color w:val="auto"/>
                <w:sz w:val="21"/>
                <w:szCs w:val="21"/>
                <w:highlight w:val="none"/>
              </w:rPr>
            </w:pPr>
          </w:p>
          <w:p w14:paraId="7FD16C83">
            <w:pPr>
              <w:keepNext w:val="0"/>
              <w:keepLines w:val="0"/>
              <w:pageBreakBefore w:val="0"/>
              <w:suppressLineNumbers w:val="0"/>
              <w:kinsoku/>
              <w:wordWrap/>
              <w:overflowPunct/>
              <w:topLinePunct w:val="0"/>
              <w:bidi w:val="0"/>
              <w:snapToGrid w:val="0"/>
              <w:spacing w:before="32" w:beforeLines="10" w:beforeAutospacing="0" w:after="32" w:afterLines="10" w:afterAutospacing="0" w:line="360" w:lineRule="auto"/>
              <w:ind w:left="21" w:leftChars="10" w:right="21" w:rightChars="1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826" w:type="dxa"/>
            <w:tcBorders>
              <w:tl2br w:val="nil"/>
              <w:tr2bl w:val="nil"/>
            </w:tcBorders>
            <w:vAlign w:val="center"/>
          </w:tcPr>
          <w:p w14:paraId="2BCB29FB">
            <w:pPr>
              <w:keepNext w:val="0"/>
              <w:keepLines w:val="0"/>
              <w:pageBreakBefore w:val="0"/>
              <w:suppressLineNumbers w:val="0"/>
              <w:kinsoku/>
              <w:wordWrap/>
              <w:overflowPunct/>
              <w:topLinePunct w:val="0"/>
              <w:bidi w:val="0"/>
              <w:snapToGrid w:val="0"/>
              <w:spacing w:before="32" w:beforeLines="10" w:beforeAutospacing="0" w:after="32" w:afterLines="10" w:afterAutospacing="0" w:line="360" w:lineRule="auto"/>
              <w:ind w:left="21" w:leftChars="10" w:right="21" w:rightChars="1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报价要求</w:t>
            </w:r>
          </w:p>
        </w:tc>
        <w:tc>
          <w:tcPr>
            <w:tcW w:w="6532" w:type="dxa"/>
            <w:tcBorders>
              <w:tl2br w:val="nil"/>
              <w:tr2bl w:val="nil"/>
            </w:tcBorders>
            <w:vAlign w:val="center"/>
          </w:tcPr>
          <w:p w14:paraId="68C420E4">
            <w:pPr>
              <w:keepNext w:val="0"/>
              <w:keepLines w:val="0"/>
              <w:pageBreakBefore w:val="0"/>
              <w:suppressLineNumbers w:val="0"/>
              <w:kinsoku/>
              <w:wordWrap/>
              <w:overflowPunct/>
              <w:topLinePunct w:val="0"/>
              <w:bidi w:val="0"/>
              <w:snapToGrid w:val="0"/>
              <w:spacing w:before="32" w:beforeLines="10" w:beforeAutospacing="0" w:after="32" w:afterLines="10" w:afterAutospacing="0" w:line="360" w:lineRule="auto"/>
              <w:ind w:left="21" w:leftChars="10" w:right="21" w:rightChars="10"/>
              <w:jc w:val="left"/>
              <w:textAlignment w:val="auto"/>
              <w:rPr>
                <w:rFonts w:hint="eastAsia" w:ascii="宋体" w:hAnsi="宋体" w:eastAsia="宋体" w:cs="宋体"/>
                <w:b/>
                <w:color w:val="auto"/>
                <w:kern w:val="0"/>
                <w:sz w:val="21"/>
                <w:szCs w:val="21"/>
                <w:highlight w:val="none"/>
                <w:lang w:val="zh-CN"/>
              </w:rPr>
            </w:pPr>
            <w:r>
              <w:rPr>
                <w:rFonts w:hint="eastAsia" w:ascii="宋体" w:hAnsi="宋体" w:eastAsia="宋体" w:cs="宋体"/>
                <w:color w:val="auto"/>
                <w:kern w:val="0"/>
                <w:sz w:val="21"/>
                <w:szCs w:val="21"/>
                <w:highlight w:val="none"/>
                <w:lang w:val="zh-CN"/>
              </w:rPr>
              <w:t>有关本项目实施所需的所有费用（含税费）均计入报价。</w:t>
            </w:r>
            <w:r>
              <w:rPr>
                <w:rFonts w:hint="eastAsia" w:ascii="宋体" w:hAnsi="宋体" w:eastAsia="宋体" w:cs="宋体"/>
                <w:b/>
                <w:bCs/>
                <w:color w:val="auto"/>
                <w:kern w:val="0"/>
                <w:sz w:val="21"/>
                <w:szCs w:val="21"/>
                <w:highlight w:val="none"/>
                <w:lang w:val="zh-CN"/>
              </w:rPr>
              <w:t>投标文件</w:t>
            </w:r>
            <w:r>
              <w:rPr>
                <w:rFonts w:hint="eastAsia" w:ascii="宋体" w:hAnsi="宋体" w:eastAsia="宋体" w:cs="宋体"/>
                <w:b/>
                <w:bCs/>
                <w:color w:val="auto"/>
                <w:sz w:val="21"/>
                <w:szCs w:val="21"/>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eastAsia="宋体" w:cs="宋体"/>
                <w:color w:val="auto"/>
                <w:kern w:val="0"/>
                <w:sz w:val="21"/>
                <w:szCs w:val="21"/>
                <w:highlight w:val="none"/>
                <w:lang w:val="zh-CN"/>
              </w:rPr>
              <w:t>投标文件中价格全部采用人民币报价。招标文件未列明，而投标人认为必需的费用也需列入报价。</w:t>
            </w:r>
            <w:r>
              <w:rPr>
                <w:rFonts w:hint="eastAsia" w:ascii="宋体" w:hAnsi="宋体" w:eastAsia="宋体" w:cs="宋体"/>
                <w:b/>
                <w:color w:val="auto"/>
                <w:kern w:val="0"/>
                <w:sz w:val="21"/>
                <w:szCs w:val="21"/>
                <w:highlight w:val="none"/>
                <w:lang w:val="zh-CN"/>
              </w:rPr>
              <w:t>提醒：验收时检测费用由采购人承担，不包含在投标总价中。</w:t>
            </w:r>
          </w:p>
          <w:p w14:paraId="19E2D9F0">
            <w:pPr>
              <w:keepNext w:val="0"/>
              <w:keepLines w:val="0"/>
              <w:pageBreakBefore w:val="0"/>
              <w:suppressLineNumbers w:val="0"/>
              <w:kinsoku/>
              <w:wordWrap/>
              <w:overflowPunct/>
              <w:topLinePunct w:val="0"/>
              <w:bidi w:val="0"/>
              <w:snapToGrid w:val="0"/>
              <w:spacing w:before="32" w:beforeLines="10" w:beforeAutospacing="0" w:after="32" w:afterLines="10" w:afterAutospacing="0" w:line="360" w:lineRule="auto"/>
              <w:ind w:left="21" w:leftChars="10" w:right="21" w:rightChars="10"/>
              <w:jc w:val="left"/>
              <w:textAlignment w:val="auto"/>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zh-CN"/>
              </w:rPr>
              <w:t>投标报价出现下列情形的，投标无效：</w:t>
            </w:r>
          </w:p>
          <w:p w14:paraId="2DAD9BFE">
            <w:pPr>
              <w:keepNext w:val="0"/>
              <w:keepLines w:val="0"/>
              <w:pageBreakBefore w:val="0"/>
              <w:suppressLineNumbers w:val="0"/>
              <w:kinsoku/>
              <w:wordWrap/>
              <w:overflowPunct/>
              <w:topLinePunct w:val="0"/>
              <w:bidi w:val="0"/>
              <w:snapToGrid w:val="0"/>
              <w:spacing w:before="32" w:beforeLines="10" w:beforeAutospacing="0" w:after="32" w:afterLines="10" w:afterAutospacing="0" w:line="360" w:lineRule="auto"/>
              <w:ind w:left="21" w:leftChars="10" w:right="21" w:rightChars="10" w:firstLine="211" w:firstLineChars="100"/>
              <w:jc w:val="left"/>
              <w:textAlignment w:val="auto"/>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zh-CN"/>
              </w:rPr>
              <w:t>投标文件出现不是唯一的、有选择性投标报价的；</w:t>
            </w:r>
          </w:p>
          <w:p w14:paraId="010C1A23">
            <w:pPr>
              <w:keepNext w:val="0"/>
              <w:keepLines w:val="0"/>
              <w:pageBreakBefore w:val="0"/>
              <w:suppressLineNumbers w:val="0"/>
              <w:kinsoku/>
              <w:wordWrap/>
              <w:overflowPunct/>
              <w:topLinePunct w:val="0"/>
              <w:bidi w:val="0"/>
              <w:snapToGrid w:val="0"/>
              <w:spacing w:before="32" w:beforeLines="10" w:beforeAutospacing="0" w:after="32" w:afterLines="10" w:afterAutospacing="0" w:line="360" w:lineRule="auto"/>
              <w:ind w:left="21" w:leftChars="10" w:right="21" w:rightChars="10" w:firstLine="211" w:firstLineChars="10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b/>
                <w:color w:val="auto"/>
                <w:kern w:val="0"/>
                <w:sz w:val="21"/>
                <w:szCs w:val="21"/>
                <w:highlight w:val="none"/>
                <w:lang w:val="zh-CN"/>
              </w:rPr>
              <w:t>投标报价超过招标文件中规定的预算金额或者最高限价的；</w:t>
            </w:r>
          </w:p>
          <w:p w14:paraId="4A506134">
            <w:pPr>
              <w:keepNext w:val="0"/>
              <w:keepLines w:val="0"/>
              <w:pageBreakBefore w:val="0"/>
              <w:suppressLineNumbers w:val="0"/>
              <w:kinsoku/>
              <w:wordWrap/>
              <w:overflowPunct/>
              <w:topLinePunct w:val="0"/>
              <w:bidi w:val="0"/>
              <w:spacing w:before="32" w:beforeLines="10" w:beforeAutospacing="0" w:after="32" w:afterLines="10" w:afterAutospacing="0" w:line="360" w:lineRule="auto"/>
              <w:ind w:left="21" w:leftChars="10" w:right="21" w:rightChars="10" w:firstLine="211" w:firstLineChars="100"/>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kern w:val="0"/>
                <w:sz w:val="21"/>
                <w:szCs w:val="21"/>
                <w:highlight w:val="none"/>
              </w:rPr>
              <w:t>评审小组启动异常低价审查程序后，判定响应供应商不能提供书面说明、证明材料，或者提供的书面说明、证明材料不能证明其报价合理性的，有可能影响产品质量或者不能诚信履约的</w:t>
            </w:r>
            <w:r>
              <w:rPr>
                <w:rFonts w:hint="eastAsia" w:ascii="宋体" w:hAnsi="宋体" w:eastAsia="宋体" w:cs="宋体"/>
                <w:b/>
                <w:color w:val="auto"/>
                <w:kern w:val="0"/>
                <w:sz w:val="21"/>
                <w:szCs w:val="21"/>
                <w:highlight w:val="none"/>
                <w:lang w:eastAsia="zh-CN"/>
              </w:rPr>
              <w:t>；</w:t>
            </w:r>
          </w:p>
          <w:p w14:paraId="55A811A4">
            <w:pPr>
              <w:keepNext w:val="0"/>
              <w:keepLines w:val="0"/>
              <w:pageBreakBefore w:val="0"/>
              <w:suppressLineNumbers w:val="0"/>
              <w:kinsoku/>
              <w:wordWrap/>
              <w:overflowPunct/>
              <w:topLinePunct w:val="0"/>
              <w:bidi w:val="0"/>
              <w:spacing w:before="32" w:beforeLines="10" w:beforeAutospacing="0" w:after="32" w:afterLines="10" w:afterAutospacing="0" w:line="360" w:lineRule="auto"/>
              <w:ind w:left="21" w:leftChars="10" w:right="21" w:rightChars="10" w:firstLine="211" w:firstLineChars="100"/>
              <w:textAlignment w:val="auto"/>
              <w:rPr>
                <w:rFonts w:hint="eastAsia" w:ascii="宋体" w:hAnsi="宋体" w:eastAsia="宋体" w:cs="宋体"/>
                <w:color w:val="auto"/>
                <w:sz w:val="21"/>
                <w:szCs w:val="21"/>
                <w:highlight w:val="none"/>
              </w:rPr>
            </w:pPr>
            <w:r>
              <w:rPr>
                <w:rFonts w:hint="eastAsia" w:ascii="宋体" w:hAnsi="宋体" w:eastAsia="宋体" w:cs="宋体"/>
                <w:b/>
                <w:color w:val="auto"/>
                <w:kern w:val="0"/>
                <w:sz w:val="21"/>
                <w:szCs w:val="21"/>
                <w:highlight w:val="none"/>
              </w:rPr>
              <w:t>投标人对根据修正原则修正后的报价不确认的</w:t>
            </w:r>
            <w:r>
              <w:rPr>
                <w:rFonts w:hint="eastAsia" w:ascii="宋体" w:hAnsi="宋体" w:eastAsia="宋体" w:cs="宋体"/>
                <w:b/>
                <w:color w:val="auto"/>
                <w:sz w:val="21"/>
                <w:szCs w:val="21"/>
                <w:highlight w:val="none"/>
              </w:rPr>
              <w:t>。</w:t>
            </w:r>
          </w:p>
        </w:tc>
      </w:tr>
      <w:tr w14:paraId="4B446F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right"/>
        </w:trPr>
        <w:tc>
          <w:tcPr>
            <w:tcW w:w="677" w:type="dxa"/>
            <w:tcBorders>
              <w:tl2br w:val="nil"/>
              <w:tr2bl w:val="nil"/>
            </w:tcBorders>
            <w:vAlign w:val="center"/>
          </w:tcPr>
          <w:p w14:paraId="3089B477">
            <w:pPr>
              <w:keepNext w:val="0"/>
              <w:keepLines w:val="0"/>
              <w:pageBreakBefore w:val="0"/>
              <w:suppressLineNumbers w:val="0"/>
              <w:kinsoku/>
              <w:wordWrap/>
              <w:overflowPunct/>
              <w:topLinePunct w:val="0"/>
              <w:bidi w:val="0"/>
              <w:snapToGrid w:val="0"/>
              <w:spacing w:before="32" w:beforeLines="10" w:beforeAutospacing="0" w:after="32" w:afterLines="10" w:afterAutospacing="0" w:line="360" w:lineRule="auto"/>
              <w:ind w:left="21" w:leftChars="10" w:right="21" w:rightChars="1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826" w:type="dxa"/>
            <w:tcBorders>
              <w:tl2br w:val="nil"/>
              <w:tr2bl w:val="nil"/>
            </w:tcBorders>
            <w:vAlign w:val="center"/>
          </w:tcPr>
          <w:p w14:paraId="0B5D59AC">
            <w:pPr>
              <w:keepNext w:val="0"/>
              <w:keepLines w:val="0"/>
              <w:pageBreakBefore w:val="0"/>
              <w:suppressLineNumbers w:val="0"/>
              <w:kinsoku/>
              <w:wordWrap/>
              <w:overflowPunct/>
              <w:topLinePunct w:val="0"/>
              <w:bidi w:val="0"/>
              <w:snapToGrid w:val="0"/>
              <w:spacing w:before="32" w:beforeLines="10" w:beforeAutospacing="0" w:after="32" w:afterLines="10" w:afterAutospacing="0" w:line="360" w:lineRule="auto"/>
              <w:ind w:left="21" w:leftChars="10" w:right="21" w:rightChars="1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中小企业信用融资</w:t>
            </w:r>
          </w:p>
        </w:tc>
        <w:tc>
          <w:tcPr>
            <w:tcW w:w="6532" w:type="dxa"/>
            <w:tcBorders>
              <w:tl2br w:val="nil"/>
              <w:tr2bl w:val="nil"/>
            </w:tcBorders>
            <w:vAlign w:val="center"/>
          </w:tcPr>
          <w:p w14:paraId="4C92F540">
            <w:pPr>
              <w:keepNext w:val="0"/>
              <w:keepLines w:val="0"/>
              <w:pageBreakBefore w:val="0"/>
              <w:suppressLineNumbers w:val="0"/>
              <w:kinsoku/>
              <w:wordWrap/>
              <w:overflowPunct/>
              <w:topLinePunct w:val="0"/>
              <w:bidi w:val="0"/>
              <w:spacing w:before="32" w:beforeLines="10" w:beforeAutospacing="0" w:after="32" w:afterLines="10" w:afterAutospacing="0" w:line="360" w:lineRule="auto"/>
              <w:ind w:left="21" w:leftChars="10" w:right="21" w:rightChars="1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kern w:val="28"/>
                <w:sz w:val="21"/>
                <w:szCs w:val="21"/>
                <w:highlight w:val="none"/>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4AB824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right"/>
        </w:trPr>
        <w:tc>
          <w:tcPr>
            <w:tcW w:w="677" w:type="dxa"/>
            <w:tcBorders>
              <w:tl2br w:val="nil"/>
              <w:tr2bl w:val="nil"/>
            </w:tcBorders>
            <w:vAlign w:val="center"/>
          </w:tcPr>
          <w:p w14:paraId="2311F5E4">
            <w:pPr>
              <w:keepNext w:val="0"/>
              <w:keepLines w:val="0"/>
              <w:pageBreakBefore w:val="0"/>
              <w:suppressLineNumbers w:val="0"/>
              <w:kinsoku/>
              <w:wordWrap/>
              <w:overflowPunct/>
              <w:topLinePunct w:val="0"/>
              <w:bidi w:val="0"/>
              <w:snapToGrid w:val="0"/>
              <w:spacing w:before="32" w:beforeLines="10" w:beforeAutospacing="0" w:after="32" w:afterLines="10" w:afterAutospacing="0" w:line="360" w:lineRule="auto"/>
              <w:ind w:left="21" w:leftChars="10" w:right="21" w:rightChars="1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826" w:type="dxa"/>
            <w:tcBorders>
              <w:tl2br w:val="nil"/>
              <w:tr2bl w:val="nil"/>
            </w:tcBorders>
            <w:vAlign w:val="center"/>
          </w:tcPr>
          <w:p w14:paraId="4D03A045">
            <w:pPr>
              <w:keepNext w:val="0"/>
              <w:keepLines w:val="0"/>
              <w:pageBreakBefore w:val="0"/>
              <w:suppressLineNumbers w:val="0"/>
              <w:kinsoku/>
              <w:wordWrap/>
              <w:overflowPunct/>
              <w:topLinePunct w:val="0"/>
              <w:bidi w:val="0"/>
              <w:snapToGrid w:val="0"/>
              <w:spacing w:before="32" w:beforeLines="10" w:beforeAutospacing="0" w:after="32" w:afterLines="10" w:afterAutospacing="0" w:line="360" w:lineRule="auto"/>
              <w:ind w:left="21" w:leftChars="10" w:right="21" w:rightChars="1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备份投标文件送达地点和签收人员 </w:t>
            </w:r>
          </w:p>
        </w:tc>
        <w:tc>
          <w:tcPr>
            <w:tcW w:w="6532" w:type="dxa"/>
            <w:tcBorders>
              <w:tl2br w:val="nil"/>
              <w:tr2bl w:val="nil"/>
            </w:tcBorders>
            <w:vAlign w:val="center"/>
          </w:tcPr>
          <w:p w14:paraId="6641C4BA">
            <w:pPr>
              <w:pStyle w:val="33"/>
              <w:keepNext w:val="0"/>
              <w:keepLines w:val="0"/>
              <w:pageBreakBefore w:val="0"/>
              <w:suppressLineNumbers w:val="0"/>
              <w:kinsoku/>
              <w:wordWrap/>
              <w:overflowPunct/>
              <w:topLinePunct w:val="0"/>
              <w:bidi w:val="0"/>
              <w:spacing w:before="32" w:beforeLines="10" w:beforeAutospacing="0" w:after="32" w:afterLines="10" w:afterAutospacing="0" w:line="360" w:lineRule="auto"/>
              <w:ind w:left="21" w:leftChars="10" w:right="21" w:rightChars="10"/>
              <w:textAlignment w:val="auto"/>
              <w:rPr>
                <w:rFonts w:hint="eastAsia" w:ascii="宋体" w:hAnsi="宋体" w:eastAsia="宋体" w:cs="宋体"/>
                <w:color w:val="auto"/>
                <w:kern w:val="28"/>
                <w:sz w:val="21"/>
                <w:szCs w:val="21"/>
                <w:highlight w:val="none"/>
              </w:rPr>
            </w:pPr>
            <w:r>
              <w:rPr>
                <w:rFonts w:hint="eastAsia" w:ascii="宋体" w:hAnsi="宋体" w:eastAsia="宋体" w:cs="宋体"/>
                <w:color w:val="auto"/>
                <w:kern w:val="28"/>
                <w:sz w:val="21"/>
                <w:szCs w:val="21"/>
                <w:highlight w:val="none"/>
              </w:rPr>
              <w:t>备份投标文件送达地点：</w:t>
            </w:r>
            <w:r>
              <w:rPr>
                <w:rFonts w:hint="eastAsia" w:ascii="宋体" w:hAnsi="宋体" w:eastAsia="宋体" w:cs="宋体"/>
                <w:color w:val="auto"/>
                <w:kern w:val="28"/>
                <w:sz w:val="21"/>
                <w:szCs w:val="21"/>
                <w:highlight w:val="none"/>
                <w:u w:val="single"/>
              </w:rPr>
              <w:t>杭州市文三路90号东部软件园1号楼3楼</w:t>
            </w:r>
            <w:r>
              <w:rPr>
                <w:rFonts w:hint="eastAsia" w:ascii="宋体" w:hAnsi="宋体" w:eastAsia="宋体" w:cs="宋体"/>
                <w:color w:val="auto"/>
                <w:kern w:val="28"/>
                <w:sz w:val="21"/>
                <w:szCs w:val="21"/>
                <w:highlight w:val="none"/>
                <w:u w:val="single"/>
                <w:lang w:val="en-US" w:eastAsia="zh-CN"/>
              </w:rPr>
              <w:t>303</w:t>
            </w:r>
            <w:r>
              <w:rPr>
                <w:rFonts w:hint="eastAsia" w:ascii="宋体" w:hAnsi="宋体" w:eastAsia="宋体" w:cs="宋体"/>
                <w:color w:val="auto"/>
                <w:kern w:val="28"/>
                <w:sz w:val="21"/>
                <w:szCs w:val="21"/>
                <w:highlight w:val="none"/>
                <w:u w:val="single"/>
              </w:rPr>
              <w:t>室</w:t>
            </w:r>
            <w:r>
              <w:rPr>
                <w:rFonts w:hint="eastAsia" w:ascii="宋体" w:hAnsi="宋体" w:eastAsia="宋体" w:cs="宋体"/>
                <w:color w:val="auto"/>
                <w:kern w:val="28"/>
                <w:sz w:val="21"/>
                <w:szCs w:val="21"/>
                <w:highlight w:val="none"/>
              </w:rPr>
              <w:t>；备份投标文件签收人员联系电话：</w:t>
            </w:r>
            <w:r>
              <w:rPr>
                <w:rFonts w:hint="eastAsia" w:ascii="宋体" w:hAnsi="宋体" w:eastAsia="宋体" w:cs="宋体"/>
                <w:color w:val="auto"/>
                <w:sz w:val="21"/>
                <w:szCs w:val="21"/>
                <w:highlight w:val="none"/>
                <w:u w:val="single"/>
                <w:lang w:val="en-US" w:eastAsia="zh-CN"/>
              </w:rPr>
              <w:t>钱妍，15057188991</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采购人、</w:t>
            </w:r>
            <w:r>
              <w:rPr>
                <w:rFonts w:hint="eastAsia" w:ascii="宋体" w:hAnsi="宋体" w:eastAsia="宋体" w:cs="宋体"/>
                <w:b/>
                <w:color w:val="auto"/>
                <w:sz w:val="21"/>
                <w:szCs w:val="21"/>
                <w:highlight w:val="none"/>
                <w:lang w:eastAsia="zh-CN"/>
              </w:rPr>
              <w:t>采购代理机构</w:t>
            </w:r>
            <w:r>
              <w:rPr>
                <w:rFonts w:hint="eastAsia" w:ascii="宋体" w:hAnsi="宋体" w:eastAsia="宋体" w:cs="宋体"/>
                <w:b/>
                <w:color w:val="auto"/>
                <w:sz w:val="21"/>
                <w:szCs w:val="21"/>
                <w:highlight w:val="none"/>
              </w:rPr>
              <w:t>不强制或变相强制投标人提交备份投标文件。</w:t>
            </w:r>
          </w:p>
        </w:tc>
      </w:tr>
      <w:tr w14:paraId="6C5DA58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right"/>
        </w:trPr>
        <w:tc>
          <w:tcPr>
            <w:tcW w:w="677" w:type="dxa"/>
            <w:vMerge w:val="restart"/>
            <w:tcBorders>
              <w:tl2br w:val="nil"/>
              <w:tr2bl w:val="nil"/>
            </w:tcBorders>
            <w:vAlign w:val="center"/>
          </w:tcPr>
          <w:p w14:paraId="3252DA05">
            <w:pPr>
              <w:keepNext w:val="0"/>
              <w:keepLines w:val="0"/>
              <w:pageBreakBefore w:val="0"/>
              <w:suppressLineNumbers w:val="0"/>
              <w:kinsoku/>
              <w:wordWrap/>
              <w:overflowPunct/>
              <w:topLinePunct w:val="0"/>
              <w:bidi w:val="0"/>
              <w:snapToGrid w:val="0"/>
              <w:spacing w:before="32" w:beforeLines="10" w:beforeAutospacing="0" w:after="32" w:afterLines="10" w:afterAutospacing="0" w:line="360" w:lineRule="auto"/>
              <w:ind w:left="21" w:leftChars="10" w:right="21" w:rightChars="1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826" w:type="dxa"/>
            <w:vMerge w:val="restart"/>
            <w:tcBorders>
              <w:tl2br w:val="nil"/>
              <w:tr2bl w:val="nil"/>
            </w:tcBorders>
            <w:vAlign w:val="center"/>
          </w:tcPr>
          <w:p w14:paraId="49627F71">
            <w:pPr>
              <w:keepNext w:val="0"/>
              <w:keepLines w:val="0"/>
              <w:pageBreakBefore w:val="0"/>
              <w:suppressLineNumbers w:val="0"/>
              <w:kinsoku/>
              <w:wordWrap/>
              <w:overflowPunct/>
              <w:topLinePunct w:val="0"/>
              <w:bidi w:val="0"/>
              <w:snapToGrid w:val="0"/>
              <w:spacing w:before="32" w:beforeLines="10" w:beforeAutospacing="0" w:after="32" w:afterLines="10" w:afterAutospacing="0" w:line="360" w:lineRule="auto"/>
              <w:ind w:left="21" w:leftChars="10" w:right="21" w:rightChars="1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特别说明</w:t>
            </w:r>
          </w:p>
        </w:tc>
        <w:tc>
          <w:tcPr>
            <w:tcW w:w="6532" w:type="dxa"/>
            <w:tcBorders>
              <w:tl2br w:val="nil"/>
              <w:tr2bl w:val="nil"/>
            </w:tcBorders>
            <w:vAlign w:val="center"/>
          </w:tcPr>
          <w:p w14:paraId="15C8C1C9">
            <w:pPr>
              <w:keepNext w:val="0"/>
              <w:keepLines w:val="0"/>
              <w:pageBreakBefore w:val="0"/>
              <w:suppressLineNumbers w:val="0"/>
              <w:kinsoku/>
              <w:wordWrap/>
              <w:overflowPunct/>
              <w:topLinePunct w:val="0"/>
              <w:bidi w:val="0"/>
              <w:spacing w:before="32" w:beforeLines="10" w:beforeAutospacing="0" w:after="32" w:afterLines="10" w:afterAutospacing="0" w:line="360" w:lineRule="auto"/>
              <w:ind w:left="21" w:leftChars="10" w:right="21" w:rightChars="10"/>
              <w:textAlignment w:val="auto"/>
              <w:rPr>
                <w:rFonts w:hint="eastAsia" w:ascii="宋体" w:hAnsi="宋体" w:eastAsia="宋体" w:cs="宋体"/>
                <w:snapToGrid w:val="0"/>
                <w:color w:val="auto"/>
                <w:kern w:val="28"/>
                <w:sz w:val="21"/>
                <w:szCs w:val="21"/>
                <w:highlight w:val="none"/>
              </w:rPr>
            </w:pPr>
            <w:r>
              <w:rPr>
                <w:rFonts w:hint="eastAsia" w:ascii="宋体" w:hAnsi="宋体" w:eastAsia="宋体" w:cs="宋体"/>
                <w:snapToGrid w:val="0"/>
                <w:color w:val="auto"/>
                <w:kern w:val="28"/>
                <w:sz w:val="21"/>
                <w:szCs w:val="21"/>
                <w:highlight w:val="none"/>
                <w:lang w:val="en-US" w:eastAsia="zh-CN" w:bidi="ar-SA"/>
                <w:woUserID w:val="1"/>
              </w:rPr>
              <w:t>☐</w:t>
            </w:r>
            <w:r>
              <w:rPr>
                <w:rFonts w:hint="eastAsia" w:ascii="宋体" w:hAnsi="宋体" w:eastAsia="宋体" w:cs="宋体"/>
                <w:snapToGrid w:val="0"/>
                <w:color w:val="auto"/>
                <w:kern w:val="28"/>
                <w:sz w:val="21"/>
                <w:szCs w:val="21"/>
                <w:highlight w:val="none"/>
              </w:rPr>
              <w:t>联合体投标的，联合体各方分别提供与联合体协议中规定的分工内容相应的业绩证明材料，业绩数量以提供材料较少的一方为准。</w:t>
            </w:r>
          </w:p>
          <w:p w14:paraId="22CAC01B">
            <w:pPr>
              <w:pStyle w:val="33"/>
              <w:keepNext w:val="0"/>
              <w:keepLines w:val="0"/>
              <w:suppressLineNumbers w:val="0"/>
              <w:spacing w:before="0" w:beforeAutospacing="0" w:after="0" w:afterAutospacing="0"/>
              <w:ind w:left="0" w:right="0"/>
              <w:rPr>
                <w:rFonts w:hint="eastAsia"/>
                <w:color w:val="auto"/>
                <w:highlight w:val="none"/>
              </w:rPr>
            </w:pPr>
            <w:r>
              <w:rPr>
                <w:rFonts w:hint="eastAsia" w:ascii="宋体" w:hAnsi="宋体" w:eastAsia="宋体" w:cs="宋体"/>
                <w:b/>
                <w:bCs/>
                <w:color w:val="auto"/>
                <w:kern w:val="0"/>
                <w:sz w:val="21"/>
                <w:szCs w:val="21"/>
                <w:highlight w:val="none"/>
                <w:woUserID w:val="1"/>
              </w:rPr>
              <w:t>■</w:t>
            </w:r>
            <w:r>
              <w:rPr>
                <w:rFonts w:hint="eastAsia" w:ascii="宋体" w:hAnsi="宋体" w:eastAsia="宋体" w:cs="宋体"/>
                <w:snapToGrid w:val="0"/>
                <w:color w:val="auto"/>
                <w:kern w:val="28"/>
                <w:sz w:val="21"/>
                <w:szCs w:val="21"/>
                <w:highlight w:val="none"/>
                <w:lang w:val="en-US" w:eastAsia="zh-CN" w:bidi="ar-SA"/>
              </w:rPr>
              <w:t>联合体投标的，由联合体牵头方出具相应的业绩证明材料。</w:t>
            </w:r>
          </w:p>
        </w:tc>
      </w:tr>
      <w:tr w14:paraId="3724854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right"/>
        </w:trPr>
        <w:tc>
          <w:tcPr>
            <w:tcW w:w="677" w:type="dxa"/>
            <w:vMerge w:val="continue"/>
            <w:tcBorders>
              <w:tl2br w:val="nil"/>
              <w:tr2bl w:val="nil"/>
            </w:tcBorders>
            <w:vAlign w:val="center"/>
          </w:tcPr>
          <w:p w14:paraId="410F19DF">
            <w:pPr>
              <w:keepNext w:val="0"/>
              <w:keepLines w:val="0"/>
              <w:pageBreakBefore w:val="0"/>
              <w:suppressLineNumbers w:val="0"/>
              <w:kinsoku/>
              <w:wordWrap/>
              <w:overflowPunct/>
              <w:topLinePunct w:val="0"/>
              <w:bidi w:val="0"/>
              <w:snapToGrid w:val="0"/>
              <w:spacing w:before="32" w:beforeLines="10" w:beforeAutospacing="0" w:after="32" w:afterLines="10" w:afterAutospacing="0" w:line="360" w:lineRule="auto"/>
              <w:ind w:left="21" w:leftChars="10" w:right="21" w:rightChars="10"/>
              <w:jc w:val="center"/>
              <w:textAlignment w:val="auto"/>
              <w:rPr>
                <w:rFonts w:hint="eastAsia" w:ascii="宋体" w:hAnsi="宋体" w:eastAsia="宋体" w:cs="宋体"/>
                <w:color w:val="auto"/>
                <w:sz w:val="21"/>
                <w:szCs w:val="21"/>
                <w:highlight w:val="none"/>
              </w:rPr>
            </w:pPr>
          </w:p>
        </w:tc>
        <w:tc>
          <w:tcPr>
            <w:tcW w:w="1826" w:type="dxa"/>
            <w:vMerge w:val="continue"/>
            <w:tcBorders>
              <w:tl2br w:val="nil"/>
              <w:tr2bl w:val="nil"/>
            </w:tcBorders>
            <w:vAlign w:val="center"/>
          </w:tcPr>
          <w:p w14:paraId="4456542D">
            <w:pPr>
              <w:keepNext w:val="0"/>
              <w:keepLines w:val="0"/>
              <w:pageBreakBefore w:val="0"/>
              <w:suppressLineNumbers w:val="0"/>
              <w:kinsoku/>
              <w:wordWrap/>
              <w:overflowPunct/>
              <w:topLinePunct w:val="0"/>
              <w:bidi w:val="0"/>
              <w:snapToGrid w:val="0"/>
              <w:spacing w:before="32" w:beforeLines="10" w:beforeAutospacing="0" w:after="32" w:afterLines="10" w:afterAutospacing="0" w:line="360" w:lineRule="auto"/>
              <w:ind w:left="21" w:leftChars="10" w:right="21" w:rightChars="10"/>
              <w:jc w:val="center"/>
              <w:textAlignment w:val="auto"/>
              <w:rPr>
                <w:rFonts w:hint="eastAsia" w:ascii="宋体" w:hAnsi="宋体" w:eastAsia="宋体" w:cs="宋体"/>
                <w:b/>
                <w:color w:val="auto"/>
                <w:sz w:val="21"/>
                <w:szCs w:val="21"/>
                <w:highlight w:val="none"/>
              </w:rPr>
            </w:pPr>
          </w:p>
        </w:tc>
        <w:tc>
          <w:tcPr>
            <w:tcW w:w="6532" w:type="dxa"/>
            <w:tcBorders>
              <w:tl2br w:val="nil"/>
              <w:tr2bl w:val="nil"/>
            </w:tcBorders>
            <w:vAlign w:val="center"/>
          </w:tcPr>
          <w:p w14:paraId="7E910D5D">
            <w:pPr>
              <w:keepNext w:val="0"/>
              <w:keepLines w:val="0"/>
              <w:pageBreakBefore w:val="0"/>
              <w:suppressLineNumbers w:val="0"/>
              <w:kinsoku/>
              <w:wordWrap/>
              <w:overflowPunct/>
              <w:topLinePunct w:val="0"/>
              <w:bidi w:val="0"/>
              <w:spacing w:before="32" w:beforeLines="10" w:beforeAutospacing="0" w:after="32" w:afterLines="10" w:afterAutospacing="0" w:line="360" w:lineRule="auto"/>
              <w:ind w:left="21" w:leftChars="10" w:right="21" w:rightChars="10"/>
              <w:textAlignment w:val="auto"/>
              <w:rPr>
                <w:rFonts w:hint="eastAsia" w:ascii="宋体" w:hAnsi="宋体" w:eastAsia="宋体" w:cs="宋体"/>
                <w:snapToGrid w:val="0"/>
                <w:color w:val="auto"/>
                <w:kern w:val="28"/>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snapToGrid w:val="0"/>
                <w:color w:val="auto"/>
                <w:kern w:val="28"/>
                <w:sz w:val="21"/>
                <w:szCs w:val="21"/>
                <w:highlight w:val="none"/>
              </w:rPr>
              <w:t>联合体投标的，联合体各方均需按招标文件第四部分评标标准要求提供资信证明文件，否则视为不符合相关要求。</w:t>
            </w:r>
          </w:p>
          <w:p w14:paraId="49A203D8">
            <w:pPr>
              <w:keepNext w:val="0"/>
              <w:keepLines w:val="0"/>
              <w:pageBreakBefore w:val="0"/>
              <w:suppressLineNumbers w:val="0"/>
              <w:kinsoku/>
              <w:wordWrap/>
              <w:overflowPunct/>
              <w:topLinePunct w:val="0"/>
              <w:bidi w:val="0"/>
              <w:spacing w:before="32" w:beforeLines="10" w:beforeAutospacing="0" w:after="32" w:afterLines="10" w:afterAutospacing="0" w:line="360" w:lineRule="auto"/>
              <w:ind w:left="21" w:leftChars="10" w:right="21" w:rightChars="10"/>
              <w:textAlignment w:val="auto"/>
              <w:rPr>
                <w:rFonts w:hint="eastAsia" w:ascii="宋体" w:hAnsi="宋体" w:eastAsia="宋体" w:cs="宋体"/>
                <w:snapToGrid w:val="0"/>
                <w:color w:val="auto"/>
                <w:kern w:val="28"/>
                <w:sz w:val="21"/>
                <w:szCs w:val="21"/>
                <w:highlight w:val="none"/>
              </w:rPr>
            </w:pPr>
            <w:r>
              <w:rPr>
                <w:rFonts w:hint="eastAsia" w:ascii="宋体" w:hAnsi="宋体" w:eastAsia="宋体" w:cs="宋体"/>
                <w:b/>
                <w:bCs/>
                <w:color w:val="auto"/>
                <w:kern w:val="0"/>
                <w:sz w:val="21"/>
                <w:szCs w:val="21"/>
                <w:highlight w:val="none"/>
              </w:rPr>
              <w:t>■</w:t>
            </w:r>
            <w:r>
              <w:rPr>
                <w:rFonts w:hint="eastAsia" w:ascii="宋体" w:hAnsi="宋体" w:eastAsia="宋体" w:cs="宋体"/>
                <w:snapToGrid w:val="0"/>
                <w:color w:val="auto"/>
                <w:kern w:val="28"/>
                <w:sz w:val="21"/>
                <w:szCs w:val="21"/>
                <w:highlight w:val="none"/>
              </w:rPr>
              <w:t>联合体投标的，联合体中有一方或者联合体成员根据分工按招标文件第四部分评标标准要求提供资信证明文件的，视为符合了相关要求。</w:t>
            </w:r>
          </w:p>
        </w:tc>
      </w:tr>
      <w:tr w14:paraId="55B24D3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right"/>
        </w:trPr>
        <w:tc>
          <w:tcPr>
            <w:tcW w:w="677" w:type="dxa"/>
            <w:tcBorders>
              <w:tl2br w:val="nil"/>
              <w:tr2bl w:val="nil"/>
            </w:tcBorders>
            <w:vAlign w:val="center"/>
          </w:tcPr>
          <w:p w14:paraId="3B8C4393">
            <w:pPr>
              <w:keepNext w:val="0"/>
              <w:keepLines w:val="0"/>
              <w:pageBreakBefore w:val="0"/>
              <w:suppressLineNumbers w:val="0"/>
              <w:kinsoku/>
              <w:wordWrap/>
              <w:overflowPunct/>
              <w:topLinePunct w:val="0"/>
              <w:bidi w:val="0"/>
              <w:snapToGrid w:val="0"/>
              <w:spacing w:before="32" w:beforeLines="10" w:beforeAutospacing="0" w:after="32" w:afterLines="10" w:afterAutospacing="0" w:line="360" w:lineRule="auto"/>
              <w:ind w:left="21" w:leftChars="10" w:right="21" w:rightChars="10"/>
              <w:jc w:val="center"/>
              <w:textAlignment w:val="auto"/>
              <w:rPr>
                <w:rFonts w:hint="eastAsia" w:ascii="宋体" w:hAnsi="宋体" w:eastAsia="宋体" w:cs="宋体"/>
                <w:color w:val="auto"/>
                <w:sz w:val="21"/>
                <w:szCs w:val="21"/>
                <w:highlight w:val="none"/>
                <w:lang w:val="en-US" w:eastAsia="zh-CN"/>
              </w:rPr>
            </w:pPr>
            <w:bookmarkStart w:id="10" w:name="第三部分"/>
            <w:bookmarkStart w:id="11" w:name="_Toc164416483"/>
            <w:r>
              <w:rPr>
                <w:rFonts w:hint="eastAsia" w:ascii="宋体" w:hAnsi="宋体" w:eastAsia="宋体" w:cs="宋体"/>
                <w:color w:val="auto"/>
                <w:sz w:val="21"/>
                <w:szCs w:val="21"/>
                <w:highlight w:val="none"/>
                <w:lang w:val="en-US" w:eastAsia="zh-CN"/>
              </w:rPr>
              <w:t>14</w:t>
            </w:r>
          </w:p>
        </w:tc>
        <w:tc>
          <w:tcPr>
            <w:tcW w:w="1826" w:type="dxa"/>
            <w:tcBorders>
              <w:tl2br w:val="nil"/>
              <w:tr2bl w:val="nil"/>
            </w:tcBorders>
            <w:vAlign w:val="center"/>
          </w:tcPr>
          <w:p w14:paraId="2B6797D3">
            <w:pPr>
              <w:keepNext w:val="0"/>
              <w:keepLines w:val="0"/>
              <w:pageBreakBefore w:val="0"/>
              <w:suppressLineNumbers w:val="0"/>
              <w:kinsoku/>
              <w:wordWrap/>
              <w:overflowPunct/>
              <w:topLinePunct w:val="0"/>
              <w:bidi w:val="0"/>
              <w:snapToGrid w:val="0"/>
              <w:spacing w:before="32" w:beforeLines="10" w:beforeAutospacing="0" w:after="32" w:afterLines="10" w:afterAutospacing="0" w:line="360" w:lineRule="auto"/>
              <w:ind w:left="21" w:leftChars="10" w:right="21" w:rightChars="10"/>
              <w:jc w:val="center"/>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val="en-US" w:eastAsia="zh-CN"/>
              </w:rPr>
              <w:t>中标</w:t>
            </w:r>
            <w:r>
              <w:rPr>
                <w:rFonts w:hint="eastAsia" w:ascii="宋体" w:hAnsi="宋体" w:eastAsia="宋体" w:cs="宋体"/>
                <w:b/>
                <w:color w:val="auto"/>
                <w:sz w:val="21"/>
                <w:szCs w:val="21"/>
                <w:highlight w:val="none"/>
                <w:lang w:eastAsia="zh-CN"/>
              </w:rPr>
              <w:t>候选人数量</w:t>
            </w:r>
          </w:p>
        </w:tc>
        <w:tc>
          <w:tcPr>
            <w:tcW w:w="6532" w:type="dxa"/>
            <w:tcBorders>
              <w:tl2br w:val="nil"/>
              <w:tr2bl w:val="nil"/>
            </w:tcBorders>
            <w:vAlign w:val="center"/>
          </w:tcPr>
          <w:p w14:paraId="6E63D11A">
            <w:pPr>
              <w:keepNext w:val="0"/>
              <w:keepLines w:val="0"/>
              <w:pageBreakBefore w:val="0"/>
              <w:suppressLineNumbers w:val="0"/>
              <w:kinsoku/>
              <w:wordWrap/>
              <w:overflowPunct/>
              <w:topLinePunct w:val="0"/>
              <w:bidi w:val="0"/>
              <w:spacing w:before="32" w:beforeLines="10" w:beforeAutospacing="0" w:after="32" w:afterLines="10" w:afterAutospacing="0" w:line="360" w:lineRule="auto"/>
              <w:ind w:left="21" w:leftChars="10" w:right="21" w:rightChars="1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本项目推荐的成交候选人数量：</w:t>
            </w:r>
            <w:r>
              <w:rPr>
                <w:rFonts w:hint="eastAsia" w:ascii="宋体" w:hAnsi="宋体" w:eastAsia="宋体" w:cs="宋体"/>
                <w:color w:val="auto"/>
                <w:kern w:val="0"/>
                <w:sz w:val="21"/>
                <w:szCs w:val="21"/>
                <w:highlight w:val="none"/>
                <w:u w:val="single"/>
                <w:lang w:val="en-US" w:eastAsia="zh-CN"/>
              </w:rPr>
              <w:t xml:space="preserve"> 1家 </w:t>
            </w:r>
            <w:r>
              <w:rPr>
                <w:rFonts w:hint="eastAsia" w:ascii="宋体" w:hAnsi="宋体" w:eastAsia="宋体" w:cs="宋体"/>
                <w:color w:val="auto"/>
                <w:kern w:val="0"/>
                <w:sz w:val="21"/>
                <w:szCs w:val="21"/>
                <w:highlight w:val="none"/>
                <w:lang w:eastAsia="zh-CN"/>
              </w:rPr>
              <w:t>。</w:t>
            </w:r>
          </w:p>
        </w:tc>
      </w:tr>
      <w:tr w14:paraId="3A0805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right"/>
        </w:trPr>
        <w:tc>
          <w:tcPr>
            <w:tcW w:w="677" w:type="dxa"/>
            <w:tcBorders>
              <w:tl2br w:val="nil"/>
              <w:tr2bl w:val="nil"/>
            </w:tcBorders>
            <w:vAlign w:val="center"/>
          </w:tcPr>
          <w:p w14:paraId="3FF55139">
            <w:pPr>
              <w:keepNext w:val="0"/>
              <w:keepLines w:val="0"/>
              <w:pageBreakBefore w:val="0"/>
              <w:suppressLineNumbers w:val="0"/>
              <w:kinsoku/>
              <w:wordWrap/>
              <w:overflowPunct/>
              <w:topLinePunct w:val="0"/>
              <w:bidi w:val="0"/>
              <w:snapToGrid w:val="0"/>
              <w:spacing w:before="32" w:beforeLines="10" w:beforeAutospacing="0" w:after="32" w:afterLines="10" w:afterAutospacing="0" w:line="360" w:lineRule="auto"/>
              <w:ind w:left="21" w:leftChars="10" w:right="21" w:rightChars="1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p>
        </w:tc>
        <w:tc>
          <w:tcPr>
            <w:tcW w:w="1826" w:type="dxa"/>
            <w:tcBorders>
              <w:tl2br w:val="nil"/>
              <w:tr2bl w:val="nil"/>
            </w:tcBorders>
            <w:vAlign w:val="center"/>
          </w:tcPr>
          <w:p w14:paraId="036F2C78">
            <w:pPr>
              <w:keepNext w:val="0"/>
              <w:keepLines w:val="0"/>
              <w:pageBreakBefore w:val="0"/>
              <w:suppressLineNumbers w:val="0"/>
              <w:kinsoku/>
              <w:wordWrap/>
              <w:overflowPunct/>
              <w:topLinePunct w:val="0"/>
              <w:bidi w:val="0"/>
              <w:snapToGrid w:val="0"/>
              <w:spacing w:before="32" w:beforeLines="10" w:beforeAutospacing="0" w:after="32" w:afterLines="10" w:afterAutospacing="0" w:line="360" w:lineRule="auto"/>
              <w:ind w:left="21" w:leftChars="10" w:right="21" w:rightChars="10"/>
              <w:jc w:val="center"/>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代理费用收取方式及标准</w:t>
            </w:r>
          </w:p>
        </w:tc>
        <w:tc>
          <w:tcPr>
            <w:tcW w:w="6532" w:type="dxa"/>
            <w:tcBorders>
              <w:tl2br w:val="nil"/>
              <w:tr2bl w:val="nil"/>
            </w:tcBorders>
            <w:vAlign w:val="center"/>
          </w:tcPr>
          <w:p w14:paraId="46BAF083">
            <w:pPr>
              <w:keepNext w:val="0"/>
              <w:keepLines w:val="0"/>
              <w:pageBreakBefore w:val="0"/>
              <w:suppressLineNumbers w:val="0"/>
              <w:shd w:val="clear" w:color="auto" w:fill="auto"/>
              <w:kinsoku/>
              <w:wordWrap/>
              <w:overflowPunct/>
              <w:topLinePunct w:val="0"/>
              <w:bidi w:val="0"/>
              <w:adjustRightInd w:val="0"/>
              <w:snapToGrid w:val="0"/>
              <w:spacing w:before="32" w:beforeLines="10" w:beforeAutospacing="0" w:after="32" w:afterLines="10" w:afterAutospacing="0" w:line="360" w:lineRule="auto"/>
              <w:ind w:left="21" w:leftChars="10" w:right="21" w:rightChars="10"/>
              <w:textAlignment w:val="auto"/>
              <w:rPr>
                <w:rFonts w:hint="eastAsia" w:ascii="宋体" w:hAnsi="宋体" w:eastAsia="宋体" w:cs="宋体"/>
                <w:b/>
                <w:snapToGrid w:val="0"/>
                <w:color w:val="auto"/>
                <w:sz w:val="21"/>
                <w:szCs w:val="21"/>
                <w:highlight w:val="none"/>
              </w:rPr>
            </w:pPr>
            <w:r>
              <w:rPr>
                <w:rFonts w:hint="eastAsia" w:ascii="宋体" w:hAnsi="宋体" w:eastAsia="宋体" w:cs="宋体"/>
                <w:b/>
                <w:snapToGrid w:val="0"/>
                <w:color w:val="auto"/>
                <w:sz w:val="21"/>
                <w:szCs w:val="21"/>
                <w:highlight w:val="none"/>
              </w:rPr>
              <w:t>本项目的采购代理费由中标人支付。</w:t>
            </w:r>
          </w:p>
          <w:p w14:paraId="215ED3E7">
            <w:pPr>
              <w:keepNext w:val="0"/>
              <w:keepLines w:val="0"/>
              <w:pageBreakBefore w:val="0"/>
              <w:numPr>
                <w:ilvl w:val="0"/>
                <w:numId w:val="0"/>
              </w:numPr>
              <w:suppressLineNumbers w:val="0"/>
              <w:kinsoku/>
              <w:wordWrap/>
              <w:overflowPunct/>
              <w:topLinePunct w:val="0"/>
              <w:bidi w:val="0"/>
              <w:spacing w:before="32" w:beforeLines="10" w:beforeAutospacing="0" w:after="32" w:afterLines="10" w:afterAutospacing="0" w:line="360" w:lineRule="auto"/>
              <w:ind w:left="21" w:leftChars="10" w:right="21" w:rightChars="10"/>
              <w:textAlignment w:val="auto"/>
              <w:rPr>
                <w:rFonts w:hint="default" w:ascii="Times New Roman" w:hAnsi="Times New Roman"/>
                <w:color w:val="auto"/>
                <w:highlight w:val="none"/>
              </w:rPr>
            </w:pPr>
            <w:r>
              <w:rPr>
                <w:rFonts w:hint="default" w:ascii="Times New Roman" w:hAnsi="Times New Roman" w:eastAsia="宋体" w:cs="Times New Roman"/>
                <w:color w:val="auto"/>
                <w:kern w:val="2"/>
                <w:sz w:val="21"/>
                <w:szCs w:val="24"/>
                <w:highlight w:val="none"/>
                <w:lang w:val="en-US" w:eastAsia="zh-CN" w:bidi="ar-SA"/>
              </w:rPr>
              <w:t>1.</w:t>
            </w:r>
            <w:r>
              <w:rPr>
                <w:rFonts w:hint="eastAsia" w:ascii="宋体" w:hAnsi="宋体" w:eastAsia="宋体" w:cs="宋体"/>
                <w:snapToGrid w:val="0"/>
                <w:color w:val="auto"/>
                <w:kern w:val="28"/>
                <w:sz w:val="21"/>
                <w:szCs w:val="21"/>
                <w:highlight w:val="none"/>
              </w:rPr>
              <w:t>中标服务费以每标项中标（成交）金额为计费基准，按原国家计委（计价格[2002]1980号）文件收费标准的</w:t>
            </w:r>
            <w:r>
              <w:rPr>
                <w:rFonts w:hint="eastAsia" w:ascii="宋体" w:hAnsi="宋体" w:cs="宋体"/>
                <w:snapToGrid w:val="0"/>
                <w:color w:val="auto"/>
                <w:kern w:val="28"/>
                <w:sz w:val="21"/>
                <w:szCs w:val="21"/>
                <w:highlight w:val="none"/>
                <w:lang w:val="en-US" w:eastAsia="zh-CN"/>
              </w:rPr>
              <w:t>8</w:t>
            </w:r>
            <w:r>
              <w:rPr>
                <w:rFonts w:hint="eastAsia" w:ascii="宋体" w:hAnsi="宋体" w:eastAsia="宋体" w:cs="宋体"/>
                <w:snapToGrid w:val="0"/>
                <w:color w:val="auto"/>
                <w:kern w:val="28"/>
                <w:sz w:val="21"/>
                <w:szCs w:val="21"/>
                <w:highlight w:val="none"/>
              </w:rPr>
              <w:t>0%收取，采购代理服务费不足</w:t>
            </w:r>
            <w:r>
              <w:rPr>
                <w:rFonts w:hint="eastAsia" w:ascii="宋体" w:hAnsi="宋体" w:cs="宋体"/>
                <w:snapToGrid w:val="0"/>
                <w:color w:val="auto"/>
                <w:kern w:val="28"/>
                <w:sz w:val="21"/>
                <w:szCs w:val="21"/>
                <w:highlight w:val="none"/>
                <w:lang w:val="en-US" w:eastAsia="zh-CN"/>
              </w:rPr>
              <w:t>6</w:t>
            </w:r>
            <w:r>
              <w:rPr>
                <w:rFonts w:hint="eastAsia" w:ascii="宋体" w:hAnsi="宋体" w:eastAsia="宋体" w:cs="宋体"/>
                <w:snapToGrid w:val="0"/>
                <w:color w:val="auto"/>
                <w:kern w:val="28"/>
                <w:sz w:val="21"/>
                <w:szCs w:val="21"/>
                <w:highlight w:val="none"/>
              </w:rPr>
              <w:t>000元的，以</w:t>
            </w:r>
            <w:r>
              <w:rPr>
                <w:rFonts w:hint="eastAsia" w:ascii="宋体" w:hAnsi="宋体" w:cs="宋体"/>
                <w:snapToGrid w:val="0"/>
                <w:color w:val="auto"/>
                <w:kern w:val="28"/>
                <w:sz w:val="21"/>
                <w:szCs w:val="21"/>
                <w:highlight w:val="none"/>
                <w:lang w:val="en-US" w:eastAsia="zh-CN"/>
              </w:rPr>
              <w:t>6</w:t>
            </w:r>
            <w:r>
              <w:rPr>
                <w:rFonts w:hint="eastAsia" w:ascii="宋体" w:hAnsi="宋体" w:eastAsia="宋体" w:cs="宋体"/>
                <w:snapToGrid w:val="0"/>
                <w:color w:val="auto"/>
                <w:kern w:val="28"/>
                <w:sz w:val="21"/>
                <w:szCs w:val="21"/>
                <w:highlight w:val="none"/>
              </w:rPr>
              <w:t>000元计收取；</w:t>
            </w:r>
          </w:p>
          <w:tbl>
            <w:tblPr>
              <w:tblStyle w:val="62"/>
              <w:tblW w:w="0" w:type="auto"/>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831"/>
              <w:gridCol w:w="2768"/>
            </w:tblGrid>
            <w:tr w14:paraId="098E7BC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13" w:hRule="atLeast"/>
                <w:jc w:val="center"/>
              </w:trPr>
              <w:tc>
                <w:tcPr>
                  <w:tcW w:w="2831" w:type="dxa"/>
                  <w:noWrap w:val="0"/>
                  <w:vAlign w:val="top"/>
                </w:tcPr>
                <w:p w14:paraId="26B42430">
                  <w:pPr>
                    <w:keepNext w:val="0"/>
                    <w:keepLines w:val="0"/>
                    <w:widowControl/>
                    <w:suppressLineNumbers w:val="0"/>
                    <w:spacing w:before="0" w:beforeAutospacing="0" w:after="156" w:afterAutospacing="0" w:line="360" w:lineRule="auto"/>
                    <w:ind w:left="0" w:right="0"/>
                    <w:jc w:val="center"/>
                    <w:rPr>
                      <w:rFonts w:hint="default"/>
                      <w:color w:val="auto"/>
                      <w:kern w:val="0"/>
                      <w:szCs w:val="21"/>
                      <w:highlight w:val="none"/>
                    </w:rPr>
                  </w:pPr>
                  <w:bookmarkStart w:id="12" w:name="RANGE!A9"/>
                  <w:r>
                    <w:rPr>
                      <w:rFonts w:hint="default"/>
                      <w:color w:val="auto"/>
                      <w:kern w:val="0"/>
                      <w:szCs w:val="21"/>
                      <w:highlight w:val="none"/>
                    </w:rPr>
                    <w:t>中标金额</w:t>
                  </w:r>
                  <w:r>
                    <w:rPr>
                      <w:rFonts w:hint="default"/>
                      <w:color w:val="auto"/>
                      <w:spacing w:val="20"/>
                      <w:szCs w:val="21"/>
                      <w:highlight w:val="none"/>
                    </w:rPr>
                    <w:t>P</w:t>
                  </w:r>
                  <w:r>
                    <w:rPr>
                      <w:rFonts w:hint="default"/>
                      <w:color w:val="auto"/>
                      <w:kern w:val="0"/>
                      <w:szCs w:val="21"/>
                      <w:highlight w:val="none"/>
                    </w:rPr>
                    <w:t>（万元人民币）</w:t>
                  </w:r>
                  <w:bookmarkEnd w:id="12"/>
                </w:p>
              </w:tc>
              <w:tc>
                <w:tcPr>
                  <w:tcW w:w="2768" w:type="dxa"/>
                  <w:noWrap w:val="0"/>
                  <w:vAlign w:val="top"/>
                </w:tcPr>
                <w:p w14:paraId="1248DA89">
                  <w:pPr>
                    <w:keepNext w:val="0"/>
                    <w:keepLines w:val="0"/>
                    <w:widowControl/>
                    <w:suppressLineNumbers w:val="0"/>
                    <w:spacing w:before="0" w:beforeAutospacing="0" w:after="156" w:afterAutospacing="0" w:line="360" w:lineRule="auto"/>
                    <w:ind w:left="0" w:right="0"/>
                    <w:jc w:val="center"/>
                    <w:rPr>
                      <w:rFonts w:hint="default"/>
                      <w:color w:val="auto"/>
                      <w:kern w:val="0"/>
                      <w:szCs w:val="21"/>
                      <w:highlight w:val="none"/>
                    </w:rPr>
                  </w:pPr>
                  <w:r>
                    <w:rPr>
                      <w:rFonts w:hint="default"/>
                      <w:color w:val="auto"/>
                      <w:kern w:val="0"/>
                      <w:szCs w:val="21"/>
                      <w:highlight w:val="none"/>
                    </w:rPr>
                    <w:t>代理服务费（万元人民币）</w:t>
                  </w:r>
                </w:p>
              </w:tc>
            </w:tr>
            <w:tr w14:paraId="62D3877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88" w:hRule="atLeast"/>
                <w:jc w:val="center"/>
              </w:trPr>
              <w:tc>
                <w:tcPr>
                  <w:tcW w:w="2831" w:type="dxa"/>
                  <w:noWrap w:val="0"/>
                  <w:vAlign w:val="top"/>
                </w:tcPr>
                <w:p w14:paraId="3FD22FFE">
                  <w:pPr>
                    <w:keepNext w:val="0"/>
                    <w:keepLines w:val="0"/>
                    <w:widowControl/>
                    <w:suppressLineNumbers w:val="0"/>
                    <w:spacing w:before="0" w:beforeAutospacing="0" w:after="156" w:afterAutospacing="0" w:line="360" w:lineRule="auto"/>
                    <w:ind w:left="0" w:right="0"/>
                    <w:jc w:val="center"/>
                    <w:rPr>
                      <w:rFonts w:hint="default"/>
                      <w:color w:val="auto"/>
                      <w:kern w:val="0"/>
                      <w:szCs w:val="21"/>
                      <w:highlight w:val="none"/>
                    </w:rPr>
                  </w:pPr>
                  <w:r>
                    <w:rPr>
                      <w:rFonts w:hint="default"/>
                      <w:color w:val="auto"/>
                      <w:kern w:val="0"/>
                      <w:szCs w:val="21"/>
                      <w:highlight w:val="none"/>
                    </w:rPr>
                    <w:t>100以下</w:t>
                  </w:r>
                </w:p>
              </w:tc>
              <w:tc>
                <w:tcPr>
                  <w:tcW w:w="2768" w:type="dxa"/>
                  <w:noWrap w:val="0"/>
                  <w:vAlign w:val="center"/>
                </w:tcPr>
                <w:p w14:paraId="60958BA3">
                  <w:pPr>
                    <w:keepNext w:val="0"/>
                    <w:keepLines w:val="0"/>
                    <w:suppressLineNumbers w:val="0"/>
                    <w:tabs>
                      <w:tab w:val="left" w:pos="0"/>
                    </w:tabs>
                    <w:spacing w:before="0" w:beforeAutospacing="0" w:after="0" w:afterAutospacing="0" w:line="360" w:lineRule="auto"/>
                    <w:ind w:left="0" w:right="0"/>
                    <w:jc w:val="center"/>
                    <w:rPr>
                      <w:rFonts w:hint="default"/>
                      <w:color w:val="auto"/>
                      <w:spacing w:val="20"/>
                      <w:szCs w:val="21"/>
                      <w:highlight w:val="none"/>
                    </w:rPr>
                  </w:pPr>
                  <w:r>
                    <w:rPr>
                      <w:rFonts w:hint="default"/>
                      <w:color w:val="auto"/>
                      <w:spacing w:val="20"/>
                      <w:szCs w:val="21"/>
                      <w:highlight w:val="none"/>
                    </w:rPr>
                    <w:t>P*</w:t>
                  </w:r>
                  <w:r>
                    <w:rPr>
                      <w:rFonts w:hint="default"/>
                      <w:color w:val="auto"/>
                      <w:szCs w:val="21"/>
                      <w:highlight w:val="none"/>
                    </w:rPr>
                    <w:t>1.</w:t>
                  </w:r>
                  <w:r>
                    <w:rPr>
                      <w:rFonts w:hint="eastAsia"/>
                      <w:color w:val="auto"/>
                      <w:szCs w:val="21"/>
                      <w:highlight w:val="none"/>
                      <w:lang w:val="en-US" w:eastAsia="zh-CN"/>
                    </w:rPr>
                    <w:t>2</w:t>
                  </w:r>
                  <w:r>
                    <w:rPr>
                      <w:rFonts w:hint="default"/>
                      <w:color w:val="auto"/>
                      <w:spacing w:val="20"/>
                      <w:szCs w:val="21"/>
                      <w:highlight w:val="none"/>
                    </w:rPr>
                    <w:t>%</w:t>
                  </w:r>
                </w:p>
              </w:tc>
            </w:tr>
            <w:tr w14:paraId="5F6C053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26" w:hRule="atLeast"/>
                <w:jc w:val="center"/>
              </w:trPr>
              <w:tc>
                <w:tcPr>
                  <w:tcW w:w="2831" w:type="dxa"/>
                  <w:noWrap w:val="0"/>
                  <w:vAlign w:val="top"/>
                </w:tcPr>
                <w:p w14:paraId="3EB36B35">
                  <w:pPr>
                    <w:keepNext w:val="0"/>
                    <w:keepLines w:val="0"/>
                    <w:widowControl/>
                    <w:suppressLineNumbers w:val="0"/>
                    <w:spacing w:before="0" w:beforeAutospacing="0" w:after="156" w:afterAutospacing="0" w:line="360" w:lineRule="auto"/>
                    <w:ind w:left="0" w:right="0"/>
                    <w:jc w:val="center"/>
                    <w:rPr>
                      <w:rFonts w:hint="default"/>
                      <w:color w:val="auto"/>
                      <w:kern w:val="0"/>
                      <w:szCs w:val="21"/>
                      <w:highlight w:val="none"/>
                    </w:rPr>
                  </w:pPr>
                  <w:r>
                    <w:rPr>
                      <w:rFonts w:hint="default"/>
                      <w:color w:val="auto"/>
                      <w:kern w:val="0"/>
                      <w:szCs w:val="21"/>
                      <w:highlight w:val="none"/>
                    </w:rPr>
                    <w:t>100万-500万</w:t>
                  </w:r>
                </w:p>
              </w:tc>
              <w:tc>
                <w:tcPr>
                  <w:tcW w:w="2768" w:type="dxa"/>
                  <w:noWrap w:val="0"/>
                  <w:vAlign w:val="center"/>
                </w:tcPr>
                <w:p w14:paraId="447ACB2A">
                  <w:pPr>
                    <w:keepNext w:val="0"/>
                    <w:keepLines w:val="0"/>
                    <w:suppressLineNumbers w:val="0"/>
                    <w:tabs>
                      <w:tab w:val="left" w:pos="0"/>
                    </w:tabs>
                    <w:spacing w:before="0" w:beforeAutospacing="0" w:after="0" w:afterAutospacing="0" w:line="360" w:lineRule="auto"/>
                    <w:ind w:left="0" w:right="0"/>
                    <w:jc w:val="center"/>
                    <w:rPr>
                      <w:rFonts w:hint="default"/>
                      <w:color w:val="auto"/>
                      <w:spacing w:val="20"/>
                      <w:szCs w:val="21"/>
                      <w:highlight w:val="none"/>
                    </w:rPr>
                  </w:pPr>
                  <w:r>
                    <w:rPr>
                      <w:rFonts w:hint="default"/>
                      <w:color w:val="auto"/>
                      <w:szCs w:val="21"/>
                      <w:highlight w:val="none"/>
                    </w:rPr>
                    <w:t>1.</w:t>
                  </w:r>
                  <w:r>
                    <w:rPr>
                      <w:rFonts w:hint="eastAsia"/>
                      <w:color w:val="auto"/>
                      <w:szCs w:val="21"/>
                      <w:highlight w:val="none"/>
                      <w:lang w:val="en-US" w:eastAsia="zh-CN"/>
                    </w:rPr>
                    <w:t>2</w:t>
                  </w:r>
                  <w:r>
                    <w:rPr>
                      <w:rFonts w:hint="default"/>
                      <w:color w:val="auto"/>
                      <w:szCs w:val="21"/>
                      <w:highlight w:val="none"/>
                    </w:rPr>
                    <w:t>+（</w:t>
                  </w:r>
                  <w:r>
                    <w:rPr>
                      <w:rFonts w:hint="default"/>
                      <w:color w:val="auto"/>
                      <w:spacing w:val="20"/>
                      <w:szCs w:val="21"/>
                      <w:highlight w:val="none"/>
                    </w:rPr>
                    <w:t>P-100</w:t>
                  </w:r>
                  <w:r>
                    <w:rPr>
                      <w:rFonts w:hint="default"/>
                      <w:color w:val="auto"/>
                      <w:szCs w:val="21"/>
                      <w:highlight w:val="none"/>
                    </w:rPr>
                    <w:t>）</w:t>
                  </w:r>
                  <w:r>
                    <w:rPr>
                      <w:rFonts w:hint="default"/>
                      <w:color w:val="auto"/>
                      <w:spacing w:val="20"/>
                      <w:szCs w:val="21"/>
                      <w:highlight w:val="none"/>
                    </w:rPr>
                    <w:t>*</w:t>
                  </w:r>
                  <w:r>
                    <w:rPr>
                      <w:rFonts w:hint="default"/>
                      <w:color w:val="auto"/>
                      <w:szCs w:val="21"/>
                      <w:highlight w:val="none"/>
                    </w:rPr>
                    <w:t>0.</w:t>
                  </w:r>
                  <w:r>
                    <w:rPr>
                      <w:rFonts w:hint="eastAsia"/>
                      <w:color w:val="auto"/>
                      <w:szCs w:val="21"/>
                      <w:highlight w:val="none"/>
                      <w:lang w:val="en-US" w:eastAsia="zh-CN"/>
                    </w:rPr>
                    <w:t>64</w:t>
                  </w:r>
                  <w:r>
                    <w:rPr>
                      <w:rFonts w:hint="default"/>
                      <w:color w:val="auto"/>
                      <w:spacing w:val="20"/>
                      <w:szCs w:val="21"/>
                      <w:highlight w:val="none"/>
                    </w:rPr>
                    <w:t>%</w:t>
                  </w:r>
                </w:p>
              </w:tc>
            </w:tr>
          </w:tbl>
          <w:p w14:paraId="4A66FBF0">
            <w:pPr>
              <w:keepNext w:val="0"/>
              <w:keepLines w:val="0"/>
              <w:pageBreakBefore w:val="0"/>
              <w:numPr>
                <w:ilvl w:val="0"/>
                <w:numId w:val="0"/>
              </w:numPr>
              <w:suppressLineNumbers w:val="0"/>
              <w:kinsoku/>
              <w:wordWrap/>
              <w:overflowPunct/>
              <w:topLinePunct w:val="0"/>
              <w:bidi w:val="0"/>
              <w:spacing w:before="32" w:beforeLines="10" w:beforeAutospacing="0" w:after="32" w:afterLines="10" w:afterAutospacing="0" w:line="360" w:lineRule="auto"/>
              <w:ind w:left="0" w:right="21" w:rightChars="10"/>
              <w:textAlignment w:val="auto"/>
              <w:rPr>
                <w:rFonts w:hint="eastAsia" w:ascii="宋体" w:hAnsi="宋体" w:eastAsia="宋体" w:cs="宋体"/>
                <w:snapToGrid w:val="0"/>
                <w:color w:val="auto"/>
                <w:kern w:val="28"/>
                <w:sz w:val="21"/>
                <w:szCs w:val="21"/>
                <w:highlight w:val="none"/>
              </w:rPr>
            </w:pPr>
            <w:r>
              <w:rPr>
                <w:rFonts w:hint="eastAsia" w:ascii="宋体" w:hAnsi="宋体" w:eastAsia="宋体" w:cs="宋体"/>
                <w:snapToGrid w:val="0"/>
                <w:color w:val="auto"/>
                <w:kern w:val="28"/>
                <w:sz w:val="21"/>
                <w:szCs w:val="21"/>
                <w:highlight w:val="none"/>
              </w:rPr>
              <w:t>2.结算方式及时间为：中标人在中标通知书发出后七个工作日内，向采购代理机构交纳代理服务费，缴纳至如下账号：</w:t>
            </w:r>
          </w:p>
          <w:p w14:paraId="3FD40D6D">
            <w:pPr>
              <w:keepNext w:val="0"/>
              <w:keepLines w:val="0"/>
              <w:pageBreakBefore w:val="0"/>
              <w:suppressLineNumbers w:val="0"/>
              <w:kinsoku/>
              <w:wordWrap/>
              <w:overflowPunct/>
              <w:topLinePunct w:val="0"/>
              <w:bidi w:val="0"/>
              <w:spacing w:before="32" w:beforeLines="10" w:beforeAutospacing="0" w:after="32" w:afterLines="10" w:afterAutospacing="0" w:line="360" w:lineRule="auto"/>
              <w:ind w:left="21" w:leftChars="10" w:right="21" w:rightChars="10"/>
              <w:textAlignment w:val="auto"/>
              <w:rPr>
                <w:rFonts w:hint="eastAsia" w:ascii="宋体" w:hAnsi="宋体" w:eastAsia="宋体" w:cs="宋体"/>
                <w:snapToGrid w:val="0"/>
                <w:color w:val="auto"/>
                <w:kern w:val="28"/>
                <w:sz w:val="21"/>
                <w:szCs w:val="21"/>
                <w:highlight w:val="none"/>
              </w:rPr>
            </w:pPr>
            <w:r>
              <w:rPr>
                <w:rFonts w:hint="eastAsia" w:ascii="宋体" w:hAnsi="宋体" w:eastAsia="宋体" w:cs="宋体"/>
                <w:snapToGrid w:val="0"/>
                <w:color w:val="auto"/>
                <w:kern w:val="28"/>
                <w:sz w:val="21"/>
                <w:szCs w:val="21"/>
                <w:highlight w:val="none"/>
              </w:rPr>
              <w:t>（1）收 款 人：浙江国际招投标有限公司</w:t>
            </w:r>
          </w:p>
          <w:p w14:paraId="4D0CA10E">
            <w:pPr>
              <w:keepNext w:val="0"/>
              <w:keepLines w:val="0"/>
              <w:pageBreakBefore w:val="0"/>
              <w:suppressLineNumbers w:val="0"/>
              <w:kinsoku/>
              <w:wordWrap/>
              <w:overflowPunct/>
              <w:topLinePunct w:val="0"/>
              <w:bidi w:val="0"/>
              <w:spacing w:before="32" w:beforeLines="10" w:beforeAutospacing="0" w:after="32" w:afterLines="10" w:afterAutospacing="0" w:line="360" w:lineRule="auto"/>
              <w:ind w:left="21" w:leftChars="10" w:right="21" w:rightChars="10"/>
              <w:textAlignment w:val="auto"/>
              <w:rPr>
                <w:rFonts w:hint="eastAsia" w:ascii="宋体" w:hAnsi="宋体" w:eastAsia="宋体" w:cs="宋体"/>
                <w:snapToGrid w:val="0"/>
                <w:color w:val="auto"/>
                <w:kern w:val="28"/>
                <w:sz w:val="21"/>
                <w:szCs w:val="21"/>
                <w:highlight w:val="none"/>
              </w:rPr>
            </w:pPr>
            <w:r>
              <w:rPr>
                <w:rFonts w:hint="eastAsia" w:ascii="宋体" w:hAnsi="宋体" w:eastAsia="宋体" w:cs="宋体"/>
                <w:snapToGrid w:val="0"/>
                <w:color w:val="auto"/>
                <w:kern w:val="28"/>
                <w:sz w:val="21"/>
                <w:szCs w:val="21"/>
                <w:highlight w:val="none"/>
              </w:rPr>
              <w:t>（2）开户银行：中国工商银行杭州武林支行</w:t>
            </w:r>
          </w:p>
          <w:p w14:paraId="7FC0B710">
            <w:pPr>
              <w:keepNext w:val="0"/>
              <w:keepLines w:val="0"/>
              <w:pageBreakBefore w:val="0"/>
              <w:suppressLineNumbers w:val="0"/>
              <w:kinsoku/>
              <w:wordWrap/>
              <w:overflowPunct/>
              <w:topLinePunct w:val="0"/>
              <w:bidi w:val="0"/>
              <w:spacing w:before="32" w:beforeLines="10" w:beforeAutospacing="0" w:after="32" w:afterLines="10" w:afterAutospacing="0" w:line="360" w:lineRule="auto"/>
              <w:ind w:left="21" w:leftChars="10" w:right="21" w:rightChars="1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snapToGrid w:val="0"/>
                <w:color w:val="auto"/>
                <w:kern w:val="28"/>
                <w:sz w:val="21"/>
                <w:szCs w:val="21"/>
                <w:highlight w:val="none"/>
              </w:rPr>
              <w:t>（3）账    号：1202 0212 0990 6782 015</w:t>
            </w:r>
          </w:p>
        </w:tc>
      </w:tr>
      <w:tr w14:paraId="1C6FB4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right"/>
        </w:trPr>
        <w:tc>
          <w:tcPr>
            <w:tcW w:w="677" w:type="dxa"/>
            <w:tcBorders>
              <w:tl2br w:val="nil"/>
              <w:tr2bl w:val="nil"/>
            </w:tcBorders>
            <w:vAlign w:val="center"/>
          </w:tcPr>
          <w:p w14:paraId="31559405">
            <w:pPr>
              <w:keepNext w:val="0"/>
              <w:keepLines w:val="0"/>
              <w:pageBreakBefore w:val="0"/>
              <w:suppressLineNumbers w:val="0"/>
              <w:kinsoku/>
              <w:wordWrap/>
              <w:overflowPunct/>
              <w:topLinePunct w:val="0"/>
              <w:bidi w:val="0"/>
              <w:snapToGrid w:val="0"/>
              <w:spacing w:before="32" w:beforeLines="10" w:beforeAutospacing="0" w:after="32" w:afterLines="10" w:afterAutospacing="0" w:line="360" w:lineRule="auto"/>
              <w:ind w:left="21" w:leftChars="10" w:right="21" w:rightChars="1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w:t>
            </w:r>
          </w:p>
        </w:tc>
        <w:tc>
          <w:tcPr>
            <w:tcW w:w="1826" w:type="dxa"/>
            <w:tcBorders>
              <w:tl2br w:val="nil"/>
              <w:tr2bl w:val="nil"/>
            </w:tcBorders>
            <w:vAlign w:val="center"/>
          </w:tcPr>
          <w:p w14:paraId="67E166C2">
            <w:pPr>
              <w:keepNext w:val="0"/>
              <w:keepLines w:val="0"/>
              <w:pageBreakBefore w:val="0"/>
              <w:suppressLineNumbers w:val="0"/>
              <w:kinsoku/>
              <w:wordWrap/>
              <w:overflowPunct/>
              <w:topLinePunct w:val="0"/>
              <w:bidi w:val="0"/>
              <w:snapToGrid w:val="0"/>
              <w:spacing w:before="32" w:beforeLines="10" w:beforeAutospacing="0" w:after="32" w:afterLines="10" w:afterAutospacing="0" w:line="360" w:lineRule="auto"/>
              <w:ind w:left="21" w:leftChars="10" w:right="21" w:rightChars="10"/>
              <w:jc w:val="center"/>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核对材料真实性</w:t>
            </w:r>
          </w:p>
        </w:tc>
        <w:tc>
          <w:tcPr>
            <w:tcW w:w="6532" w:type="dxa"/>
            <w:tcBorders>
              <w:tl2br w:val="nil"/>
              <w:tr2bl w:val="nil"/>
            </w:tcBorders>
            <w:vAlign w:val="center"/>
          </w:tcPr>
          <w:p w14:paraId="72FBF340">
            <w:pPr>
              <w:keepNext w:val="0"/>
              <w:keepLines w:val="0"/>
              <w:pageBreakBefore w:val="0"/>
              <w:suppressLineNumbers w:val="0"/>
              <w:kinsoku/>
              <w:wordWrap/>
              <w:overflowPunct/>
              <w:topLinePunct w:val="0"/>
              <w:bidi w:val="0"/>
              <w:spacing w:before="32" w:beforeLines="10" w:beforeAutospacing="0" w:after="32" w:afterLines="10" w:afterAutospacing="0" w:line="360" w:lineRule="auto"/>
              <w:ind w:left="21" w:leftChars="10" w:right="21" w:rightChars="1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在评审结束后、确认采购结果前，采购人或采购代理机构将通过网站查询、原件核对等方式对中标人在投标文件中涉及客观分评审内容的</w:t>
            </w:r>
            <w:r>
              <w:rPr>
                <w:rFonts w:hint="eastAsia" w:ascii="宋体" w:hAnsi="宋体" w:cs="宋体"/>
                <w:b/>
                <w:bCs/>
                <w:color w:val="auto"/>
                <w:kern w:val="0"/>
                <w:sz w:val="21"/>
                <w:szCs w:val="21"/>
                <w:highlight w:val="none"/>
                <w:lang w:val="en-US" w:eastAsia="zh-CN"/>
              </w:rPr>
              <w:t>业绩、</w:t>
            </w:r>
            <w:r>
              <w:rPr>
                <w:rFonts w:hint="eastAsia" w:ascii="宋体" w:hAnsi="宋体" w:eastAsia="宋体" w:cs="宋体"/>
                <w:b/>
                <w:bCs/>
                <w:color w:val="auto"/>
                <w:kern w:val="0"/>
                <w:sz w:val="21"/>
                <w:szCs w:val="21"/>
                <w:highlight w:val="none"/>
                <w:lang w:val="en-US" w:eastAsia="zh-CN"/>
              </w:rPr>
              <w:t>检测报告、认证证书等资料的真实性进行复核。</w:t>
            </w:r>
          </w:p>
        </w:tc>
      </w:tr>
      <w:bookmarkEnd w:id="4"/>
    </w:tbl>
    <w:p w14:paraId="3D686732">
      <w:pPr>
        <w:spacing w:line="360" w:lineRule="auto"/>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br w:type="page"/>
      </w:r>
    </w:p>
    <w:p w14:paraId="22DEB2DB">
      <w:pPr>
        <w:adjustRightInd/>
        <w:spacing w:line="360" w:lineRule="auto"/>
        <w:ind w:firstLine="3845" w:firstLineChars="1197"/>
        <w:outlineLvl w:val="0"/>
        <w:rPr>
          <w:rFonts w:hint="eastAsia" w:ascii="宋体" w:hAnsi="宋体" w:eastAsia="宋体" w:cs="宋体"/>
          <w:b/>
          <w:color w:val="auto"/>
          <w:sz w:val="32"/>
          <w:szCs w:val="20"/>
          <w:highlight w:val="none"/>
        </w:rPr>
      </w:pPr>
      <w:bookmarkStart w:id="13" w:name="_Toc11367"/>
      <w:r>
        <w:rPr>
          <w:rFonts w:hint="eastAsia" w:ascii="宋体" w:hAnsi="宋体" w:eastAsia="宋体" w:cs="宋体"/>
          <w:b/>
          <w:color w:val="auto"/>
          <w:sz w:val="32"/>
          <w:szCs w:val="20"/>
          <w:highlight w:val="none"/>
        </w:rPr>
        <w:t>一、总则</w:t>
      </w:r>
      <w:bookmarkEnd w:id="13"/>
    </w:p>
    <w:p w14:paraId="1FE59727">
      <w:pPr>
        <w:snapToGrid w:val="0"/>
        <w:spacing w:line="360" w:lineRule="auto"/>
        <w:ind w:firstLine="316" w:firstLineChars="150"/>
        <w:jc w:val="left"/>
        <w:outlineLvl w:val="1"/>
        <w:rPr>
          <w:rFonts w:hint="eastAsia" w:ascii="宋体" w:hAnsi="宋体" w:eastAsia="宋体" w:cs="宋体"/>
          <w:b/>
          <w:color w:val="auto"/>
          <w:sz w:val="21"/>
          <w:szCs w:val="21"/>
          <w:highlight w:val="none"/>
        </w:rPr>
      </w:pPr>
      <w:bookmarkStart w:id="14" w:name="_Toc9135"/>
      <w:r>
        <w:rPr>
          <w:rFonts w:hint="eastAsia" w:ascii="宋体" w:hAnsi="宋体" w:eastAsia="宋体" w:cs="宋体"/>
          <w:b/>
          <w:color w:val="auto"/>
          <w:sz w:val="21"/>
          <w:szCs w:val="21"/>
          <w:highlight w:val="none"/>
        </w:rPr>
        <w:t>1.适用范围</w:t>
      </w:r>
      <w:bookmarkEnd w:id="14"/>
    </w:p>
    <w:p w14:paraId="57FD256C">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本招标文件适用于该项目的招标、投标、开标、资格审查及信用信息查询、评标、定标、合同、验收等行为（</w:t>
      </w:r>
      <w:r>
        <w:rPr>
          <w:rFonts w:hint="eastAsia" w:ascii="宋体" w:hAnsi="宋体" w:eastAsia="宋体" w:cs="宋体"/>
          <w:color w:val="auto"/>
          <w:sz w:val="21"/>
          <w:szCs w:val="21"/>
          <w:highlight w:val="none"/>
          <w:lang w:eastAsia="zh-CN"/>
        </w:rPr>
        <w:t>法律法规</w:t>
      </w:r>
      <w:r>
        <w:rPr>
          <w:rFonts w:hint="eastAsia" w:ascii="宋体" w:hAnsi="宋体" w:eastAsia="宋体" w:cs="宋体"/>
          <w:color w:val="auto"/>
          <w:sz w:val="21"/>
          <w:szCs w:val="21"/>
          <w:highlight w:val="none"/>
        </w:rPr>
        <w:t>另有规定的，从其规定）。</w:t>
      </w:r>
    </w:p>
    <w:p w14:paraId="315BD9E0">
      <w:pPr>
        <w:numPr>
          <w:ilvl w:val="0"/>
          <w:numId w:val="0"/>
        </w:numPr>
        <w:snapToGrid w:val="0"/>
        <w:spacing w:line="360" w:lineRule="auto"/>
        <w:ind w:firstLine="316" w:firstLineChars="150"/>
        <w:jc w:val="left"/>
        <w:outlineLvl w:val="1"/>
        <w:rPr>
          <w:rFonts w:hint="eastAsia" w:ascii="宋体" w:hAnsi="宋体" w:eastAsia="宋体" w:cs="宋体"/>
          <w:b/>
          <w:color w:val="auto"/>
          <w:sz w:val="21"/>
          <w:szCs w:val="21"/>
          <w:highlight w:val="none"/>
        </w:rPr>
      </w:pPr>
      <w:bookmarkStart w:id="15" w:name="_Toc18696"/>
      <w:r>
        <w:rPr>
          <w:rFonts w:hint="eastAsia" w:ascii="宋体" w:hAnsi="宋体" w:eastAsia="宋体" w:cs="宋体"/>
          <w:b/>
          <w:color w:val="auto"/>
          <w:kern w:val="2"/>
          <w:sz w:val="21"/>
          <w:szCs w:val="21"/>
          <w:highlight w:val="none"/>
          <w:lang w:val="en-US" w:eastAsia="zh-CN" w:bidi="ar-SA"/>
        </w:rPr>
        <w:t>2.</w:t>
      </w:r>
      <w:r>
        <w:rPr>
          <w:rFonts w:hint="eastAsia" w:ascii="宋体" w:hAnsi="宋体" w:eastAsia="宋体" w:cs="宋体"/>
          <w:b/>
          <w:color w:val="auto"/>
          <w:sz w:val="21"/>
          <w:szCs w:val="21"/>
          <w:highlight w:val="none"/>
        </w:rPr>
        <w:t>定义</w:t>
      </w:r>
      <w:bookmarkEnd w:id="15"/>
    </w:p>
    <w:p w14:paraId="74B5EB9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 “采购人”系指招标公告中载明的本项目的采购人。</w:t>
      </w:r>
    </w:p>
    <w:p w14:paraId="71CDA8D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 “</w:t>
      </w:r>
      <w:r>
        <w:rPr>
          <w:rFonts w:hint="eastAsia" w:ascii="宋体" w:hAnsi="宋体" w:eastAsia="宋体" w:cs="宋体"/>
          <w:color w:val="auto"/>
          <w:sz w:val="21"/>
          <w:szCs w:val="21"/>
          <w:highlight w:val="none"/>
          <w:lang w:eastAsia="zh-CN"/>
        </w:rPr>
        <w:t>采购代理机构</w:t>
      </w:r>
      <w:r>
        <w:rPr>
          <w:rFonts w:hint="eastAsia" w:ascii="宋体" w:hAnsi="宋体" w:eastAsia="宋体" w:cs="宋体"/>
          <w:color w:val="auto"/>
          <w:sz w:val="21"/>
          <w:szCs w:val="21"/>
          <w:highlight w:val="none"/>
        </w:rPr>
        <w:t>”系指招标公告中载明的本项目的</w:t>
      </w:r>
      <w:r>
        <w:rPr>
          <w:rFonts w:hint="eastAsia" w:ascii="宋体" w:hAnsi="宋体" w:eastAsia="宋体" w:cs="宋体"/>
          <w:color w:val="auto"/>
          <w:sz w:val="21"/>
          <w:szCs w:val="21"/>
          <w:highlight w:val="none"/>
          <w:lang w:eastAsia="zh-CN"/>
        </w:rPr>
        <w:t>采购代理机构</w:t>
      </w:r>
      <w:r>
        <w:rPr>
          <w:rFonts w:hint="eastAsia" w:ascii="宋体" w:hAnsi="宋体" w:eastAsia="宋体" w:cs="宋体"/>
          <w:color w:val="auto"/>
          <w:sz w:val="21"/>
          <w:szCs w:val="21"/>
          <w:highlight w:val="none"/>
        </w:rPr>
        <w:t>。</w:t>
      </w:r>
    </w:p>
    <w:p w14:paraId="6C3F7CF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 “投标人”系指响应招标、参加投标竞争的法人、其他组织或者自然人。</w:t>
      </w:r>
    </w:p>
    <w:p w14:paraId="523A7FE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 “负责人”系指法人企业的法定负责人，或其他组织为法律、行政法规规定代表单位行使职权的主要负责人，或自然人本人。</w:t>
      </w:r>
    </w:p>
    <w:p w14:paraId="7DDD387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7DD1A828">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2.6“电子交易平台”</w:t>
      </w:r>
      <w:r>
        <w:rPr>
          <w:rFonts w:hint="eastAsia" w:ascii="宋体" w:hAnsi="宋体" w:eastAsia="宋体" w:cs="宋体"/>
          <w:color w:val="auto"/>
          <w:sz w:val="21"/>
          <w:szCs w:val="21"/>
          <w:highlight w:val="none"/>
          <w:lang w:val="en-US" w:eastAsia="zh-CN"/>
        </w:rPr>
        <w:t>系</w:t>
      </w:r>
      <w:r>
        <w:rPr>
          <w:rFonts w:hint="eastAsia" w:ascii="宋体" w:hAnsi="宋体" w:eastAsia="宋体" w:cs="宋体"/>
          <w:color w:val="auto"/>
          <w:sz w:val="21"/>
          <w:szCs w:val="21"/>
          <w:highlight w:val="none"/>
        </w:rPr>
        <w:t>指本项目政府采购活动所依托的政府采购云平台（https://www.zcygov.cn/）。</w:t>
      </w:r>
    </w:p>
    <w:p w14:paraId="1076AB4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 “▲” 系指实质性要求条款，“</w:t>
      </w:r>
      <w:r>
        <w:rPr>
          <w:rFonts w:hint="eastAsia" w:ascii="宋体" w:hAnsi="宋体" w:eastAsia="宋体" w:cs="宋体"/>
          <w:b/>
          <w:bCs/>
          <w:color w:val="auto"/>
          <w:kern w:val="0"/>
          <w:sz w:val="21"/>
          <w:szCs w:val="21"/>
          <w:highlight w:val="none"/>
        </w:rPr>
        <w:t>■</w:t>
      </w:r>
      <w:r>
        <w:rPr>
          <w:rFonts w:hint="eastAsia" w:ascii="宋体" w:hAnsi="宋体" w:eastAsia="宋体" w:cs="宋体"/>
          <w:color w:val="auto"/>
          <w:sz w:val="21"/>
          <w:szCs w:val="21"/>
          <w:highlight w:val="none"/>
        </w:rPr>
        <w:t>”系指适用本项目的要求，“</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”系指不适用本项目的要求。</w:t>
      </w:r>
    </w:p>
    <w:p w14:paraId="7CF087EA">
      <w:pPr>
        <w:snapToGrid w:val="0"/>
        <w:spacing w:line="360" w:lineRule="auto"/>
        <w:ind w:firstLine="316" w:firstLineChars="150"/>
        <w:jc w:val="left"/>
        <w:outlineLvl w:val="1"/>
        <w:rPr>
          <w:rFonts w:hint="eastAsia" w:ascii="宋体" w:hAnsi="宋体" w:eastAsia="宋体" w:cs="宋体"/>
          <w:b/>
          <w:color w:val="auto"/>
          <w:sz w:val="21"/>
          <w:szCs w:val="21"/>
          <w:highlight w:val="none"/>
        </w:rPr>
      </w:pPr>
      <w:bookmarkStart w:id="16" w:name="_Toc25243"/>
      <w:r>
        <w:rPr>
          <w:rFonts w:hint="eastAsia" w:ascii="宋体" w:hAnsi="宋体" w:eastAsia="宋体" w:cs="宋体"/>
          <w:b/>
          <w:color w:val="auto"/>
          <w:sz w:val="21"/>
          <w:szCs w:val="21"/>
          <w:highlight w:val="none"/>
        </w:rPr>
        <w:t>3. 采购项目需要落实的政府采购政策</w:t>
      </w:r>
      <w:bookmarkEnd w:id="16"/>
    </w:p>
    <w:p w14:paraId="0E36302B">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w:t>
      </w:r>
      <w:r>
        <w:rPr>
          <w:rFonts w:hint="eastAsia" w:ascii="宋体" w:hAnsi="宋体" w:eastAsia="宋体" w:cs="宋体"/>
          <w:color w:val="auto"/>
          <w:sz w:val="21"/>
          <w:szCs w:val="21"/>
          <w:highlight w:val="none"/>
          <w:lang w:eastAsia="zh-CN"/>
        </w:rPr>
        <w:t>采购代理机构</w:t>
      </w:r>
      <w:r>
        <w:rPr>
          <w:rFonts w:hint="eastAsia" w:ascii="宋体" w:hAnsi="宋体" w:eastAsia="宋体" w:cs="宋体"/>
          <w:color w:val="auto"/>
          <w:sz w:val="21"/>
          <w:szCs w:val="21"/>
          <w:highlight w:val="none"/>
        </w:rPr>
        <w:t>不会对其加以限制，仍将按照公平竞争原则实施采购）；</w:t>
      </w:r>
      <w:r>
        <w:rPr>
          <w:rFonts w:hint="eastAsia" w:ascii="宋体" w:hAnsi="宋体" w:eastAsia="宋体" w:cs="宋体"/>
          <w:color w:val="auto"/>
          <w:kern w:val="0"/>
          <w:sz w:val="21"/>
          <w:szCs w:val="21"/>
          <w:highlight w:val="none"/>
        </w:rPr>
        <w:t>优先采购向我国企业转让技术、与我国企业签订消化吸收再创新方案的供应商的进口产品</w:t>
      </w:r>
      <w:r>
        <w:rPr>
          <w:rFonts w:hint="eastAsia" w:ascii="宋体" w:hAnsi="宋体" w:eastAsia="宋体" w:cs="宋体"/>
          <w:color w:val="auto"/>
          <w:sz w:val="21"/>
          <w:szCs w:val="21"/>
          <w:highlight w:val="none"/>
        </w:rPr>
        <w:t>。</w:t>
      </w:r>
    </w:p>
    <w:p w14:paraId="5A106047">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 支持绿色发展</w:t>
      </w:r>
    </w:p>
    <w:p w14:paraId="712D9E0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p>
    <w:p w14:paraId="0F1D4B37">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▲采购人拟采购的产品属于政府强制采购的节能产品品目清单范围的，投标人相应的投标产品未获得国家确定的认证机构出具的、处于有效期之内的节能产品认证证书的，投标无效。</w:t>
      </w:r>
    </w:p>
    <w:p w14:paraId="3726F486">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3.2.2 纳入政府采购管理的修缮、装修类项目采购建材的，鼓励采购单位将绿色建材性能、指标等作为实质性条件纳入采购文件和合同，具体性能指标要求参考相关绿色建材政府采购需求标准。</w:t>
      </w:r>
    </w:p>
    <w:p w14:paraId="25E21903">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bookmarkStart w:id="17" w:name="_Hlk107568539"/>
      <w:r>
        <w:rPr>
          <w:rFonts w:hint="eastAsia" w:ascii="宋体" w:hAnsi="宋体" w:eastAsia="宋体" w:cs="宋体"/>
          <w:color w:val="auto"/>
          <w:sz w:val="21"/>
          <w:szCs w:val="21"/>
          <w:highlight w:val="none"/>
        </w:rPr>
        <w:t>鼓励采购单位优先采购秸秆环保板材等资源综合利用产品。鼓励采购单位优先采购绿色物流配送服务、提供新能源交通工具的租赁服务。</w:t>
      </w:r>
    </w:p>
    <w:p w14:paraId="6B88CF19">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3.2.4 鼓励供应商在参加政府采购过程中开展绿色设计、选择绿色材料、打造绿色制造工艺、开展绿色运输、做好废弃产品回收处理，实现产品全周期的绿色环保。鼓励采购单位对其提高预付款比例、免收履约保证金。</w:t>
      </w:r>
      <w:bookmarkEnd w:id="17"/>
    </w:p>
    <w:p w14:paraId="1BA23993">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3.3支持中小企业发展</w:t>
      </w:r>
    </w:p>
    <w:p w14:paraId="2150C3B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1E3D99C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符合中小企业划分标准的个体工商户，在政府采购活动中视同中小企业。</w:t>
      </w:r>
    </w:p>
    <w:p w14:paraId="7D5245E1">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rPr>
        <w:t>3.3.2</w:t>
      </w:r>
      <w:r>
        <w:rPr>
          <w:rFonts w:hint="eastAsia" w:ascii="宋体" w:hAnsi="宋体" w:eastAsia="宋体" w:cs="宋体"/>
          <w:color w:val="auto"/>
          <w:kern w:val="0"/>
          <w:sz w:val="21"/>
          <w:szCs w:val="21"/>
          <w:highlight w:val="none"/>
        </w:rPr>
        <w:t>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14:paraId="0C211707">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以联合体形式参加政府采购活动，联合体各方均为中小企业的，联合体视同中小企业。其中，联合体各方均为小微企业的，联合体视同小微企业。</w:t>
      </w:r>
    </w:p>
    <w:p w14:paraId="0FD8ACC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3.3.3对于未预留份额专门面向中小企业的政府采购服务项目，以及预留份额政府采购服务项目中的非预留部分标项，对小型和微型企业的投标报价给予10%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14:paraId="5C23E6E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3.3.4符合《关于促进残疾人就业政府采购政策的通知》（财库〔2017〕141号）规定的条件并提供《残疾人福利性单位声明函》（附件1）的残疾人福利性单位视同小型、微型企业；</w:t>
      </w:r>
    </w:p>
    <w:p w14:paraId="650CA45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6359C5D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3.3.6</w:t>
      </w:r>
      <w:r>
        <w:rPr>
          <w:rFonts w:hint="eastAsia" w:ascii="宋体" w:hAnsi="宋体" w:eastAsia="宋体" w:cs="宋体"/>
          <w:color w:val="auto"/>
          <w:sz w:val="21"/>
          <w:szCs w:val="21"/>
          <w:highlight w:val="none"/>
          <w:lang w:eastAsia="zh-CN"/>
        </w:rPr>
        <w:t>可享受中小企业扶持政策的投标人应按照招标文件格式要求提供《中小企业声明函》，《中小企业声明函》填写企业类型错误，导致该企业享受本不能享受的中小企业扶持政策，投标无效并依法承担法律责任</w:t>
      </w:r>
      <w:r>
        <w:rPr>
          <w:rFonts w:hint="eastAsia" w:ascii="宋体" w:hAnsi="宋体" w:eastAsia="宋体" w:cs="宋体"/>
          <w:color w:val="auto"/>
          <w:sz w:val="21"/>
          <w:szCs w:val="21"/>
          <w:highlight w:val="none"/>
        </w:rPr>
        <w:t>。</w:t>
      </w:r>
    </w:p>
    <w:p w14:paraId="7C387227">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3.3.7中小企业享受扶持政策获得政府采购合同的，小微企业不得将合同分包给大中型企业，中型企业不得将合同分包给大型企业。</w:t>
      </w:r>
    </w:p>
    <w:p w14:paraId="0DBC98C7">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w:t>
      </w:r>
      <w:r>
        <w:rPr>
          <w:rFonts w:hint="eastAsia" w:ascii="宋体" w:hAnsi="宋体" w:eastAsia="宋体" w:cs="宋体"/>
          <w:bCs/>
          <w:color w:val="auto"/>
          <w:sz w:val="21"/>
          <w:szCs w:val="21"/>
          <w:highlight w:val="none"/>
        </w:rPr>
        <w:t>支持创新发展</w:t>
      </w:r>
    </w:p>
    <w:p w14:paraId="017B390F">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3.4.1 </w:t>
      </w:r>
      <w:r>
        <w:rPr>
          <w:rFonts w:hint="eastAsia" w:ascii="宋体" w:hAnsi="宋体" w:eastAsia="宋体" w:cs="宋体"/>
          <w:color w:val="auto"/>
          <w:sz w:val="21"/>
          <w:szCs w:val="21"/>
          <w:highlight w:val="none"/>
          <w:lang w:eastAsia="zh-CN"/>
        </w:rPr>
        <w:t>首台套、“制造精品”、“专精特新”等创新产品按规定享受政府采购支持政策</w:t>
      </w:r>
      <w:r>
        <w:rPr>
          <w:rFonts w:hint="eastAsia" w:ascii="宋体" w:hAnsi="宋体" w:eastAsia="宋体" w:cs="宋体"/>
          <w:color w:val="auto"/>
          <w:sz w:val="21"/>
          <w:szCs w:val="21"/>
          <w:highlight w:val="none"/>
        </w:rPr>
        <w:t>。</w:t>
      </w:r>
    </w:p>
    <w:p w14:paraId="3D064A33">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3.4.</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en-US"/>
        </w:rPr>
        <w:t xml:space="preserve"> </w:t>
      </w:r>
      <w:r>
        <w:rPr>
          <w:rFonts w:hint="eastAsia" w:ascii="宋体" w:hAnsi="宋体" w:eastAsia="宋体" w:cs="宋体"/>
          <w:color w:val="auto"/>
          <w:sz w:val="21"/>
          <w:szCs w:val="21"/>
          <w:highlight w:val="none"/>
          <w:lang w:val="en-US" w:eastAsia="zh-CN"/>
        </w:rPr>
        <w:t>采购人应当贯彻落实知识产权保护相关法律法规，</w:t>
      </w:r>
      <w:r>
        <w:rPr>
          <w:rFonts w:hint="eastAsia" w:ascii="宋体" w:hAnsi="宋体" w:eastAsia="宋体" w:cs="宋体"/>
          <w:color w:val="auto"/>
          <w:sz w:val="21"/>
          <w:szCs w:val="21"/>
          <w:highlight w:val="none"/>
          <w:lang w:val="en-US"/>
        </w:rPr>
        <w:t>应当采购使用正版软件。</w:t>
      </w:r>
    </w:p>
    <w:p w14:paraId="2A97F84F">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3.5平等对待内外资企业和符合条件的破产重整企业</w:t>
      </w:r>
    </w:p>
    <w:p w14:paraId="3FB98497">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平等对待内外资企业和符合条件的破产重整企业，切实保障企业公平竞争，平等维护企业的合法利益。</w:t>
      </w:r>
    </w:p>
    <w:p w14:paraId="6C23C3AE">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 支持本国产品</w:t>
      </w:r>
      <w:r>
        <w:rPr>
          <w:rFonts w:hint="eastAsia" w:ascii="宋体" w:hAnsi="宋体" w:cs="宋体"/>
          <w:color w:val="auto"/>
          <w:sz w:val="21"/>
          <w:szCs w:val="21"/>
          <w:highlight w:val="none"/>
          <w:lang w:val="en-US" w:eastAsia="zh-CN"/>
        </w:rPr>
        <w:t>（本项目不适用）</w:t>
      </w:r>
    </w:p>
    <w:p w14:paraId="46B579BA">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3.6.1 采购项目或采购标项中包含的货物，既有本国产品又有非本国产品参与竞争的，对本国产品的报价给予20%的价格扣除，用扣除后的价格参与评审。</w:t>
      </w:r>
    </w:p>
    <w:p w14:paraId="77594658">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3.6.2 当采购项目或者采购标项中含有多种产品，供应商为该采购项目或者采购标项提供的符合本国产品标准的产品成本之和占该供应商提供的全部产品成本之和的比例达到80%以上时，对该供应商提供的全部产品的总报价给予20%的价格扣除，用扣除后的价格参与评审。</w:t>
      </w:r>
    </w:p>
    <w:p w14:paraId="53DCF91F">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3.6.3 在财政部、工业和信息化部制定出台在中国境内生产的组件成本占比要求，以及特定产品的关键组件、关键工序要求之前，在中国境内生产的产品即视为符合本国产品标准，享受政府采购本国产品支持政策。</w:t>
      </w:r>
    </w:p>
    <w:p w14:paraId="7A1C3E5B">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3.6.4适用本国产品标准的货物具体是指《政府采购品目分类目录》中的货物类产品，但不包括其中的房屋和构筑物，文物和陈列品，图书和档案，特种动植物，农林牧渔业产品，矿与矿物，电力、城市燃气、蒸汽和热水、水，食品、饮料和烟草颜料，无形资产。</w:t>
      </w:r>
    </w:p>
    <w:p w14:paraId="5026DEC4">
      <w:pPr>
        <w:keepNext w:val="0"/>
        <w:keepLines w:val="0"/>
        <w:pageBreakBefore w:val="0"/>
        <w:widowControl w:val="0"/>
        <w:kinsoku/>
        <w:wordWrap/>
        <w:overflowPunct/>
        <w:topLinePunct w:val="0"/>
        <w:autoSpaceDE/>
        <w:autoSpaceDN/>
        <w:bidi w:val="0"/>
        <w:adjustRightInd w:val="0"/>
        <w:snapToGrid w:val="0"/>
        <w:spacing w:beforeAutospacing="0" w:line="360" w:lineRule="auto"/>
        <w:ind w:firstLine="422" w:firstLineChars="200"/>
        <w:textAlignment w:val="auto"/>
        <w:outlineLvl w:val="1"/>
        <w:rPr>
          <w:rFonts w:hint="eastAsia" w:ascii="宋体" w:hAnsi="宋体" w:eastAsia="宋体" w:cs="宋体"/>
          <w:b/>
          <w:color w:val="auto"/>
          <w:sz w:val="21"/>
          <w:szCs w:val="21"/>
          <w:highlight w:val="none"/>
        </w:rPr>
      </w:pPr>
      <w:bookmarkStart w:id="18" w:name="_Toc14204"/>
      <w:r>
        <w:rPr>
          <w:rFonts w:hint="eastAsia" w:ascii="宋体" w:hAnsi="宋体" w:eastAsia="宋体" w:cs="宋体"/>
          <w:b/>
          <w:color w:val="auto"/>
          <w:sz w:val="21"/>
          <w:szCs w:val="21"/>
          <w:highlight w:val="none"/>
        </w:rPr>
        <w:t>4. 询问、质疑、投诉、补偿救济</w:t>
      </w:r>
      <w:bookmarkEnd w:id="18"/>
    </w:p>
    <w:p w14:paraId="1666CF5C">
      <w:pPr>
        <w:widowControl/>
        <w:spacing w:line="360" w:lineRule="auto"/>
        <w:ind w:firstLine="420" w:firstLineChars="200"/>
        <w:jc w:val="left"/>
        <w:rPr>
          <w:rFonts w:hint="eastAsia" w:ascii="宋体" w:hAnsi="宋体" w:eastAsia="宋体" w:cs="宋体"/>
          <w:color w:val="auto"/>
          <w:kern w:val="0"/>
          <w:sz w:val="21"/>
          <w:szCs w:val="21"/>
          <w:highlight w:val="none"/>
          <w:lang w:val="zh-CN"/>
        </w:rPr>
      </w:pPr>
      <w:bookmarkStart w:id="19" w:name="_Toc22717"/>
      <w:r>
        <w:rPr>
          <w:rFonts w:hint="eastAsia" w:ascii="宋体" w:hAnsi="宋体" w:eastAsia="宋体" w:cs="宋体"/>
          <w:color w:val="auto"/>
          <w:kern w:val="0"/>
          <w:sz w:val="21"/>
          <w:szCs w:val="21"/>
          <w:highlight w:val="none"/>
          <w:lang w:val="zh-CN"/>
        </w:rPr>
        <w:t>4.1在线询问、质疑、投诉</w:t>
      </w:r>
      <w:bookmarkEnd w:id="19"/>
    </w:p>
    <w:p w14:paraId="3F0BE4C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w:t>
      </w:r>
      <w:r>
        <w:rPr>
          <w:rFonts w:hint="eastAsia" w:ascii="宋体" w:hAnsi="宋体" w:eastAsia="宋体" w:cs="宋体"/>
          <w:color w:val="auto"/>
          <w:sz w:val="21"/>
          <w:szCs w:val="21"/>
          <w:highlight w:val="none"/>
        </w:rPr>
        <w:t>政采云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项目采购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询问质疑投诉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质疑列表。质疑供应商对在线质疑答复不满意的，可在线提起投诉，路径为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政采云平台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项目采购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询问质疑投诉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投诉列表。采购当事人通过在线方式提出或受理询问、质疑、投诉的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即视为认可电子送达方式与邮寄送达方式具有同等法律效力。相关文书送达日期以该文书到达本采购当事人在政采云平台账户的日期为准。各采购当事人应确保其政采云平台账户信息真实有效，并保持账户处于正常可用状态。</w:t>
      </w:r>
    </w:p>
    <w:p w14:paraId="0D8D7C7B">
      <w:pPr>
        <w:widowControl/>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4.2供应商询问</w:t>
      </w:r>
    </w:p>
    <w:p w14:paraId="1613793B">
      <w:pPr>
        <w:keepNext w:val="0"/>
        <w:keepLines w:val="0"/>
        <w:pageBreakBefore w:val="0"/>
        <w:kinsoku/>
        <w:wordWrap/>
        <w:overflowPunct/>
        <w:topLinePunct w:val="0"/>
        <w:autoSpaceDE w:val="0"/>
        <w:autoSpaceDN w:val="0"/>
        <w:bidi w:val="0"/>
        <w:snapToGrid w:val="0"/>
        <w:spacing w:beforeAutospacing="0" w:line="360" w:lineRule="auto"/>
        <w:ind w:firstLine="420" w:firstLineChars="20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769FDEA5">
      <w:pPr>
        <w:widowControl/>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4.3供应商质疑</w:t>
      </w:r>
    </w:p>
    <w:p w14:paraId="18471BFF">
      <w:pPr>
        <w:widowControl/>
        <w:spacing w:line="360" w:lineRule="auto"/>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zh-CN"/>
        </w:rPr>
        <w:t>4.3.1提出质疑的供应商应当是参与所质疑项目采购活动的供应商。潜在供应商已依法获取其可质疑的招标文件的，可以对该文件提出质疑。</w:t>
      </w:r>
      <w:r>
        <w:rPr>
          <w:rFonts w:hint="eastAsia" w:ascii="宋体" w:hAnsi="宋体" w:eastAsia="宋体" w:cs="宋体"/>
          <w:color w:val="auto"/>
          <w:kern w:val="0"/>
          <w:sz w:val="21"/>
          <w:szCs w:val="21"/>
          <w:highlight w:val="none"/>
          <w:lang w:val="en-US" w:eastAsia="zh-CN"/>
        </w:rPr>
        <w:t>以联合体形式参加政府采购活动，联合体成员应当共同提出质疑。</w:t>
      </w:r>
    </w:p>
    <w:p w14:paraId="53DB1375">
      <w:pPr>
        <w:widowControl/>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4.3.2供应商认为招标文件、采购过程和中标结果使自己的权益受到损害的，可以在知道或者应知其权益受到损害之日起七个工作日内，以书面形式向采购人或者</w:t>
      </w:r>
      <w:r>
        <w:rPr>
          <w:rFonts w:hint="eastAsia" w:ascii="宋体" w:hAnsi="宋体" w:eastAsia="宋体" w:cs="宋体"/>
          <w:color w:val="auto"/>
          <w:kern w:val="0"/>
          <w:sz w:val="21"/>
          <w:szCs w:val="21"/>
          <w:highlight w:val="none"/>
          <w:lang w:val="zh-CN" w:eastAsia="zh-CN"/>
        </w:rPr>
        <w:t>采购代理机构</w:t>
      </w:r>
      <w:r>
        <w:rPr>
          <w:rFonts w:hint="eastAsia" w:ascii="宋体" w:hAnsi="宋体" w:eastAsia="宋体" w:cs="宋体"/>
          <w:color w:val="auto"/>
          <w:kern w:val="0"/>
          <w:sz w:val="21"/>
          <w:szCs w:val="21"/>
          <w:highlight w:val="none"/>
          <w:lang w:val="zh-CN"/>
        </w:rPr>
        <w:t>提出质疑，否则，采购人或者</w:t>
      </w:r>
      <w:r>
        <w:rPr>
          <w:rFonts w:hint="eastAsia" w:ascii="宋体" w:hAnsi="宋体" w:eastAsia="宋体" w:cs="宋体"/>
          <w:color w:val="auto"/>
          <w:kern w:val="0"/>
          <w:sz w:val="21"/>
          <w:szCs w:val="21"/>
          <w:highlight w:val="none"/>
          <w:lang w:val="zh-CN" w:eastAsia="zh-CN"/>
        </w:rPr>
        <w:t>采购代理机构</w:t>
      </w:r>
      <w:r>
        <w:rPr>
          <w:rFonts w:hint="eastAsia" w:ascii="宋体" w:hAnsi="宋体" w:eastAsia="宋体" w:cs="宋体"/>
          <w:color w:val="auto"/>
          <w:kern w:val="0"/>
          <w:sz w:val="21"/>
          <w:szCs w:val="21"/>
          <w:highlight w:val="none"/>
          <w:lang w:val="zh-CN"/>
        </w:rPr>
        <w:t>不予受理：</w:t>
      </w:r>
    </w:p>
    <w:p w14:paraId="698E51FD">
      <w:pPr>
        <w:widowControl/>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zh-CN"/>
        </w:rPr>
        <w:t>4.3.2.1对招标文件提出质疑的，质疑期限为供应商获得招标文件</w:t>
      </w:r>
      <w:r>
        <w:rPr>
          <w:rFonts w:hint="eastAsia" w:ascii="宋体" w:hAnsi="宋体" w:eastAsia="宋体" w:cs="宋体"/>
          <w:color w:val="auto"/>
          <w:kern w:val="2"/>
          <w:sz w:val="21"/>
          <w:szCs w:val="21"/>
          <w:highlight w:val="none"/>
        </w:rPr>
        <w:t>之日或者招标文件公告期限届满之日起计算。</w:t>
      </w:r>
    </w:p>
    <w:p w14:paraId="0F578309">
      <w:pPr>
        <w:pStyle w:val="33"/>
        <w:keepNext w:val="0"/>
        <w:keepLines w:val="0"/>
        <w:pageBreakBefore w:val="0"/>
        <w:kinsoku/>
        <w:wordWrap/>
        <w:overflowPunct/>
        <w:topLinePunct w:val="0"/>
        <w:bidi w:val="0"/>
        <w:snapToGrid w:val="0"/>
        <w:spacing w:beforeAutospacing="0"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4.3.2.2对采购过程提出质疑的，质疑期限为各采购程序环节结束之日起计算。</w:t>
      </w:r>
    </w:p>
    <w:p w14:paraId="63478908">
      <w:pPr>
        <w:pStyle w:val="33"/>
        <w:keepNext w:val="0"/>
        <w:keepLines w:val="0"/>
        <w:pageBreakBefore w:val="0"/>
        <w:kinsoku/>
        <w:wordWrap/>
        <w:overflowPunct/>
        <w:topLinePunct w:val="0"/>
        <w:bidi w:val="0"/>
        <w:snapToGrid w:val="0"/>
        <w:spacing w:beforeAutospacing="0"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4.3.2.3对采购结果提出质疑的，质疑期限自采购结果公告期限届满之日起计算。</w:t>
      </w:r>
    </w:p>
    <w:p w14:paraId="157FE7DC">
      <w:pPr>
        <w:pStyle w:val="33"/>
        <w:keepNext w:val="0"/>
        <w:keepLines w:val="0"/>
        <w:pageBreakBefore w:val="0"/>
        <w:kinsoku/>
        <w:wordWrap/>
        <w:overflowPunct/>
        <w:topLinePunct w:val="0"/>
        <w:autoSpaceDE/>
        <w:autoSpaceDN/>
        <w:bidi w:val="0"/>
        <w:snapToGrid w:val="0"/>
        <w:spacing w:beforeAutospacing="0" w:line="360" w:lineRule="auto"/>
        <w:ind w:firstLine="420" w:firstLineChars="200"/>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4.3.3</w:t>
      </w:r>
      <w:r>
        <w:rPr>
          <w:rFonts w:hint="eastAsia" w:ascii="宋体" w:hAnsi="宋体" w:eastAsia="宋体" w:cs="宋体"/>
          <w:color w:val="auto"/>
          <w:sz w:val="21"/>
          <w:szCs w:val="21"/>
          <w:highlight w:val="none"/>
        </w:rPr>
        <w:t>供应商提出质疑应当提交质疑函和必要的证明材料。质疑函应当包括下列内容：</w:t>
      </w:r>
    </w:p>
    <w:p w14:paraId="2980753F">
      <w:pPr>
        <w:pStyle w:val="33"/>
        <w:keepNext w:val="0"/>
        <w:keepLines w:val="0"/>
        <w:pageBreakBefore w:val="0"/>
        <w:kinsoku/>
        <w:wordWrap/>
        <w:overflowPunct/>
        <w:topLinePunct w:val="0"/>
        <w:autoSpaceDE/>
        <w:autoSpaceDN/>
        <w:bidi w:val="0"/>
        <w:snapToGrid w:val="0"/>
        <w:spacing w:beforeAutospacing="0" w:line="360" w:lineRule="auto"/>
        <w:ind w:firstLine="420" w:firstLineChars="200"/>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4.3.3.1供应商的姓名或者名称、地址、邮编、联系人及联系电话；</w:t>
      </w:r>
    </w:p>
    <w:p w14:paraId="5A67727F">
      <w:pPr>
        <w:pStyle w:val="33"/>
        <w:keepNext w:val="0"/>
        <w:keepLines w:val="0"/>
        <w:pageBreakBefore w:val="0"/>
        <w:kinsoku/>
        <w:wordWrap/>
        <w:overflowPunct/>
        <w:topLinePunct w:val="0"/>
        <w:autoSpaceDE/>
        <w:autoSpaceDN/>
        <w:bidi w:val="0"/>
        <w:snapToGrid w:val="0"/>
        <w:spacing w:beforeAutospacing="0" w:line="360" w:lineRule="auto"/>
        <w:ind w:firstLine="420" w:firstLineChars="200"/>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4.3.3.2质疑项目的名称、编号；</w:t>
      </w:r>
    </w:p>
    <w:p w14:paraId="6091B110">
      <w:pPr>
        <w:pStyle w:val="33"/>
        <w:keepNext w:val="0"/>
        <w:keepLines w:val="0"/>
        <w:pageBreakBefore w:val="0"/>
        <w:kinsoku/>
        <w:wordWrap/>
        <w:overflowPunct/>
        <w:topLinePunct w:val="0"/>
        <w:autoSpaceDE/>
        <w:autoSpaceDN/>
        <w:bidi w:val="0"/>
        <w:snapToGrid w:val="0"/>
        <w:spacing w:beforeAutospacing="0" w:line="360" w:lineRule="auto"/>
        <w:ind w:firstLine="420" w:firstLineChars="200"/>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4.3.3.3具体、明确的质疑事项和与质疑事项相关的请求；</w:t>
      </w:r>
    </w:p>
    <w:p w14:paraId="22245BBA">
      <w:pPr>
        <w:pStyle w:val="33"/>
        <w:keepNext w:val="0"/>
        <w:keepLines w:val="0"/>
        <w:pageBreakBefore w:val="0"/>
        <w:kinsoku/>
        <w:wordWrap/>
        <w:overflowPunct/>
        <w:topLinePunct w:val="0"/>
        <w:autoSpaceDE/>
        <w:autoSpaceDN/>
        <w:bidi w:val="0"/>
        <w:snapToGrid w:val="0"/>
        <w:spacing w:beforeAutospacing="0" w:line="360" w:lineRule="auto"/>
        <w:ind w:firstLine="420" w:firstLineChars="200"/>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4.3.3.4事实依据；</w:t>
      </w:r>
    </w:p>
    <w:p w14:paraId="3681E5E4">
      <w:pPr>
        <w:pStyle w:val="33"/>
        <w:keepNext w:val="0"/>
        <w:keepLines w:val="0"/>
        <w:pageBreakBefore w:val="0"/>
        <w:kinsoku/>
        <w:wordWrap/>
        <w:overflowPunct/>
        <w:topLinePunct w:val="0"/>
        <w:autoSpaceDE/>
        <w:autoSpaceDN/>
        <w:bidi w:val="0"/>
        <w:snapToGrid w:val="0"/>
        <w:spacing w:beforeAutospacing="0" w:line="360" w:lineRule="auto"/>
        <w:ind w:firstLine="420" w:firstLineChars="200"/>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4.3.3.5必要的法律依据；</w:t>
      </w:r>
    </w:p>
    <w:p w14:paraId="4CB50CF6">
      <w:pPr>
        <w:pStyle w:val="33"/>
        <w:keepNext w:val="0"/>
        <w:keepLines w:val="0"/>
        <w:pageBreakBefore w:val="0"/>
        <w:kinsoku/>
        <w:wordWrap/>
        <w:overflowPunct/>
        <w:topLinePunct w:val="0"/>
        <w:autoSpaceDE/>
        <w:autoSpaceDN/>
        <w:bidi w:val="0"/>
        <w:snapToGrid w:val="0"/>
        <w:spacing w:beforeAutospacing="0" w:line="360" w:lineRule="auto"/>
        <w:ind w:firstLine="840" w:firstLineChars="400"/>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4.3.3.6提出质疑的日期。</w:t>
      </w:r>
    </w:p>
    <w:p w14:paraId="78CAEEFC">
      <w:pPr>
        <w:pStyle w:val="33"/>
        <w:keepNext w:val="0"/>
        <w:keepLines w:val="0"/>
        <w:pageBreakBefore w:val="0"/>
        <w:kinsoku/>
        <w:wordWrap/>
        <w:overflowPunct/>
        <w:topLinePunct w:val="0"/>
        <w:bidi w:val="0"/>
        <w:snapToGrid w:val="0"/>
        <w:spacing w:beforeAutospacing="0"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供应商提交的质疑函需一式三份。供应商为自然人的，应当由本人签字；供应商为法人或者其他组织的，应当由法定代表人、主要负责人，或者其授权代表签字或者盖章，并加盖公章。</w:t>
      </w:r>
    </w:p>
    <w:p w14:paraId="73852E6E">
      <w:pPr>
        <w:pStyle w:val="33"/>
        <w:keepNext w:val="0"/>
        <w:keepLines w:val="0"/>
        <w:pageBreakBefore w:val="0"/>
        <w:kinsoku/>
        <w:wordWrap/>
        <w:overflowPunct/>
        <w:topLinePunct w:val="0"/>
        <w:bidi w:val="0"/>
        <w:snapToGrid w:val="0"/>
        <w:spacing w:beforeAutospacing="0"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质疑函范本及制作说明详见附件2。</w:t>
      </w:r>
    </w:p>
    <w:p w14:paraId="599FD0A5">
      <w:pPr>
        <w:pStyle w:val="33"/>
        <w:keepNext w:val="0"/>
        <w:keepLines w:val="0"/>
        <w:pageBreakBefore w:val="0"/>
        <w:kinsoku/>
        <w:wordWrap/>
        <w:overflowPunct/>
        <w:topLinePunct w:val="0"/>
        <w:bidi w:val="0"/>
        <w:snapToGrid w:val="0"/>
        <w:spacing w:beforeAutospacing="0"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4.3.4对同一采购程序环节的质疑，供应商须在法定质疑期内一次性提出。</w:t>
      </w:r>
    </w:p>
    <w:p w14:paraId="50BD3E30">
      <w:pPr>
        <w:pStyle w:val="33"/>
        <w:keepNext w:val="0"/>
        <w:keepLines w:val="0"/>
        <w:pageBreakBefore w:val="0"/>
        <w:kinsoku/>
        <w:wordWrap/>
        <w:overflowPunct/>
        <w:topLinePunct w:val="0"/>
        <w:bidi w:val="0"/>
        <w:snapToGrid w:val="0"/>
        <w:spacing w:beforeAutospacing="0"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4.3</w:t>
      </w:r>
      <w:r>
        <w:rPr>
          <w:rFonts w:hint="eastAsia" w:ascii="宋体" w:hAnsi="宋体" w:eastAsia="宋体" w:cs="宋体"/>
          <w:color w:val="auto"/>
          <w:sz w:val="21"/>
          <w:szCs w:val="21"/>
          <w:highlight w:val="none"/>
        </w:rPr>
        <w:t>.5采购人或者</w:t>
      </w:r>
      <w:r>
        <w:rPr>
          <w:rFonts w:hint="eastAsia" w:ascii="宋体" w:hAnsi="宋体" w:eastAsia="宋体" w:cs="宋体"/>
          <w:color w:val="auto"/>
          <w:sz w:val="21"/>
          <w:szCs w:val="21"/>
          <w:highlight w:val="none"/>
          <w:lang w:eastAsia="zh-CN"/>
        </w:rPr>
        <w:t>采购代理机构</w:t>
      </w:r>
      <w:r>
        <w:rPr>
          <w:rFonts w:hint="eastAsia" w:ascii="宋体" w:hAnsi="宋体" w:eastAsia="宋体" w:cs="宋体"/>
          <w:color w:val="auto"/>
          <w:sz w:val="21"/>
          <w:szCs w:val="21"/>
          <w:highlight w:val="none"/>
        </w:rPr>
        <w:t>应当在收到供应商的书面质疑后七个工作日内作出答复，并以书面形式通知质疑供应商和其他与质疑处理结果有利害关系的政府采购当事人，但答复的内容不得涉及商业秘密。</w:t>
      </w:r>
    </w:p>
    <w:p w14:paraId="039A54F8">
      <w:pPr>
        <w:pStyle w:val="33"/>
        <w:keepNext w:val="0"/>
        <w:keepLines w:val="0"/>
        <w:pageBreakBefore w:val="0"/>
        <w:kinsoku/>
        <w:wordWrap/>
        <w:overflowPunct/>
        <w:topLinePunct w:val="0"/>
        <w:bidi w:val="0"/>
        <w:snapToGrid w:val="0"/>
        <w:spacing w:beforeAutospacing="0"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4.3</w:t>
      </w:r>
      <w:r>
        <w:rPr>
          <w:rFonts w:hint="eastAsia" w:ascii="宋体" w:hAnsi="宋体" w:eastAsia="宋体" w:cs="宋体"/>
          <w:color w:val="auto"/>
          <w:sz w:val="21"/>
          <w:szCs w:val="21"/>
          <w:highlight w:val="none"/>
        </w:rPr>
        <w:t>.6询问或者质疑事项可能影响采购结果的，采购人应当暂停签订合同，已经签订合同的，应当中止履行合同。</w:t>
      </w:r>
    </w:p>
    <w:p w14:paraId="5157C9BE">
      <w:pPr>
        <w:pStyle w:val="33"/>
        <w:keepNext w:val="0"/>
        <w:keepLines w:val="0"/>
        <w:pageBreakBefore w:val="0"/>
        <w:kinsoku/>
        <w:wordWrap/>
        <w:overflowPunct/>
        <w:topLinePunct w:val="0"/>
        <w:bidi w:val="0"/>
        <w:snapToGrid w:val="0"/>
        <w:spacing w:beforeAutospacing="0" w:line="360" w:lineRule="auto"/>
        <w:ind w:left="0" w:lef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4.4供应商投诉</w:t>
      </w:r>
    </w:p>
    <w:p w14:paraId="61E93071">
      <w:pPr>
        <w:pStyle w:val="33"/>
        <w:keepNext w:val="0"/>
        <w:keepLines w:val="0"/>
        <w:pageBreakBefore w:val="0"/>
        <w:kinsoku/>
        <w:wordWrap/>
        <w:overflowPunct/>
        <w:topLinePunct w:val="0"/>
        <w:bidi w:val="0"/>
        <w:snapToGrid w:val="0"/>
        <w:spacing w:beforeAutospacing="0"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4.4.1质疑供应商对采购人、</w:t>
      </w:r>
      <w:r>
        <w:rPr>
          <w:rFonts w:hint="eastAsia" w:ascii="宋体" w:hAnsi="宋体" w:eastAsia="宋体" w:cs="宋体"/>
          <w:color w:val="auto"/>
          <w:sz w:val="21"/>
          <w:szCs w:val="21"/>
          <w:highlight w:val="none"/>
          <w:lang w:eastAsia="zh-CN"/>
        </w:rPr>
        <w:t>采购代理机构</w:t>
      </w:r>
      <w:r>
        <w:rPr>
          <w:rFonts w:hint="eastAsia" w:ascii="宋体" w:hAnsi="宋体" w:eastAsia="宋体" w:cs="宋体"/>
          <w:color w:val="auto"/>
          <w:sz w:val="21"/>
          <w:szCs w:val="21"/>
          <w:highlight w:val="none"/>
        </w:rPr>
        <w:t>的答复不满意或者采购人、</w:t>
      </w:r>
      <w:r>
        <w:rPr>
          <w:rFonts w:hint="eastAsia" w:ascii="宋体" w:hAnsi="宋体" w:eastAsia="宋体" w:cs="宋体"/>
          <w:color w:val="auto"/>
          <w:sz w:val="21"/>
          <w:szCs w:val="21"/>
          <w:highlight w:val="none"/>
          <w:lang w:eastAsia="zh-CN"/>
        </w:rPr>
        <w:t>采购代理机构</w:t>
      </w:r>
      <w:r>
        <w:rPr>
          <w:rFonts w:hint="eastAsia" w:ascii="宋体" w:hAnsi="宋体" w:eastAsia="宋体" w:cs="宋体"/>
          <w:color w:val="auto"/>
          <w:sz w:val="21"/>
          <w:szCs w:val="21"/>
          <w:highlight w:val="none"/>
        </w:rPr>
        <w:t>未在规定的时间内作出答复的，可以在答复期满后十五个工作日内向同级政府采购监督管理部门提出投诉。</w:t>
      </w:r>
    </w:p>
    <w:p w14:paraId="6CC3FA10">
      <w:pPr>
        <w:pStyle w:val="33"/>
        <w:keepNext w:val="0"/>
        <w:keepLines w:val="0"/>
        <w:pageBreakBefore w:val="0"/>
        <w:kinsoku/>
        <w:wordWrap/>
        <w:overflowPunct/>
        <w:topLinePunct w:val="0"/>
        <w:bidi w:val="0"/>
        <w:snapToGrid w:val="0"/>
        <w:spacing w:beforeAutospacing="0"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w:t>
      </w: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供应商投诉的事项不得超出已质疑事项的范围，基于质疑答复内容提出的投诉事项除外。</w:t>
      </w:r>
    </w:p>
    <w:p w14:paraId="08643752">
      <w:pPr>
        <w:pStyle w:val="33"/>
        <w:keepNext w:val="0"/>
        <w:keepLines w:val="0"/>
        <w:pageBreakBefore w:val="0"/>
        <w:kinsoku/>
        <w:wordWrap/>
        <w:overflowPunct/>
        <w:topLinePunct w:val="0"/>
        <w:bidi w:val="0"/>
        <w:snapToGrid w:val="0"/>
        <w:spacing w:beforeAutospacing="0"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4.4.3供应商投诉应当有明确的请求和必要的证明材料。</w:t>
      </w:r>
    </w:p>
    <w:p w14:paraId="29D93AF3">
      <w:pPr>
        <w:pStyle w:val="33"/>
        <w:keepNext w:val="0"/>
        <w:keepLines w:val="0"/>
        <w:pageBreakBefore w:val="0"/>
        <w:kinsoku/>
        <w:wordWrap/>
        <w:overflowPunct/>
        <w:topLinePunct w:val="0"/>
        <w:bidi w:val="0"/>
        <w:snapToGrid w:val="0"/>
        <w:spacing w:beforeAutospacing="0"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4.4.4 以联合体形式参加政府采购活动的，其投诉应当由组成联合体的所有供应商共同提出。</w:t>
      </w:r>
    </w:p>
    <w:p w14:paraId="302F7EC5">
      <w:pPr>
        <w:pageBreakBefore w:val="0"/>
        <w:numPr>
          <w:ilvl w:val="2"/>
          <w:numId w:val="0"/>
        </w:numPr>
        <w:shd w:val="clear" w:color="auto" w:fill="auto"/>
        <w:tabs>
          <w:tab w:val="left" w:pos="210"/>
        </w:tabs>
        <w:kinsoku/>
        <w:overflowPunct/>
        <w:topLinePunct w:val="0"/>
        <w:bidi w:val="0"/>
        <w:spacing w:line="360" w:lineRule="auto"/>
        <w:ind w:left="846" w:leftChars="200" w:hanging="426" w:hangingChars="203"/>
        <w:jc w:val="left"/>
        <w:rPr>
          <w:rFonts w:hint="eastAsia" w:ascii="宋体" w:hAnsi="宋体" w:eastAsia="宋体" w:cs="宋体"/>
          <w:bCs/>
          <w:color w:val="auto"/>
          <w:sz w:val="21"/>
          <w:szCs w:val="21"/>
          <w:highlight w:val="none"/>
          <w:lang w:val="zh-CN"/>
        </w:rPr>
      </w:pPr>
      <w:r>
        <w:rPr>
          <w:rFonts w:hint="eastAsia" w:ascii="宋体" w:hAnsi="宋体" w:eastAsia="宋体" w:cs="宋体"/>
          <w:color w:val="auto"/>
          <w:sz w:val="21"/>
          <w:szCs w:val="21"/>
          <w:highlight w:val="none"/>
        </w:rPr>
        <w:t>4.4.5根据政府采购行政裁决省市区三级联动试点工作安排，杭州市本级</w:t>
      </w:r>
      <w:r>
        <w:rPr>
          <w:rFonts w:hint="eastAsia" w:ascii="宋体" w:hAnsi="宋体" w:eastAsia="宋体" w:cs="宋体"/>
          <w:color w:val="auto"/>
          <w:sz w:val="21"/>
          <w:szCs w:val="21"/>
          <w:highlight w:val="none"/>
          <w:lang w:eastAsia="zh-CN"/>
        </w:rPr>
        <w:t>及各区、县（市）</w:t>
      </w:r>
      <w:r>
        <w:rPr>
          <w:rFonts w:hint="eastAsia" w:ascii="宋体" w:hAnsi="宋体" w:eastAsia="宋体" w:cs="宋体"/>
          <w:color w:val="auto"/>
          <w:sz w:val="21"/>
          <w:szCs w:val="21"/>
          <w:highlight w:val="none"/>
        </w:rPr>
        <w:t>政府采购项目投诉材料可寄送至浙江省政府采购行政裁决服务中心（杭州），地址：</w:t>
      </w:r>
      <w:r>
        <w:rPr>
          <w:rFonts w:hint="eastAsia" w:ascii="宋体" w:hAnsi="宋体" w:eastAsia="宋体" w:cs="宋体"/>
          <w:i w:val="0"/>
          <w:caps w:val="0"/>
          <w:color w:val="auto"/>
          <w:spacing w:val="0"/>
          <w:sz w:val="21"/>
          <w:szCs w:val="21"/>
          <w:highlight w:val="none"/>
          <w:lang w:eastAsia="zh-CN"/>
        </w:rPr>
        <w:t>杭州市上城区清泰街549号城建综合大楼11楼</w:t>
      </w:r>
      <w:r>
        <w:rPr>
          <w:rFonts w:hint="eastAsia" w:ascii="宋体" w:hAnsi="宋体" w:eastAsia="宋体" w:cs="宋体"/>
          <w:i w:val="0"/>
          <w:caps w:val="0"/>
          <w:color w:val="auto"/>
          <w:spacing w:val="0"/>
          <w:sz w:val="21"/>
          <w:szCs w:val="21"/>
          <w:highlight w:val="none"/>
        </w:rPr>
        <w:t>（快递仅限ems或顺丰）</w:t>
      </w:r>
      <w:r>
        <w:rPr>
          <w:rFonts w:hint="eastAsia" w:ascii="宋体" w:hAnsi="宋体" w:eastAsia="宋体" w:cs="宋体"/>
          <w:i w:val="0"/>
          <w:caps w:val="0"/>
          <w:color w:val="auto"/>
          <w:spacing w:val="0"/>
          <w:sz w:val="21"/>
          <w:szCs w:val="21"/>
          <w:highlight w:val="none"/>
          <w:lang w:eastAsia="zh-CN"/>
        </w:rPr>
        <w:t>，</w:t>
      </w:r>
      <w:r>
        <w:rPr>
          <w:rFonts w:hint="eastAsia" w:ascii="宋体" w:hAnsi="宋体" w:eastAsia="宋体" w:cs="宋体"/>
          <w:color w:val="auto"/>
          <w:sz w:val="21"/>
          <w:szCs w:val="21"/>
          <w:highlight w:val="none"/>
        </w:rPr>
        <w:t>收件人：</w:t>
      </w:r>
      <w:r>
        <w:rPr>
          <w:rFonts w:hint="eastAsia" w:ascii="宋体" w:hAnsi="宋体" w:eastAsia="宋体" w:cs="宋体"/>
          <w:color w:val="auto"/>
          <w:szCs w:val="21"/>
          <w:highlight w:val="none"/>
        </w:rPr>
        <w:t>匡老师</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监督投诉电话：0571-87807798</w:t>
      </w:r>
      <w:r>
        <w:rPr>
          <w:rFonts w:hint="eastAsia" w:ascii="宋体" w:hAnsi="宋体" w:eastAsia="宋体" w:cs="宋体"/>
          <w:color w:val="auto"/>
          <w:szCs w:val="21"/>
          <w:highlight w:val="none"/>
          <w:lang w:eastAsia="zh-CN"/>
        </w:rPr>
        <w:t>；</w:t>
      </w:r>
    </w:p>
    <w:p w14:paraId="3E47E683">
      <w:pPr>
        <w:pStyle w:val="33"/>
        <w:keepNext w:val="0"/>
        <w:keepLines w:val="0"/>
        <w:pageBreakBefore w:val="0"/>
        <w:kinsoku/>
        <w:wordWrap/>
        <w:overflowPunct/>
        <w:topLinePunct w:val="0"/>
        <w:bidi w:val="0"/>
        <w:snapToGrid w:val="0"/>
        <w:spacing w:beforeAutospacing="0"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投诉书范本及制作说明详见附件3。</w:t>
      </w:r>
    </w:p>
    <w:p w14:paraId="0FD3A4FE">
      <w:pPr>
        <w:adjustRightInd/>
        <w:spacing w:line="360" w:lineRule="auto"/>
        <w:jc w:val="center"/>
        <w:outlineLvl w:val="0"/>
        <w:rPr>
          <w:rFonts w:hint="eastAsia" w:ascii="宋体" w:hAnsi="宋体" w:eastAsia="宋体" w:cs="宋体"/>
          <w:b/>
          <w:color w:val="auto"/>
          <w:sz w:val="32"/>
          <w:szCs w:val="20"/>
          <w:highlight w:val="none"/>
        </w:rPr>
      </w:pPr>
      <w:bookmarkStart w:id="20" w:name="_Toc18238"/>
      <w:r>
        <w:rPr>
          <w:rFonts w:hint="eastAsia" w:ascii="宋体" w:hAnsi="宋体" w:eastAsia="宋体" w:cs="宋体"/>
          <w:b/>
          <w:color w:val="auto"/>
          <w:sz w:val="32"/>
          <w:szCs w:val="20"/>
          <w:highlight w:val="none"/>
        </w:rPr>
        <w:t>二、招标文件的构成、澄清、修改</w:t>
      </w:r>
      <w:bookmarkEnd w:id="20"/>
    </w:p>
    <w:p w14:paraId="00BE78BB">
      <w:pPr>
        <w:pStyle w:val="33"/>
        <w:keepNext w:val="0"/>
        <w:keepLines w:val="0"/>
        <w:pageBreakBefore w:val="0"/>
        <w:widowControl w:val="0"/>
        <w:kinsoku/>
        <w:wordWrap/>
        <w:overflowPunct/>
        <w:topLinePunct w:val="0"/>
        <w:autoSpaceDE/>
        <w:autoSpaceDN/>
        <w:bidi w:val="0"/>
        <w:adjustRightInd w:val="0"/>
        <w:snapToGrid/>
        <w:spacing w:line="360" w:lineRule="auto"/>
        <w:textAlignment w:val="auto"/>
        <w:outlineLvl w:val="1"/>
        <w:rPr>
          <w:rFonts w:hint="eastAsia" w:ascii="宋体" w:hAnsi="宋体" w:eastAsia="宋体" w:cs="宋体"/>
          <w:b/>
          <w:color w:val="auto"/>
          <w:sz w:val="21"/>
          <w:szCs w:val="21"/>
          <w:highlight w:val="none"/>
        </w:rPr>
      </w:pPr>
      <w:bookmarkStart w:id="21" w:name="_Toc12061"/>
      <w:r>
        <w:rPr>
          <w:rFonts w:hint="eastAsia" w:ascii="宋体" w:hAnsi="宋体" w:eastAsia="宋体" w:cs="宋体"/>
          <w:b/>
          <w:color w:val="auto"/>
          <w:sz w:val="21"/>
          <w:szCs w:val="21"/>
          <w:highlight w:val="none"/>
          <w:lang w:eastAsia="zh-CN"/>
        </w:rPr>
        <w:t>5.</w:t>
      </w:r>
      <w:r>
        <w:rPr>
          <w:rFonts w:hint="eastAsia" w:ascii="宋体" w:hAnsi="宋体" w:eastAsia="宋体" w:cs="宋体"/>
          <w:b/>
          <w:color w:val="auto"/>
          <w:sz w:val="21"/>
          <w:szCs w:val="21"/>
          <w:highlight w:val="none"/>
        </w:rPr>
        <w:t>招标文件的构成</w:t>
      </w:r>
      <w:bookmarkEnd w:id="21"/>
    </w:p>
    <w:p w14:paraId="41BE1831">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 招标文件包括下列文件及附件：</w:t>
      </w:r>
    </w:p>
    <w:p w14:paraId="2A96E5AC">
      <w:pPr>
        <w:pStyle w:val="33"/>
        <w:tabs>
          <w:tab w:val="left" w:pos="840"/>
        </w:tabs>
        <w:spacing w:line="360" w:lineRule="auto"/>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5.1.1招标公告；</w:t>
      </w:r>
    </w:p>
    <w:p w14:paraId="4ABC6379">
      <w:pPr>
        <w:pStyle w:val="33"/>
        <w:tabs>
          <w:tab w:val="left" w:pos="840"/>
        </w:tabs>
        <w:spacing w:line="360" w:lineRule="auto"/>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5.1.2投标人须知；</w:t>
      </w:r>
    </w:p>
    <w:p w14:paraId="43EDFEA8">
      <w:pPr>
        <w:pStyle w:val="33"/>
        <w:tabs>
          <w:tab w:val="left" w:pos="840"/>
        </w:tabs>
        <w:spacing w:line="360" w:lineRule="auto"/>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5.1.3采购需求；</w:t>
      </w:r>
    </w:p>
    <w:p w14:paraId="2D76217C">
      <w:pPr>
        <w:pStyle w:val="33"/>
        <w:tabs>
          <w:tab w:val="left" w:pos="840"/>
        </w:tabs>
        <w:spacing w:line="360" w:lineRule="auto"/>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5.1.4评标办法；</w:t>
      </w:r>
    </w:p>
    <w:p w14:paraId="634F45D8">
      <w:pPr>
        <w:pStyle w:val="33"/>
        <w:tabs>
          <w:tab w:val="left" w:pos="840"/>
        </w:tabs>
        <w:spacing w:line="360" w:lineRule="auto"/>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5.1.5拟签订的合同文本；</w:t>
      </w:r>
    </w:p>
    <w:p w14:paraId="166F7CEF">
      <w:pPr>
        <w:pStyle w:val="33"/>
        <w:tabs>
          <w:tab w:val="left" w:pos="840"/>
        </w:tabs>
        <w:spacing w:line="360" w:lineRule="auto"/>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5.1.6应提交的有关格式范例。</w:t>
      </w:r>
    </w:p>
    <w:p w14:paraId="25CF73E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5.2与本项目有关的</w:t>
      </w:r>
      <w:r>
        <w:rPr>
          <w:rFonts w:hint="eastAsia" w:ascii="宋体" w:hAnsi="宋体" w:eastAsia="宋体" w:cs="宋体"/>
          <w:bCs/>
          <w:color w:val="auto"/>
          <w:sz w:val="21"/>
          <w:szCs w:val="21"/>
          <w:highlight w:val="none"/>
        </w:rPr>
        <w:t>澄清或者修改的内容为招标文件的组成部分</w:t>
      </w:r>
      <w:r>
        <w:rPr>
          <w:rFonts w:hint="eastAsia" w:ascii="宋体" w:hAnsi="宋体" w:eastAsia="宋体" w:cs="宋体"/>
          <w:color w:val="auto"/>
          <w:sz w:val="21"/>
          <w:szCs w:val="21"/>
          <w:highlight w:val="none"/>
        </w:rPr>
        <w:t>。</w:t>
      </w:r>
    </w:p>
    <w:p w14:paraId="69E34976">
      <w:pPr>
        <w:pStyle w:val="33"/>
        <w:keepNext w:val="0"/>
        <w:keepLines w:val="0"/>
        <w:pageBreakBefore w:val="0"/>
        <w:widowControl w:val="0"/>
        <w:kinsoku/>
        <w:wordWrap/>
        <w:overflowPunct/>
        <w:topLinePunct w:val="0"/>
        <w:autoSpaceDE/>
        <w:autoSpaceDN/>
        <w:bidi w:val="0"/>
        <w:adjustRightInd w:val="0"/>
        <w:snapToGrid/>
        <w:spacing w:line="360" w:lineRule="auto"/>
        <w:textAlignment w:val="auto"/>
        <w:outlineLvl w:val="1"/>
        <w:rPr>
          <w:rFonts w:hint="eastAsia" w:ascii="宋体" w:hAnsi="宋体" w:eastAsia="宋体" w:cs="宋体"/>
          <w:b/>
          <w:color w:val="auto"/>
          <w:sz w:val="21"/>
          <w:szCs w:val="21"/>
          <w:highlight w:val="none"/>
        </w:rPr>
      </w:pPr>
      <w:bookmarkStart w:id="22" w:name="_Toc7883"/>
      <w:r>
        <w:rPr>
          <w:rFonts w:hint="eastAsia" w:ascii="宋体" w:hAnsi="宋体" w:eastAsia="宋体" w:cs="宋体"/>
          <w:b/>
          <w:color w:val="auto"/>
          <w:sz w:val="21"/>
          <w:szCs w:val="21"/>
          <w:highlight w:val="none"/>
        </w:rPr>
        <w:t>6. 招标文件的澄清、修改</w:t>
      </w:r>
      <w:bookmarkEnd w:id="22"/>
    </w:p>
    <w:p w14:paraId="6F3C22C7">
      <w:pPr>
        <w:pStyle w:val="139"/>
        <w:snapToGrid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6.1已获取招标文件的潜在投标人，若有问题需要澄清，应于投标截止时</w:t>
      </w:r>
      <w:r>
        <w:rPr>
          <w:rFonts w:hint="eastAsia" w:ascii="宋体" w:hAnsi="宋体" w:eastAsia="宋体" w:cs="宋体"/>
          <w:color w:val="auto"/>
          <w:sz w:val="21"/>
          <w:szCs w:val="21"/>
          <w:highlight w:val="none"/>
          <w:lang w:eastAsia="zh-CN"/>
        </w:rPr>
        <w:t>间之</w:t>
      </w:r>
      <w:r>
        <w:rPr>
          <w:rFonts w:hint="eastAsia" w:ascii="宋体" w:hAnsi="宋体" w:eastAsia="宋体" w:cs="宋体"/>
          <w:color w:val="auto"/>
          <w:sz w:val="21"/>
          <w:szCs w:val="21"/>
          <w:highlight w:val="none"/>
        </w:rPr>
        <w:t>前，以书面形式向</w:t>
      </w:r>
      <w:r>
        <w:rPr>
          <w:rFonts w:hint="eastAsia" w:ascii="宋体" w:hAnsi="宋体" w:eastAsia="宋体" w:cs="宋体"/>
          <w:color w:val="auto"/>
          <w:sz w:val="21"/>
          <w:szCs w:val="21"/>
          <w:highlight w:val="none"/>
          <w:lang w:eastAsia="zh-CN"/>
        </w:rPr>
        <w:t>采购代理机构</w:t>
      </w:r>
      <w:r>
        <w:rPr>
          <w:rFonts w:hint="eastAsia" w:ascii="宋体" w:hAnsi="宋体" w:eastAsia="宋体" w:cs="宋体"/>
          <w:color w:val="auto"/>
          <w:sz w:val="21"/>
          <w:szCs w:val="21"/>
          <w:highlight w:val="none"/>
        </w:rPr>
        <w:t>提出。</w:t>
      </w:r>
    </w:p>
    <w:p w14:paraId="494FC839">
      <w:pPr>
        <w:pStyle w:val="139"/>
        <w:snapToGrid w:val="0"/>
        <w:spacing w:before="0" w:line="360" w:lineRule="auto"/>
        <w:ind w:firstLine="480"/>
        <w:rPr>
          <w:rFonts w:hint="eastAsia" w:ascii="宋体" w:hAnsi="宋体" w:eastAsia="宋体" w:cs="宋体"/>
          <w:color w:val="auto"/>
          <w:highlight w:val="none"/>
        </w:rPr>
      </w:pPr>
      <w:r>
        <w:rPr>
          <w:rFonts w:hint="eastAsia" w:ascii="宋体" w:hAnsi="宋体" w:eastAsia="宋体" w:cs="宋体"/>
          <w:color w:val="auto"/>
          <w:sz w:val="21"/>
          <w:szCs w:val="21"/>
          <w:highlight w:val="none"/>
        </w:rPr>
        <w:t>6.2</w:t>
      </w:r>
      <w:r>
        <w:rPr>
          <w:rFonts w:hint="eastAsia" w:ascii="宋体" w:hAnsi="宋体" w:eastAsia="宋体" w:cs="宋体"/>
          <w:color w:val="auto"/>
          <w:sz w:val="21"/>
          <w:szCs w:val="21"/>
          <w:highlight w:val="none"/>
          <w:lang w:eastAsia="zh-CN"/>
        </w:rPr>
        <w:t>采购代理机构</w:t>
      </w:r>
      <w:r>
        <w:rPr>
          <w:rFonts w:hint="eastAsia" w:ascii="宋体" w:hAnsi="宋体" w:eastAsia="宋体" w:cs="宋体"/>
          <w:color w:val="auto"/>
          <w:sz w:val="21"/>
          <w:szCs w:val="21"/>
          <w:highlight w:val="none"/>
        </w:rPr>
        <w:t>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69B2A0CD">
      <w:pPr>
        <w:adjustRightInd/>
        <w:spacing w:line="360" w:lineRule="auto"/>
        <w:jc w:val="center"/>
        <w:outlineLvl w:val="0"/>
        <w:rPr>
          <w:rFonts w:hint="eastAsia" w:ascii="宋体" w:hAnsi="宋体" w:eastAsia="宋体" w:cs="宋体"/>
          <w:b/>
          <w:color w:val="auto"/>
          <w:sz w:val="30"/>
          <w:szCs w:val="20"/>
          <w:highlight w:val="none"/>
        </w:rPr>
      </w:pPr>
      <w:bookmarkStart w:id="23" w:name="_Toc21904"/>
      <w:r>
        <w:rPr>
          <w:rFonts w:hint="eastAsia" w:ascii="宋体" w:hAnsi="宋体" w:eastAsia="宋体" w:cs="宋体"/>
          <w:b/>
          <w:color w:val="auto"/>
          <w:sz w:val="30"/>
          <w:szCs w:val="20"/>
          <w:highlight w:val="none"/>
        </w:rPr>
        <w:t>三、投标</w:t>
      </w:r>
      <w:bookmarkEnd w:id="23"/>
    </w:p>
    <w:p w14:paraId="5E837C09">
      <w:pPr>
        <w:pStyle w:val="33"/>
        <w:keepNext w:val="0"/>
        <w:keepLines w:val="0"/>
        <w:pageBreakBefore w:val="0"/>
        <w:widowControl w:val="0"/>
        <w:kinsoku/>
        <w:wordWrap/>
        <w:overflowPunct/>
        <w:topLinePunct w:val="0"/>
        <w:autoSpaceDE/>
        <w:autoSpaceDN/>
        <w:bidi w:val="0"/>
        <w:adjustRightInd w:val="0"/>
        <w:snapToGrid/>
        <w:spacing w:line="360" w:lineRule="auto"/>
        <w:textAlignment w:val="auto"/>
        <w:outlineLvl w:val="1"/>
        <w:rPr>
          <w:rFonts w:hint="eastAsia" w:ascii="宋体" w:hAnsi="宋体" w:eastAsia="宋体" w:cs="宋体"/>
          <w:b/>
          <w:color w:val="auto"/>
          <w:sz w:val="21"/>
          <w:szCs w:val="21"/>
          <w:highlight w:val="none"/>
        </w:rPr>
      </w:pPr>
      <w:bookmarkStart w:id="24" w:name="_Toc27845"/>
      <w:r>
        <w:rPr>
          <w:rFonts w:hint="eastAsia" w:ascii="宋体" w:hAnsi="宋体" w:eastAsia="宋体" w:cs="宋体"/>
          <w:b/>
          <w:color w:val="auto"/>
          <w:sz w:val="21"/>
          <w:szCs w:val="21"/>
          <w:highlight w:val="none"/>
        </w:rPr>
        <w:t>7. 招标文件的获取</w:t>
      </w:r>
      <w:bookmarkEnd w:id="24"/>
    </w:p>
    <w:p w14:paraId="10C58076">
      <w:pPr>
        <w:spacing w:line="360" w:lineRule="auto"/>
        <w:ind w:firstLine="420" w:firstLineChars="200"/>
        <w:rPr>
          <w:rFonts w:hint="eastAsia" w:ascii="宋体" w:hAnsi="宋体" w:eastAsia="宋体" w:cs="宋体"/>
          <w:snapToGrid w:val="0"/>
          <w:color w:val="auto"/>
          <w:kern w:val="28"/>
          <w:sz w:val="21"/>
          <w:szCs w:val="21"/>
          <w:highlight w:val="none"/>
        </w:rPr>
      </w:pPr>
      <w:r>
        <w:rPr>
          <w:rFonts w:hint="eastAsia" w:ascii="宋体" w:hAnsi="宋体" w:eastAsia="宋体" w:cs="宋体"/>
          <w:snapToGrid w:val="0"/>
          <w:color w:val="auto"/>
          <w:kern w:val="28"/>
          <w:sz w:val="21"/>
          <w:szCs w:val="21"/>
          <w:highlight w:val="none"/>
        </w:rPr>
        <w:t>详见招标公告中获取招标文件的时间期限、地点、方式及招标文件售价。</w:t>
      </w:r>
    </w:p>
    <w:p w14:paraId="2A0530C2">
      <w:pPr>
        <w:pStyle w:val="33"/>
        <w:keepNext w:val="0"/>
        <w:keepLines w:val="0"/>
        <w:pageBreakBefore w:val="0"/>
        <w:widowControl w:val="0"/>
        <w:kinsoku/>
        <w:wordWrap/>
        <w:overflowPunct/>
        <w:topLinePunct w:val="0"/>
        <w:autoSpaceDE/>
        <w:autoSpaceDN/>
        <w:bidi w:val="0"/>
        <w:adjustRightInd w:val="0"/>
        <w:snapToGrid/>
        <w:spacing w:line="360" w:lineRule="auto"/>
        <w:textAlignment w:val="auto"/>
        <w:outlineLvl w:val="1"/>
        <w:rPr>
          <w:rFonts w:hint="eastAsia" w:ascii="宋体" w:hAnsi="宋体" w:eastAsia="宋体" w:cs="宋体"/>
          <w:b/>
          <w:color w:val="auto"/>
          <w:sz w:val="21"/>
          <w:szCs w:val="21"/>
          <w:highlight w:val="none"/>
        </w:rPr>
      </w:pPr>
      <w:bookmarkStart w:id="25" w:name="_Toc19912"/>
      <w:r>
        <w:rPr>
          <w:rFonts w:hint="eastAsia" w:ascii="宋体" w:hAnsi="宋体" w:eastAsia="宋体" w:cs="宋体"/>
          <w:b/>
          <w:color w:val="auto"/>
          <w:sz w:val="21"/>
          <w:szCs w:val="21"/>
          <w:highlight w:val="none"/>
        </w:rPr>
        <w:t>8.开标前答疑会或现场考察</w:t>
      </w:r>
      <w:bookmarkEnd w:id="25"/>
    </w:p>
    <w:p w14:paraId="3F552CB9">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采购人组织潜在投标人现场考察或者召开开标前答疑会的，潜在投标人按第二部分投标人须知前附表的规定参加现场考察或者开标前答疑会。</w:t>
      </w:r>
    </w:p>
    <w:p w14:paraId="2AAF0F7D">
      <w:pPr>
        <w:pStyle w:val="33"/>
        <w:keepNext w:val="0"/>
        <w:keepLines w:val="0"/>
        <w:pageBreakBefore w:val="0"/>
        <w:widowControl w:val="0"/>
        <w:kinsoku/>
        <w:wordWrap/>
        <w:overflowPunct/>
        <w:topLinePunct w:val="0"/>
        <w:autoSpaceDE/>
        <w:autoSpaceDN/>
        <w:bidi w:val="0"/>
        <w:adjustRightInd w:val="0"/>
        <w:snapToGrid/>
        <w:spacing w:line="360" w:lineRule="auto"/>
        <w:textAlignment w:val="auto"/>
        <w:outlineLvl w:val="1"/>
        <w:rPr>
          <w:rFonts w:hint="eastAsia" w:ascii="宋体" w:hAnsi="宋体" w:eastAsia="宋体" w:cs="宋体"/>
          <w:b/>
          <w:color w:val="auto"/>
          <w:sz w:val="21"/>
          <w:szCs w:val="21"/>
          <w:highlight w:val="none"/>
        </w:rPr>
      </w:pPr>
      <w:bookmarkStart w:id="26" w:name="_Toc27464"/>
      <w:r>
        <w:rPr>
          <w:rFonts w:hint="eastAsia" w:ascii="宋体" w:hAnsi="宋体" w:eastAsia="宋体" w:cs="宋体"/>
          <w:b/>
          <w:color w:val="auto"/>
          <w:kern w:val="28"/>
          <w:sz w:val="21"/>
          <w:szCs w:val="21"/>
          <w:highlight w:val="none"/>
        </w:rPr>
        <w:t>9.投标保证金</w:t>
      </w:r>
      <w:bookmarkEnd w:id="26"/>
    </w:p>
    <w:p w14:paraId="402A34EB">
      <w:pPr>
        <w:pStyle w:val="5"/>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本项目不需缴纳投标保证金。</w:t>
      </w:r>
    </w:p>
    <w:p w14:paraId="698F658D">
      <w:pPr>
        <w:pStyle w:val="33"/>
        <w:keepNext w:val="0"/>
        <w:keepLines w:val="0"/>
        <w:pageBreakBefore w:val="0"/>
        <w:widowControl w:val="0"/>
        <w:kinsoku/>
        <w:wordWrap/>
        <w:overflowPunct/>
        <w:topLinePunct w:val="0"/>
        <w:autoSpaceDE/>
        <w:autoSpaceDN/>
        <w:bidi w:val="0"/>
        <w:adjustRightInd w:val="0"/>
        <w:snapToGrid/>
        <w:spacing w:line="360" w:lineRule="auto"/>
        <w:textAlignment w:val="auto"/>
        <w:outlineLvl w:val="1"/>
        <w:rPr>
          <w:rFonts w:hint="eastAsia" w:ascii="宋体" w:hAnsi="宋体" w:eastAsia="宋体" w:cs="宋体"/>
          <w:b/>
          <w:color w:val="auto"/>
          <w:kern w:val="28"/>
          <w:sz w:val="21"/>
          <w:szCs w:val="21"/>
          <w:highlight w:val="none"/>
        </w:rPr>
      </w:pPr>
      <w:bookmarkStart w:id="27" w:name="_Toc29660"/>
      <w:r>
        <w:rPr>
          <w:rFonts w:hint="eastAsia" w:ascii="宋体" w:hAnsi="宋体" w:eastAsia="宋体" w:cs="宋体"/>
          <w:b/>
          <w:color w:val="auto"/>
          <w:kern w:val="28"/>
          <w:sz w:val="21"/>
          <w:szCs w:val="21"/>
          <w:highlight w:val="none"/>
        </w:rPr>
        <w:t>10.投标文件的语言</w:t>
      </w:r>
      <w:bookmarkEnd w:id="27"/>
    </w:p>
    <w:p w14:paraId="5BDF9D6E">
      <w:pPr>
        <w:autoSpaceDE w:val="0"/>
        <w:autoSpaceDN w:val="0"/>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投标文件及投标人与采购有关的来往通知、函件和文件均应使用中文。</w:t>
      </w:r>
    </w:p>
    <w:p w14:paraId="2D09671F">
      <w:pPr>
        <w:pStyle w:val="33"/>
        <w:keepNext w:val="0"/>
        <w:keepLines w:val="0"/>
        <w:pageBreakBefore w:val="0"/>
        <w:widowControl w:val="0"/>
        <w:kinsoku/>
        <w:wordWrap/>
        <w:overflowPunct/>
        <w:topLinePunct w:val="0"/>
        <w:autoSpaceDE/>
        <w:autoSpaceDN/>
        <w:bidi w:val="0"/>
        <w:adjustRightInd w:val="0"/>
        <w:snapToGrid/>
        <w:spacing w:line="360" w:lineRule="auto"/>
        <w:textAlignment w:val="auto"/>
        <w:outlineLvl w:val="1"/>
        <w:rPr>
          <w:rFonts w:hint="eastAsia" w:ascii="宋体" w:hAnsi="宋体" w:eastAsia="宋体" w:cs="宋体"/>
          <w:b/>
          <w:color w:val="auto"/>
          <w:kern w:val="28"/>
          <w:sz w:val="21"/>
          <w:szCs w:val="21"/>
          <w:highlight w:val="none"/>
        </w:rPr>
      </w:pPr>
      <w:bookmarkStart w:id="28" w:name="_Toc3793"/>
      <w:r>
        <w:rPr>
          <w:rFonts w:hint="eastAsia" w:ascii="宋体" w:hAnsi="宋体" w:eastAsia="宋体" w:cs="宋体"/>
          <w:b/>
          <w:color w:val="auto"/>
          <w:kern w:val="28"/>
          <w:sz w:val="21"/>
          <w:szCs w:val="21"/>
          <w:highlight w:val="none"/>
        </w:rPr>
        <w:t>11.投标文件的组成</w:t>
      </w:r>
      <w:bookmarkEnd w:id="28"/>
    </w:p>
    <w:p w14:paraId="0B82C99B">
      <w:pPr>
        <w:snapToGrid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11.1</w:t>
      </w:r>
      <w:r>
        <w:rPr>
          <w:rFonts w:hint="eastAsia" w:ascii="宋体" w:hAnsi="宋体" w:eastAsia="宋体" w:cs="宋体"/>
          <w:b/>
          <w:color w:val="auto"/>
          <w:sz w:val="21"/>
          <w:szCs w:val="21"/>
          <w:highlight w:val="none"/>
        </w:rPr>
        <w:t>资格文件</w:t>
      </w:r>
      <w:r>
        <w:rPr>
          <w:rFonts w:hint="eastAsia" w:ascii="宋体" w:hAnsi="宋体" w:eastAsia="宋体" w:cs="宋体"/>
          <w:color w:val="auto"/>
          <w:sz w:val="21"/>
          <w:szCs w:val="21"/>
          <w:highlight w:val="none"/>
        </w:rPr>
        <w:t>：</w:t>
      </w:r>
    </w:p>
    <w:p w14:paraId="40074F28">
      <w:pPr>
        <w:snapToGrid w:val="0"/>
        <w:spacing w:line="360" w:lineRule="auto"/>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11.1.1符合参加政府采购活动应当具备的一般条件的承诺函；</w:t>
      </w:r>
    </w:p>
    <w:p w14:paraId="127C24F0">
      <w:pPr>
        <w:snapToGrid w:val="0"/>
        <w:spacing w:line="360" w:lineRule="auto"/>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11.1.2</w:t>
      </w:r>
      <w:bookmarkStart w:id="29" w:name="_Hlk101259339"/>
      <w:r>
        <w:rPr>
          <w:rFonts w:hint="eastAsia" w:ascii="宋体" w:hAnsi="宋体" w:eastAsia="宋体" w:cs="宋体"/>
          <w:snapToGrid w:val="0"/>
          <w:color w:val="auto"/>
          <w:kern w:val="28"/>
          <w:sz w:val="21"/>
          <w:szCs w:val="21"/>
          <w:highlight w:val="none"/>
        </w:rPr>
        <w:t>联合协议</w:t>
      </w:r>
      <w:bookmarkEnd w:id="29"/>
      <w:r>
        <w:rPr>
          <w:rFonts w:hint="eastAsia" w:ascii="宋体" w:hAnsi="宋体" w:eastAsia="宋体" w:cs="宋体"/>
          <w:snapToGrid w:val="0"/>
          <w:color w:val="auto"/>
          <w:kern w:val="28"/>
          <w:sz w:val="21"/>
          <w:szCs w:val="21"/>
          <w:highlight w:val="none"/>
        </w:rPr>
        <w:t>（如果有)；</w:t>
      </w:r>
    </w:p>
    <w:p w14:paraId="2BC7DE37">
      <w:pPr>
        <w:snapToGrid w:val="0"/>
        <w:spacing w:line="360" w:lineRule="auto"/>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11.1.3落实政府采购政策需满足的资格要求</w:t>
      </w:r>
      <w:r>
        <w:rPr>
          <w:rFonts w:hint="eastAsia" w:ascii="宋体" w:hAnsi="宋体" w:eastAsia="宋体" w:cs="宋体"/>
          <w:snapToGrid w:val="0"/>
          <w:color w:val="auto"/>
          <w:kern w:val="28"/>
          <w:sz w:val="21"/>
          <w:szCs w:val="21"/>
          <w:highlight w:val="none"/>
          <w:lang w:eastAsia="zh-CN"/>
        </w:rPr>
        <w:t>：</w:t>
      </w:r>
      <w:r>
        <w:rPr>
          <w:rFonts w:hint="eastAsia" w:ascii="宋体" w:hAnsi="宋体" w:cs="宋体"/>
          <w:snapToGrid w:val="0"/>
          <w:color w:val="auto"/>
          <w:kern w:val="28"/>
          <w:sz w:val="21"/>
          <w:szCs w:val="21"/>
          <w:highlight w:val="none"/>
          <w:lang w:val="en-US" w:eastAsia="zh-CN"/>
        </w:rPr>
        <w:t>中小企业声明函</w:t>
      </w:r>
      <w:r>
        <w:rPr>
          <w:rFonts w:hint="eastAsia" w:ascii="宋体" w:hAnsi="宋体" w:eastAsia="宋体" w:cs="宋体"/>
          <w:color w:val="auto"/>
          <w:sz w:val="21"/>
          <w:szCs w:val="21"/>
          <w:highlight w:val="none"/>
        </w:rPr>
        <w:t>；</w:t>
      </w:r>
    </w:p>
    <w:p w14:paraId="1325D13E">
      <w:pPr>
        <w:snapToGrid w:val="0"/>
        <w:spacing w:line="360" w:lineRule="auto"/>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11.1.4本项目的特定资格要求</w:t>
      </w:r>
      <w:r>
        <w:rPr>
          <w:rFonts w:hint="eastAsia" w:ascii="宋体" w:hAnsi="宋体" w:eastAsia="宋体" w:cs="宋体"/>
          <w:snapToGrid w:val="0"/>
          <w:color w:val="auto"/>
          <w:kern w:val="28"/>
          <w:sz w:val="21"/>
          <w:szCs w:val="21"/>
          <w:highlight w:val="none"/>
        </w:rPr>
        <w:t>（如果有)</w:t>
      </w:r>
      <w:r>
        <w:rPr>
          <w:rFonts w:hint="eastAsia" w:ascii="宋体" w:hAnsi="宋体" w:eastAsia="宋体" w:cs="宋体"/>
          <w:color w:val="auto"/>
          <w:sz w:val="21"/>
          <w:szCs w:val="21"/>
          <w:highlight w:val="none"/>
        </w:rPr>
        <w:t>。</w:t>
      </w:r>
    </w:p>
    <w:p w14:paraId="10EFE6B9">
      <w:pPr>
        <w:snapToGrid w:val="0"/>
        <w:spacing w:line="360" w:lineRule="auto"/>
        <w:ind w:firstLine="422" w:firstLineChars="200"/>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11.</w:t>
      </w:r>
      <w:r>
        <w:rPr>
          <w:rFonts w:hint="eastAsia" w:ascii="宋体" w:hAnsi="宋体" w:eastAsia="宋体" w:cs="宋体"/>
          <w:b/>
          <w:bCs/>
          <w:color w:val="auto"/>
          <w:sz w:val="21"/>
          <w:szCs w:val="21"/>
          <w:highlight w:val="none"/>
        </w:rPr>
        <w:t>2商务技术</w:t>
      </w:r>
      <w:r>
        <w:rPr>
          <w:rFonts w:hint="eastAsia" w:ascii="宋体" w:hAnsi="宋体" w:eastAsia="宋体" w:cs="宋体"/>
          <w:b/>
          <w:bCs/>
          <w:color w:val="auto"/>
          <w:sz w:val="21"/>
          <w:szCs w:val="21"/>
          <w:highlight w:val="none"/>
          <w:lang w:val="zh-CN"/>
        </w:rPr>
        <w:t>文件：</w:t>
      </w:r>
    </w:p>
    <w:p w14:paraId="46437E2E">
      <w:pPr>
        <w:snapToGrid w:val="0"/>
        <w:spacing w:line="360" w:lineRule="auto"/>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11.2.1投标函；</w:t>
      </w:r>
      <w:r>
        <w:rPr>
          <w:rFonts w:hint="eastAsia" w:ascii="宋体" w:hAnsi="宋体" w:eastAsia="宋体" w:cs="宋体"/>
          <w:color w:val="auto"/>
          <w:sz w:val="21"/>
          <w:szCs w:val="21"/>
          <w:highlight w:val="none"/>
          <w:lang w:val="zh-CN"/>
        </w:rPr>
        <w:t xml:space="preserve"> </w:t>
      </w:r>
    </w:p>
    <w:p w14:paraId="0D4D18D7">
      <w:pPr>
        <w:snapToGrid w:val="0"/>
        <w:spacing w:line="360" w:lineRule="auto"/>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11.2.2授权委托书或法定代表人（单位负责人、自然人本人）身份证明；</w:t>
      </w:r>
    </w:p>
    <w:p w14:paraId="19D7843C">
      <w:pPr>
        <w:snapToGrid w:val="0"/>
        <w:spacing w:line="360" w:lineRule="auto"/>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11.2.3分包意向协议</w:t>
      </w:r>
      <w:r>
        <w:rPr>
          <w:rFonts w:hint="eastAsia" w:ascii="宋体" w:hAnsi="宋体" w:eastAsia="宋体" w:cs="宋体"/>
          <w:snapToGrid w:val="0"/>
          <w:color w:val="auto"/>
          <w:kern w:val="28"/>
          <w:sz w:val="21"/>
          <w:szCs w:val="21"/>
          <w:highlight w:val="none"/>
        </w:rPr>
        <w:t>（如果有)</w:t>
      </w:r>
      <w:r>
        <w:rPr>
          <w:rFonts w:hint="eastAsia" w:ascii="宋体" w:hAnsi="宋体" w:eastAsia="宋体" w:cs="宋体"/>
          <w:color w:val="auto"/>
          <w:sz w:val="21"/>
          <w:szCs w:val="21"/>
          <w:highlight w:val="none"/>
        </w:rPr>
        <w:t>；</w:t>
      </w:r>
    </w:p>
    <w:p w14:paraId="259D0567">
      <w:pPr>
        <w:snapToGrid w:val="0"/>
        <w:spacing w:line="360" w:lineRule="auto"/>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11.2.4符合性审查资料；</w:t>
      </w:r>
    </w:p>
    <w:p w14:paraId="0B3B35A8">
      <w:pPr>
        <w:snapToGrid w:val="0"/>
        <w:spacing w:line="360" w:lineRule="auto"/>
        <w:ind w:left="420" w:leftChars="2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11.2.5评标标准相应的商务技术资料；</w:t>
      </w:r>
    </w:p>
    <w:p w14:paraId="4A25F9AD">
      <w:pPr>
        <w:snapToGrid w:val="0"/>
        <w:spacing w:line="360" w:lineRule="auto"/>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11.2.6商务技术偏离表；</w:t>
      </w:r>
    </w:p>
    <w:p w14:paraId="238761FC">
      <w:pPr>
        <w:snapToGrid w:val="0"/>
        <w:spacing w:line="360" w:lineRule="auto"/>
        <w:ind w:firstLine="840" w:firstLineChars="4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11.</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zh-CN"/>
        </w:rPr>
        <w:t>政府采购供应商廉洁自律承诺书；</w:t>
      </w:r>
    </w:p>
    <w:p w14:paraId="575B6A27">
      <w:pPr>
        <w:snapToGrid w:val="0"/>
        <w:spacing w:line="360" w:lineRule="auto"/>
        <w:ind w:firstLine="422" w:firstLineChars="200"/>
        <w:rPr>
          <w:rFonts w:hint="eastAsia" w:ascii="宋体" w:hAnsi="宋体" w:eastAsia="宋体" w:cs="宋体"/>
          <w:color w:val="auto"/>
          <w:sz w:val="21"/>
          <w:szCs w:val="21"/>
          <w:highlight w:val="none"/>
          <w:u w:val="single"/>
          <w:lang w:val="zh-CN"/>
        </w:rPr>
      </w:pPr>
      <w:r>
        <w:rPr>
          <w:rFonts w:hint="eastAsia" w:ascii="宋体" w:hAnsi="宋体" w:eastAsia="宋体" w:cs="宋体"/>
          <w:b/>
          <w:bCs/>
          <w:color w:val="auto"/>
          <w:kern w:val="0"/>
          <w:sz w:val="21"/>
          <w:szCs w:val="21"/>
          <w:highlight w:val="none"/>
          <w:lang w:val="zh-CN"/>
        </w:rPr>
        <w:t>11.</w:t>
      </w:r>
      <w:r>
        <w:rPr>
          <w:rFonts w:hint="eastAsia" w:ascii="宋体" w:hAnsi="宋体" w:eastAsia="宋体" w:cs="宋体"/>
          <w:b/>
          <w:bCs/>
          <w:color w:val="auto"/>
          <w:kern w:val="0"/>
          <w:sz w:val="21"/>
          <w:szCs w:val="21"/>
          <w:highlight w:val="none"/>
          <w:lang w:val="en-US" w:eastAsia="zh-CN"/>
        </w:rPr>
        <w:t>3</w:t>
      </w:r>
      <w:r>
        <w:rPr>
          <w:rFonts w:hint="eastAsia" w:ascii="宋体" w:hAnsi="宋体" w:eastAsia="宋体" w:cs="宋体"/>
          <w:b/>
          <w:bCs/>
          <w:color w:val="auto"/>
          <w:sz w:val="21"/>
          <w:szCs w:val="21"/>
          <w:highlight w:val="none"/>
        </w:rPr>
        <w:t>报</w:t>
      </w:r>
      <w:r>
        <w:rPr>
          <w:rFonts w:hint="eastAsia" w:ascii="宋体" w:hAnsi="宋体" w:eastAsia="宋体" w:cs="宋体"/>
          <w:b/>
          <w:color w:val="auto"/>
          <w:sz w:val="21"/>
          <w:szCs w:val="21"/>
          <w:highlight w:val="none"/>
        </w:rPr>
        <w:t>价文件：</w:t>
      </w:r>
      <w:r>
        <w:rPr>
          <w:rFonts w:hint="eastAsia" w:ascii="宋体" w:hAnsi="宋体" w:eastAsia="宋体" w:cs="宋体"/>
          <w:color w:val="auto"/>
          <w:sz w:val="21"/>
          <w:szCs w:val="21"/>
          <w:highlight w:val="none"/>
        </w:rPr>
        <w:t xml:space="preserve"> </w:t>
      </w:r>
    </w:p>
    <w:p w14:paraId="217E650C">
      <w:pPr>
        <w:keepNext w:val="0"/>
        <w:keepLines w:val="0"/>
        <w:pageBreakBefore w:val="0"/>
        <w:widowControl w:val="0"/>
        <w:kinsoku/>
        <w:wordWrap/>
        <w:overflowPunct/>
        <w:topLinePunct w:val="0"/>
        <w:autoSpaceDE/>
        <w:autoSpaceDN/>
        <w:bidi w:val="0"/>
        <w:adjustRightInd w:val="0"/>
        <w:snapToGrid w:val="0"/>
        <w:spacing w:line="360" w:lineRule="auto"/>
        <w:ind w:firstLine="840" w:firstLineChars="4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.1开标一览表（报价表）；</w:t>
      </w:r>
    </w:p>
    <w:p w14:paraId="54A9F553">
      <w:pPr>
        <w:keepNext w:val="0"/>
        <w:keepLines w:val="0"/>
        <w:pageBreakBefore w:val="0"/>
        <w:widowControl w:val="0"/>
        <w:kinsoku/>
        <w:wordWrap/>
        <w:overflowPunct/>
        <w:topLinePunct w:val="0"/>
        <w:autoSpaceDE/>
        <w:autoSpaceDN/>
        <w:bidi w:val="0"/>
        <w:adjustRightInd w:val="0"/>
        <w:snapToGrid w:val="0"/>
        <w:spacing w:line="360" w:lineRule="auto"/>
        <w:ind w:firstLine="840" w:firstLineChars="400"/>
        <w:textAlignment w:val="auto"/>
        <w:rPr>
          <w:rFonts w:hint="eastAsia" w:ascii="宋体" w:hAnsi="宋体" w:eastAsia="宋体" w:cs="宋体"/>
          <w:b w:val="0"/>
          <w:bCs w:val="0"/>
          <w:color w:val="auto"/>
          <w:sz w:val="21"/>
          <w:szCs w:val="21"/>
          <w:highlight w:val="none"/>
          <w:lang w:val="en-US"/>
        </w:rPr>
      </w:pPr>
      <w:r>
        <w:rPr>
          <w:rFonts w:hint="eastAsia" w:ascii="宋体" w:hAnsi="宋体" w:eastAsia="宋体" w:cs="宋体"/>
          <w:color w:val="auto"/>
          <w:sz w:val="21"/>
          <w:szCs w:val="21"/>
          <w:highlight w:val="none"/>
          <w:lang w:val="en-US" w:eastAsia="zh-CN"/>
        </w:rPr>
        <w:t>11.3.2报价情况说明和</w:t>
      </w:r>
      <w:r>
        <w:rPr>
          <w:rFonts w:hint="eastAsia" w:ascii="宋体" w:hAnsi="宋体" w:eastAsia="宋体" w:cs="宋体"/>
          <w:color w:val="auto"/>
          <w:sz w:val="21"/>
          <w:szCs w:val="21"/>
          <w:highlight w:val="none"/>
          <w:lang w:eastAsia="zh-CN"/>
        </w:rPr>
        <w:t>相关证明材料（如果有）：投标报价低于采购项目最高限价45%的，即投标报价＜采购项目最高限价×45%，</w:t>
      </w:r>
      <w:r>
        <w:rPr>
          <w:rFonts w:hint="eastAsia" w:ascii="宋体" w:hAnsi="宋体" w:eastAsia="宋体" w:cs="宋体"/>
          <w:color w:val="auto"/>
          <w:sz w:val="21"/>
          <w:szCs w:val="21"/>
          <w:highlight w:val="none"/>
          <w:lang w:val="en-US" w:eastAsia="zh-CN"/>
        </w:rPr>
        <w:t>应提供项目具体成本测算等与报价合理性相关的书面说明及必要的证明材料</w:t>
      </w:r>
      <w:r>
        <w:rPr>
          <w:rFonts w:hint="eastAsia" w:ascii="宋体" w:hAnsi="宋体" w:eastAsia="宋体" w:cs="宋体"/>
          <w:color w:val="auto"/>
          <w:sz w:val="21"/>
          <w:szCs w:val="21"/>
          <w:highlight w:val="none"/>
          <w:lang w:eastAsia="zh-CN"/>
        </w:rPr>
        <w:t>；</w:t>
      </w:r>
    </w:p>
    <w:p w14:paraId="72D8CFAA">
      <w:pPr>
        <w:spacing w:line="360" w:lineRule="auto"/>
        <w:ind w:firstLine="632" w:firstLineChars="3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投标文件含有采购人不能接受的附加条件的，投标无效；</w:t>
      </w:r>
    </w:p>
    <w:p w14:paraId="04646E90">
      <w:pPr>
        <w:spacing w:line="360" w:lineRule="auto"/>
        <w:ind w:firstLine="632" w:firstLineChars="3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投标人提供虚假材料投标的，投标无效。</w:t>
      </w:r>
    </w:p>
    <w:p w14:paraId="08B7FC08">
      <w:pPr>
        <w:spacing w:line="36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lang w:val="en-US" w:eastAsia="zh-CN"/>
        </w:rPr>
        <w:t>投标人应对投标文件中材料的真实性、合法性负责。投标人可事先在公开官网查询、核对相关证书和报告内容，确保投标（响应）文件资料准确无误。</w:t>
      </w:r>
    </w:p>
    <w:p w14:paraId="36601EC4">
      <w:pPr>
        <w:pStyle w:val="33"/>
        <w:keepNext w:val="0"/>
        <w:keepLines w:val="0"/>
        <w:pageBreakBefore w:val="0"/>
        <w:widowControl w:val="0"/>
        <w:kinsoku/>
        <w:wordWrap/>
        <w:overflowPunct/>
        <w:topLinePunct w:val="0"/>
        <w:autoSpaceDE/>
        <w:autoSpaceDN/>
        <w:bidi w:val="0"/>
        <w:adjustRightInd w:val="0"/>
        <w:snapToGrid/>
        <w:spacing w:line="360" w:lineRule="auto"/>
        <w:textAlignment w:val="auto"/>
        <w:outlineLvl w:val="1"/>
        <w:rPr>
          <w:rFonts w:hint="eastAsia" w:ascii="宋体" w:hAnsi="宋体" w:eastAsia="宋体" w:cs="宋体"/>
          <w:b/>
          <w:color w:val="auto"/>
          <w:kern w:val="28"/>
          <w:sz w:val="21"/>
          <w:szCs w:val="21"/>
          <w:highlight w:val="none"/>
        </w:rPr>
      </w:pPr>
      <w:bookmarkStart w:id="30" w:name="_Toc22547"/>
      <w:r>
        <w:rPr>
          <w:rFonts w:hint="eastAsia" w:ascii="宋体" w:hAnsi="宋体" w:eastAsia="宋体" w:cs="宋体"/>
          <w:b/>
          <w:color w:val="auto"/>
          <w:kern w:val="28"/>
          <w:sz w:val="21"/>
          <w:szCs w:val="21"/>
          <w:highlight w:val="none"/>
        </w:rPr>
        <w:t>12</w:t>
      </w:r>
      <w:r>
        <w:rPr>
          <w:rFonts w:hint="eastAsia" w:ascii="宋体" w:hAnsi="宋体" w:eastAsia="宋体" w:cs="宋体"/>
          <w:b/>
          <w:color w:val="auto"/>
          <w:kern w:val="28"/>
          <w:sz w:val="21"/>
          <w:szCs w:val="21"/>
          <w:highlight w:val="none"/>
          <w:lang w:val="zh-CN"/>
        </w:rPr>
        <w:t>.</w:t>
      </w:r>
      <w:r>
        <w:rPr>
          <w:rFonts w:hint="eastAsia" w:ascii="宋体" w:hAnsi="宋体" w:eastAsia="宋体" w:cs="宋体"/>
          <w:b/>
          <w:color w:val="auto"/>
          <w:kern w:val="28"/>
          <w:sz w:val="21"/>
          <w:szCs w:val="21"/>
          <w:highlight w:val="none"/>
        </w:rPr>
        <w:t>投标文件的编制</w:t>
      </w:r>
      <w:bookmarkEnd w:id="30"/>
    </w:p>
    <w:p w14:paraId="49ECAA83">
      <w:pPr>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kern w:val="0"/>
          <w:sz w:val="21"/>
          <w:szCs w:val="21"/>
          <w:highlight w:val="none"/>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397EE7DD">
      <w:pPr>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73369641">
      <w:pPr>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12.3使用“政采云电子交易客户端”需要提前申领CA数字证书，申领流程请自行前往“浙江政府采购网-下载专区-电子交易客户端-CA驱动和申领流程”进行查阅。</w:t>
      </w:r>
    </w:p>
    <w:p w14:paraId="01785BE3">
      <w:pPr>
        <w:pStyle w:val="33"/>
        <w:keepNext w:val="0"/>
        <w:keepLines w:val="0"/>
        <w:pageBreakBefore w:val="0"/>
        <w:widowControl w:val="0"/>
        <w:kinsoku/>
        <w:wordWrap/>
        <w:overflowPunct/>
        <w:topLinePunct w:val="0"/>
        <w:autoSpaceDE/>
        <w:autoSpaceDN/>
        <w:bidi w:val="0"/>
        <w:adjustRightInd w:val="0"/>
        <w:snapToGrid/>
        <w:spacing w:line="360" w:lineRule="auto"/>
        <w:textAlignment w:val="auto"/>
        <w:outlineLvl w:val="1"/>
        <w:rPr>
          <w:rFonts w:hint="eastAsia" w:ascii="宋体" w:hAnsi="宋体" w:eastAsia="宋体" w:cs="宋体"/>
          <w:b/>
          <w:color w:val="auto"/>
          <w:kern w:val="28"/>
          <w:sz w:val="21"/>
          <w:szCs w:val="21"/>
          <w:highlight w:val="none"/>
        </w:rPr>
      </w:pPr>
      <w:bookmarkStart w:id="31" w:name="_Toc17760"/>
      <w:r>
        <w:rPr>
          <w:rFonts w:hint="eastAsia" w:ascii="宋体" w:hAnsi="宋体" w:eastAsia="宋体" w:cs="宋体"/>
          <w:b/>
          <w:color w:val="auto"/>
          <w:kern w:val="28"/>
          <w:sz w:val="21"/>
          <w:szCs w:val="21"/>
          <w:highlight w:val="none"/>
        </w:rPr>
        <w:t>13.投标文件的签署、盖章</w:t>
      </w:r>
      <w:bookmarkEnd w:id="31"/>
    </w:p>
    <w:p w14:paraId="0AD11561">
      <w:pPr>
        <w:pStyle w:val="139"/>
        <w:snapToGrid w:val="0"/>
        <w:spacing w:before="0" w:line="360" w:lineRule="auto"/>
        <w:ind w:firstLine="48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13.1投标文件按照招标文件第六部分格式要求进行签署、盖章。</w:t>
      </w:r>
      <w:r>
        <w:rPr>
          <w:rFonts w:hint="eastAsia" w:ascii="宋体" w:hAnsi="宋体" w:eastAsia="宋体" w:cs="宋体"/>
          <w:b/>
          <w:color w:val="auto"/>
          <w:sz w:val="21"/>
          <w:szCs w:val="21"/>
          <w:highlight w:val="none"/>
        </w:rPr>
        <w:t>▲投标人的投标文件未按照招标文件要求签署、盖章的，其投标无效</w:t>
      </w:r>
      <w:r>
        <w:rPr>
          <w:rFonts w:hint="eastAsia" w:ascii="宋体" w:hAnsi="宋体" w:eastAsia="宋体" w:cs="宋体"/>
          <w:color w:val="auto"/>
          <w:sz w:val="21"/>
          <w:szCs w:val="21"/>
          <w:highlight w:val="none"/>
        </w:rPr>
        <w:t>。</w:t>
      </w:r>
    </w:p>
    <w:p w14:paraId="04E27904">
      <w:pPr>
        <w:pStyle w:val="139"/>
        <w:snapToGrid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13.2为确保网上操作合法、有效和安全，投标人应当在投标截止时间前完成在“政府采购云平台”的身份认证，确保在电子投标过程中能够对相关数据电文进行加密和使用电子签名。</w:t>
      </w:r>
    </w:p>
    <w:p w14:paraId="7BC128D9">
      <w:pPr>
        <w:pStyle w:val="139"/>
        <w:snapToGrid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13.3招标文件对投标文件签署、盖章的要求适用于电子签名。</w:t>
      </w:r>
    </w:p>
    <w:p w14:paraId="02B8E5A3">
      <w:pPr>
        <w:pStyle w:val="33"/>
        <w:keepNext w:val="0"/>
        <w:keepLines w:val="0"/>
        <w:pageBreakBefore w:val="0"/>
        <w:widowControl w:val="0"/>
        <w:kinsoku/>
        <w:wordWrap/>
        <w:overflowPunct/>
        <w:topLinePunct w:val="0"/>
        <w:autoSpaceDE/>
        <w:autoSpaceDN/>
        <w:bidi w:val="0"/>
        <w:adjustRightInd w:val="0"/>
        <w:snapToGrid/>
        <w:spacing w:line="360" w:lineRule="auto"/>
        <w:textAlignment w:val="auto"/>
        <w:outlineLvl w:val="1"/>
        <w:rPr>
          <w:rFonts w:hint="eastAsia" w:ascii="宋体" w:hAnsi="宋体" w:eastAsia="宋体" w:cs="宋体"/>
          <w:b/>
          <w:color w:val="auto"/>
          <w:kern w:val="28"/>
          <w:sz w:val="21"/>
          <w:szCs w:val="21"/>
          <w:highlight w:val="none"/>
        </w:rPr>
      </w:pPr>
      <w:bookmarkStart w:id="32" w:name="_Toc7153"/>
      <w:r>
        <w:rPr>
          <w:rFonts w:hint="eastAsia" w:ascii="宋体" w:hAnsi="宋体" w:eastAsia="宋体" w:cs="宋体"/>
          <w:b/>
          <w:color w:val="auto"/>
          <w:kern w:val="28"/>
          <w:sz w:val="21"/>
          <w:szCs w:val="21"/>
          <w:highlight w:val="none"/>
        </w:rPr>
        <w:t>14. 投标文件的提交、补充、修改、撤回</w:t>
      </w:r>
      <w:bookmarkEnd w:id="32"/>
    </w:p>
    <w:p w14:paraId="3CD33ED9">
      <w:pPr>
        <w:pStyle w:val="139"/>
        <w:snapToGrid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6342A2FA">
      <w:pPr>
        <w:pStyle w:val="139"/>
        <w:snapToGrid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14.2电子交易平台收到投标文件，将妥善保存并即时向供应商发出确认回执通知。在投标截止时</w:t>
      </w:r>
      <w:r>
        <w:rPr>
          <w:rFonts w:hint="eastAsia" w:ascii="宋体" w:hAnsi="宋体" w:eastAsia="宋体" w:cs="宋体"/>
          <w:color w:val="auto"/>
          <w:sz w:val="21"/>
          <w:szCs w:val="21"/>
          <w:highlight w:val="none"/>
          <w:lang w:eastAsia="zh-CN"/>
        </w:rPr>
        <w:t>间之</w:t>
      </w:r>
      <w:r>
        <w:rPr>
          <w:rFonts w:hint="eastAsia" w:ascii="宋体" w:hAnsi="宋体" w:eastAsia="宋体" w:cs="宋体"/>
          <w:color w:val="auto"/>
          <w:sz w:val="21"/>
          <w:szCs w:val="21"/>
          <w:highlight w:val="none"/>
        </w:rPr>
        <w:t>前，除供应商补充、修改或者撤回投标文件外，任何单位和个人不得解密或提取投标文件。</w:t>
      </w:r>
    </w:p>
    <w:p w14:paraId="790104E8">
      <w:pPr>
        <w:pStyle w:val="139"/>
        <w:snapToGrid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14.3采购人、</w:t>
      </w:r>
      <w:r>
        <w:rPr>
          <w:rFonts w:hint="eastAsia" w:ascii="宋体" w:hAnsi="宋体" w:eastAsia="宋体" w:cs="宋体"/>
          <w:color w:val="auto"/>
          <w:sz w:val="21"/>
          <w:szCs w:val="21"/>
          <w:highlight w:val="none"/>
          <w:lang w:eastAsia="zh-CN"/>
        </w:rPr>
        <w:t>采购代理机构</w:t>
      </w:r>
      <w:r>
        <w:rPr>
          <w:rFonts w:hint="eastAsia" w:ascii="宋体" w:hAnsi="宋体" w:eastAsia="宋体" w:cs="宋体"/>
          <w:color w:val="auto"/>
          <w:sz w:val="21"/>
          <w:szCs w:val="21"/>
          <w:highlight w:val="none"/>
        </w:rPr>
        <w:t>可以视情况延长投标文件提交的截止时间。在上述情况下，</w:t>
      </w:r>
      <w:r>
        <w:rPr>
          <w:rFonts w:hint="eastAsia" w:ascii="宋体" w:hAnsi="宋体" w:eastAsia="宋体" w:cs="宋体"/>
          <w:color w:val="auto"/>
          <w:sz w:val="21"/>
          <w:szCs w:val="21"/>
          <w:highlight w:val="none"/>
          <w:lang w:eastAsia="zh-CN"/>
        </w:rPr>
        <w:t>采购代理机构</w:t>
      </w:r>
      <w:r>
        <w:rPr>
          <w:rFonts w:hint="eastAsia" w:ascii="宋体" w:hAnsi="宋体" w:eastAsia="宋体" w:cs="宋体"/>
          <w:color w:val="auto"/>
          <w:sz w:val="21"/>
          <w:szCs w:val="21"/>
          <w:highlight w:val="none"/>
        </w:rPr>
        <w:t>与投标人以前在投标截止期方面的全部权利、责任和义务，将适用于延长至新的投标截止期。</w:t>
      </w:r>
    </w:p>
    <w:p w14:paraId="7D85CADE">
      <w:pPr>
        <w:pStyle w:val="33"/>
        <w:keepNext w:val="0"/>
        <w:keepLines w:val="0"/>
        <w:pageBreakBefore w:val="0"/>
        <w:widowControl w:val="0"/>
        <w:kinsoku/>
        <w:wordWrap/>
        <w:overflowPunct/>
        <w:topLinePunct w:val="0"/>
        <w:autoSpaceDE/>
        <w:autoSpaceDN/>
        <w:bidi w:val="0"/>
        <w:adjustRightInd w:val="0"/>
        <w:snapToGrid/>
        <w:spacing w:line="360" w:lineRule="auto"/>
        <w:textAlignment w:val="auto"/>
        <w:outlineLvl w:val="1"/>
        <w:rPr>
          <w:rFonts w:hint="eastAsia" w:ascii="宋体" w:hAnsi="宋体" w:eastAsia="宋体" w:cs="宋体"/>
          <w:b/>
          <w:color w:val="auto"/>
          <w:kern w:val="28"/>
          <w:sz w:val="21"/>
          <w:szCs w:val="21"/>
          <w:highlight w:val="none"/>
        </w:rPr>
      </w:pPr>
      <w:bookmarkStart w:id="33" w:name="_Toc4037"/>
      <w:r>
        <w:rPr>
          <w:rFonts w:hint="eastAsia" w:ascii="宋体" w:hAnsi="宋体" w:eastAsia="宋体" w:cs="宋体"/>
          <w:b/>
          <w:color w:val="auto"/>
          <w:kern w:val="28"/>
          <w:sz w:val="21"/>
          <w:szCs w:val="21"/>
          <w:highlight w:val="none"/>
        </w:rPr>
        <w:t>15.备份投标文件</w:t>
      </w:r>
      <w:bookmarkEnd w:id="33"/>
    </w:p>
    <w:p w14:paraId="4E3C4381">
      <w:pPr>
        <w:pStyle w:val="33"/>
        <w:spacing w:line="360" w:lineRule="auto"/>
        <w:ind w:firstLine="315" w:firstLineChars="15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15.1投标人在电子交易平台传输递交投标文件后，还可以在投标截止时间前直接提交或者以邮政快递方式递交备份投标文件1份，</w:t>
      </w:r>
      <w:r>
        <w:rPr>
          <w:rFonts w:hint="eastAsia" w:ascii="宋体" w:hAnsi="宋体" w:eastAsia="宋体" w:cs="宋体"/>
          <w:b/>
          <w:color w:val="auto"/>
          <w:sz w:val="21"/>
          <w:szCs w:val="21"/>
          <w:highlight w:val="none"/>
        </w:rPr>
        <w:t>但采购人、</w:t>
      </w:r>
      <w:r>
        <w:rPr>
          <w:rFonts w:hint="eastAsia" w:ascii="宋体" w:hAnsi="宋体" w:eastAsia="宋体" w:cs="宋体"/>
          <w:b/>
          <w:color w:val="auto"/>
          <w:sz w:val="21"/>
          <w:szCs w:val="21"/>
          <w:highlight w:val="none"/>
          <w:lang w:eastAsia="zh-CN"/>
        </w:rPr>
        <w:t>采购代理机构</w:t>
      </w:r>
      <w:r>
        <w:rPr>
          <w:rFonts w:hint="eastAsia" w:ascii="宋体" w:hAnsi="宋体" w:eastAsia="宋体" w:cs="宋体"/>
          <w:b/>
          <w:color w:val="auto"/>
          <w:sz w:val="21"/>
          <w:szCs w:val="21"/>
          <w:highlight w:val="none"/>
        </w:rPr>
        <w:t>不强制或变相强制投标人提交备份投标文件。</w:t>
      </w:r>
    </w:p>
    <w:p w14:paraId="734D00D0">
      <w:pPr>
        <w:pStyle w:val="33"/>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15.2备份投标文件须在“政采云投标客户端”制作生成，并储存在DVD光盘</w:t>
      </w:r>
      <w:r>
        <w:rPr>
          <w:rFonts w:hint="eastAsia" w:ascii="宋体" w:hAnsi="宋体" w:eastAsia="宋体" w:cs="宋体"/>
          <w:color w:val="auto"/>
          <w:sz w:val="21"/>
          <w:szCs w:val="21"/>
          <w:highlight w:val="none"/>
          <w:lang w:val="en-US" w:eastAsia="zh-CN"/>
        </w:rPr>
        <w:t>等存储介质</w:t>
      </w:r>
      <w:r>
        <w:rPr>
          <w:rFonts w:hint="eastAsia" w:ascii="宋体" w:hAnsi="宋体" w:eastAsia="宋体" w:cs="宋体"/>
          <w:color w:val="auto"/>
          <w:sz w:val="21"/>
          <w:szCs w:val="21"/>
          <w:highlight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ascii="宋体" w:hAnsi="宋体" w:eastAsia="宋体" w:cs="宋体"/>
          <w:b/>
          <w:color w:val="auto"/>
          <w:sz w:val="21"/>
          <w:szCs w:val="21"/>
          <w:highlight w:val="none"/>
        </w:rPr>
        <w:t>不符合上述制作、存储、密封规定的备份投标文件将被视为无效或者被拒绝接收。</w:t>
      </w:r>
    </w:p>
    <w:p w14:paraId="5494D55A">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15.3直接提交备份投标文件的，投标人应于投标截止时间前在招标公告中载明的开标地点将备份投标文件提交给</w:t>
      </w:r>
      <w:r>
        <w:rPr>
          <w:rFonts w:hint="eastAsia" w:ascii="宋体" w:hAnsi="宋体" w:eastAsia="宋体" w:cs="宋体"/>
          <w:color w:val="auto"/>
          <w:sz w:val="21"/>
          <w:szCs w:val="21"/>
          <w:highlight w:val="none"/>
          <w:lang w:eastAsia="zh-CN"/>
        </w:rPr>
        <w:t>采购代理机构</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采购代理机构</w:t>
      </w:r>
      <w:r>
        <w:rPr>
          <w:rFonts w:hint="eastAsia" w:ascii="宋体" w:hAnsi="宋体" w:eastAsia="宋体" w:cs="宋体"/>
          <w:color w:val="auto"/>
          <w:sz w:val="21"/>
          <w:szCs w:val="21"/>
          <w:highlight w:val="none"/>
        </w:rPr>
        <w:t>将拒绝接受逾期送达的备份投标文件。</w:t>
      </w:r>
    </w:p>
    <w:p w14:paraId="0EF837DE">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以邮政快递方式递交备份投标文件的，投标人应先将备份投标文件按要求密封和标记，再进行邮政快递包装后邮寄。备份投标文件须在投标截止时间之前送达招标文件第二部分投标人须知前附表规定的备份投标文件送达地点；送达时间以签收人签收时间为准。</w:t>
      </w:r>
      <w:r>
        <w:rPr>
          <w:rFonts w:hint="eastAsia" w:ascii="宋体" w:hAnsi="宋体" w:eastAsia="宋体" w:cs="宋体"/>
          <w:color w:val="auto"/>
          <w:sz w:val="21"/>
          <w:szCs w:val="21"/>
          <w:highlight w:val="none"/>
          <w:lang w:eastAsia="zh-CN"/>
        </w:rPr>
        <w:t>采购代理机构</w:t>
      </w:r>
      <w:r>
        <w:rPr>
          <w:rFonts w:hint="eastAsia" w:ascii="宋体" w:hAnsi="宋体" w:eastAsia="宋体" w:cs="宋体"/>
          <w:color w:val="auto"/>
          <w:sz w:val="21"/>
          <w:szCs w:val="21"/>
          <w:highlight w:val="none"/>
        </w:rPr>
        <w:t>将拒绝接受逾期送达的备份投标文件。邮寄过程中，电子备份投标文件发生泄露、遗失、损坏或延期送达等情况的，由投标人自行负责。</w:t>
      </w:r>
    </w:p>
    <w:p w14:paraId="6FACDD1C">
      <w:pPr>
        <w:pStyle w:val="33"/>
        <w:spacing w:line="360" w:lineRule="auto"/>
        <w:ind w:firstLine="420" w:firstLineChars="19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15.5投标人仅提交备份投标文件，未在电子交易平台传输递交投标文件的，投标无效。</w:t>
      </w:r>
    </w:p>
    <w:p w14:paraId="41BE8836">
      <w:pPr>
        <w:pStyle w:val="33"/>
        <w:keepNext w:val="0"/>
        <w:keepLines w:val="0"/>
        <w:pageBreakBefore w:val="0"/>
        <w:widowControl w:val="0"/>
        <w:kinsoku/>
        <w:wordWrap/>
        <w:overflowPunct/>
        <w:topLinePunct w:val="0"/>
        <w:autoSpaceDE/>
        <w:autoSpaceDN/>
        <w:bidi w:val="0"/>
        <w:adjustRightInd w:val="0"/>
        <w:snapToGrid/>
        <w:spacing w:line="360" w:lineRule="auto"/>
        <w:textAlignment w:val="auto"/>
        <w:outlineLvl w:val="1"/>
        <w:rPr>
          <w:rFonts w:hint="eastAsia" w:ascii="宋体" w:hAnsi="宋体" w:eastAsia="宋体" w:cs="宋体"/>
          <w:b/>
          <w:color w:val="auto"/>
          <w:kern w:val="28"/>
          <w:sz w:val="21"/>
          <w:szCs w:val="21"/>
          <w:highlight w:val="none"/>
        </w:rPr>
      </w:pPr>
      <w:bookmarkStart w:id="34" w:name="_Toc5344"/>
      <w:r>
        <w:rPr>
          <w:rFonts w:hint="eastAsia" w:ascii="宋体" w:hAnsi="宋体" w:eastAsia="宋体" w:cs="宋体"/>
          <w:b/>
          <w:color w:val="auto"/>
          <w:kern w:val="28"/>
          <w:sz w:val="21"/>
          <w:szCs w:val="21"/>
          <w:highlight w:val="none"/>
        </w:rPr>
        <w:t>16.投标文件的无效处理</w:t>
      </w:r>
      <w:bookmarkEnd w:id="34"/>
    </w:p>
    <w:p w14:paraId="4450C3FF">
      <w:pPr>
        <w:pStyle w:val="25"/>
        <w:spacing w:line="360" w:lineRule="auto"/>
        <w:ind w:firstLine="315" w:firstLineChars="15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有招标文件第四部分4.2规定的情形之一的，投标无效</w:t>
      </w:r>
      <w:r>
        <w:rPr>
          <w:rFonts w:hint="eastAsia" w:ascii="宋体" w:hAnsi="宋体" w:eastAsia="宋体" w:cs="宋体"/>
          <w:color w:val="auto"/>
          <w:sz w:val="21"/>
          <w:szCs w:val="21"/>
          <w:highlight w:val="none"/>
          <w:lang w:eastAsia="zh-CN"/>
        </w:rPr>
        <w:t>。</w:t>
      </w:r>
    </w:p>
    <w:p w14:paraId="6E49EF57">
      <w:pPr>
        <w:pStyle w:val="33"/>
        <w:keepNext w:val="0"/>
        <w:keepLines w:val="0"/>
        <w:pageBreakBefore w:val="0"/>
        <w:widowControl w:val="0"/>
        <w:kinsoku/>
        <w:wordWrap/>
        <w:overflowPunct/>
        <w:topLinePunct w:val="0"/>
        <w:autoSpaceDE/>
        <w:autoSpaceDN/>
        <w:bidi w:val="0"/>
        <w:adjustRightInd w:val="0"/>
        <w:snapToGrid/>
        <w:spacing w:line="360" w:lineRule="auto"/>
        <w:textAlignment w:val="auto"/>
        <w:outlineLvl w:val="1"/>
        <w:rPr>
          <w:rFonts w:hint="eastAsia" w:ascii="宋体" w:hAnsi="宋体" w:eastAsia="宋体" w:cs="宋体"/>
          <w:b/>
          <w:color w:val="auto"/>
          <w:kern w:val="28"/>
          <w:sz w:val="21"/>
          <w:szCs w:val="21"/>
          <w:highlight w:val="none"/>
        </w:rPr>
      </w:pPr>
      <w:bookmarkStart w:id="35" w:name="_Toc20023"/>
      <w:r>
        <w:rPr>
          <w:rFonts w:hint="eastAsia" w:ascii="宋体" w:hAnsi="宋体" w:eastAsia="宋体" w:cs="宋体"/>
          <w:b/>
          <w:color w:val="auto"/>
          <w:kern w:val="28"/>
          <w:sz w:val="21"/>
          <w:szCs w:val="21"/>
          <w:highlight w:val="none"/>
        </w:rPr>
        <w:t>17.投标有效期</w:t>
      </w:r>
      <w:bookmarkEnd w:id="35"/>
    </w:p>
    <w:p w14:paraId="78CD9309">
      <w:pPr>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17.1投标有效期为从提交投标文件的截止之日起90天。▲</w:t>
      </w:r>
      <w:r>
        <w:rPr>
          <w:rFonts w:hint="eastAsia" w:ascii="宋体" w:hAnsi="宋体" w:eastAsia="宋体" w:cs="宋体"/>
          <w:b/>
          <w:color w:val="auto"/>
          <w:sz w:val="21"/>
          <w:szCs w:val="21"/>
          <w:highlight w:val="none"/>
        </w:rPr>
        <w:t>投标人的投标文件中承诺的投标有效期少于招标文件中载明的投标有效期的，投标无效。</w:t>
      </w:r>
    </w:p>
    <w:p w14:paraId="4A7348F0">
      <w:pPr>
        <w:pStyle w:val="139"/>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17.2投标文件合格投递后，自投标截止日期起，在投标有效期内有效。</w:t>
      </w:r>
    </w:p>
    <w:p w14:paraId="2217BFA8">
      <w:pPr>
        <w:pStyle w:val="139"/>
        <w:spacing w:before="0" w:line="360" w:lineRule="auto"/>
        <w:ind w:firstLine="48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17.3在原定投标有效期满之前，如果出现特殊情况，</w:t>
      </w:r>
      <w:r>
        <w:rPr>
          <w:rFonts w:hint="eastAsia" w:ascii="宋体" w:hAnsi="宋体" w:eastAsia="宋体" w:cs="宋体"/>
          <w:color w:val="auto"/>
          <w:sz w:val="21"/>
          <w:szCs w:val="21"/>
          <w:highlight w:val="none"/>
          <w:lang w:eastAsia="zh-CN"/>
        </w:rPr>
        <w:t>采购代理机构</w:t>
      </w:r>
      <w:r>
        <w:rPr>
          <w:rFonts w:hint="eastAsia" w:ascii="宋体" w:hAnsi="宋体" w:eastAsia="宋体" w:cs="宋体"/>
          <w:color w:val="auto"/>
          <w:sz w:val="21"/>
          <w:szCs w:val="21"/>
          <w:highlight w:val="none"/>
        </w:rPr>
        <w:t>可以以书面形式通知投标人延长投标有效期。投标人同意延长的，不得要求或被允许修改其投标文件，投标人拒绝延长的，其投标无效。</w:t>
      </w:r>
    </w:p>
    <w:p w14:paraId="5B7A9328">
      <w:pPr>
        <w:snapToGrid w:val="0"/>
        <w:spacing w:line="360" w:lineRule="auto"/>
        <w:jc w:val="center"/>
        <w:outlineLvl w:val="0"/>
        <w:rPr>
          <w:rFonts w:hint="eastAsia" w:ascii="宋体" w:hAnsi="宋体" w:eastAsia="宋体" w:cs="宋体"/>
          <w:b/>
          <w:color w:val="auto"/>
          <w:sz w:val="36"/>
          <w:szCs w:val="36"/>
          <w:highlight w:val="none"/>
        </w:rPr>
      </w:pPr>
      <w:bookmarkStart w:id="36" w:name="_Toc18666"/>
      <w:r>
        <w:rPr>
          <w:rFonts w:hint="eastAsia" w:ascii="宋体" w:hAnsi="宋体" w:eastAsia="宋体" w:cs="宋体"/>
          <w:b/>
          <w:color w:val="auto"/>
          <w:sz w:val="36"/>
          <w:szCs w:val="36"/>
          <w:highlight w:val="none"/>
        </w:rPr>
        <w:t>四、开标、资格审查与信用信息查询</w:t>
      </w:r>
      <w:bookmarkEnd w:id="36"/>
    </w:p>
    <w:p w14:paraId="27B9E861">
      <w:pPr>
        <w:pStyle w:val="33"/>
        <w:keepNext w:val="0"/>
        <w:keepLines w:val="0"/>
        <w:pageBreakBefore w:val="0"/>
        <w:widowControl w:val="0"/>
        <w:kinsoku/>
        <w:wordWrap/>
        <w:overflowPunct/>
        <w:topLinePunct w:val="0"/>
        <w:autoSpaceDE/>
        <w:autoSpaceDN/>
        <w:bidi w:val="0"/>
        <w:adjustRightInd w:val="0"/>
        <w:snapToGrid/>
        <w:spacing w:line="360" w:lineRule="auto"/>
        <w:textAlignment w:val="auto"/>
        <w:outlineLvl w:val="1"/>
        <w:rPr>
          <w:rFonts w:hint="eastAsia" w:ascii="宋体" w:hAnsi="宋体" w:eastAsia="宋体" w:cs="宋体"/>
          <w:b/>
          <w:color w:val="auto"/>
          <w:kern w:val="28"/>
          <w:sz w:val="21"/>
          <w:szCs w:val="21"/>
          <w:highlight w:val="none"/>
        </w:rPr>
      </w:pPr>
      <w:bookmarkStart w:id="37" w:name="_Toc8860"/>
      <w:r>
        <w:rPr>
          <w:rFonts w:hint="eastAsia" w:ascii="宋体" w:hAnsi="宋体" w:eastAsia="宋体" w:cs="宋体"/>
          <w:b/>
          <w:color w:val="auto"/>
          <w:kern w:val="28"/>
          <w:sz w:val="21"/>
          <w:szCs w:val="21"/>
          <w:highlight w:val="none"/>
        </w:rPr>
        <w:t>18.开标</w:t>
      </w:r>
      <w:bookmarkEnd w:id="37"/>
    </w:p>
    <w:p w14:paraId="6374C789">
      <w:pPr>
        <w:pStyle w:val="558"/>
        <w:spacing w:before="0" w:line="360" w:lineRule="auto"/>
        <w:ind w:left="0"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18.1</w:t>
      </w:r>
      <w:r>
        <w:rPr>
          <w:rFonts w:hint="eastAsia" w:ascii="宋体" w:hAnsi="宋体" w:eastAsia="宋体" w:cs="宋体"/>
          <w:color w:val="auto"/>
          <w:sz w:val="21"/>
          <w:szCs w:val="21"/>
          <w:highlight w:val="none"/>
          <w:lang w:eastAsia="zh-CN"/>
        </w:rPr>
        <w:t>采购代理机构</w:t>
      </w:r>
      <w:r>
        <w:rPr>
          <w:rFonts w:hint="eastAsia" w:ascii="宋体" w:hAnsi="宋体" w:eastAsia="宋体" w:cs="宋体"/>
          <w:color w:val="auto"/>
          <w:sz w:val="21"/>
          <w:szCs w:val="21"/>
          <w:highlight w:val="none"/>
        </w:rPr>
        <w:t>按照招标文件规定的时间通过电子交易平台组织开标，所有投标人均应当准时在线参加。投标人不足3家的，不得开标。</w:t>
      </w:r>
    </w:p>
    <w:p w14:paraId="191E566B">
      <w:pPr>
        <w:pStyle w:val="558"/>
        <w:spacing w:before="0" w:line="360" w:lineRule="auto"/>
        <w:ind w:left="0" w:firstLine="210" w:firstLineChars="1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18.2开标时，电子交易平台按开标时间自动提取所有投标文件。</w:t>
      </w:r>
      <w:r>
        <w:rPr>
          <w:rFonts w:hint="eastAsia" w:ascii="宋体" w:hAnsi="宋体" w:eastAsia="宋体" w:cs="宋体"/>
          <w:color w:val="auto"/>
          <w:sz w:val="21"/>
          <w:szCs w:val="21"/>
          <w:highlight w:val="none"/>
          <w:lang w:eastAsia="zh-CN"/>
        </w:rPr>
        <w:t>采购代理机构</w:t>
      </w:r>
      <w:r>
        <w:rPr>
          <w:rFonts w:hint="eastAsia" w:ascii="宋体" w:hAnsi="宋体" w:eastAsia="宋体" w:cs="宋体"/>
          <w:color w:val="auto"/>
          <w:sz w:val="21"/>
          <w:szCs w:val="21"/>
          <w:highlight w:val="none"/>
        </w:rPr>
        <w:t>依托电子交易平台发起开始解密指令，投标人按照平台提示和招标文件的规定在半小时内完成在线解密。</w:t>
      </w:r>
    </w:p>
    <w:p w14:paraId="0F27C347">
      <w:pPr>
        <w:pStyle w:val="558"/>
        <w:spacing w:before="0" w:line="360" w:lineRule="auto"/>
        <w:ind w:left="0" w:firstLine="210" w:firstLineChars="100"/>
        <w:contextualSpacing/>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　18.3</w:t>
      </w:r>
      <w:r>
        <w:rPr>
          <w:rFonts w:hint="eastAsia" w:ascii="宋体" w:hAnsi="宋体" w:eastAsia="宋体" w:cs="宋体"/>
          <w:b/>
          <w:color w:val="auto"/>
          <w:sz w:val="21"/>
          <w:szCs w:val="21"/>
          <w:highlight w:val="none"/>
        </w:rPr>
        <w:t>投标文件未按时解密，投标人提供了备份投标文件的，以备份投标文件作为依据，否则视为投标文件撤回。投标文件已按时解密的，备份投标文件自动失效。</w:t>
      </w:r>
    </w:p>
    <w:p w14:paraId="1D76BCB0">
      <w:pPr>
        <w:pStyle w:val="33"/>
        <w:keepNext w:val="0"/>
        <w:keepLines w:val="0"/>
        <w:pageBreakBefore w:val="0"/>
        <w:widowControl w:val="0"/>
        <w:kinsoku/>
        <w:wordWrap/>
        <w:overflowPunct/>
        <w:topLinePunct w:val="0"/>
        <w:autoSpaceDE/>
        <w:autoSpaceDN/>
        <w:bidi w:val="0"/>
        <w:adjustRightInd w:val="0"/>
        <w:snapToGrid/>
        <w:spacing w:line="360" w:lineRule="auto"/>
        <w:textAlignment w:val="auto"/>
        <w:outlineLvl w:val="1"/>
        <w:rPr>
          <w:rFonts w:hint="eastAsia" w:ascii="宋体" w:hAnsi="宋体" w:eastAsia="宋体" w:cs="宋体"/>
          <w:b/>
          <w:color w:val="auto"/>
          <w:kern w:val="28"/>
          <w:sz w:val="21"/>
          <w:szCs w:val="21"/>
          <w:highlight w:val="none"/>
        </w:rPr>
      </w:pPr>
      <w:bookmarkStart w:id="38" w:name="_Toc15957"/>
      <w:r>
        <w:rPr>
          <w:rFonts w:hint="eastAsia" w:ascii="宋体" w:hAnsi="宋体" w:eastAsia="宋体" w:cs="宋体"/>
          <w:b/>
          <w:color w:val="auto"/>
          <w:kern w:val="28"/>
          <w:sz w:val="21"/>
          <w:szCs w:val="21"/>
          <w:highlight w:val="none"/>
        </w:rPr>
        <w:t>19</w:t>
      </w:r>
      <w:r>
        <w:rPr>
          <w:rFonts w:hint="eastAsia" w:ascii="宋体" w:hAnsi="宋体" w:eastAsia="宋体" w:cs="宋体"/>
          <w:b/>
          <w:color w:val="auto"/>
          <w:kern w:val="28"/>
          <w:sz w:val="21"/>
          <w:szCs w:val="21"/>
          <w:highlight w:val="none"/>
          <w:lang w:val="en-US" w:eastAsia="zh-CN"/>
        </w:rPr>
        <w:t>.</w:t>
      </w:r>
      <w:r>
        <w:rPr>
          <w:rFonts w:hint="eastAsia" w:ascii="宋体" w:hAnsi="宋体" w:eastAsia="宋体" w:cs="宋体"/>
          <w:b/>
          <w:color w:val="auto"/>
          <w:kern w:val="28"/>
          <w:sz w:val="21"/>
          <w:szCs w:val="21"/>
          <w:highlight w:val="none"/>
        </w:rPr>
        <w:t>资格审查</w:t>
      </w:r>
      <w:bookmarkEnd w:id="38"/>
    </w:p>
    <w:p w14:paraId="4DCB2D24">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19.</w:t>
      </w:r>
      <w:r>
        <w:rPr>
          <w:rFonts w:hint="eastAsia" w:ascii="宋体" w:hAnsi="宋体" w:eastAsia="宋体" w:cs="宋体"/>
          <w:color w:val="auto"/>
          <w:kern w:val="0"/>
          <w:sz w:val="21"/>
          <w:szCs w:val="21"/>
          <w:highlight w:val="none"/>
          <w:lang w:val="en-US" w:eastAsia="zh-CN"/>
        </w:rPr>
        <w:t>1开标后，</w:t>
      </w:r>
      <w:r>
        <w:rPr>
          <w:rFonts w:hint="eastAsia" w:ascii="宋体" w:hAnsi="宋体" w:eastAsia="宋体" w:cs="宋体"/>
          <w:color w:val="auto"/>
          <w:sz w:val="21"/>
          <w:szCs w:val="21"/>
          <w:highlight w:val="none"/>
        </w:rPr>
        <w:t>采购人或</w:t>
      </w:r>
      <w:r>
        <w:rPr>
          <w:rFonts w:hint="eastAsia" w:ascii="宋体" w:hAnsi="宋体" w:eastAsia="宋体" w:cs="宋体"/>
          <w:color w:val="auto"/>
          <w:sz w:val="21"/>
          <w:szCs w:val="21"/>
          <w:highlight w:val="none"/>
          <w:lang w:eastAsia="zh-CN"/>
        </w:rPr>
        <w:t>采购代理机构</w:t>
      </w:r>
      <w:r>
        <w:rPr>
          <w:rFonts w:hint="eastAsia" w:ascii="宋体" w:hAnsi="宋体" w:eastAsia="宋体" w:cs="宋体"/>
          <w:color w:val="auto"/>
          <w:sz w:val="21"/>
          <w:szCs w:val="21"/>
          <w:highlight w:val="none"/>
        </w:rPr>
        <w:t>依据法律法规和招标文件的规定，对投标人的资格进行审查。</w:t>
      </w:r>
    </w:p>
    <w:p w14:paraId="0FA460A4">
      <w:pPr>
        <w:pStyle w:val="139"/>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19.</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投标人未按照招标文件要求提供与</w:t>
      </w:r>
      <w:r>
        <w:rPr>
          <w:rFonts w:hint="eastAsia" w:ascii="宋体" w:hAnsi="宋体" w:eastAsia="宋体" w:cs="宋体"/>
          <w:color w:val="auto"/>
          <w:sz w:val="21"/>
          <w:szCs w:val="21"/>
          <w:highlight w:val="none"/>
        </w:rPr>
        <w:t>资格条件相应的</w:t>
      </w:r>
      <w:r>
        <w:rPr>
          <w:rFonts w:hint="eastAsia" w:ascii="宋体" w:hAnsi="宋体" w:eastAsia="宋体" w:cs="宋体"/>
          <w:color w:val="auto"/>
          <w:kern w:val="0"/>
          <w:sz w:val="21"/>
          <w:szCs w:val="21"/>
          <w:highlight w:val="none"/>
        </w:rPr>
        <w:t>有效资格证明材料的，视为</w:t>
      </w:r>
      <w:r>
        <w:rPr>
          <w:rFonts w:hint="eastAsia" w:ascii="宋体" w:hAnsi="宋体" w:eastAsia="宋体" w:cs="宋体"/>
          <w:color w:val="auto"/>
          <w:sz w:val="21"/>
          <w:szCs w:val="21"/>
          <w:highlight w:val="none"/>
        </w:rPr>
        <w:t>投标人不具备招标文件中规定的资格要求，其投标无效。</w:t>
      </w:r>
    </w:p>
    <w:p w14:paraId="12981AB3">
      <w:pPr>
        <w:pStyle w:val="139"/>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19.</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对未通过资格审查的投标人，采购人或</w:t>
      </w:r>
      <w:r>
        <w:rPr>
          <w:rFonts w:hint="eastAsia" w:ascii="宋体" w:hAnsi="宋体" w:eastAsia="宋体" w:cs="宋体"/>
          <w:color w:val="auto"/>
          <w:sz w:val="21"/>
          <w:szCs w:val="21"/>
          <w:highlight w:val="none"/>
          <w:lang w:eastAsia="zh-CN"/>
        </w:rPr>
        <w:t>采购代理机构</w:t>
      </w:r>
      <w:r>
        <w:rPr>
          <w:rFonts w:hint="eastAsia" w:ascii="宋体" w:hAnsi="宋体" w:eastAsia="宋体" w:cs="宋体"/>
          <w:color w:val="auto"/>
          <w:sz w:val="21"/>
          <w:szCs w:val="21"/>
          <w:highlight w:val="none"/>
        </w:rPr>
        <w:t>告知其未通过的原因。</w:t>
      </w:r>
    </w:p>
    <w:p w14:paraId="48D218B1">
      <w:pPr>
        <w:pStyle w:val="139"/>
        <w:adjustRightInd w:val="0"/>
        <w:snapToGrid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19.</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合格投标人不足3家的，不再评标。</w:t>
      </w:r>
    </w:p>
    <w:p w14:paraId="39BD760D">
      <w:pPr>
        <w:pStyle w:val="33"/>
        <w:keepNext w:val="0"/>
        <w:keepLines w:val="0"/>
        <w:pageBreakBefore w:val="0"/>
        <w:widowControl w:val="0"/>
        <w:kinsoku/>
        <w:wordWrap/>
        <w:overflowPunct/>
        <w:topLinePunct w:val="0"/>
        <w:autoSpaceDE/>
        <w:autoSpaceDN/>
        <w:bidi w:val="0"/>
        <w:adjustRightInd w:val="0"/>
        <w:snapToGrid/>
        <w:spacing w:line="360" w:lineRule="auto"/>
        <w:textAlignment w:val="auto"/>
        <w:outlineLvl w:val="1"/>
        <w:rPr>
          <w:rFonts w:hint="eastAsia" w:ascii="宋体" w:hAnsi="宋体" w:eastAsia="宋体" w:cs="宋体"/>
          <w:b/>
          <w:color w:val="auto"/>
          <w:kern w:val="28"/>
          <w:sz w:val="21"/>
          <w:szCs w:val="21"/>
          <w:highlight w:val="none"/>
        </w:rPr>
      </w:pPr>
      <w:bookmarkStart w:id="39" w:name="_Toc7732"/>
      <w:r>
        <w:rPr>
          <w:rFonts w:hint="eastAsia" w:ascii="宋体" w:hAnsi="宋体" w:eastAsia="宋体" w:cs="宋体"/>
          <w:b/>
          <w:color w:val="auto"/>
          <w:kern w:val="28"/>
          <w:sz w:val="21"/>
          <w:szCs w:val="21"/>
          <w:highlight w:val="none"/>
        </w:rPr>
        <w:t>20</w:t>
      </w:r>
      <w:r>
        <w:rPr>
          <w:rFonts w:hint="eastAsia" w:ascii="宋体" w:hAnsi="宋体" w:eastAsia="宋体" w:cs="宋体"/>
          <w:b/>
          <w:color w:val="auto"/>
          <w:kern w:val="28"/>
          <w:sz w:val="21"/>
          <w:szCs w:val="21"/>
          <w:highlight w:val="none"/>
          <w:lang w:val="en-US" w:eastAsia="zh-CN"/>
        </w:rPr>
        <w:t>.</w:t>
      </w:r>
      <w:r>
        <w:rPr>
          <w:rFonts w:hint="eastAsia" w:ascii="宋体" w:hAnsi="宋体" w:eastAsia="宋体" w:cs="宋体"/>
          <w:b/>
          <w:color w:val="auto"/>
          <w:kern w:val="28"/>
          <w:sz w:val="21"/>
          <w:szCs w:val="21"/>
          <w:highlight w:val="none"/>
        </w:rPr>
        <w:t>信用信息查询</w:t>
      </w:r>
      <w:bookmarkEnd w:id="39"/>
    </w:p>
    <w:p w14:paraId="7F55E478">
      <w:pPr>
        <w:pStyle w:val="139"/>
        <w:spacing w:before="0" w:line="360" w:lineRule="auto"/>
        <w:ind w:firstLine="495"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20.1信用信息查询渠道及截止时间：</w:t>
      </w:r>
      <w:r>
        <w:rPr>
          <w:rFonts w:hint="eastAsia" w:ascii="宋体" w:hAnsi="宋体" w:eastAsia="宋体" w:cs="宋体"/>
          <w:color w:val="auto"/>
          <w:kern w:val="0"/>
          <w:sz w:val="21"/>
          <w:szCs w:val="21"/>
          <w:highlight w:val="none"/>
          <w:lang w:eastAsia="zh-CN"/>
        </w:rPr>
        <w:t>采购代理机构</w:t>
      </w:r>
      <w:r>
        <w:rPr>
          <w:rFonts w:hint="eastAsia" w:ascii="宋体" w:hAnsi="宋体" w:eastAsia="宋体" w:cs="宋体"/>
          <w:color w:val="auto"/>
          <w:kern w:val="0"/>
          <w:sz w:val="21"/>
          <w:szCs w:val="21"/>
          <w:highlight w:val="none"/>
        </w:rPr>
        <w:t>将在资格审查时通过“信用中国”网站(www.creditchina.gov.cn)、中国政府采购网(www.ccgp.gov.cn)渠道查询投标人的信用记录。</w:t>
      </w:r>
    </w:p>
    <w:p w14:paraId="7449D827">
      <w:pPr>
        <w:pStyle w:val="139"/>
        <w:spacing w:before="0" w:line="360" w:lineRule="auto"/>
        <w:ind w:firstLine="495"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20.2信用信息查询记录和证据留存的具体方式：现场查询的投标人的信用记录、查询结果经确认后将与采购文件一起存档。</w:t>
      </w:r>
    </w:p>
    <w:p w14:paraId="061262E5">
      <w:pPr>
        <w:pStyle w:val="139"/>
        <w:spacing w:before="0" w:line="360" w:lineRule="auto"/>
        <w:ind w:firstLine="495"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20.3信用信息的使用规则：经查询列入失信被执行人名单、重大税收违法案件当事人名单、政府采购严重违法失信行为记录名单的投标人将被拒绝参与政府采购活动。</w:t>
      </w:r>
    </w:p>
    <w:p w14:paraId="17BC0436">
      <w:pPr>
        <w:pStyle w:val="139"/>
        <w:spacing w:before="0" w:line="360" w:lineRule="auto"/>
        <w:ind w:firstLine="480"/>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eastAsia="宋体" w:cs="宋体"/>
          <w:color w:val="auto"/>
          <w:sz w:val="21"/>
          <w:szCs w:val="21"/>
          <w:highlight w:val="none"/>
        </w:rPr>
        <w:t>。</w:t>
      </w:r>
    </w:p>
    <w:p w14:paraId="7921917D">
      <w:pPr>
        <w:snapToGrid w:val="0"/>
        <w:spacing w:line="360" w:lineRule="auto"/>
        <w:jc w:val="center"/>
        <w:outlineLvl w:val="0"/>
        <w:rPr>
          <w:rFonts w:hint="eastAsia" w:ascii="宋体" w:hAnsi="宋体" w:eastAsia="宋体" w:cs="宋体"/>
          <w:b/>
          <w:color w:val="auto"/>
          <w:sz w:val="36"/>
          <w:szCs w:val="36"/>
          <w:highlight w:val="none"/>
        </w:rPr>
      </w:pPr>
      <w:bookmarkStart w:id="40" w:name="_Toc7464"/>
      <w:r>
        <w:rPr>
          <w:rFonts w:hint="eastAsia" w:ascii="宋体" w:hAnsi="宋体" w:eastAsia="宋体" w:cs="宋体"/>
          <w:b/>
          <w:color w:val="auto"/>
          <w:sz w:val="36"/>
          <w:szCs w:val="36"/>
          <w:highlight w:val="none"/>
        </w:rPr>
        <w:t>五、评标</w:t>
      </w:r>
      <w:bookmarkEnd w:id="40"/>
    </w:p>
    <w:p w14:paraId="78A8F5A7">
      <w:pPr>
        <w:spacing w:line="360" w:lineRule="auto"/>
        <w:rPr>
          <w:rFonts w:hint="eastAsia" w:ascii="宋体" w:hAnsi="宋体" w:eastAsia="宋体" w:cs="宋体"/>
          <w:b/>
          <w:color w:val="auto"/>
          <w:sz w:val="24"/>
          <w:highlight w:val="none"/>
        </w:rPr>
      </w:pPr>
      <w:bookmarkStart w:id="41" w:name="_Toc91899903"/>
      <w:r>
        <w:rPr>
          <w:rFonts w:hint="eastAsia" w:ascii="宋体" w:hAnsi="宋体" w:eastAsia="宋体" w:cs="宋体"/>
          <w:b/>
          <w:snapToGrid w:val="0"/>
          <w:color w:val="auto"/>
          <w:kern w:val="28"/>
          <w:sz w:val="21"/>
          <w:szCs w:val="21"/>
          <w:highlight w:val="none"/>
          <w:lang w:val="en-US" w:eastAsia="zh-CN" w:bidi="ar-SA"/>
        </w:rPr>
        <w:t>21.评标委员会将根据招标文件和有关规定，履行评标工作职责，并按照评标方法及评</w:t>
      </w:r>
      <w:r>
        <w:rPr>
          <w:rFonts w:hint="eastAsia" w:ascii="宋体" w:hAnsi="宋体" w:eastAsia="宋体" w:cs="宋体"/>
          <w:color w:val="auto"/>
          <w:sz w:val="21"/>
          <w:szCs w:val="21"/>
          <w:highlight w:val="none"/>
        </w:rPr>
        <w:t>分标准，全面衡量各投标人对招标文件的响应情况。对实质上响应招标文件的投标人，按照评审因素的量化指标排出推荐中标的投标人的先后顺序，并按顺序提出授标建议。</w:t>
      </w:r>
      <w:r>
        <w:rPr>
          <w:rFonts w:hint="eastAsia" w:ascii="宋体" w:hAnsi="宋体" w:eastAsia="宋体" w:cs="宋体"/>
          <w:b/>
          <w:color w:val="auto"/>
          <w:sz w:val="21"/>
          <w:szCs w:val="21"/>
          <w:highlight w:val="none"/>
        </w:rPr>
        <w:t>详见招标文件第四部分评标办法。</w:t>
      </w:r>
    </w:p>
    <w:p w14:paraId="588B3792">
      <w:pPr>
        <w:snapToGrid w:val="0"/>
        <w:spacing w:line="360" w:lineRule="auto"/>
        <w:jc w:val="center"/>
        <w:outlineLvl w:val="0"/>
        <w:rPr>
          <w:rFonts w:hint="eastAsia" w:ascii="宋体" w:hAnsi="宋体" w:eastAsia="宋体" w:cs="宋体"/>
          <w:b/>
          <w:color w:val="auto"/>
          <w:sz w:val="36"/>
          <w:szCs w:val="36"/>
          <w:highlight w:val="none"/>
        </w:rPr>
      </w:pPr>
      <w:bookmarkStart w:id="42" w:name="_Toc23943"/>
      <w:r>
        <w:rPr>
          <w:rFonts w:hint="eastAsia" w:ascii="宋体" w:hAnsi="宋体" w:eastAsia="宋体" w:cs="宋体"/>
          <w:b/>
          <w:color w:val="auto"/>
          <w:sz w:val="36"/>
          <w:szCs w:val="36"/>
          <w:highlight w:val="none"/>
        </w:rPr>
        <w:t>六、定 标</w:t>
      </w:r>
      <w:bookmarkEnd w:id="42"/>
    </w:p>
    <w:p w14:paraId="7D8789B7">
      <w:pPr>
        <w:pStyle w:val="33"/>
        <w:keepNext w:val="0"/>
        <w:keepLines w:val="0"/>
        <w:pageBreakBefore w:val="0"/>
        <w:widowControl w:val="0"/>
        <w:kinsoku/>
        <w:wordWrap/>
        <w:overflowPunct/>
        <w:topLinePunct w:val="0"/>
        <w:autoSpaceDE/>
        <w:autoSpaceDN/>
        <w:bidi w:val="0"/>
        <w:adjustRightInd w:val="0"/>
        <w:snapToGrid/>
        <w:spacing w:line="360" w:lineRule="auto"/>
        <w:textAlignment w:val="auto"/>
        <w:outlineLvl w:val="1"/>
        <w:rPr>
          <w:rFonts w:hint="eastAsia" w:ascii="宋体" w:hAnsi="宋体" w:eastAsia="宋体" w:cs="宋体"/>
          <w:b/>
          <w:color w:val="auto"/>
          <w:kern w:val="28"/>
          <w:sz w:val="21"/>
          <w:szCs w:val="21"/>
          <w:highlight w:val="none"/>
          <w:lang w:eastAsia="zh-CN"/>
        </w:rPr>
      </w:pPr>
      <w:bookmarkStart w:id="43" w:name="_Toc23015"/>
      <w:r>
        <w:rPr>
          <w:rFonts w:hint="eastAsia" w:ascii="宋体" w:hAnsi="宋体" w:eastAsia="宋体" w:cs="宋体"/>
          <w:b/>
          <w:color w:val="auto"/>
          <w:kern w:val="28"/>
          <w:sz w:val="21"/>
          <w:szCs w:val="21"/>
          <w:highlight w:val="none"/>
        </w:rPr>
        <w:t>22.确定</w:t>
      </w:r>
      <w:r>
        <w:rPr>
          <w:rFonts w:hint="eastAsia" w:ascii="宋体" w:hAnsi="宋体" w:eastAsia="宋体" w:cs="宋体"/>
          <w:b/>
          <w:color w:val="auto"/>
          <w:kern w:val="28"/>
          <w:sz w:val="21"/>
          <w:szCs w:val="21"/>
          <w:highlight w:val="none"/>
          <w:lang w:eastAsia="zh-CN"/>
        </w:rPr>
        <w:t>中标人</w:t>
      </w:r>
      <w:bookmarkEnd w:id="43"/>
    </w:p>
    <w:p w14:paraId="66E2EB91">
      <w:pPr>
        <w:pStyle w:val="139"/>
        <w:snapToGrid w:val="0"/>
        <w:spacing w:before="0" w:line="360" w:lineRule="auto"/>
        <w:ind w:firstLine="48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为提高政府采购效率，</w:t>
      </w:r>
      <w:r>
        <w:rPr>
          <w:rFonts w:hint="eastAsia" w:ascii="宋体" w:hAnsi="宋体" w:eastAsia="宋体" w:cs="宋体"/>
          <w:color w:val="auto"/>
          <w:sz w:val="21"/>
          <w:szCs w:val="21"/>
          <w:highlight w:val="none"/>
          <w:lang w:val="en-US" w:eastAsia="zh-CN"/>
        </w:rPr>
        <w:t>鼓励</w:t>
      </w:r>
      <w:r>
        <w:rPr>
          <w:rFonts w:hint="eastAsia" w:ascii="宋体" w:hAnsi="宋体" w:eastAsia="宋体" w:cs="宋体"/>
          <w:color w:val="auto"/>
          <w:sz w:val="21"/>
          <w:szCs w:val="21"/>
          <w:highlight w:val="none"/>
        </w:rPr>
        <w:t>在收到评审报告当天</w:t>
      </w:r>
      <w:r>
        <w:rPr>
          <w:rFonts w:hint="eastAsia" w:ascii="宋体" w:hAnsi="宋体" w:eastAsia="宋体" w:cs="宋体"/>
          <w:color w:val="auto"/>
          <w:sz w:val="21"/>
          <w:szCs w:val="21"/>
          <w:highlight w:val="none"/>
          <w:lang w:val="en-US" w:eastAsia="zh-CN"/>
        </w:rPr>
        <w:t>在线</w:t>
      </w:r>
      <w:r>
        <w:rPr>
          <w:rFonts w:hint="eastAsia" w:ascii="宋体" w:hAnsi="宋体" w:eastAsia="宋体" w:cs="宋体"/>
          <w:color w:val="auto"/>
          <w:sz w:val="21"/>
          <w:szCs w:val="21"/>
          <w:highlight w:val="none"/>
        </w:rPr>
        <w:t>确定中标或者成交供应商。中标、成交通知书和中标、成交结果公告应当在规定时间内同时发出。</w:t>
      </w:r>
    </w:p>
    <w:p w14:paraId="73C50959">
      <w:pPr>
        <w:pStyle w:val="33"/>
        <w:keepNext w:val="0"/>
        <w:keepLines w:val="0"/>
        <w:pageBreakBefore w:val="0"/>
        <w:widowControl w:val="0"/>
        <w:kinsoku/>
        <w:wordWrap/>
        <w:overflowPunct/>
        <w:topLinePunct w:val="0"/>
        <w:autoSpaceDE/>
        <w:autoSpaceDN/>
        <w:bidi w:val="0"/>
        <w:adjustRightInd w:val="0"/>
        <w:snapToGrid/>
        <w:spacing w:line="360" w:lineRule="auto"/>
        <w:textAlignment w:val="auto"/>
        <w:outlineLvl w:val="1"/>
        <w:rPr>
          <w:rFonts w:hint="eastAsia" w:ascii="宋体" w:hAnsi="宋体" w:eastAsia="宋体" w:cs="宋体"/>
          <w:b/>
          <w:color w:val="auto"/>
          <w:kern w:val="28"/>
          <w:sz w:val="21"/>
          <w:szCs w:val="21"/>
          <w:highlight w:val="none"/>
        </w:rPr>
      </w:pPr>
      <w:bookmarkStart w:id="44" w:name="_Toc3263"/>
      <w:r>
        <w:rPr>
          <w:rFonts w:hint="eastAsia" w:ascii="宋体" w:hAnsi="宋体" w:eastAsia="宋体" w:cs="宋体"/>
          <w:b/>
          <w:color w:val="auto"/>
          <w:kern w:val="28"/>
          <w:sz w:val="21"/>
          <w:szCs w:val="21"/>
          <w:highlight w:val="none"/>
        </w:rPr>
        <w:t>23.中标通知与中标结果公告</w:t>
      </w:r>
      <w:bookmarkEnd w:id="44"/>
    </w:p>
    <w:p w14:paraId="073AE327">
      <w:pPr>
        <w:pStyle w:val="139"/>
        <w:snapToGrid w:val="0"/>
        <w:spacing w:before="0" w:line="36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23.1自中标人确定之日起2个工作日内，采购代理机构通过电子交易平台向中标人发出中标通知书，同时编制发布采购结果公告。采购代理机构也可以以纸质形式进行中标通知。</w:t>
      </w:r>
    </w:p>
    <w:p w14:paraId="710533BD">
      <w:pPr>
        <w:pStyle w:val="139"/>
        <w:snapToGrid w:val="0"/>
        <w:spacing w:before="0" w:line="36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23.2中标结果公告内容包括采购人及其委托的采购代理机构的名称、地址、联系方式，项目名称和项目编号，中标人名称、地址和中标金额，主要中标标的的名称、规格型号、数量、单价、服务要求，中标公告期限以及评审专家名单。</w:t>
      </w:r>
    </w:p>
    <w:p w14:paraId="3A6F0465">
      <w:pPr>
        <w:pStyle w:val="139"/>
        <w:snapToGrid w:val="0"/>
        <w:spacing w:before="0" w:line="36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23.3公告期限为1个工作日。</w:t>
      </w:r>
    </w:p>
    <w:p w14:paraId="2BD093E1">
      <w:pPr>
        <w:pStyle w:val="139"/>
        <w:snapToGrid w:val="0"/>
        <w:spacing w:before="0" w:line="360" w:lineRule="auto"/>
        <w:ind w:firstLine="48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23.4 由于中标、成交供应商原因导致重新采购的，应当承担支付代理费和专家评审费等费用</w:t>
      </w:r>
      <w:r>
        <w:rPr>
          <w:rFonts w:hint="eastAsia" w:ascii="宋体" w:hAnsi="宋体" w:eastAsia="宋体" w:cs="宋体"/>
          <w:color w:val="auto"/>
          <w:kern w:val="2"/>
          <w:sz w:val="21"/>
          <w:szCs w:val="21"/>
          <w:highlight w:val="none"/>
          <w:lang w:val="en-US" w:eastAsia="zh-CN" w:bidi="ar-SA"/>
        </w:rPr>
        <w:t>在内的赔偿责任。</w:t>
      </w:r>
    </w:p>
    <w:p w14:paraId="101330E6">
      <w:pPr>
        <w:snapToGrid w:val="0"/>
        <w:spacing w:line="360" w:lineRule="auto"/>
        <w:jc w:val="center"/>
        <w:outlineLvl w:val="0"/>
        <w:rPr>
          <w:rFonts w:hint="eastAsia" w:ascii="宋体" w:hAnsi="宋体" w:eastAsia="宋体" w:cs="宋体"/>
          <w:b/>
          <w:color w:val="auto"/>
          <w:sz w:val="36"/>
          <w:szCs w:val="36"/>
          <w:highlight w:val="none"/>
        </w:rPr>
      </w:pPr>
      <w:bookmarkStart w:id="45" w:name="_Toc6911"/>
      <w:r>
        <w:rPr>
          <w:rFonts w:hint="eastAsia" w:ascii="宋体" w:hAnsi="宋体" w:eastAsia="宋体" w:cs="宋体"/>
          <w:b/>
          <w:color w:val="auto"/>
          <w:sz w:val="36"/>
          <w:szCs w:val="36"/>
          <w:highlight w:val="none"/>
        </w:rPr>
        <w:t>七、合同授予</w:t>
      </w:r>
      <w:bookmarkEnd w:id="45"/>
    </w:p>
    <w:p w14:paraId="08BD2B1D">
      <w:pPr>
        <w:pStyle w:val="33"/>
        <w:keepNext w:val="0"/>
        <w:keepLines w:val="0"/>
        <w:pageBreakBefore w:val="0"/>
        <w:widowControl w:val="0"/>
        <w:kinsoku/>
        <w:wordWrap/>
        <w:overflowPunct/>
        <w:topLinePunct w:val="0"/>
        <w:autoSpaceDE/>
        <w:autoSpaceDN/>
        <w:bidi w:val="0"/>
        <w:adjustRightInd w:val="0"/>
        <w:snapToGrid/>
        <w:spacing w:line="360" w:lineRule="auto"/>
        <w:textAlignment w:val="auto"/>
        <w:outlineLvl w:val="1"/>
        <w:rPr>
          <w:rFonts w:hint="eastAsia" w:ascii="宋体" w:hAnsi="宋体" w:eastAsia="宋体" w:cs="宋体"/>
          <w:b/>
          <w:color w:val="auto"/>
          <w:kern w:val="28"/>
          <w:sz w:val="21"/>
          <w:szCs w:val="21"/>
          <w:highlight w:val="none"/>
        </w:rPr>
      </w:pPr>
      <w:bookmarkStart w:id="46" w:name="_Toc24535"/>
      <w:r>
        <w:rPr>
          <w:rFonts w:hint="eastAsia" w:ascii="宋体" w:hAnsi="宋体" w:eastAsia="宋体" w:cs="宋体"/>
          <w:b/>
          <w:color w:val="auto"/>
          <w:kern w:val="28"/>
          <w:sz w:val="21"/>
          <w:szCs w:val="21"/>
          <w:highlight w:val="none"/>
        </w:rPr>
        <w:t>24.合同主要条款详见第五部分拟签订的合同文本。</w:t>
      </w:r>
      <w:bookmarkEnd w:id="46"/>
    </w:p>
    <w:p w14:paraId="485A3038">
      <w:pPr>
        <w:pStyle w:val="33"/>
        <w:keepNext w:val="0"/>
        <w:keepLines w:val="0"/>
        <w:pageBreakBefore w:val="0"/>
        <w:widowControl w:val="0"/>
        <w:kinsoku/>
        <w:wordWrap/>
        <w:overflowPunct/>
        <w:topLinePunct w:val="0"/>
        <w:autoSpaceDE/>
        <w:autoSpaceDN/>
        <w:bidi w:val="0"/>
        <w:adjustRightInd w:val="0"/>
        <w:snapToGrid/>
        <w:spacing w:line="360" w:lineRule="auto"/>
        <w:textAlignment w:val="auto"/>
        <w:outlineLvl w:val="1"/>
        <w:rPr>
          <w:rFonts w:hint="eastAsia" w:ascii="宋体" w:hAnsi="宋体" w:eastAsia="宋体" w:cs="宋体"/>
          <w:b/>
          <w:color w:val="auto"/>
          <w:kern w:val="28"/>
          <w:sz w:val="21"/>
          <w:szCs w:val="21"/>
          <w:highlight w:val="none"/>
        </w:rPr>
      </w:pPr>
      <w:bookmarkStart w:id="47" w:name="_Toc22199"/>
      <w:r>
        <w:rPr>
          <w:rFonts w:hint="eastAsia" w:ascii="宋体" w:hAnsi="宋体" w:eastAsia="宋体" w:cs="宋体"/>
          <w:b/>
          <w:color w:val="auto"/>
          <w:kern w:val="28"/>
          <w:sz w:val="21"/>
          <w:szCs w:val="21"/>
          <w:highlight w:val="none"/>
        </w:rPr>
        <w:t>25.合同的签订</w:t>
      </w:r>
      <w:bookmarkEnd w:id="47"/>
    </w:p>
    <w:p w14:paraId="792454EC">
      <w:pPr>
        <w:pStyle w:val="139"/>
        <w:snapToGrid w:val="0"/>
        <w:spacing w:before="0" w:line="36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25.1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日内，与中标人按照采购文件确定的事项签订政府采购合同。</w:t>
      </w:r>
    </w:p>
    <w:p w14:paraId="0724C75C">
      <w:pPr>
        <w:pStyle w:val="139"/>
        <w:snapToGrid w:val="0"/>
        <w:spacing w:before="0" w:line="360" w:lineRule="auto"/>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zh-CN" w:eastAsia="zh-CN"/>
        </w:rPr>
        <w:t>25.2中标人按规定的日期、时间、地点，由法定代表人或其授权代表与采购人代表签订合同。如中标人为联合体的，由联合体成员各方法定代表人或其授权代表与采</w:t>
      </w:r>
      <w:r>
        <w:rPr>
          <w:rFonts w:hint="eastAsia" w:ascii="宋体" w:hAnsi="宋体" w:eastAsia="宋体" w:cs="宋体"/>
          <w:color w:val="auto"/>
          <w:kern w:val="0"/>
          <w:sz w:val="21"/>
          <w:szCs w:val="21"/>
          <w:highlight w:val="none"/>
          <w:lang w:val="zh-CN"/>
        </w:rPr>
        <w:t>购人代表签订合同。</w:t>
      </w:r>
    </w:p>
    <w:p w14:paraId="289C1DBB">
      <w:pPr>
        <w:pStyle w:val="139"/>
        <w:snapToGrid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25.3如签订合同并生效后，供应商无故拒绝或延期，除按照合同条款处理外，列入不良行为记录一次，并给予通报。</w:t>
      </w:r>
    </w:p>
    <w:p w14:paraId="37A7F561">
      <w:pPr>
        <w:pStyle w:val="139"/>
        <w:snapToGrid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25.4</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拒绝与采购人签订合同的，采购人可以按照评审报告推荐的中标或者成交候选人名单排序，确定下一候选人为</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，也可以重新开展政府采购活动。</w:t>
      </w:r>
    </w:p>
    <w:p w14:paraId="686E0378">
      <w:pPr>
        <w:pStyle w:val="139"/>
        <w:snapToGrid w:val="0"/>
        <w:spacing w:before="0" w:after="12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25.5采购合同由采购人与</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根据招标文件、投标文件等内容通过政府采购电子交易平台在线签订，自动备案。</w:t>
      </w:r>
    </w:p>
    <w:p w14:paraId="08833421">
      <w:pPr>
        <w:pStyle w:val="33"/>
        <w:keepNext w:val="0"/>
        <w:keepLines w:val="0"/>
        <w:pageBreakBefore w:val="0"/>
        <w:widowControl w:val="0"/>
        <w:kinsoku/>
        <w:wordWrap/>
        <w:overflowPunct/>
        <w:topLinePunct w:val="0"/>
        <w:autoSpaceDE/>
        <w:autoSpaceDN/>
        <w:bidi w:val="0"/>
        <w:adjustRightInd w:val="0"/>
        <w:snapToGrid/>
        <w:spacing w:line="360" w:lineRule="auto"/>
        <w:textAlignment w:val="auto"/>
        <w:outlineLvl w:val="1"/>
        <w:rPr>
          <w:rFonts w:hint="eastAsia" w:ascii="宋体" w:hAnsi="宋体" w:eastAsia="宋体" w:cs="宋体"/>
          <w:b/>
          <w:color w:val="auto"/>
          <w:kern w:val="28"/>
          <w:sz w:val="21"/>
          <w:szCs w:val="21"/>
          <w:highlight w:val="none"/>
        </w:rPr>
      </w:pPr>
      <w:bookmarkStart w:id="48" w:name="_Toc9545"/>
      <w:r>
        <w:rPr>
          <w:rFonts w:hint="eastAsia" w:ascii="宋体" w:hAnsi="宋体" w:eastAsia="宋体" w:cs="宋体"/>
          <w:b/>
          <w:color w:val="auto"/>
          <w:kern w:val="28"/>
          <w:sz w:val="21"/>
          <w:szCs w:val="21"/>
          <w:highlight w:val="none"/>
        </w:rPr>
        <w:t>26.履约保证金</w:t>
      </w:r>
      <w:bookmarkEnd w:id="48"/>
    </w:p>
    <w:p w14:paraId="630160E8">
      <w:pPr>
        <w:tabs>
          <w:tab w:val="left" w:pos="0"/>
        </w:tabs>
        <w:spacing w:line="360" w:lineRule="auto"/>
        <w:ind w:firstLine="48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拟签订的合同文本要求</w:t>
      </w:r>
      <w:r>
        <w:rPr>
          <w:rFonts w:hint="eastAsia" w:ascii="宋体" w:hAnsi="宋体" w:eastAsia="宋体" w:cs="宋体"/>
          <w:color w:val="auto"/>
          <w:kern w:val="0"/>
          <w:sz w:val="21"/>
          <w:szCs w:val="21"/>
          <w:highlight w:val="none"/>
          <w:lang w:eastAsia="zh-CN"/>
        </w:rPr>
        <w:t>中标人</w:t>
      </w:r>
      <w:r>
        <w:rPr>
          <w:rFonts w:hint="eastAsia" w:ascii="宋体" w:hAnsi="宋体" w:eastAsia="宋体" w:cs="宋体"/>
          <w:color w:val="auto"/>
          <w:kern w:val="0"/>
          <w:sz w:val="21"/>
          <w:szCs w:val="21"/>
          <w:highlight w:val="none"/>
        </w:rPr>
        <w:t>提交履约保证金的，供应商应当以支票、汇票、本票或者金融机构、担保机构出具的保函等非现金形式提交</w:t>
      </w:r>
      <w:r>
        <w:rPr>
          <w:rFonts w:hint="eastAsia" w:ascii="宋体" w:hAnsi="宋体" w:eastAsia="宋体" w:cs="宋体"/>
          <w:color w:val="auto"/>
          <w:sz w:val="21"/>
          <w:szCs w:val="21"/>
          <w:highlight w:val="none"/>
        </w:rPr>
        <w:t>。履约保证金的数额不得超过政府采购合同金额的1%，</w:t>
      </w:r>
      <w:r>
        <w:rPr>
          <w:rFonts w:hint="eastAsia" w:ascii="宋体" w:hAnsi="宋体" w:eastAsia="宋体" w:cs="宋体"/>
          <w:color w:val="auto"/>
          <w:kern w:val="2"/>
          <w:sz w:val="21"/>
          <w:szCs w:val="21"/>
          <w:highlight w:val="none"/>
        </w:rPr>
        <w:t>鼓励根据项目特点、供应商诚信等因素免收履约保证金或降低缴纳比例。</w:t>
      </w:r>
      <w:r>
        <w:rPr>
          <w:rFonts w:hint="eastAsia" w:ascii="宋体" w:hAnsi="宋体" w:eastAsia="宋体" w:cs="宋体"/>
          <w:color w:val="auto"/>
          <w:sz w:val="21"/>
          <w:szCs w:val="21"/>
          <w:highlight w:val="none"/>
        </w:rPr>
        <w:t>鼓励和支持供应商以</w:t>
      </w:r>
      <w:r>
        <w:rPr>
          <w:rFonts w:hint="eastAsia" w:ascii="宋体" w:hAnsi="宋体" w:eastAsia="宋体" w:cs="宋体"/>
          <w:color w:val="auto"/>
          <w:szCs w:val="21"/>
          <w:highlight w:val="none"/>
        </w:rPr>
        <w:t>金融机构、担保机构出具的</w:t>
      </w:r>
      <w:r>
        <w:rPr>
          <w:rFonts w:hint="eastAsia" w:ascii="宋体" w:hAnsi="宋体" w:eastAsia="宋体" w:cs="宋体"/>
          <w:color w:val="auto"/>
          <w:sz w:val="21"/>
          <w:szCs w:val="21"/>
          <w:highlight w:val="none"/>
        </w:rPr>
        <w:t>保函形式提供履约保证金。采购人不得拒收履约保函，项目验收结束后应及时退还，延迟退还的，应当按照合同约定</w:t>
      </w:r>
      <w:r>
        <w:rPr>
          <w:rFonts w:hint="eastAsia" w:ascii="宋体" w:hAnsi="宋体" w:eastAsia="宋体" w:cs="宋体"/>
          <w:color w:val="auto"/>
          <w:kern w:val="0"/>
          <w:sz w:val="21"/>
          <w:szCs w:val="21"/>
          <w:highlight w:val="none"/>
        </w:rPr>
        <w:t>和法律规定承担相应的赔偿责任。</w:t>
      </w:r>
    </w:p>
    <w:p w14:paraId="21EF1E18">
      <w:pPr>
        <w:tabs>
          <w:tab w:val="left" w:pos="0"/>
        </w:tabs>
        <w:spacing w:line="360" w:lineRule="auto"/>
        <w:ind w:firstLine="48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供应商</w:t>
      </w:r>
      <w:r>
        <w:rPr>
          <w:rFonts w:hint="eastAsia" w:ascii="宋体" w:hAnsi="宋体" w:eastAsia="宋体" w:cs="宋体"/>
          <w:color w:val="auto"/>
          <w:kern w:val="0"/>
          <w:sz w:val="21"/>
          <w:szCs w:val="21"/>
          <w:highlight w:val="none"/>
          <w:lang w:val="en-US"/>
        </w:rPr>
        <w:t>可</w:t>
      </w:r>
      <w:r>
        <w:rPr>
          <w:rFonts w:hint="eastAsia" w:ascii="宋体" w:hAnsi="宋体" w:eastAsia="宋体" w:cs="宋体"/>
          <w:color w:val="auto"/>
          <w:kern w:val="0"/>
          <w:sz w:val="21"/>
          <w:szCs w:val="21"/>
          <w:highlight w:val="none"/>
        </w:rPr>
        <w:t>登录政采云平台-【金融服务】—【我的项目】—【已备案合同】以保函形式提供：①供应商在合同列表选择需要投保的合同，点击[保函推荐]。②在弹框里查看推荐的保函产品，供应商自行选择保函产品，点击[立即申请]。③在弹框里填写保函申请信息。具体步骤：选择产品—填写供应商信息—选择中标项目—确认信息—等待保险/保函受理—确认保单—支付保费—成功出单。政采云金融专线</w:t>
      </w:r>
      <w:r>
        <w:rPr>
          <w:rFonts w:hint="eastAsia" w:ascii="宋体" w:hAnsi="宋体" w:eastAsia="宋体" w:cs="宋体"/>
          <w:color w:val="auto"/>
          <w:kern w:val="0"/>
          <w:sz w:val="21"/>
          <w:szCs w:val="21"/>
          <w:highlight w:val="none"/>
          <w:lang w:val="en-US" w:eastAsia="zh-CN"/>
        </w:rPr>
        <w:t>95763</w:t>
      </w:r>
      <w:r>
        <w:rPr>
          <w:rFonts w:hint="eastAsia" w:ascii="宋体" w:hAnsi="宋体" w:eastAsia="宋体" w:cs="宋体"/>
          <w:color w:val="auto"/>
          <w:kern w:val="0"/>
          <w:sz w:val="21"/>
          <w:szCs w:val="21"/>
          <w:highlight w:val="none"/>
        </w:rPr>
        <w:t>。</w:t>
      </w:r>
    </w:p>
    <w:p w14:paraId="4F3EA918">
      <w:pPr>
        <w:pStyle w:val="33"/>
        <w:keepNext w:val="0"/>
        <w:keepLines w:val="0"/>
        <w:pageBreakBefore w:val="0"/>
        <w:widowControl w:val="0"/>
        <w:kinsoku/>
        <w:wordWrap/>
        <w:overflowPunct/>
        <w:topLinePunct w:val="0"/>
        <w:autoSpaceDE/>
        <w:autoSpaceDN/>
        <w:bidi w:val="0"/>
        <w:adjustRightInd w:val="0"/>
        <w:snapToGrid/>
        <w:spacing w:line="360" w:lineRule="auto"/>
        <w:textAlignment w:val="auto"/>
        <w:outlineLvl w:val="1"/>
        <w:rPr>
          <w:rFonts w:hint="eastAsia" w:ascii="宋体" w:hAnsi="宋体" w:eastAsia="宋体" w:cs="宋体"/>
          <w:b/>
          <w:color w:val="auto"/>
          <w:kern w:val="28"/>
          <w:sz w:val="21"/>
          <w:szCs w:val="21"/>
          <w:highlight w:val="none"/>
        </w:rPr>
      </w:pPr>
      <w:bookmarkStart w:id="49" w:name="_Toc21934"/>
      <w:r>
        <w:rPr>
          <w:rFonts w:hint="eastAsia" w:ascii="宋体" w:hAnsi="宋体" w:eastAsia="宋体" w:cs="宋体"/>
          <w:b/>
          <w:color w:val="auto"/>
          <w:kern w:val="28"/>
          <w:sz w:val="21"/>
          <w:szCs w:val="21"/>
          <w:highlight w:val="none"/>
          <w:lang w:val="en-US"/>
        </w:rPr>
        <w:t>27.预付款</w:t>
      </w:r>
      <w:bookmarkEnd w:id="49"/>
    </w:p>
    <w:p w14:paraId="7E06A3A6">
      <w:pPr>
        <w:adjustRightInd/>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采购单位应当在政府采购合同中约定预付款，对中小企业合同预付款比例原则上不低于合同金额的</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0％，不高于合同金额的70%；项目分年安排预算的，每年预付款比例</w:t>
      </w:r>
      <w:r>
        <w:rPr>
          <w:rFonts w:hint="eastAsia" w:ascii="宋体" w:hAnsi="宋体" w:eastAsia="宋体" w:cs="宋体"/>
          <w:color w:val="auto"/>
          <w:sz w:val="21"/>
          <w:szCs w:val="21"/>
          <w:highlight w:val="none"/>
        </w:rPr>
        <w:t>不低于</w:t>
      </w:r>
      <w:r>
        <w:rPr>
          <w:rFonts w:hint="eastAsia" w:ascii="宋体" w:hAnsi="宋体" w:eastAsia="宋体" w:cs="宋体"/>
          <w:color w:val="auto"/>
          <w:kern w:val="2"/>
          <w:sz w:val="21"/>
          <w:szCs w:val="21"/>
          <w:highlight w:val="none"/>
        </w:rPr>
        <w:t>项目年度计划支付资金额的</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0％，不高于合同金额的70%；采购项目实施以人工投入为主的，可适当降低预付款比例，但不得低于20%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w:t>
      </w:r>
    </w:p>
    <w:p w14:paraId="663E31BB">
      <w:pPr>
        <w:adjustRightInd/>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2"/>
          <w:sz w:val="21"/>
          <w:szCs w:val="21"/>
          <w:highlight w:val="none"/>
        </w:rPr>
        <w:t>采购单位根据项目特点、供应商诚信等因素，可以要求供应商提交</w:t>
      </w:r>
      <w:r>
        <w:rPr>
          <w:rFonts w:hint="eastAsia" w:ascii="宋体" w:hAnsi="宋体" w:eastAsia="宋体" w:cs="宋体"/>
          <w:color w:val="auto"/>
          <w:kern w:val="2"/>
          <w:sz w:val="21"/>
          <w:szCs w:val="21"/>
          <w:highlight w:val="none"/>
          <w:lang w:eastAsia="zh-CN"/>
        </w:rPr>
        <w:t>金融机构、担保机构出具的</w:t>
      </w:r>
      <w:r>
        <w:rPr>
          <w:rFonts w:hint="eastAsia" w:ascii="宋体" w:hAnsi="宋体" w:eastAsia="宋体" w:cs="宋体"/>
          <w:color w:val="auto"/>
          <w:kern w:val="2"/>
          <w:sz w:val="21"/>
          <w:szCs w:val="21"/>
          <w:highlight w:val="none"/>
        </w:rPr>
        <w:t>预付款保函</w:t>
      </w:r>
      <w:r>
        <w:rPr>
          <w:rFonts w:hint="eastAsia" w:ascii="宋体" w:hAnsi="宋体" w:eastAsia="宋体" w:cs="宋体"/>
          <w:bCs/>
          <w:color w:val="auto"/>
          <w:szCs w:val="21"/>
          <w:highlight w:val="none"/>
          <w:lang w:val="en-US" w:eastAsia="zh-CN"/>
        </w:rPr>
        <w:t>(见索即付保函)</w:t>
      </w:r>
      <w:r>
        <w:rPr>
          <w:rFonts w:hint="eastAsia" w:ascii="宋体" w:hAnsi="宋体" w:eastAsia="宋体" w:cs="宋体"/>
          <w:color w:val="auto"/>
          <w:kern w:val="2"/>
          <w:sz w:val="21"/>
          <w:szCs w:val="21"/>
          <w:highlight w:val="none"/>
        </w:rPr>
        <w:t>或其他担保措施。政府采购预付款应在合同生效以及具备实施条件后</w:t>
      </w:r>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rPr>
        <w:t>个工作日内支付。政府采购工程以及与工程建设有关的货物、服务，采用招标方式采购的，预付款从其相关规定。供应商可登录政采云前台大厅选择金融服务—【保函保险服务】出具预付款保函</w:t>
      </w:r>
      <w:r>
        <w:rPr>
          <w:rFonts w:hint="eastAsia" w:ascii="宋体" w:hAnsi="宋体" w:eastAsia="宋体" w:cs="宋体"/>
          <w:bCs/>
          <w:color w:val="auto"/>
          <w:szCs w:val="21"/>
          <w:highlight w:val="none"/>
          <w:lang w:val="en-US" w:eastAsia="zh-CN"/>
        </w:rPr>
        <w:t>(见索即付保函)</w:t>
      </w:r>
      <w:r>
        <w:rPr>
          <w:rFonts w:hint="eastAsia" w:ascii="宋体" w:hAnsi="宋体" w:eastAsia="宋体" w:cs="宋体"/>
          <w:color w:val="auto"/>
          <w:kern w:val="2"/>
          <w:sz w:val="21"/>
          <w:szCs w:val="21"/>
          <w:highlight w:val="none"/>
        </w:rPr>
        <w:t>，具体步骤：选择产品—填写供应商信息—选择中标项目—确认信息—等待保险/保函受理—确认保单—支付保费—成功出单。政采云金融专线</w:t>
      </w:r>
      <w:r>
        <w:rPr>
          <w:rFonts w:hint="eastAsia" w:ascii="宋体" w:hAnsi="宋体" w:eastAsia="宋体" w:cs="宋体"/>
          <w:color w:val="auto"/>
          <w:kern w:val="2"/>
          <w:sz w:val="21"/>
          <w:szCs w:val="21"/>
          <w:highlight w:val="none"/>
          <w:lang w:val="en-US" w:eastAsia="zh-CN"/>
        </w:rPr>
        <w:t>95763</w:t>
      </w:r>
      <w:r>
        <w:rPr>
          <w:rFonts w:hint="eastAsia" w:ascii="宋体" w:hAnsi="宋体" w:eastAsia="宋体" w:cs="宋体"/>
          <w:color w:val="auto"/>
          <w:kern w:val="2"/>
          <w:sz w:val="21"/>
          <w:szCs w:val="21"/>
          <w:highlight w:val="none"/>
        </w:rPr>
        <w:t>。</w:t>
      </w:r>
    </w:p>
    <w:p w14:paraId="40822E59">
      <w:pPr>
        <w:snapToGrid w:val="0"/>
        <w:spacing w:line="360" w:lineRule="auto"/>
        <w:jc w:val="center"/>
        <w:outlineLvl w:val="0"/>
        <w:rPr>
          <w:rFonts w:hint="eastAsia" w:ascii="宋体" w:hAnsi="宋体" w:eastAsia="宋体" w:cs="宋体"/>
          <w:b/>
          <w:color w:val="auto"/>
          <w:sz w:val="36"/>
          <w:szCs w:val="36"/>
          <w:highlight w:val="none"/>
        </w:rPr>
      </w:pPr>
      <w:bookmarkStart w:id="50" w:name="_Toc3870"/>
      <w:r>
        <w:rPr>
          <w:rFonts w:hint="eastAsia" w:ascii="宋体" w:hAnsi="宋体" w:eastAsia="宋体" w:cs="宋体"/>
          <w:b/>
          <w:color w:val="auto"/>
          <w:sz w:val="36"/>
          <w:szCs w:val="36"/>
          <w:highlight w:val="none"/>
        </w:rPr>
        <w:t>八、电子交易活动的中止</w:t>
      </w:r>
      <w:bookmarkEnd w:id="50"/>
    </w:p>
    <w:p w14:paraId="2A948DAC">
      <w:pPr>
        <w:pStyle w:val="139"/>
        <w:snapToGrid w:val="0"/>
        <w:spacing w:before="0"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b/>
          <w:snapToGrid w:val="0"/>
          <w:color w:val="auto"/>
          <w:kern w:val="28"/>
          <w:sz w:val="21"/>
          <w:szCs w:val="21"/>
          <w:highlight w:val="none"/>
          <w:lang w:val="en-US" w:eastAsia="zh-CN" w:bidi="ar-SA"/>
        </w:rPr>
        <w:t>28.</w:t>
      </w:r>
      <w:r>
        <w:rPr>
          <w:rFonts w:hint="eastAsia" w:ascii="宋体" w:hAnsi="宋体" w:eastAsia="宋体" w:cs="宋体"/>
          <w:b w:val="0"/>
          <w:bCs/>
          <w:snapToGrid w:val="0"/>
          <w:color w:val="auto"/>
          <w:kern w:val="28"/>
          <w:sz w:val="21"/>
          <w:szCs w:val="21"/>
          <w:highlight w:val="none"/>
          <w:lang w:val="en-US" w:eastAsia="zh-CN" w:bidi="ar-SA"/>
        </w:rPr>
        <w:t>电子交易活动的中止。采购过程中出现以下情形，导致电子交易平台无法正常运行，</w:t>
      </w:r>
      <w:r>
        <w:rPr>
          <w:rFonts w:hint="eastAsia" w:ascii="宋体" w:hAnsi="宋体" w:eastAsia="宋体" w:cs="宋体"/>
          <w:color w:val="auto"/>
          <w:sz w:val="21"/>
          <w:szCs w:val="21"/>
          <w:highlight w:val="none"/>
        </w:rPr>
        <w:t>或者无法保证电子交易的公平、公正和安全时，</w:t>
      </w:r>
      <w:r>
        <w:rPr>
          <w:rFonts w:hint="eastAsia" w:ascii="宋体" w:hAnsi="宋体" w:eastAsia="宋体" w:cs="宋体"/>
          <w:color w:val="auto"/>
          <w:sz w:val="21"/>
          <w:szCs w:val="21"/>
          <w:highlight w:val="none"/>
          <w:lang w:eastAsia="zh-CN"/>
        </w:rPr>
        <w:t>采购代理机构</w:t>
      </w:r>
      <w:r>
        <w:rPr>
          <w:rFonts w:hint="eastAsia" w:ascii="宋体" w:hAnsi="宋体" w:eastAsia="宋体" w:cs="宋体"/>
          <w:color w:val="auto"/>
          <w:sz w:val="21"/>
          <w:szCs w:val="21"/>
          <w:highlight w:val="none"/>
        </w:rPr>
        <w:t>可中止电子交易活动：</w:t>
      </w:r>
    </w:p>
    <w:p w14:paraId="02BCC84F">
      <w:pPr>
        <w:pStyle w:val="139"/>
        <w:snapToGrid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28.1电子交易平台发生故障而无法登录访问的； </w:t>
      </w:r>
    </w:p>
    <w:p w14:paraId="6FE3A9D2">
      <w:pPr>
        <w:pStyle w:val="139"/>
        <w:snapToGrid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28.2电子交易平台应用或数据库出现错误，不能进行正常操作的；</w:t>
      </w:r>
    </w:p>
    <w:p w14:paraId="3B42DF42">
      <w:pPr>
        <w:pStyle w:val="139"/>
        <w:snapToGrid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28.3电子交易平台发现严重安全漏洞，有潜在泄密危险的；</w:t>
      </w:r>
    </w:p>
    <w:p w14:paraId="3BBCDF9E">
      <w:pPr>
        <w:pStyle w:val="139"/>
        <w:snapToGrid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28.4病毒发作导致不能进行正常操作的；</w:t>
      </w:r>
    </w:p>
    <w:p w14:paraId="753ECC81">
      <w:pPr>
        <w:pStyle w:val="139"/>
        <w:snapToGrid w:val="0"/>
        <w:spacing w:before="0"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28.5其他无法保证电子交易的公平、公正和安全的情况。</w:t>
      </w:r>
    </w:p>
    <w:p w14:paraId="01DF3CA9">
      <w:pPr>
        <w:pStyle w:val="33"/>
        <w:keepNext w:val="0"/>
        <w:keepLines w:val="0"/>
        <w:pageBreakBefore w:val="0"/>
        <w:widowControl w:val="0"/>
        <w:kinsoku/>
        <w:wordWrap/>
        <w:overflowPunct/>
        <w:topLinePunct w:val="0"/>
        <w:autoSpaceDE/>
        <w:autoSpaceDN/>
        <w:bidi w:val="0"/>
        <w:adjustRightInd w:val="0"/>
        <w:snapToGrid/>
        <w:spacing w:line="360" w:lineRule="auto"/>
        <w:textAlignment w:val="auto"/>
        <w:outlineLvl w:val="1"/>
        <w:rPr>
          <w:rFonts w:hint="eastAsia" w:ascii="宋体" w:hAnsi="宋体" w:eastAsia="宋体" w:cs="宋体"/>
          <w:b/>
          <w:color w:val="auto"/>
          <w:kern w:val="28"/>
          <w:sz w:val="24"/>
          <w:szCs w:val="24"/>
          <w:highlight w:val="none"/>
        </w:rPr>
      </w:pPr>
      <w:bookmarkStart w:id="51" w:name="_Toc26146"/>
      <w:r>
        <w:rPr>
          <w:rFonts w:hint="eastAsia" w:ascii="宋体" w:hAnsi="宋体" w:eastAsia="宋体" w:cs="宋体"/>
          <w:b/>
          <w:color w:val="auto"/>
          <w:kern w:val="28"/>
          <w:sz w:val="21"/>
          <w:szCs w:val="21"/>
          <w:highlight w:val="none"/>
          <w:lang w:val="en-US" w:eastAsia="zh-CN"/>
        </w:rPr>
        <w:t>29.</w:t>
      </w:r>
      <w:r>
        <w:rPr>
          <w:rFonts w:hint="eastAsia" w:ascii="宋体" w:hAnsi="宋体" w:eastAsia="宋体" w:cs="宋体"/>
          <w:b w:val="0"/>
          <w:bCs/>
          <w:color w:val="auto"/>
          <w:kern w:val="28"/>
          <w:sz w:val="21"/>
          <w:szCs w:val="21"/>
          <w:highlight w:val="none"/>
          <w:lang w:val="en-US" w:eastAsia="zh-CN"/>
        </w:rPr>
        <w:t>出现以上情形，不影响采购公平、公正性的，采购组织机构可以待上述情形消除后</w:t>
      </w:r>
      <w:r>
        <w:rPr>
          <w:rFonts w:hint="eastAsia" w:ascii="宋体" w:hAnsi="宋体" w:eastAsia="宋体" w:cs="宋体"/>
          <w:b w:val="0"/>
          <w:bCs/>
          <w:color w:val="auto"/>
          <w:kern w:val="28"/>
          <w:sz w:val="21"/>
          <w:szCs w:val="21"/>
          <w:highlight w:val="none"/>
        </w:rPr>
        <w:t>继续组织电子交易活动，也可以决定某些环节以纸质形式进行；影响或可能影响采购公平、公正性的，应当重新采购。</w:t>
      </w:r>
      <w:bookmarkEnd w:id="51"/>
    </w:p>
    <w:p w14:paraId="79717285">
      <w:pPr>
        <w:snapToGrid w:val="0"/>
        <w:spacing w:line="360" w:lineRule="auto"/>
        <w:jc w:val="center"/>
        <w:outlineLvl w:val="0"/>
        <w:rPr>
          <w:rFonts w:hint="eastAsia" w:ascii="宋体" w:hAnsi="宋体" w:eastAsia="宋体" w:cs="宋体"/>
          <w:b/>
          <w:color w:val="auto"/>
          <w:sz w:val="36"/>
          <w:szCs w:val="36"/>
          <w:highlight w:val="none"/>
        </w:rPr>
      </w:pPr>
      <w:bookmarkStart w:id="52" w:name="_Toc28045"/>
      <w:r>
        <w:rPr>
          <w:rFonts w:hint="eastAsia" w:ascii="宋体" w:hAnsi="宋体" w:eastAsia="宋体" w:cs="宋体"/>
          <w:b/>
          <w:color w:val="auto"/>
          <w:sz w:val="36"/>
          <w:szCs w:val="36"/>
          <w:highlight w:val="none"/>
        </w:rPr>
        <w:t>九、验收</w:t>
      </w:r>
      <w:bookmarkEnd w:id="52"/>
    </w:p>
    <w:p w14:paraId="67A16643">
      <w:pPr>
        <w:pStyle w:val="33"/>
        <w:keepNext w:val="0"/>
        <w:keepLines w:val="0"/>
        <w:pageBreakBefore w:val="0"/>
        <w:widowControl w:val="0"/>
        <w:kinsoku/>
        <w:wordWrap/>
        <w:overflowPunct/>
        <w:topLinePunct w:val="0"/>
        <w:autoSpaceDE/>
        <w:autoSpaceDN/>
        <w:bidi w:val="0"/>
        <w:adjustRightInd w:val="0"/>
        <w:snapToGrid/>
        <w:spacing w:line="360" w:lineRule="auto"/>
        <w:textAlignment w:val="auto"/>
        <w:outlineLvl w:val="1"/>
        <w:rPr>
          <w:rFonts w:hint="eastAsia" w:ascii="宋体" w:hAnsi="宋体" w:eastAsia="宋体" w:cs="宋体"/>
          <w:b/>
          <w:color w:val="auto"/>
          <w:kern w:val="28"/>
          <w:sz w:val="21"/>
          <w:szCs w:val="21"/>
          <w:highlight w:val="none"/>
        </w:rPr>
      </w:pPr>
      <w:bookmarkStart w:id="53" w:name="_Toc11925"/>
      <w:r>
        <w:rPr>
          <w:rFonts w:hint="eastAsia" w:ascii="宋体" w:hAnsi="宋体" w:eastAsia="宋体" w:cs="宋体"/>
          <w:b/>
          <w:color w:val="auto"/>
          <w:kern w:val="28"/>
          <w:sz w:val="21"/>
          <w:szCs w:val="21"/>
          <w:highlight w:val="none"/>
        </w:rPr>
        <w:t>30.验收</w:t>
      </w:r>
      <w:bookmarkEnd w:id="53"/>
    </w:p>
    <w:p w14:paraId="3ABF90E2">
      <w:pPr>
        <w:tabs>
          <w:tab w:val="left" w:pos="0"/>
        </w:tabs>
        <w:spacing w:line="360" w:lineRule="auto"/>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25665202">
      <w:pPr>
        <w:tabs>
          <w:tab w:val="left" w:pos="0"/>
        </w:tabs>
        <w:spacing w:line="360" w:lineRule="auto"/>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30.2采购人可以邀请参加本项目的其他投标人或者第三方机构参与验收。参与验收的投标人或者第三方机构的意见作为验收书的参考资料一并存档。</w:t>
      </w:r>
    </w:p>
    <w:p w14:paraId="0EBC849D">
      <w:pPr>
        <w:tabs>
          <w:tab w:val="left" w:pos="0"/>
        </w:tabs>
        <w:spacing w:line="360" w:lineRule="auto"/>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验收结果与采购合同约定的资金支付及履约保证金返还条件挂钩。履约验收的各项资料应当存档备查。</w:t>
      </w:r>
    </w:p>
    <w:p w14:paraId="61BF9839">
      <w:pPr>
        <w:tabs>
          <w:tab w:val="left" w:pos="0"/>
        </w:tabs>
        <w:spacing w:line="360" w:lineRule="auto"/>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bookmarkEnd w:id="41"/>
      <w:bookmarkStart w:id="54" w:name="_Hlt68403820"/>
      <w:bookmarkEnd w:id="54"/>
      <w:bookmarkStart w:id="55" w:name="_Hlt68072998"/>
      <w:bookmarkEnd w:id="55"/>
      <w:bookmarkStart w:id="56" w:name="_Hlt75236011"/>
      <w:bookmarkEnd w:id="56"/>
      <w:bookmarkStart w:id="57" w:name="_Hlt74707468"/>
      <w:bookmarkEnd w:id="57"/>
      <w:bookmarkStart w:id="58" w:name="_Hlt75236290"/>
      <w:bookmarkEnd w:id="58"/>
      <w:bookmarkStart w:id="59" w:name="_Hlt68073093"/>
      <w:bookmarkEnd w:id="59"/>
      <w:bookmarkStart w:id="60" w:name="_Hlt74730295"/>
      <w:bookmarkEnd w:id="60"/>
      <w:bookmarkStart w:id="61" w:name="_Hlt74729768"/>
      <w:bookmarkEnd w:id="61"/>
      <w:bookmarkStart w:id="62" w:name="_Hlt75236101"/>
      <w:bookmarkEnd w:id="62"/>
      <w:bookmarkStart w:id="63" w:name="_Hlt74714665"/>
      <w:bookmarkEnd w:id="63"/>
      <w:bookmarkStart w:id="64" w:name="_Hlt68072990"/>
      <w:bookmarkEnd w:id="64"/>
      <w:bookmarkStart w:id="65" w:name="_Hlt68057669"/>
      <w:bookmarkEnd w:id="65"/>
    </w:p>
    <w:p w14:paraId="53974B68">
      <w:pPr>
        <w:tabs>
          <w:tab w:val="left" w:pos="0"/>
        </w:tabs>
        <w:spacing w:line="360" w:lineRule="auto"/>
        <w:ind w:firstLine="480"/>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rPr>
        <w:t>30.5 对于满足合同约定的采购资金支付条件的，供应商可通过政采云平台提起在线支付申请、查询支付结果，路径为政采云-我的工作台-</w:t>
      </w:r>
      <w:r>
        <w:rPr>
          <w:rFonts w:hint="eastAsia" w:ascii="宋体" w:hAnsi="宋体" w:eastAsia="宋体" w:cs="宋体"/>
          <w:color w:val="auto"/>
          <w:kern w:val="0"/>
          <w:sz w:val="21"/>
          <w:szCs w:val="21"/>
          <w:highlight w:val="none"/>
          <w:lang w:val="en-US" w:eastAsia="zh-CN"/>
        </w:rPr>
        <w:t>合同管理</w:t>
      </w:r>
      <w:r>
        <w:rPr>
          <w:rFonts w:hint="eastAsia" w:ascii="宋体" w:hAnsi="宋体" w:eastAsia="宋体" w:cs="宋体"/>
          <w:color w:val="auto"/>
          <w:kern w:val="0"/>
          <w:sz w:val="21"/>
          <w:szCs w:val="21"/>
          <w:highlight w:val="none"/>
          <w:lang w:val="en-US"/>
        </w:rPr>
        <w:t>-支付管理。对于供应商提起在线支付申请的，采购</w:t>
      </w:r>
      <w:r>
        <w:rPr>
          <w:rFonts w:hint="eastAsia" w:ascii="宋体" w:hAnsi="宋体" w:eastAsia="宋体" w:cs="宋体"/>
          <w:color w:val="auto"/>
          <w:kern w:val="0"/>
          <w:sz w:val="21"/>
          <w:szCs w:val="21"/>
          <w:highlight w:val="none"/>
          <w:lang w:val="en-US" w:eastAsia="zh-CN"/>
        </w:rPr>
        <w:t>人</w:t>
      </w:r>
      <w:r>
        <w:rPr>
          <w:rFonts w:hint="eastAsia" w:ascii="宋体" w:hAnsi="宋体" w:eastAsia="宋体" w:cs="宋体"/>
          <w:color w:val="auto"/>
          <w:kern w:val="0"/>
          <w:sz w:val="21"/>
          <w:szCs w:val="21"/>
          <w:highlight w:val="none"/>
          <w:lang w:val="en-US"/>
        </w:rPr>
        <w:t>应当</w:t>
      </w:r>
      <w:r>
        <w:rPr>
          <w:rFonts w:hint="eastAsia" w:ascii="宋体" w:hAnsi="宋体" w:eastAsia="宋体" w:cs="宋体"/>
          <w:color w:val="auto"/>
          <w:kern w:val="0"/>
          <w:sz w:val="21"/>
          <w:szCs w:val="21"/>
          <w:highlight w:val="none"/>
          <w:lang w:val="en-US" w:eastAsia="zh-CN"/>
        </w:rPr>
        <w:t>按规定</w:t>
      </w:r>
      <w:r>
        <w:rPr>
          <w:rFonts w:hint="eastAsia" w:ascii="宋体" w:hAnsi="宋体" w:eastAsia="宋体" w:cs="宋体"/>
          <w:color w:val="auto"/>
          <w:kern w:val="0"/>
          <w:sz w:val="21"/>
          <w:szCs w:val="21"/>
          <w:highlight w:val="none"/>
          <w:lang w:val="en-US"/>
        </w:rPr>
        <w:t>做好审核并完成支付。</w:t>
      </w:r>
    </w:p>
    <w:p w14:paraId="3CE472FC">
      <w:pPr>
        <w:tabs>
          <w:tab w:val="left" w:pos="0"/>
        </w:tabs>
        <w:spacing w:line="360" w:lineRule="auto"/>
        <w:rPr>
          <w:rFonts w:hint="eastAsia" w:ascii="宋体" w:hAnsi="宋体" w:eastAsia="宋体" w:cs="宋体"/>
          <w:color w:val="auto"/>
          <w:kern w:val="0"/>
          <w:sz w:val="24"/>
          <w:highlight w:val="none"/>
          <w:lang w:val="en-US"/>
        </w:rPr>
      </w:pPr>
    </w:p>
    <w:bookmarkEnd w:id="10"/>
    <w:bookmarkEnd w:id="11"/>
    <w:p w14:paraId="33BE9EA5">
      <w:pPr>
        <w:spacing w:line="360" w:lineRule="auto"/>
        <w:rPr>
          <w:rFonts w:hint="eastAsia" w:ascii="宋体" w:hAnsi="宋体" w:eastAsia="宋体" w:cs="宋体"/>
          <w:b/>
          <w:color w:val="auto"/>
          <w:sz w:val="36"/>
          <w:szCs w:val="36"/>
          <w:highlight w:val="none"/>
        </w:rPr>
      </w:pPr>
      <w:bookmarkStart w:id="66" w:name="第四部分"/>
      <w:r>
        <w:rPr>
          <w:rFonts w:hint="eastAsia" w:ascii="宋体" w:hAnsi="宋体" w:eastAsia="宋体" w:cs="宋体"/>
          <w:b/>
          <w:color w:val="auto"/>
          <w:sz w:val="36"/>
          <w:szCs w:val="36"/>
          <w:highlight w:val="none"/>
        </w:rPr>
        <w:br w:type="page"/>
      </w:r>
    </w:p>
    <w:p w14:paraId="26FB2B0D">
      <w:pPr>
        <w:spacing w:line="360" w:lineRule="auto"/>
        <w:jc w:val="center"/>
        <w:outlineLvl w:val="0"/>
        <w:rPr>
          <w:rFonts w:hint="eastAsia" w:ascii="宋体" w:hAnsi="宋体" w:eastAsia="宋体" w:cs="宋体"/>
          <w:b/>
          <w:color w:val="auto"/>
          <w:sz w:val="36"/>
          <w:szCs w:val="36"/>
          <w:highlight w:val="none"/>
        </w:rPr>
      </w:pPr>
      <w:bookmarkStart w:id="67" w:name="_Toc12177"/>
      <w:r>
        <w:rPr>
          <w:rFonts w:hint="eastAsia" w:ascii="宋体" w:hAnsi="宋体" w:eastAsia="宋体" w:cs="宋体"/>
          <w:b/>
          <w:color w:val="auto"/>
          <w:sz w:val="36"/>
          <w:szCs w:val="36"/>
          <w:highlight w:val="none"/>
        </w:rPr>
        <w:t>第三部分   采购需求</w:t>
      </w:r>
      <w:bookmarkEnd w:id="67"/>
    </w:p>
    <w:p w14:paraId="72B3397D">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2025年8月26日，国务院发布《关于深入实施“人工智能+”行动的意见》，提到安全稳妥有序推进人工智能在政务领域应用，打造精准识别需求、主动规划服务、全程智能办理的政务服务新模式。建设浙里惠企政策精准直达，正是利用AI大模型、数据挖掘、智能匹配等核心技术，将“人工智能+”在政务领域的应用从概念走向落地。通过对海量政策的智能解读与企业需求的精准识别，实现从“人找政策”到“政策找人”的转变，符合国家战略方向的先行先试，是提升政府服务效能、优化营商环境、培育新质生产力的重要举措。</w:t>
      </w:r>
    </w:p>
    <w:p w14:paraId="0CAD168F">
      <w:pPr>
        <w:keepNext w:val="0"/>
        <w:keepLines w:val="0"/>
        <w:pageBreakBefore w:val="0"/>
        <w:widowControl w:val="0"/>
        <w:kinsoku/>
        <w:wordWrap/>
        <w:overflowPunct/>
        <w:topLinePunct w:val="0"/>
        <w:autoSpaceDE/>
        <w:autoSpaceDN/>
        <w:bidi w:val="0"/>
        <w:adjustRightInd/>
        <w:snapToGrid/>
        <w:spacing w:beforeLines="0" w:afterLines="0" w:line="360" w:lineRule="auto"/>
        <w:ind w:firstLine="420" w:firstLineChars="200"/>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当前，浙江省正处于高质量发展建设共同富裕示范区的关键时期，数字经济已成为推动经济转型升级的核心动力。作为全国数字经济先行区，浙江省市场主体数量庞大、产业形态多元，对精准化、智能化的政策服务提出了更高要求。</w:t>
      </w:r>
    </w:p>
    <w:p w14:paraId="1E25CF7A">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firstLine="420" w:firstLineChars="200"/>
        <w:jc w:val="both"/>
        <w:textAlignment w:val="auto"/>
        <w:outlineLvl w:val="9"/>
        <w:rPr>
          <w:rFonts w:hint="eastAsia" w:ascii="宋体" w:hAnsi="宋体" w:eastAsia="宋体" w:cs="宋体"/>
          <w:b w:val="0"/>
          <w:bCs w:val="0"/>
          <w:color w:val="auto"/>
          <w:spacing w:val="0"/>
          <w:kern w:val="2"/>
          <w:sz w:val="21"/>
          <w:szCs w:val="21"/>
          <w:highlight w:val="none"/>
          <w:lang w:val="en-US" w:eastAsia="zh-CN" w:bidi="ar"/>
        </w:rPr>
      </w:pPr>
      <w:r>
        <w:rPr>
          <w:rFonts w:hint="eastAsia" w:ascii="宋体" w:hAnsi="宋体" w:eastAsia="宋体" w:cs="宋体"/>
          <w:color w:val="auto"/>
          <w:sz w:val="21"/>
          <w:szCs w:val="21"/>
          <w:highlight w:val="none"/>
          <w:lang w:val="en-US" w:eastAsia="zh-CN" w:bidi="ar"/>
        </w:rPr>
        <w:t>浙里惠企政策精准直达项目将打造政策“归集-解读-推送-评价”的业务闭环，通过归集全省政策并利用AI进行智能解析，面向各类市场主体实现精准匹配与多维触达，并建立政策评价反馈机制，推动服务模式从被动响应向主动供给转变，最终确保政策红利精准滴灌、直达快享，有效提升服务企业的效能与水平，进一步优化营商环境，促进我省民营经济高质量发展。</w:t>
      </w:r>
    </w:p>
    <w:p w14:paraId="672E325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643" w:leftChars="0" w:right="0" w:firstLine="643" w:firstLineChars="0"/>
        <w:jc w:val="both"/>
        <w:textAlignment w:val="auto"/>
        <w:outlineLvl w:val="2"/>
        <w:rPr>
          <w:rFonts w:hint="eastAsia" w:ascii="宋体" w:hAnsi="宋体" w:eastAsia="宋体" w:cs="宋体"/>
          <w:b/>
          <w:bCs/>
          <w:color w:val="auto"/>
          <w:spacing w:val="0"/>
          <w:kern w:val="2"/>
          <w:sz w:val="21"/>
          <w:szCs w:val="21"/>
          <w:highlight w:val="none"/>
          <w:lang w:val="en-US" w:eastAsia="zh-CN" w:bidi="ar-SA"/>
        </w:rPr>
      </w:pPr>
    </w:p>
    <w:p w14:paraId="7F4F1B6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643" w:leftChars="0" w:right="0" w:firstLine="643" w:firstLineChars="0"/>
        <w:jc w:val="both"/>
        <w:textAlignment w:val="auto"/>
        <w:outlineLvl w:val="2"/>
        <w:rPr>
          <w:rFonts w:hint="eastAsia" w:ascii="宋体" w:hAnsi="宋体" w:eastAsia="宋体" w:cs="宋体"/>
          <w:b/>
          <w:bCs/>
          <w:color w:val="auto"/>
          <w:spacing w:val="0"/>
          <w:sz w:val="21"/>
          <w:szCs w:val="21"/>
          <w:highlight w:val="none"/>
          <w:lang w:val="en-US" w:eastAsia="zh-CN"/>
        </w:rPr>
      </w:pPr>
      <w:r>
        <w:rPr>
          <w:rFonts w:hint="eastAsia" w:ascii="宋体" w:hAnsi="宋体" w:eastAsia="宋体" w:cs="宋体"/>
          <w:b/>
          <w:bCs/>
          <w:color w:val="auto"/>
          <w:spacing w:val="0"/>
          <w:kern w:val="2"/>
          <w:sz w:val="21"/>
          <w:szCs w:val="21"/>
          <w:highlight w:val="none"/>
          <w:lang w:val="en-US" w:eastAsia="zh-CN" w:bidi="ar-SA"/>
        </w:rPr>
        <w:t>一、</w:t>
      </w:r>
      <w:r>
        <w:rPr>
          <w:rFonts w:hint="eastAsia" w:ascii="宋体" w:hAnsi="宋体" w:eastAsia="宋体" w:cs="宋体"/>
          <w:b/>
          <w:bCs/>
          <w:color w:val="auto"/>
          <w:spacing w:val="0"/>
          <w:sz w:val="21"/>
          <w:szCs w:val="21"/>
          <w:highlight w:val="none"/>
          <w:lang w:val="en-US" w:eastAsia="zh-CN"/>
        </w:rPr>
        <w:t>政策归集</w:t>
      </w:r>
    </w:p>
    <w:p w14:paraId="4845AE0C">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auto"/>
        <w:rPr>
          <w:rFonts w:hint="eastAsia" w:ascii="宋体" w:hAnsi="宋体" w:eastAsia="宋体" w:cs="宋体"/>
          <w:color w:val="auto"/>
          <w:spacing w:val="0"/>
          <w:kern w:val="2"/>
          <w:sz w:val="21"/>
          <w:szCs w:val="21"/>
          <w:highlight w:val="none"/>
          <w:lang w:val="en-US" w:eastAsia="zh-CN" w:bidi="ar"/>
        </w:rPr>
      </w:pPr>
      <w:r>
        <w:rPr>
          <w:rFonts w:hint="eastAsia" w:ascii="宋体" w:hAnsi="宋体" w:eastAsia="宋体" w:cs="宋体"/>
          <w:color w:val="auto"/>
          <w:spacing w:val="0"/>
          <w:kern w:val="2"/>
          <w:sz w:val="21"/>
          <w:szCs w:val="21"/>
          <w:highlight w:val="none"/>
          <w:lang w:val="en-US" w:eastAsia="zh-CN" w:bidi="ar"/>
        </w:rPr>
        <w:t>政策归集模块主要包含政策归集中心与政策原文库两部分。政策归集中心可对本部门存量、新增政策进行列表展示、文件上传导入、政策发布，同时支持政策编辑更新与移除</w:t>
      </w:r>
      <w:r>
        <w:rPr>
          <w:rFonts w:hint="eastAsia" w:ascii="宋体" w:hAnsi="宋体" w:cs="宋体"/>
          <w:b/>
          <w:bCs/>
          <w:color w:val="auto"/>
          <w:spacing w:val="0"/>
          <w:kern w:val="2"/>
          <w:sz w:val="21"/>
          <w:szCs w:val="21"/>
          <w:highlight w:val="none"/>
          <w:lang w:val="en-US" w:eastAsia="zh-CN" w:bidi="ar"/>
        </w:rPr>
        <w:t>（需演示）</w:t>
      </w:r>
      <w:r>
        <w:rPr>
          <w:rFonts w:hint="eastAsia" w:ascii="宋体" w:hAnsi="宋体" w:eastAsia="宋体" w:cs="宋体"/>
          <w:color w:val="auto"/>
          <w:spacing w:val="0"/>
          <w:kern w:val="2"/>
          <w:sz w:val="21"/>
          <w:szCs w:val="21"/>
          <w:highlight w:val="none"/>
          <w:lang w:val="en-US" w:eastAsia="zh-CN" w:bidi="ar"/>
        </w:rPr>
        <w:t>；政策原文库支持按多维度标签或名称检索筛选政策，以列表呈现政策基本信息，并可查看含核心要素的政策详情及在线预览原文。</w:t>
      </w:r>
      <w:r>
        <w:rPr>
          <w:rFonts w:hint="eastAsia" w:ascii="宋体" w:hAnsi="宋体" w:cs="宋体"/>
          <w:b/>
          <w:bCs/>
          <w:color w:val="auto"/>
          <w:spacing w:val="0"/>
          <w:kern w:val="2"/>
          <w:sz w:val="21"/>
          <w:szCs w:val="21"/>
          <w:highlight w:val="none"/>
          <w:lang w:val="en-US" w:eastAsia="zh-CN" w:bidi="ar"/>
        </w:rPr>
        <w:t>（需演示）</w:t>
      </w:r>
    </w:p>
    <w:p w14:paraId="50A38B6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643" w:leftChars="0" w:right="0" w:firstLine="643" w:firstLineChars="0"/>
        <w:jc w:val="both"/>
        <w:textAlignment w:val="auto"/>
        <w:outlineLvl w:val="2"/>
        <w:rPr>
          <w:rFonts w:hint="eastAsia" w:ascii="宋体" w:hAnsi="宋体" w:eastAsia="宋体" w:cs="宋体"/>
          <w:b/>
          <w:bCs/>
          <w:color w:val="auto"/>
          <w:spacing w:val="0"/>
          <w:sz w:val="21"/>
          <w:szCs w:val="21"/>
          <w:highlight w:val="none"/>
          <w:lang w:val="en-US" w:eastAsia="zh-CN"/>
        </w:rPr>
      </w:pPr>
      <w:r>
        <w:rPr>
          <w:rFonts w:hint="eastAsia" w:ascii="宋体" w:hAnsi="宋体" w:eastAsia="宋体" w:cs="宋体"/>
          <w:b/>
          <w:bCs/>
          <w:color w:val="auto"/>
          <w:spacing w:val="0"/>
          <w:kern w:val="2"/>
          <w:sz w:val="21"/>
          <w:szCs w:val="21"/>
          <w:highlight w:val="none"/>
          <w:lang w:val="en-US" w:eastAsia="zh-CN" w:bidi="ar-SA"/>
        </w:rPr>
        <w:t>二、</w:t>
      </w:r>
      <w:r>
        <w:rPr>
          <w:rFonts w:hint="eastAsia" w:ascii="宋体" w:hAnsi="宋体" w:eastAsia="宋体" w:cs="宋体"/>
          <w:b/>
          <w:bCs/>
          <w:color w:val="auto"/>
          <w:spacing w:val="0"/>
          <w:sz w:val="21"/>
          <w:szCs w:val="21"/>
          <w:highlight w:val="none"/>
          <w:lang w:val="en-US" w:eastAsia="zh-CN"/>
        </w:rPr>
        <w:t>政策解读</w:t>
      </w:r>
    </w:p>
    <w:p w14:paraId="07B23ED9">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firstLine="420" w:firstLineChars="0"/>
        <w:jc w:val="both"/>
        <w:textAlignment w:val="auto"/>
        <w:rPr>
          <w:rFonts w:hint="eastAsia" w:ascii="宋体" w:hAnsi="宋体" w:eastAsia="宋体" w:cs="宋体"/>
          <w:color w:val="auto"/>
          <w:spacing w:val="0"/>
          <w:kern w:val="2"/>
          <w:sz w:val="21"/>
          <w:szCs w:val="21"/>
          <w:highlight w:val="none"/>
          <w:lang w:val="en-US" w:eastAsia="zh-CN" w:bidi="ar"/>
        </w:rPr>
      </w:pPr>
      <w:r>
        <w:rPr>
          <w:rFonts w:hint="eastAsia" w:ascii="宋体" w:hAnsi="宋体" w:eastAsia="宋体" w:cs="宋体"/>
          <w:color w:val="auto"/>
          <w:spacing w:val="0"/>
          <w:kern w:val="2"/>
          <w:sz w:val="21"/>
          <w:szCs w:val="21"/>
          <w:highlight w:val="none"/>
          <w:lang w:val="en-US" w:eastAsia="zh-CN" w:bidi="ar"/>
        </w:rPr>
        <w:t>政策解读中心</w:t>
      </w:r>
    </w:p>
    <w:p w14:paraId="7E75735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200"/>
        <w:jc w:val="both"/>
        <w:textAlignment w:val="auto"/>
        <w:rPr>
          <w:rFonts w:hint="eastAsia" w:ascii="宋体" w:hAnsi="宋体" w:eastAsia="宋体" w:cs="宋体"/>
          <w:color w:val="auto"/>
          <w:spacing w:val="0"/>
          <w:kern w:val="2"/>
          <w:sz w:val="21"/>
          <w:szCs w:val="21"/>
          <w:highlight w:val="none"/>
          <w:lang w:val="en-US" w:eastAsia="zh-CN" w:bidi="ar"/>
        </w:rPr>
      </w:pPr>
      <w:r>
        <w:rPr>
          <w:rFonts w:hint="default" w:ascii="宋体" w:hAnsi="宋体" w:eastAsia="宋体" w:cs="宋体"/>
          <w:color w:val="auto"/>
          <w:spacing w:val="0"/>
          <w:kern w:val="2"/>
          <w:sz w:val="21"/>
          <w:szCs w:val="21"/>
          <w:highlight w:val="none"/>
          <w:lang w:val="en-US" w:eastAsia="zh-CN" w:bidi="ar"/>
        </w:rPr>
        <w:t>1</w:t>
      </w:r>
      <w:r>
        <w:rPr>
          <w:rFonts w:hint="eastAsia" w:ascii="宋体" w:hAnsi="宋体" w:cs="宋体"/>
          <w:color w:val="auto"/>
          <w:spacing w:val="0"/>
          <w:kern w:val="2"/>
          <w:sz w:val="21"/>
          <w:szCs w:val="21"/>
          <w:highlight w:val="none"/>
          <w:lang w:val="en-US" w:eastAsia="zh-CN" w:bidi="ar"/>
        </w:rPr>
        <w:t>.</w:t>
      </w:r>
      <w:r>
        <w:rPr>
          <w:rFonts w:hint="eastAsia" w:ascii="宋体" w:hAnsi="宋体" w:eastAsia="宋体" w:cs="宋体"/>
          <w:color w:val="auto"/>
          <w:spacing w:val="0"/>
          <w:kern w:val="2"/>
          <w:sz w:val="21"/>
          <w:szCs w:val="21"/>
          <w:highlight w:val="none"/>
          <w:lang w:val="en-US" w:eastAsia="zh-CN" w:bidi="ar"/>
        </w:rPr>
        <w:t>AI政策解读</w:t>
      </w:r>
    </w:p>
    <w:p w14:paraId="6A430F90">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auto"/>
        <w:rPr>
          <w:rFonts w:hint="eastAsia" w:ascii="宋体" w:hAnsi="宋体" w:eastAsia="宋体" w:cs="宋体"/>
          <w:color w:val="auto"/>
          <w:spacing w:val="0"/>
          <w:kern w:val="2"/>
          <w:sz w:val="21"/>
          <w:szCs w:val="21"/>
          <w:highlight w:val="none"/>
          <w:lang w:val="en-US" w:eastAsia="zh-CN" w:bidi="ar"/>
        </w:rPr>
      </w:pPr>
      <w:r>
        <w:rPr>
          <w:rFonts w:hint="eastAsia" w:ascii="宋体" w:hAnsi="宋体" w:eastAsia="宋体" w:cs="宋体"/>
          <w:color w:val="auto"/>
          <w:spacing w:val="0"/>
          <w:kern w:val="2"/>
          <w:sz w:val="21"/>
          <w:szCs w:val="21"/>
          <w:highlight w:val="none"/>
          <w:lang w:val="en-US" w:eastAsia="zh-CN" w:bidi="ar"/>
        </w:rPr>
        <w:t>通过 OCR 识别提取政策原文并规整格式。建立政策知识库，依托人工智能大模型技术，拆解政策关键标签，结合项目特征库经多轮推理、校验、人工修正生成标准化项目，同时对多格式获批名单进行解析、识别与映射，输出结构化名单信息。</w:t>
      </w:r>
      <w:r>
        <w:rPr>
          <w:rFonts w:hint="eastAsia" w:ascii="宋体" w:hAnsi="宋体" w:cs="宋体"/>
          <w:b/>
          <w:bCs/>
          <w:color w:val="auto"/>
          <w:spacing w:val="0"/>
          <w:kern w:val="2"/>
          <w:sz w:val="21"/>
          <w:szCs w:val="21"/>
          <w:highlight w:val="none"/>
          <w:lang w:val="en-US" w:eastAsia="zh-CN" w:bidi="ar"/>
        </w:rPr>
        <w:t>（需演示）</w:t>
      </w:r>
    </w:p>
    <w:p w14:paraId="6EDAF49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200"/>
        <w:jc w:val="both"/>
        <w:textAlignment w:val="auto"/>
        <w:rPr>
          <w:rFonts w:hint="eastAsia" w:ascii="宋体" w:hAnsi="宋体" w:eastAsia="宋体" w:cs="宋体"/>
          <w:color w:val="auto"/>
          <w:spacing w:val="0"/>
          <w:kern w:val="2"/>
          <w:sz w:val="21"/>
          <w:szCs w:val="21"/>
          <w:highlight w:val="none"/>
          <w:lang w:val="en-US" w:eastAsia="zh-CN" w:bidi="ar"/>
        </w:rPr>
      </w:pPr>
      <w:r>
        <w:rPr>
          <w:rFonts w:hint="default" w:ascii="宋体" w:hAnsi="宋体" w:eastAsia="宋体" w:cs="宋体"/>
          <w:color w:val="auto"/>
          <w:spacing w:val="0"/>
          <w:kern w:val="2"/>
          <w:sz w:val="21"/>
          <w:szCs w:val="21"/>
          <w:highlight w:val="none"/>
          <w:lang w:val="en-US" w:eastAsia="zh-CN" w:bidi="ar"/>
        </w:rPr>
        <w:t>2</w:t>
      </w:r>
      <w:r>
        <w:rPr>
          <w:rFonts w:hint="eastAsia" w:ascii="宋体" w:hAnsi="宋体" w:cs="宋体"/>
          <w:color w:val="auto"/>
          <w:spacing w:val="0"/>
          <w:kern w:val="2"/>
          <w:sz w:val="21"/>
          <w:szCs w:val="21"/>
          <w:highlight w:val="none"/>
          <w:lang w:val="en-US" w:eastAsia="zh-CN" w:bidi="ar"/>
        </w:rPr>
        <w:t>.</w:t>
      </w:r>
      <w:r>
        <w:rPr>
          <w:rFonts w:hint="eastAsia" w:ascii="宋体" w:hAnsi="宋体" w:eastAsia="宋体" w:cs="宋体"/>
          <w:color w:val="auto"/>
          <w:spacing w:val="0"/>
          <w:kern w:val="2"/>
          <w:sz w:val="21"/>
          <w:szCs w:val="21"/>
          <w:highlight w:val="none"/>
          <w:lang w:val="en-US" w:eastAsia="zh-CN" w:bidi="ar"/>
        </w:rPr>
        <w:t>审核入库</w:t>
      </w:r>
    </w:p>
    <w:p w14:paraId="75113B6C">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auto"/>
        <w:rPr>
          <w:rFonts w:hint="eastAsia" w:ascii="宋体" w:hAnsi="宋体" w:eastAsia="宋体" w:cs="宋体"/>
          <w:color w:val="auto"/>
          <w:spacing w:val="0"/>
          <w:kern w:val="2"/>
          <w:sz w:val="21"/>
          <w:szCs w:val="21"/>
          <w:highlight w:val="none"/>
          <w:lang w:val="en-US" w:eastAsia="zh-CN" w:bidi="ar"/>
        </w:rPr>
      </w:pPr>
      <w:r>
        <w:rPr>
          <w:rFonts w:hint="eastAsia" w:ascii="宋体" w:hAnsi="宋体" w:eastAsia="宋体" w:cs="宋体"/>
          <w:color w:val="auto"/>
          <w:spacing w:val="0"/>
          <w:kern w:val="2"/>
          <w:sz w:val="21"/>
          <w:szCs w:val="21"/>
          <w:highlight w:val="none"/>
          <w:lang w:val="en-US" w:eastAsia="zh-CN" w:bidi="ar"/>
        </w:rPr>
        <w:t>根据AI大模型拆解的内容，进行审核确认，确认无误后可发布至系统政策数据库。</w:t>
      </w:r>
      <w:r>
        <w:rPr>
          <w:rFonts w:hint="eastAsia" w:ascii="宋体" w:hAnsi="宋体" w:cs="宋体"/>
          <w:b/>
          <w:bCs/>
          <w:color w:val="auto"/>
          <w:spacing w:val="0"/>
          <w:kern w:val="2"/>
          <w:sz w:val="21"/>
          <w:szCs w:val="21"/>
          <w:highlight w:val="none"/>
          <w:lang w:val="en-US" w:eastAsia="zh-CN" w:bidi="ar"/>
        </w:rPr>
        <w:t>（需演示）</w:t>
      </w:r>
    </w:p>
    <w:p w14:paraId="605F7F2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200"/>
        <w:jc w:val="both"/>
        <w:textAlignment w:val="auto"/>
        <w:rPr>
          <w:rFonts w:hint="eastAsia" w:ascii="宋体" w:hAnsi="宋体" w:eastAsia="宋体" w:cs="宋体"/>
          <w:strike w:val="0"/>
          <w:dstrike w:val="0"/>
          <w:color w:val="auto"/>
          <w:spacing w:val="0"/>
          <w:kern w:val="2"/>
          <w:sz w:val="21"/>
          <w:szCs w:val="21"/>
          <w:highlight w:val="none"/>
          <w:lang w:val="en-US" w:eastAsia="zh-CN" w:bidi="ar"/>
        </w:rPr>
      </w:pPr>
      <w:r>
        <w:rPr>
          <w:rFonts w:hint="default" w:ascii="宋体" w:hAnsi="宋体" w:eastAsia="宋体" w:cs="宋体"/>
          <w:strike w:val="0"/>
          <w:dstrike w:val="0"/>
          <w:color w:val="auto"/>
          <w:spacing w:val="0"/>
          <w:kern w:val="2"/>
          <w:sz w:val="21"/>
          <w:szCs w:val="21"/>
          <w:highlight w:val="none"/>
          <w:lang w:val="en-US" w:eastAsia="zh-CN" w:bidi="ar"/>
        </w:rPr>
        <w:t>3</w:t>
      </w:r>
      <w:r>
        <w:rPr>
          <w:rFonts w:hint="eastAsia" w:ascii="宋体" w:hAnsi="宋体" w:cs="宋体"/>
          <w:strike w:val="0"/>
          <w:dstrike w:val="0"/>
          <w:color w:val="auto"/>
          <w:spacing w:val="0"/>
          <w:kern w:val="2"/>
          <w:sz w:val="21"/>
          <w:szCs w:val="21"/>
          <w:highlight w:val="none"/>
          <w:lang w:val="en-US" w:eastAsia="zh-CN" w:bidi="ar"/>
        </w:rPr>
        <w:t>.</w:t>
      </w:r>
      <w:r>
        <w:rPr>
          <w:rFonts w:hint="eastAsia" w:ascii="宋体" w:hAnsi="宋体" w:eastAsia="宋体" w:cs="宋体"/>
          <w:strike w:val="0"/>
          <w:dstrike w:val="0"/>
          <w:color w:val="auto"/>
          <w:spacing w:val="0"/>
          <w:kern w:val="2"/>
          <w:sz w:val="21"/>
          <w:szCs w:val="21"/>
          <w:highlight w:val="none"/>
          <w:lang w:val="en-US" w:eastAsia="zh-CN" w:bidi="ar"/>
        </w:rPr>
        <w:t>政策检索中心</w:t>
      </w:r>
    </w:p>
    <w:p w14:paraId="458C0180">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auto"/>
        <w:rPr>
          <w:rFonts w:hint="eastAsia" w:ascii="宋体" w:hAnsi="宋体" w:eastAsia="宋体" w:cs="宋体"/>
          <w:color w:val="auto"/>
          <w:spacing w:val="0"/>
          <w:kern w:val="2"/>
          <w:sz w:val="21"/>
          <w:szCs w:val="21"/>
          <w:highlight w:val="none"/>
          <w:lang w:val="en-US" w:eastAsia="zh-CN" w:bidi="ar"/>
        </w:rPr>
      </w:pPr>
      <w:r>
        <w:rPr>
          <w:rFonts w:hint="eastAsia" w:ascii="宋体" w:hAnsi="宋体" w:eastAsia="宋体" w:cs="宋体"/>
          <w:color w:val="auto"/>
          <w:spacing w:val="0"/>
          <w:kern w:val="2"/>
          <w:sz w:val="21"/>
          <w:szCs w:val="21"/>
          <w:highlight w:val="none"/>
          <w:lang w:val="en-US" w:eastAsia="zh-CN" w:bidi="ar"/>
        </w:rPr>
        <w:t>支持多维度筛选与关键词检索政策项目，如支持通过对省市政策标题、类型、层级、所属地区、解构用户、匹配状态等标签进行筛选，快速检索政策，同时支持通过搜索项目名称等，进行目标政策的快速锚定，点击可查看项目详情。</w:t>
      </w:r>
      <w:r>
        <w:rPr>
          <w:rFonts w:hint="eastAsia" w:ascii="宋体" w:hAnsi="宋体" w:cs="宋体"/>
          <w:b/>
          <w:bCs/>
          <w:color w:val="auto"/>
          <w:spacing w:val="0"/>
          <w:kern w:val="2"/>
          <w:sz w:val="21"/>
          <w:szCs w:val="21"/>
          <w:highlight w:val="none"/>
          <w:lang w:val="en-US" w:eastAsia="zh-CN" w:bidi="ar"/>
        </w:rPr>
        <w:t>（需演示）</w:t>
      </w:r>
    </w:p>
    <w:p w14:paraId="1BBAC27E">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firstLine="420" w:firstLineChars="0"/>
        <w:jc w:val="both"/>
        <w:textAlignment w:val="auto"/>
        <w:rPr>
          <w:rFonts w:hint="eastAsia" w:ascii="宋体" w:hAnsi="宋体" w:eastAsia="宋体" w:cs="宋体"/>
          <w:color w:val="auto"/>
          <w:spacing w:val="0"/>
          <w:kern w:val="2"/>
          <w:sz w:val="21"/>
          <w:szCs w:val="21"/>
          <w:highlight w:val="none"/>
          <w:lang w:val="en-US" w:eastAsia="zh-CN" w:bidi="ar"/>
        </w:rPr>
      </w:pPr>
      <w:r>
        <w:rPr>
          <w:rFonts w:hint="eastAsia" w:ascii="宋体" w:hAnsi="宋体" w:eastAsia="宋体" w:cs="宋体"/>
          <w:color w:val="auto"/>
          <w:spacing w:val="0"/>
          <w:kern w:val="2"/>
          <w:sz w:val="21"/>
          <w:szCs w:val="21"/>
          <w:highlight w:val="none"/>
          <w:lang w:val="en-US" w:eastAsia="zh-CN" w:bidi="ar"/>
        </w:rPr>
        <w:t>政策匹配中心</w:t>
      </w:r>
    </w:p>
    <w:p w14:paraId="66C87191">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420" w:leftChars="0" w:right="0" w:rightChars="0"/>
        <w:jc w:val="both"/>
        <w:textAlignment w:val="auto"/>
        <w:rPr>
          <w:rFonts w:hint="eastAsia" w:ascii="宋体" w:hAnsi="宋体" w:eastAsia="宋体" w:cs="宋体"/>
          <w:color w:val="auto"/>
          <w:spacing w:val="0"/>
          <w:kern w:val="2"/>
          <w:sz w:val="21"/>
          <w:szCs w:val="21"/>
          <w:highlight w:val="none"/>
          <w:lang w:val="en-US" w:eastAsia="zh-CN" w:bidi="ar"/>
        </w:rPr>
      </w:pPr>
      <w:r>
        <w:rPr>
          <w:rFonts w:hint="eastAsia" w:ascii="宋体" w:hAnsi="宋体" w:eastAsia="宋体" w:cs="宋体"/>
          <w:color w:val="auto"/>
          <w:spacing w:val="0"/>
          <w:kern w:val="2"/>
          <w:sz w:val="21"/>
          <w:szCs w:val="21"/>
          <w:highlight w:val="none"/>
          <w:lang w:val="en-US" w:eastAsia="zh-CN" w:bidi="ar"/>
        </w:rPr>
        <w:t>政策找企业</w:t>
      </w:r>
    </w:p>
    <w:p w14:paraId="711805FF">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auto"/>
        <w:rPr>
          <w:rFonts w:hint="eastAsia" w:ascii="宋体" w:hAnsi="宋体" w:eastAsia="宋体" w:cs="宋体"/>
          <w:color w:val="auto"/>
          <w:spacing w:val="0"/>
          <w:kern w:val="2"/>
          <w:sz w:val="21"/>
          <w:szCs w:val="21"/>
          <w:highlight w:val="none"/>
          <w:lang w:val="en-US" w:eastAsia="zh-CN" w:bidi="ar"/>
        </w:rPr>
      </w:pPr>
      <w:r>
        <w:rPr>
          <w:rFonts w:hint="eastAsia" w:ascii="宋体" w:hAnsi="宋体" w:eastAsia="宋体" w:cs="宋体"/>
          <w:color w:val="auto"/>
          <w:spacing w:val="0"/>
          <w:kern w:val="2"/>
          <w:sz w:val="21"/>
          <w:szCs w:val="21"/>
          <w:highlight w:val="none"/>
          <w:lang w:val="en-US" w:eastAsia="zh-CN" w:bidi="ar"/>
        </w:rPr>
        <w:t>通过政策维度检索查看政策匹配到的企业清单。提供多维度政策检索功能，支持通过关键词、政策标题、政策类型等条件筛选目标政策。点击可查看政策详情，包括原文、政策简报、匹配企业清单等。</w:t>
      </w:r>
      <w:r>
        <w:rPr>
          <w:rFonts w:hint="eastAsia" w:ascii="宋体" w:hAnsi="宋体" w:cs="宋体"/>
          <w:b/>
          <w:bCs/>
          <w:color w:val="auto"/>
          <w:spacing w:val="0"/>
          <w:kern w:val="2"/>
          <w:sz w:val="21"/>
          <w:szCs w:val="21"/>
          <w:highlight w:val="none"/>
          <w:lang w:val="en-US" w:eastAsia="zh-CN" w:bidi="ar"/>
        </w:rPr>
        <w:t>（需演示）</w:t>
      </w:r>
    </w:p>
    <w:p w14:paraId="1A26159F">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420" w:leftChars="0" w:right="0" w:rightChars="0" w:firstLine="0" w:firstLineChars="0"/>
        <w:jc w:val="both"/>
        <w:textAlignment w:val="auto"/>
        <w:rPr>
          <w:rFonts w:hint="eastAsia" w:ascii="宋体" w:hAnsi="宋体" w:eastAsia="宋体" w:cs="宋体"/>
          <w:color w:val="auto"/>
          <w:spacing w:val="0"/>
          <w:kern w:val="2"/>
          <w:sz w:val="21"/>
          <w:szCs w:val="21"/>
          <w:highlight w:val="none"/>
          <w:lang w:val="en-US" w:eastAsia="zh-CN" w:bidi="ar"/>
        </w:rPr>
      </w:pPr>
      <w:r>
        <w:rPr>
          <w:rFonts w:hint="eastAsia" w:ascii="宋体" w:hAnsi="宋体" w:eastAsia="宋体" w:cs="宋体"/>
          <w:color w:val="auto"/>
          <w:spacing w:val="0"/>
          <w:kern w:val="2"/>
          <w:sz w:val="21"/>
          <w:szCs w:val="21"/>
          <w:highlight w:val="none"/>
          <w:lang w:val="en-US" w:eastAsia="zh-CN" w:bidi="ar"/>
        </w:rPr>
        <w:t>企业找政策</w:t>
      </w:r>
    </w:p>
    <w:p w14:paraId="218FA7FA">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auto"/>
        <w:rPr>
          <w:rFonts w:hint="eastAsia" w:ascii="宋体" w:hAnsi="宋体" w:eastAsia="宋体" w:cs="宋体"/>
          <w:color w:val="auto"/>
          <w:spacing w:val="0"/>
          <w:kern w:val="2"/>
          <w:sz w:val="21"/>
          <w:szCs w:val="21"/>
          <w:highlight w:val="none"/>
          <w:lang w:val="en-US" w:eastAsia="zh-CN" w:bidi="ar"/>
        </w:rPr>
      </w:pPr>
      <w:r>
        <w:rPr>
          <w:rFonts w:hint="eastAsia" w:ascii="宋体" w:hAnsi="宋体" w:eastAsia="宋体" w:cs="宋体"/>
          <w:color w:val="auto"/>
          <w:spacing w:val="0"/>
          <w:kern w:val="2"/>
          <w:sz w:val="21"/>
          <w:szCs w:val="21"/>
          <w:highlight w:val="none"/>
          <w:lang w:val="en-US" w:eastAsia="zh-CN" w:bidi="ar"/>
        </w:rPr>
        <w:t>通过企业维度检索查看当前企业匹配到的政策清单。提供多维度的企业搜索筛选功能，支持按行业类别、地域分布、等条件组合筛选。点击可查看政策详情，包括匹配政策清单、培育规划引导、企业奖补画像、企业全景画像等。</w:t>
      </w:r>
      <w:r>
        <w:rPr>
          <w:rFonts w:hint="eastAsia" w:ascii="宋体" w:hAnsi="宋体" w:cs="宋体"/>
          <w:b/>
          <w:bCs/>
          <w:color w:val="auto"/>
          <w:spacing w:val="0"/>
          <w:kern w:val="2"/>
          <w:sz w:val="21"/>
          <w:szCs w:val="21"/>
          <w:highlight w:val="none"/>
          <w:lang w:val="en-US" w:eastAsia="zh-CN" w:bidi="ar"/>
        </w:rPr>
        <w:t>（需演示）</w:t>
      </w:r>
    </w:p>
    <w:p w14:paraId="78D20490">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420" w:leftChars="0" w:right="0" w:rightChars="0" w:firstLine="0" w:firstLineChars="0"/>
        <w:jc w:val="both"/>
        <w:textAlignment w:val="auto"/>
        <w:rPr>
          <w:rFonts w:hint="eastAsia" w:ascii="宋体" w:hAnsi="宋体" w:eastAsia="宋体" w:cs="宋体"/>
          <w:color w:val="auto"/>
          <w:spacing w:val="0"/>
          <w:kern w:val="2"/>
          <w:sz w:val="21"/>
          <w:szCs w:val="21"/>
          <w:highlight w:val="none"/>
          <w:lang w:val="en-US" w:eastAsia="zh-CN" w:bidi="ar"/>
        </w:rPr>
      </w:pPr>
      <w:r>
        <w:rPr>
          <w:rFonts w:hint="eastAsia" w:ascii="宋体" w:hAnsi="宋体" w:eastAsia="宋体" w:cs="宋体"/>
          <w:color w:val="auto"/>
          <w:spacing w:val="0"/>
          <w:kern w:val="2"/>
          <w:sz w:val="21"/>
          <w:szCs w:val="21"/>
          <w:highlight w:val="none"/>
          <w:lang w:val="en-US" w:eastAsia="zh-CN" w:bidi="ar"/>
        </w:rPr>
        <w:t>政策智能匹配</w:t>
      </w:r>
    </w:p>
    <w:p w14:paraId="0EC54DC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auto"/>
        <w:rPr>
          <w:rFonts w:hint="eastAsia" w:ascii="宋体" w:hAnsi="宋体" w:eastAsia="宋体" w:cs="宋体"/>
          <w:color w:val="auto"/>
          <w:spacing w:val="0"/>
          <w:kern w:val="2"/>
          <w:sz w:val="21"/>
          <w:szCs w:val="21"/>
          <w:highlight w:val="none"/>
          <w:lang w:val="en-US" w:eastAsia="zh-CN" w:bidi="ar"/>
        </w:rPr>
      </w:pPr>
      <w:r>
        <w:rPr>
          <w:rFonts w:hint="eastAsia" w:ascii="宋体" w:hAnsi="宋体" w:eastAsia="宋体" w:cs="宋体"/>
          <w:color w:val="auto"/>
          <w:spacing w:val="0"/>
          <w:kern w:val="2"/>
          <w:sz w:val="21"/>
          <w:szCs w:val="21"/>
          <w:highlight w:val="none"/>
          <w:lang w:val="en-US" w:eastAsia="zh-CN" w:bidi="ar"/>
        </w:rPr>
        <w:t>以“精准触达、高效匹配”为核心目标，政策匹配大模型依托向量化工程、提示词优化设计、智能匹配规则构建及全流程验证迭代，构建形成 “向量化表征 — 提示词工程 — 匹配规则体系 — 验证优化迭代” 的完整闭环，通过全链路技术与规则协同，持续保障政策匹配结果精准可靠、响应高效稳定。</w:t>
      </w:r>
    </w:p>
    <w:p w14:paraId="351C62E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643" w:leftChars="0" w:right="0" w:firstLine="643" w:firstLineChars="0"/>
        <w:jc w:val="both"/>
        <w:textAlignment w:val="auto"/>
        <w:outlineLvl w:val="2"/>
        <w:rPr>
          <w:rFonts w:hint="eastAsia" w:ascii="宋体" w:hAnsi="宋体" w:eastAsia="宋体" w:cs="宋体"/>
          <w:b/>
          <w:bCs/>
          <w:color w:val="auto"/>
          <w:spacing w:val="0"/>
          <w:sz w:val="21"/>
          <w:szCs w:val="21"/>
          <w:highlight w:val="none"/>
          <w:lang w:val="en-US" w:eastAsia="zh-CN"/>
        </w:rPr>
      </w:pPr>
      <w:r>
        <w:rPr>
          <w:rFonts w:hint="eastAsia" w:ascii="宋体" w:hAnsi="宋体" w:eastAsia="宋体" w:cs="宋体"/>
          <w:b/>
          <w:bCs/>
          <w:color w:val="auto"/>
          <w:spacing w:val="0"/>
          <w:kern w:val="2"/>
          <w:sz w:val="21"/>
          <w:szCs w:val="21"/>
          <w:highlight w:val="none"/>
          <w:lang w:val="en-US" w:eastAsia="zh-CN" w:bidi="ar-SA"/>
        </w:rPr>
        <w:t>三、</w:t>
      </w:r>
      <w:r>
        <w:rPr>
          <w:rFonts w:hint="eastAsia" w:ascii="宋体" w:hAnsi="宋体" w:eastAsia="宋体" w:cs="宋体"/>
          <w:b/>
          <w:bCs/>
          <w:color w:val="auto"/>
          <w:spacing w:val="0"/>
          <w:sz w:val="21"/>
          <w:szCs w:val="21"/>
          <w:highlight w:val="none"/>
          <w:lang w:val="en-US" w:eastAsia="zh-CN"/>
        </w:rPr>
        <w:t>政策推送</w:t>
      </w:r>
    </w:p>
    <w:p w14:paraId="10919E3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0"/>
        <w:jc w:val="both"/>
        <w:textAlignment w:val="auto"/>
        <w:rPr>
          <w:rFonts w:hint="eastAsia" w:ascii="宋体" w:hAnsi="宋体" w:eastAsia="宋体" w:cs="宋体"/>
          <w:color w:val="auto"/>
          <w:spacing w:val="0"/>
          <w:kern w:val="2"/>
          <w:sz w:val="21"/>
          <w:szCs w:val="21"/>
          <w:highlight w:val="none"/>
          <w:lang w:val="en-US" w:eastAsia="zh-CN" w:bidi="ar"/>
        </w:rPr>
      </w:pPr>
      <w:r>
        <w:rPr>
          <w:rFonts w:hint="eastAsia" w:ascii="宋体" w:hAnsi="宋体" w:eastAsia="宋体" w:cs="宋体"/>
          <w:color w:val="auto"/>
          <w:spacing w:val="0"/>
          <w:kern w:val="2"/>
          <w:sz w:val="21"/>
          <w:szCs w:val="21"/>
          <w:highlight w:val="none"/>
          <w:lang w:val="en-US" w:eastAsia="zh-CN" w:bidi="ar"/>
        </w:rPr>
        <w:t>（一）推送对象库</w:t>
      </w:r>
    </w:p>
    <w:p w14:paraId="0C18E463">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auto"/>
        <w:rPr>
          <w:rFonts w:hint="eastAsia" w:ascii="宋体" w:hAnsi="宋体" w:eastAsia="宋体" w:cs="宋体"/>
          <w:color w:val="auto"/>
          <w:spacing w:val="0"/>
          <w:kern w:val="2"/>
          <w:sz w:val="21"/>
          <w:szCs w:val="21"/>
          <w:highlight w:val="none"/>
          <w:lang w:val="en-US" w:eastAsia="zh-CN" w:bidi="ar"/>
        </w:rPr>
      </w:pPr>
      <w:r>
        <w:rPr>
          <w:rFonts w:hint="eastAsia" w:ascii="宋体" w:hAnsi="宋体" w:eastAsia="宋体" w:cs="宋体"/>
          <w:color w:val="auto"/>
          <w:spacing w:val="0"/>
          <w:kern w:val="2"/>
          <w:sz w:val="21"/>
          <w:szCs w:val="21"/>
          <w:highlight w:val="none"/>
          <w:lang w:val="en-US" w:eastAsia="zh-CN" w:bidi="ar"/>
        </w:rPr>
        <w:t>围绕全国浙商企业，搭建核心推送对象库，如浙江省企业实控人库、浙江省规上企业董监高库、在外浙商库等。支持推送对象的导出和打标工作，以便后续精准推广和分类管理。</w:t>
      </w:r>
    </w:p>
    <w:p w14:paraId="0373BF2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0"/>
        <w:jc w:val="both"/>
        <w:textAlignment w:val="auto"/>
        <w:rPr>
          <w:rFonts w:hint="eastAsia" w:ascii="宋体" w:hAnsi="宋体" w:eastAsia="宋体" w:cs="宋体"/>
          <w:color w:val="auto"/>
          <w:spacing w:val="0"/>
          <w:kern w:val="2"/>
          <w:sz w:val="21"/>
          <w:szCs w:val="21"/>
          <w:highlight w:val="none"/>
          <w:lang w:val="en-US" w:eastAsia="zh-CN" w:bidi="ar"/>
        </w:rPr>
      </w:pPr>
      <w:r>
        <w:rPr>
          <w:rFonts w:hint="eastAsia" w:ascii="宋体" w:hAnsi="宋体" w:eastAsia="宋体" w:cs="宋体"/>
          <w:color w:val="auto"/>
          <w:spacing w:val="0"/>
          <w:kern w:val="2"/>
          <w:sz w:val="21"/>
          <w:szCs w:val="21"/>
          <w:highlight w:val="none"/>
          <w:lang w:val="en-US" w:eastAsia="zh-CN" w:bidi="ar"/>
        </w:rPr>
        <w:t>（二）推送管理</w:t>
      </w:r>
    </w:p>
    <w:p w14:paraId="125E748D">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firstLine="420" w:firstLineChars="200"/>
        <w:jc w:val="both"/>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素材管理</w:t>
      </w:r>
    </w:p>
    <w:p w14:paraId="4DFE3EE5">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auto"/>
        <w:rPr>
          <w:rFonts w:hint="eastAsia" w:ascii="宋体" w:hAnsi="宋体" w:eastAsia="宋体" w:cs="宋体"/>
          <w:color w:val="auto"/>
          <w:spacing w:val="0"/>
          <w:kern w:val="2"/>
          <w:sz w:val="21"/>
          <w:szCs w:val="21"/>
          <w:highlight w:val="none"/>
          <w:lang w:val="en-US" w:eastAsia="zh-CN" w:bidi="ar"/>
        </w:rPr>
      </w:pPr>
      <w:r>
        <w:rPr>
          <w:rFonts w:hint="eastAsia" w:ascii="宋体" w:hAnsi="宋体" w:eastAsia="宋体" w:cs="宋体"/>
          <w:color w:val="auto"/>
          <w:spacing w:val="0"/>
          <w:kern w:val="2"/>
          <w:sz w:val="21"/>
          <w:szCs w:val="21"/>
          <w:highlight w:val="none"/>
          <w:lang w:val="en-US" w:eastAsia="zh-CN" w:bidi="ar"/>
        </w:rPr>
        <w:t>（1）支持对数字人视频、普通视频、图片、文本四类素材的规范化管理。</w:t>
      </w:r>
    </w:p>
    <w:p w14:paraId="0357C23E">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auto"/>
        <w:rPr>
          <w:rFonts w:hint="eastAsia" w:ascii="宋体" w:hAnsi="宋体" w:eastAsia="宋体" w:cs="宋体"/>
          <w:color w:val="auto"/>
          <w:spacing w:val="0"/>
          <w:kern w:val="2"/>
          <w:sz w:val="21"/>
          <w:szCs w:val="21"/>
          <w:highlight w:val="none"/>
          <w:lang w:val="en-US" w:eastAsia="zh-CN" w:bidi="ar"/>
        </w:rPr>
      </w:pPr>
      <w:r>
        <w:rPr>
          <w:rFonts w:hint="eastAsia" w:ascii="宋体" w:hAnsi="宋体" w:eastAsia="宋体" w:cs="宋体"/>
          <w:color w:val="auto"/>
          <w:spacing w:val="0"/>
          <w:kern w:val="2"/>
          <w:sz w:val="21"/>
          <w:szCs w:val="21"/>
          <w:highlight w:val="none"/>
          <w:lang w:val="en-US" w:eastAsia="zh-CN" w:bidi="ar"/>
        </w:rPr>
        <w:t>（2）数字人视频业务需支持内置模板快速调用（含数字人形象、背景、背景音乐、配音等预设配置）；普通视频业务支持avi、mp4、mov等格式上传；</w:t>
      </w:r>
    </w:p>
    <w:p w14:paraId="46F62132">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auto"/>
        <w:rPr>
          <w:rFonts w:hint="eastAsia" w:ascii="宋体" w:hAnsi="宋体" w:eastAsia="宋体" w:cs="宋体"/>
          <w:color w:val="auto"/>
          <w:spacing w:val="0"/>
          <w:kern w:val="2"/>
          <w:sz w:val="21"/>
          <w:szCs w:val="21"/>
          <w:highlight w:val="none"/>
          <w:lang w:val="en-US" w:eastAsia="zh-CN" w:bidi="ar"/>
        </w:rPr>
      </w:pPr>
      <w:r>
        <w:rPr>
          <w:rFonts w:hint="eastAsia" w:ascii="宋体" w:hAnsi="宋体" w:eastAsia="宋体" w:cs="宋体"/>
          <w:color w:val="auto"/>
          <w:spacing w:val="0"/>
          <w:kern w:val="2"/>
          <w:sz w:val="21"/>
          <w:szCs w:val="21"/>
          <w:highlight w:val="none"/>
          <w:lang w:val="en-US" w:eastAsia="zh-CN" w:bidi="ar"/>
        </w:rPr>
        <w:t>（3）图片素材支持jpg、png等格式上传；文本素材业务支持创建含标题、内容的文本。</w:t>
      </w:r>
    </w:p>
    <w:p w14:paraId="3C54B5D9">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auto"/>
        <w:rPr>
          <w:rFonts w:hint="eastAsia" w:ascii="宋体" w:hAnsi="宋体" w:eastAsia="宋体" w:cs="宋体"/>
          <w:color w:val="auto"/>
          <w:spacing w:val="0"/>
          <w:kern w:val="2"/>
          <w:sz w:val="21"/>
          <w:szCs w:val="21"/>
          <w:highlight w:val="none"/>
          <w:lang w:val="en-US" w:eastAsia="zh-CN" w:bidi="ar"/>
        </w:rPr>
      </w:pPr>
      <w:r>
        <w:rPr>
          <w:rFonts w:hint="eastAsia" w:ascii="宋体" w:hAnsi="宋体" w:eastAsia="宋体" w:cs="宋体"/>
          <w:color w:val="auto"/>
          <w:spacing w:val="0"/>
          <w:kern w:val="2"/>
          <w:sz w:val="21"/>
          <w:szCs w:val="21"/>
          <w:highlight w:val="none"/>
          <w:lang w:val="en-US" w:eastAsia="zh-CN" w:bidi="ar"/>
        </w:rPr>
        <w:t>（4）所有素材均需展示对应素材列表，支持按时间、标题、创建人筛选及删除、下载、编辑等操作，保障各类素材高效流转与便捷管理。</w:t>
      </w:r>
    </w:p>
    <w:p w14:paraId="1358DAB0">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firstLine="420" w:firstLineChars="200"/>
        <w:jc w:val="both"/>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政策推送</w:t>
      </w:r>
    </w:p>
    <w:p w14:paraId="34385669">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auto"/>
        <w:rPr>
          <w:rFonts w:hint="eastAsia" w:ascii="宋体" w:hAnsi="宋体" w:eastAsia="宋体" w:cs="宋体"/>
          <w:color w:val="auto"/>
          <w:spacing w:val="0"/>
          <w:kern w:val="2"/>
          <w:sz w:val="21"/>
          <w:szCs w:val="21"/>
          <w:highlight w:val="none"/>
          <w:lang w:val="en-US" w:eastAsia="zh-CN" w:bidi="ar"/>
        </w:rPr>
      </w:pPr>
      <w:r>
        <w:rPr>
          <w:rFonts w:hint="eastAsia" w:ascii="宋体" w:hAnsi="宋体" w:eastAsia="宋体" w:cs="宋体"/>
          <w:color w:val="auto"/>
          <w:spacing w:val="0"/>
          <w:kern w:val="2"/>
          <w:sz w:val="21"/>
          <w:szCs w:val="21"/>
          <w:highlight w:val="none"/>
          <w:lang w:val="en-US" w:eastAsia="zh-CN" w:bidi="ar"/>
        </w:rPr>
        <w:t>（1）实现政策推送功能，满足政策精准触达需求。</w:t>
      </w:r>
    </w:p>
    <w:p w14:paraId="5E687512">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auto"/>
        <w:rPr>
          <w:rFonts w:hint="eastAsia" w:ascii="宋体" w:hAnsi="宋体" w:eastAsia="宋体" w:cs="宋体"/>
          <w:color w:val="auto"/>
          <w:spacing w:val="0"/>
          <w:kern w:val="2"/>
          <w:sz w:val="21"/>
          <w:szCs w:val="21"/>
          <w:highlight w:val="none"/>
          <w:lang w:val="en-US" w:eastAsia="zh-CN" w:bidi="ar"/>
        </w:rPr>
      </w:pPr>
      <w:r>
        <w:rPr>
          <w:rFonts w:hint="eastAsia" w:ascii="宋体" w:hAnsi="宋体" w:eastAsia="宋体" w:cs="宋体"/>
          <w:color w:val="auto"/>
          <w:spacing w:val="0"/>
          <w:kern w:val="2"/>
          <w:sz w:val="21"/>
          <w:szCs w:val="21"/>
          <w:highlight w:val="none"/>
          <w:lang w:val="en-US" w:eastAsia="zh-CN" w:bidi="ar"/>
        </w:rPr>
        <w:t>（2）推送配置方面，支持自定义配置推送对象标签（如企业资质、所属行业等），可自主选择推送渠道，包括互联网新媒体渠道（如微信、浙里办等），可结合数字人解读政策后向企业推送，提升触达深度；</w:t>
      </w:r>
    </w:p>
    <w:p w14:paraId="197C3098">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auto"/>
        <w:rPr>
          <w:rFonts w:hint="eastAsia" w:ascii="宋体" w:hAnsi="宋体" w:eastAsia="宋体" w:cs="宋体"/>
          <w:color w:val="auto"/>
          <w:spacing w:val="0"/>
          <w:kern w:val="2"/>
          <w:sz w:val="21"/>
          <w:szCs w:val="21"/>
          <w:highlight w:val="none"/>
          <w:lang w:val="en-US" w:eastAsia="zh-CN" w:bidi="ar"/>
        </w:rPr>
      </w:pPr>
      <w:r>
        <w:rPr>
          <w:rFonts w:hint="eastAsia" w:ascii="宋体" w:hAnsi="宋体" w:eastAsia="宋体" w:cs="宋体"/>
          <w:color w:val="auto"/>
          <w:spacing w:val="0"/>
          <w:kern w:val="2"/>
          <w:sz w:val="21"/>
          <w:szCs w:val="21"/>
          <w:highlight w:val="none"/>
          <w:lang w:val="en-US" w:eastAsia="zh-CN" w:bidi="ar"/>
        </w:rPr>
        <w:t>（3）支持在项目匹配企业的基础上，通过朋友圈广告、浙里办消息等推送，提高推送精准度、传播效率及覆盖范围，助力政策落地与企业发展；</w:t>
      </w:r>
    </w:p>
    <w:p w14:paraId="7535DC65">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auto"/>
        <w:rPr>
          <w:rFonts w:hint="eastAsia" w:ascii="宋体" w:hAnsi="宋体" w:eastAsia="宋体" w:cs="宋体"/>
          <w:color w:val="auto"/>
          <w:spacing w:val="0"/>
          <w:kern w:val="2"/>
          <w:sz w:val="21"/>
          <w:szCs w:val="21"/>
          <w:highlight w:val="none"/>
          <w:lang w:val="en-US" w:eastAsia="zh-CN" w:bidi="ar"/>
        </w:rPr>
      </w:pPr>
      <w:r>
        <w:rPr>
          <w:rFonts w:hint="eastAsia" w:ascii="宋体" w:hAnsi="宋体" w:eastAsia="宋体" w:cs="宋体"/>
          <w:color w:val="auto"/>
          <w:spacing w:val="0"/>
          <w:kern w:val="2"/>
          <w:sz w:val="21"/>
          <w:szCs w:val="21"/>
          <w:highlight w:val="none"/>
          <w:lang w:val="en-US" w:eastAsia="zh-CN" w:bidi="ar"/>
        </w:rPr>
        <w:t>（4）支持历史推送记录的查询，包含推送政策名称、推送人、推送渠道、创建时间、推送对象数量等信息。</w:t>
      </w:r>
    </w:p>
    <w:p w14:paraId="03A0344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0"/>
        <w:jc w:val="both"/>
        <w:textAlignment w:val="auto"/>
        <w:rPr>
          <w:rFonts w:hint="eastAsia" w:ascii="宋体" w:hAnsi="宋体" w:eastAsia="宋体" w:cs="宋体"/>
          <w:color w:val="auto"/>
          <w:spacing w:val="0"/>
          <w:kern w:val="2"/>
          <w:sz w:val="21"/>
          <w:szCs w:val="21"/>
          <w:highlight w:val="none"/>
          <w:lang w:val="en-US" w:eastAsia="zh-CN" w:bidi="ar"/>
        </w:rPr>
      </w:pPr>
      <w:r>
        <w:rPr>
          <w:rFonts w:hint="eastAsia" w:ascii="宋体" w:hAnsi="宋体" w:eastAsia="宋体" w:cs="宋体"/>
          <w:color w:val="auto"/>
          <w:spacing w:val="0"/>
          <w:kern w:val="2"/>
          <w:sz w:val="21"/>
          <w:szCs w:val="21"/>
          <w:highlight w:val="none"/>
          <w:lang w:val="en-US" w:eastAsia="zh-CN" w:bidi="ar"/>
        </w:rPr>
        <w:t>（三）推送渠道对接</w:t>
      </w:r>
    </w:p>
    <w:p w14:paraId="28A8BDBC">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firstLine="420" w:firstLineChars="200"/>
        <w:jc w:val="both"/>
        <w:textAlignment w:val="auto"/>
        <w:rPr>
          <w:rFonts w:hint="eastAsia" w:ascii="宋体" w:hAnsi="宋体" w:eastAsia="宋体" w:cs="宋体"/>
          <w:color w:val="auto"/>
          <w:spacing w:val="0"/>
          <w:kern w:val="2"/>
          <w:sz w:val="21"/>
          <w:szCs w:val="21"/>
          <w:highlight w:val="none"/>
          <w:lang w:val="en-US" w:eastAsia="zh-CN" w:bidi="ar"/>
        </w:rPr>
      </w:pPr>
      <w:r>
        <w:rPr>
          <w:rFonts w:hint="eastAsia" w:ascii="宋体" w:hAnsi="宋体" w:eastAsia="宋体" w:cs="宋体"/>
          <w:color w:val="auto"/>
          <w:spacing w:val="0"/>
          <w:kern w:val="2"/>
          <w:sz w:val="21"/>
          <w:szCs w:val="21"/>
          <w:highlight w:val="none"/>
          <w:lang w:val="en-US" w:eastAsia="zh-CN" w:bidi="ar"/>
        </w:rPr>
        <w:t>政府平台对接</w:t>
      </w:r>
    </w:p>
    <w:p w14:paraId="07C30A2E">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通过对接政府平台进行宣传推送，如浙商在线、浙江企业在线，或其他部门的现有的面向企业用户的平台，实时同步政策动态，提供精准的政策匹配与推送服务。</w:t>
      </w:r>
    </w:p>
    <w:p w14:paraId="60BE85C5">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firstLine="420" w:firstLineChars="200"/>
        <w:jc w:val="both"/>
        <w:textAlignment w:val="auto"/>
        <w:rPr>
          <w:rFonts w:hint="eastAsia" w:ascii="宋体" w:hAnsi="宋体" w:eastAsia="宋体" w:cs="宋体"/>
          <w:color w:val="auto"/>
          <w:spacing w:val="0"/>
          <w:kern w:val="2"/>
          <w:sz w:val="21"/>
          <w:szCs w:val="21"/>
          <w:highlight w:val="none"/>
          <w:lang w:val="en-US" w:eastAsia="zh-CN" w:bidi="ar"/>
        </w:rPr>
      </w:pPr>
      <w:r>
        <w:rPr>
          <w:rFonts w:hint="eastAsia" w:ascii="宋体" w:hAnsi="宋体" w:eastAsia="宋体" w:cs="宋体"/>
          <w:color w:val="auto"/>
          <w:spacing w:val="0"/>
          <w:kern w:val="2"/>
          <w:sz w:val="21"/>
          <w:szCs w:val="21"/>
          <w:highlight w:val="none"/>
          <w:lang w:val="en-US" w:eastAsia="zh-CN" w:bidi="ar"/>
        </w:rPr>
        <w:t>互联网平台对接</w:t>
      </w:r>
      <w:r>
        <w:rPr>
          <w:rFonts w:hint="eastAsia" w:ascii="宋体" w:hAnsi="宋体" w:eastAsia="宋体" w:cs="宋体"/>
          <w:color w:val="auto"/>
          <w:spacing w:val="0"/>
          <w:kern w:val="2"/>
          <w:sz w:val="21"/>
          <w:szCs w:val="21"/>
          <w:highlight w:val="none"/>
          <w:lang w:val="en-US" w:eastAsia="zh-CN" w:bidi="ar"/>
        </w:rPr>
        <w:tab/>
      </w:r>
    </w:p>
    <w:p w14:paraId="0A2C8C2A">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根据实际推广需求，对接第三方宣传渠道，如微信、支付宝、今日头条等，实现政策对企业多渠道主动推送，为广大企业提供更优质、更便捷的政策服务。</w:t>
      </w:r>
    </w:p>
    <w:p w14:paraId="348506F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643" w:leftChars="0" w:right="0" w:firstLine="643" w:firstLineChars="0"/>
        <w:jc w:val="both"/>
        <w:textAlignment w:val="auto"/>
        <w:outlineLvl w:val="2"/>
        <w:rPr>
          <w:rFonts w:hint="eastAsia" w:ascii="宋体" w:hAnsi="宋体" w:eastAsia="宋体" w:cs="宋体"/>
          <w:b/>
          <w:bCs/>
          <w:color w:val="auto"/>
          <w:spacing w:val="0"/>
          <w:sz w:val="21"/>
          <w:szCs w:val="21"/>
          <w:highlight w:val="none"/>
          <w:lang w:val="en-US" w:eastAsia="zh-CN"/>
        </w:rPr>
      </w:pPr>
      <w:r>
        <w:rPr>
          <w:rFonts w:hint="eastAsia" w:ascii="宋体" w:hAnsi="宋体" w:eastAsia="宋体" w:cs="宋体"/>
          <w:b/>
          <w:bCs/>
          <w:color w:val="auto"/>
          <w:spacing w:val="0"/>
          <w:kern w:val="2"/>
          <w:sz w:val="21"/>
          <w:szCs w:val="21"/>
          <w:highlight w:val="none"/>
          <w:lang w:val="en-US" w:eastAsia="zh-CN" w:bidi="ar-SA"/>
        </w:rPr>
        <w:t>四、</w:t>
      </w:r>
      <w:r>
        <w:rPr>
          <w:rFonts w:hint="eastAsia" w:ascii="宋体" w:hAnsi="宋体" w:eastAsia="宋体" w:cs="宋体"/>
          <w:b/>
          <w:bCs/>
          <w:color w:val="auto"/>
          <w:spacing w:val="0"/>
          <w:sz w:val="21"/>
          <w:szCs w:val="21"/>
          <w:highlight w:val="none"/>
          <w:lang w:val="en-US" w:eastAsia="zh-CN"/>
        </w:rPr>
        <w:t>政策评价</w:t>
      </w:r>
    </w:p>
    <w:p w14:paraId="427DE1F6">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firstLine="420" w:firstLineChars="0"/>
        <w:jc w:val="both"/>
        <w:textAlignment w:val="auto"/>
        <w:rPr>
          <w:rFonts w:hint="eastAsia" w:ascii="宋体" w:hAnsi="宋体" w:eastAsia="宋体" w:cs="宋体"/>
          <w:color w:val="auto"/>
          <w:spacing w:val="0"/>
          <w:kern w:val="2"/>
          <w:sz w:val="21"/>
          <w:szCs w:val="21"/>
          <w:highlight w:val="none"/>
          <w:lang w:val="en-US" w:eastAsia="zh-CN" w:bidi="ar"/>
        </w:rPr>
      </w:pPr>
      <w:r>
        <w:rPr>
          <w:rFonts w:hint="eastAsia" w:ascii="宋体" w:hAnsi="宋体" w:eastAsia="宋体" w:cs="宋体"/>
          <w:color w:val="auto"/>
          <w:spacing w:val="0"/>
          <w:kern w:val="2"/>
          <w:sz w:val="21"/>
          <w:szCs w:val="21"/>
          <w:highlight w:val="none"/>
          <w:lang w:val="en-US" w:eastAsia="zh-CN" w:bidi="ar"/>
        </w:rPr>
        <w:t>企业政策评价</w:t>
      </w:r>
    </w:p>
    <w:p w14:paraId="272E107C">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 xml:space="preserve">企业通过系统内的评价功能，对政策进行评价，如政策的整体满意度、政策制定科学性、政策执行便捷性、政策推荐精准性，政策反馈建议等。支持查看企业历史评价信息。 </w:t>
      </w:r>
    </w:p>
    <w:p w14:paraId="77449593">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firstLine="420" w:firstLineChars="0"/>
        <w:jc w:val="both"/>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kern w:val="2"/>
          <w:sz w:val="21"/>
          <w:szCs w:val="21"/>
          <w:highlight w:val="none"/>
          <w:lang w:val="en-US" w:eastAsia="zh-CN" w:bidi="ar"/>
        </w:rPr>
        <w:t>政策评价分析</w:t>
      </w:r>
    </w:p>
    <w:p w14:paraId="1B756B50">
      <w:pPr>
        <w:keepNext w:val="0"/>
        <w:keepLines w:val="0"/>
        <w:pageBreakBefore w:val="0"/>
        <w:widowControl w:val="0"/>
        <w:numPr>
          <w:ilvl w:val="0"/>
          <w:numId w:val="6"/>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firstLine="420" w:firstLineChars="200"/>
        <w:jc w:val="both"/>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线上评价反馈</w:t>
      </w:r>
    </w:p>
    <w:p w14:paraId="26BDB7F7">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 xml:space="preserve">采用可视化看板形式集中展示企业用户提交的所有政策评价记录，支持按政策类型、评价星级、时间范围等多维度智能筛选，通过颜色标签直观区分高星好评（4-5星）、中评（3星）和低分差评（1-2星）。系统自动生成评价统计概览，同时支持批量导出评价数据用于进一步分析。 </w:t>
      </w:r>
    </w:p>
    <w:p w14:paraId="295E6820">
      <w:pPr>
        <w:keepNext w:val="0"/>
        <w:keepLines w:val="0"/>
        <w:pageBreakBefore w:val="0"/>
        <w:widowControl w:val="0"/>
        <w:numPr>
          <w:ilvl w:val="0"/>
          <w:numId w:val="6"/>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firstLine="420" w:firstLineChars="200"/>
        <w:jc w:val="both"/>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线下评价反馈</w:t>
      </w:r>
    </w:p>
    <w:p w14:paraId="1113FFCF">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 xml:space="preserve">接入亲清走访、亲清恳谈两项工作中企业提交的政策反馈清单和详细信息，如反馈时间，反馈详情、反馈企业、联系人等。 </w:t>
      </w:r>
    </w:p>
    <w:p w14:paraId="1847158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643" w:leftChars="0" w:right="0" w:firstLine="643" w:firstLineChars="0"/>
        <w:jc w:val="both"/>
        <w:textAlignment w:val="auto"/>
        <w:outlineLvl w:val="2"/>
        <w:rPr>
          <w:rFonts w:hint="eastAsia" w:ascii="宋体" w:hAnsi="宋体" w:eastAsia="宋体" w:cs="宋体"/>
          <w:b/>
          <w:bCs/>
          <w:color w:val="auto"/>
          <w:spacing w:val="0"/>
          <w:sz w:val="21"/>
          <w:szCs w:val="21"/>
          <w:highlight w:val="none"/>
          <w:lang w:val="en-US" w:eastAsia="zh-CN"/>
        </w:rPr>
      </w:pPr>
      <w:r>
        <w:rPr>
          <w:rFonts w:hint="eastAsia" w:ascii="宋体" w:hAnsi="宋体" w:eastAsia="宋体" w:cs="宋体"/>
          <w:b/>
          <w:bCs/>
          <w:color w:val="auto"/>
          <w:spacing w:val="0"/>
          <w:kern w:val="2"/>
          <w:sz w:val="21"/>
          <w:szCs w:val="21"/>
          <w:highlight w:val="none"/>
          <w:lang w:val="en-US" w:eastAsia="zh-CN" w:bidi="ar-SA"/>
        </w:rPr>
        <w:t>五、</w:t>
      </w:r>
      <w:r>
        <w:rPr>
          <w:rFonts w:hint="eastAsia" w:ascii="宋体" w:hAnsi="宋体" w:eastAsia="宋体" w:cs="宋体"/>
          <w:b/>
          <w:bCs/>
          <w:color w:val="auto"/>
          <w:spacing w:val="0"/>
          <w:sz w:val="21"/>
          <w:szCs w:val="21"/>
          <w:highlight w:val="none"/>
          <w:lang w:val="en-US" w:eastAsia="zh-CN"/>
        </w:rPr>
        <w:t>辅助工具</w:t>
      </w:r>
    </w:p>
    <w:p w14:paraId="4ABF2A8E">
      <w:pPr>
        <w:keepNext w:val="0"/>
        <w:keepLines w:val="0"/>
        <w:pageBreakBefore w:val="0"/>
        <w:widowControl w:val="0"/>
        <w:numPr>
          <w:ilvl w:val="0"/>
          <w:numId w:val="7"/>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firstLine="420" w:firstLineChars="0"/>
        <w:jc w:val="both"/>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政策瞭望台</w:t>
      </w:r>
    </w:p>
    <w:p w14:paraId="42D1B15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200"/>
        <w:jc w:val="both"/>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kern w:val="2"/>
          <w:sz w:val="21"/>
          <w:szCs w:val="21"/>
          <w:highlight w:val="none"/>
          <w:lang w:val="en-US" w:eastAsia="zh-CN" w:bidi="ar-SA"/>
        </w:rPr>
        <w:t>1.</w:t>
      </w:r>
      <w:r>
        <w:rPr>
          <w:rFonts w:hint="eastAsia" w:ascii="宋体" w:hAnsi="宋体" w:eastAsia="宋体" w:cs="宋体"/>
          <w:color w:val="auto"/>
          <w:spacing w:val="0"/>
          <w:sz w:val="21"/>
          <w:szCs w:val="21"/>
          <w:highlight w:val="none"/>
          <w:lang w:val="en-US" w:eastAsia="zh-CN"/>
        </w:rPr>
        <w:t>实现对政策信息的多维度统计与可视化展示，可包含政策数量分析，可统计政策总量及变化趋势，支持按日、月、季度、年度筛选，具备区域对比功能；</w:t>
      </w:r>
    </w:p>
    <w:p w14:paraId="7DC1CBF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200"/>
        <w:jc w:val="both"/>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kern w:val="2"/>
          <w:sz w:val="21"/>
          <w:szCs w:val="21"/>
          <w:highlight w:val="none"/>
          <w:lang w:val="en-US" w:eastAsia="zh-CN" w:bidi="ar-SA"/>
        </w:rPr>
        <w:t>2.</w:t>
      </w:r>
      <w:r>
        <w:rPr>
          <w:rFonts w:hint="eastAsia" w:ascii="宋体" w:hAnsi="宋体" w:eastAsia="宋体" w:cs="宋体"/>
          <w:color w:val="auto"/>
          <w:spacing w:val="0"/>
          <w:sz w:val="21"/>
          <w:szCs w:val="21"/>
          <w:highlight w:val="none"/>
          <w:lang w:val="en-US" w:eastAsia="zh-CN"/>
        </w:rPr>
        <w:t>政策类型分析，可按产业发展、科技创新、专家人才、税收优惠等分类统计并以图表展示占比，支持交叉分析；</w:t>
      </w:r>
    </w:p>
    <w:p w14:paraId="7460B49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200"/>
        <w:jc w:val="both"/>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3.政策分布分析，形成区域分布图，支持特定行业或类型筛选；发文部门分析，统计发改委、科技厅、经信厅等各部门政策发布数量；</w:t>
      </w:r>
    </w:p>
    <w:p w14:paraId="1B6D0F4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200"/>
        <w:jc w:val="both"/>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kern w:val="2"/>
          <w:sz w:val="21"/>
          <w:szCs w:val="21"/>
          <w:highlight w:val="none"/>
          <w:lang w:val="en-US" w:eastAsia="zh-CN" w:bidi="ar-SA"/>
        </w:rPr>
        <w:t>4.</w:t>
      </w:r>
      <w:r>
        <w:rPr>
          <w:rFonts w:hint="eastAsia" w:ascii="宋体" w:hAnsi="宋体" w:eastAsia="宋体" w:cs="宋体"/>
          <w:color w:val="auto"/>
          <w:spacing w:val="0"/>
          <w:sz w:val="21"/>
          <w:szCs w:val="21"/>
          <w:highlight w:val="none"/>
          <w:lang w:val="en-US" w:eastAsia="zh-CN"/>
        </w:rPr>
        <w:t>发布年份分析，按年度梳理政策发布趋势及各部门、各类型政策分布情况；</w:t>
      </w:r>
    </w:p>
    <w:p w14:paraId="51FE507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200"/>
        <w:jc w:val="both"/>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5.同时开展推送成效分析，展示政策推送数量、推送对象数量及曝光情况等相关数据，为政府部门掌握政策供给、辅助决策、优化布局及沟通对接提供支撑。</w:t>
      </w:r>
    </w:p>
    <w:p w14:paraId="00719E80">
      <w:pPr>
        <w:keepNext w:val="0"/>
        <w:keepLines w:val="0"/>
        <w:pageBreakBefore w:val="0"/>
        <w:widowControl w:val="0"/>
        <w:numPr>
          <w:ilvl w:val="0"/>
          <w:numId w:val="7"/>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firstLine="420" w:firstLineChars="0"/>
        <w:jc w:val="both"/>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政策沙盘</w:t>
      </w:r>
    </w:p>
    <w:p w14:paraId="1256A95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200"/>
        <w:jc w:val="both"/>
        <w:textAlignment w:val="auto"/>
        <w:rPr>
          <w:rFonts w:hint="eastAsia" w:ascii="宋体" w:hAnsi="宋体" w:eastAsia="宋体" w:cs="宋体"/>
          <w:color w:val="auto"/>
          <w:spacing w:val="0"/>
          <w:sz w:val="21"/>
          <w:szCs w:val="21"/>
          <w:highlight w:val="none"/>
          <w:lang w:val="en-US" w:eastAsia="zh-CN"/>
        </w:rPr>
      </w:pPr>
      <w:r>
        <w:rPr>
          <w:rFonts w:hint="default" w:ascii="宋体" w:hAnsi="宋体" w:eastAsia="宋体" w:cs="宋体"/>
          <w:color w:val="auto"/>
          <w:spacing w:val="0"/>
          <w:kern w:val="2"/>
          <w:sz w:val="21"/>
          <w:szCs w:val="21"/>
          <w:highlight w:val="none"/>
          <w:lang w:val="en-US" w:eastAsia="zh-CN" w:bidi="ar-SA"/>
        </w:rPr>
        <w:t>1．</w:t>
      </w:r>
      <w:r>
        <w:rPr>
          <w:rFonts w:hint="eastAsia" w:ascii="宋体" w:hAnsi="宋体" w:eastAsia="宋体" w:cs="宋体"/>
          <w:color w:val="auto"/>
          <w:spacing w:val="0"/>
          <w:sz w:val="21"/>
          <w:szCs w:val="21"/>
          <w:highlight w:val="none"/>
          <w:lang w:val="en-US" w:eastAsia="zh-CN"/>
        </w:rPr>
        <w:t>文稿辅助</w:t>
      </w:r>
    </w:p>
    <w:p w14:paraId="6D5CFF6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200"/>
        <w:jc w:val="both"/>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kern w:val="2"/>
          <w:sz w:val="21"/>
          <w:szCs w:val="21"/>
          <w:highlight w:val="none"/>
          <w:lang w:val="en-US" w:eastAsia="zh-CN" w:bidi="ar-SA"/>
        </w:rPr>
        <w:t>（1）</w:t>
      </w:r>
      <w:r>
        <w:rPr>
          <w:rFonts w:hint="eastAsia" w:ascii="宋体" w:hAnsi="宋体" w:eastAsia="宋体" w:cs="宋体"/>
          <w:color w:val="auto"/>
          <w:spacing w:val="0"/>
          <w:sz w:val="21"/>
          <w:szCs w:val="21"/>
          <w:highlight w:val="none"/>
          <w:lang w:val="en-US" w:eastAsia="zh-CN"/>
        </w:rPr>
        <w:t>全国政策扫描</w:t>
      </w:r>
    </w:p>
    <w:p w14:paraId="2A006D3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20" w:firstLineChars="200"/>
        <w:jc w:val="both"/>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 xml:space="preserve">在制定政策前，发文部门可查询扫描到全国各地区，已经出台过的相关的政策，可以查看政策清单，点击可查看其他地区的政策详情，如发文时间，发文部门，政策正文等，可作为本地政策制定的参考。 </w:t>
      </w:r>
    </w:p>
    <w:p w14:paraId="1C4C8C6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200"/>
        <w:jc w:val="both"/>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kern w:val="2"/>
          <w:sz w:val="21"/>
          <w:szCs w:val="21"/>
          <w:highlight w:val="none"/>
          <w:lang w:val="en-US" w:eastAsia="zh-CN" w:bidi="ar-SA"/>
        </w:rPr>
        <w:t>（2）</w:t>
      </w:r>
      <w:r>
        <w:rPr>
          <w:rFonts w:hint="eastAsia" w:ascii="宋体" w:hAnsi="宋体" w:eastAsia="宋体" w:cs="宋体"/>
          <w:color w:val="auto"/>
          <w:spacing w:val="0"/>
          <w:sz w:val="21"/>
          <w:szCs w:val="21"/>
          <w:highlight w:val="none"/>
          <w:lang w:val="en-US" w:eastAsia="zh-CN"/>
        </w:rPr>
        <w:t>AI辅助写稿</w:t>
      </w:r>
    </w:p>
    <w:p w14:paraId="2D49D99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20" w:firstLineChars="200"/>
        <w:jc w:val="both"/>
        <w:textAlignment w:val="auto"/>
        <w:rPr>
          <w:rFonts w:hint="eastAsia" w:ascii="宋体" w:hAnsi="宋体" w:eastAsia="宋体" w:cs="宋体"/>
          <w:color w:val="auto"/>
          <w:spacing w:val="0"/>
          <w:sz w:val="21"/>
          <w:szCs w:val="21"/>
          <w:highlight w:val="none"/>
          <w:lang w:val="en-US" w:eastAsia="zh-CN"/>
        </w:rPr>
      </w:pPr>
      <w:r>
        <w:rPr>
          <w:rFonts w:hint="eastAsia" w:ascii="宋体" w:hAnsi="宋体" w:cs="宋体"/>
          <w:color w:val="auto"/>
          <w:spacing w:val="0"/>
          <w:sz w:val="21"/>
          <w:szCs w:val="21"/>
          <w:highlight w:val="none"/>
          <w:lang w:val="en-US" w:eastAsia="zh-CN"/>
        </w:rPr>
        <w:t>基于</w:t>
      </w:r>
      <w:r>
        <w:rPr>
          <w:rFonts w:hint="eastAsia" w:ascii="宋体" w:hAnsi="宋体" w:eastAsia="宋体" w:cs="宋体"/>
          <w:color w:val="auto"/>
          <w:spacing w:val="0"/>
          <w:sz w:val="21"/>
          <w:szCs w:val="21"/>
          <w:highlight w:val="none"/>
          <w:lang w:val="en-US" w:eastAsia="zh-CN"/>
        </w:rPr>
        <w:t>成熟AI写作产品，凭借AI强大的数据分析与文本生成能力，根据用户已完成的初稿，迅速梳理要点，优化政策框架，依据政策细节需求，AI 补充完善具体条款，对文字和语句进行纠错优化。最后，人工对 AI 生成内容进行审核与优化，确保文本的严谨性，是否符合实际要求。</w:t>
      </w:r>
    </w:p>
    <w:p w14:paraId="702C067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200"/>
        <w:jc w:val="both"/>
        <w:textAlignment w:val="auto"/>
        <w:rPr>
          <w:rFonts w:hint="eastAsia" w:ascii="宋体" w:hAnsi="宋体" w:eastAsia="宋体" w:cs="宋体"/>
          <w:color w:val="auto"/>
          <w:spacing w:val="0"/>
          <w:sz w:val="21"/>
          <w:szCs w:val="21"/>
          <w:highlight w:val="none"/>
          <w:lang w:val="en-US" w:eastAsia="zh-CN"/>
        </w:rPr>
      </w:pPr>
      <w:r>
        <w:rPr>
          <w:rFonts w:hint="default" w:ascii="宋体" w:hAnsi="宋体" w:eastAsia="宋体" w:cs="宋体"/>
          <w:color w:val="auto"/>
          <w:spacing w:val="0"/>
          <w:kern w:val="2"/>
          <w:sz w:val="21"/>
          <w:szCs w:val="21"/>
          <w:highlight w:val="none"/>
          <w:lang w:val="en-US" w:eastAsia="zh-CN" w:bidi="ar-SA"/>
        </w:rPr>
        <w:t>2．</w:t>
      </w:r>
      <w:r>
        <w:rPr>
          <w:rFonts w:hint="eastAsia" w:ascii="宋体" w:hAnsi="宋体" w:eastAsia="宋体" w:cs="宋体"/>
          <w:color w:val="auto"/>
          <w:spacing w:val="0"/>
          <w:sz w:val="21"/>
          <w:szCs w:val="21"/>
          <w:highlight w:val="none"/>
          <w:lang w:val="en-US" w:eastAsia="zh-CN"/>
        </w:rPr>
        <w:t xml:space="preserve">辅助决策 </w:t>
      </w:r>
    </w:p>
    <w:p w14:paraId="13611C7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20" w:firstLineChars="200"/>
        <w:jc w:val="both"/>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 xml:space="preserve">通过把政策暂定稿上传至系统，系统自动对政策文件的内容和符合的企业条件进行解读匹配，预测政策大致覆盖企业范围和预测享受政策企业群的画像，如企业性质，所属行业等分析，供政策调整优化做参考。 </w:t>
      </w:r>
    </w:p>
    <w:p w14:paraId="400028B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200"/>
        <w:jc w:val="both"/>
        <w:textAlignment w:val="auto"/>
        <w:rPr>
          <w:rFonts w:hint="eastAsia" w:ascii="宋体" w:hAnsi="宋体" w:eastAsia="宋体" w:cs="宋体"/>
          <w:color w:val="auto"/>
          <w:spacing w:val="0"/>
          <w:sz w:val="21"/>
          <w:szCs w:val="21"/>
          <w:highlight w:val="none"/>
          <w:lang w:val="en-US" w:eastAsia="zh-CN"/>
        </w:rPr>
      </w:pPr>
      <w:r>
        <w:rPr>
          <w:rFonts w:hint="default" w:ascii="宋体" w:hAnsi="宋体" w:eastAsia="宋体" w:cs="宋体"/>
          <w:color w:val="auto"/>
          <w:spacing w:val="0"/>
          <w:kern w:val="2"/>
          <w:sz w:val="21"/>
          <w:szCs w:val="21"/>
          <w:highlight w:val="none"/>
          <w:lang w:val="en-US" w:eastAsia="zh-CN" w:bidi="ar-SA"/>
        </w:rPr>
        <w:t>3．</w:t>
      </w:r>
      <w:r>
        <w:rPr>
          <w:rFonts w:hint="eastAsia" w:ascii="宋体" w:hAnsi="宋体" w:eastAsia="宋体" w:cs="宋体"/>
          <w:color w:val="auto"/>
          <w:spacing w:val="0"/>
          <w:sz w:val="21"/>
          <w:szCs w:val="21"/>
          <w:highlight w:val="none"/>
          <w:lang w:val="en-US" w:eastAsia="zh-CN"/>
        </w:rPr>
        <w:t>政策树</w:t>
      </w:r>
    </w:p>
    <w:p w14:paraId="70598B32">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通过对政策文件的解析，按照国家、省级、市级、区级进行政策多级关联。基于知识图谱技术，将分散的政策文件构建多级关系网络，帮助用户快速理解政策体系的内在逻辑和外部联系。</w:t>
      </w:r>
    </w:p>
    <w:p w14:paraId="73350C8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200"/>
        <w:jc w:val="both"/>
        <w:textAlignment w:val="auto"/>
        <w:rPr>
          <w:rFonts w:hint="eastAsia" w:ascii="宋体" w:hAnsi="宋体" w:eastAsia="宋体" w:cs="宋体"/>
          <w:color w:val="auto"/>
          <w:spacing w:val="0"/>
          <w:sz w:val="21"/>
          <w:szCs w:val="21"/>
          <w:highlight w:val="none"/>
          <w:lang w:val="en-US" w:eastAsia="zh-CN"/>
        </w:rPr>
      </w:pPr>
      <w:r>
        <w:rPr>
          <w:rFonts w:hint="default" w:ascii="宋体" w:hAnsi="宋体" w:eastAsia="宋体" w:cs="宋体"/>
          <w:color w:val="auto"/>
          <w:spacing w:val="0"/>
          <w:kern w:val="2"/>
          <w:sz w:val="21"/>
          <w:szCs w:val="21"/>
          <w:highlight w:val="none"/>
          <w:lang w:val="en-US" w:eastAsia="zh-CN" w:bidi="ar-SA"/>
        </w:rPr>
        <w:t>4．</w:t>
      </w:r>
      <w:r>
        <w:rPr>
          <w:rFonts w:hint="eastAsia" w:ascii="宋体" w:hAnsi="宋体" w:eastAsia="宋体" w:cs="宋体"/>
          <w:color w:val="auto"/>
          <w:spacing w:val="0"/>
          <w:sz w:val="21"/>
          <w:szCs w:val="21"/>
          <w:highlight w:val="none"/>
          <w:lang w:val="en-US" w:eastAsia="zh-CN"/>
        </w:rPr>
        <w:t xml:space="preserve">AI政策评价报告 </w:t>
      </w:r>
    </w:p>
    <w:p w14:paraId="5B52CDDF">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通过收集企业对政策的评论、评分、问卷反馈等信息，清洗整理无效及敏感内容，利用 AI模型分析评价内容的情感、主题与关键问题，定位争议点。系统根据分析数据，通过智能提示生成包含政策评价、存在问题、改进措施等内容的报告，给出基础修改、条款优化、前瞻调整等建议，并支持报告在线查看与下载，为政策优化完善提供智能化支撑。</w:t>
      </w:r>
    </w:p>
    <w:p w14:paraId="3AAE68D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643" w:leftChars="0" w:right="0" w:firstLine="643" w:firstLineChars="0"/>
        <w:jc w:val="both"/>
        <w:textAlignment w:val="auto"/>
        <w:outlineLvl w:val="2"/>
        <w:rPr>
          <w:rFonts w:hint="eastAsia" w:ascii="宋体" w:hAnsi="宋体" w:eastAsia="宋体" w:cs="宋体"/>
          <w:b/>
          <w:bCs/>
          <w:color w:val="auto"/>
          <w:spacing w:val="0"/>
          <w:sz w:val="21"/>
          <w:szCs w:val="21"/>
          <w:highlight w:val="none"/>
          <w:lang w:val="en-US" w:eastAsia="zh-CN"/>
        </w:rPr>
      </w:pPr>
      <w:r>
        <w:rPr>
          <w:rFonts w:hint="eastAsia" w:ascii="宋体" w:hAnsi="宋体" w:eastAsia="宋体" w:cs="宋体"/>
          <w:b/>
          <w:bCs/>
          <w:color w:val="auto"/>
          <w:spacing w:val="0"/>
          <w:kern w:val="2"/>
          <w:sz w:val="21"/>
          <w:szCs w:val="21"/>
          <w:highlight w:val="none"/>
          <w:lang w:val="en-US" w:eastAsia="zh-CN" w:bidi="ar-SA"/>
        </w:rPr>
        <w:t>六、</w:t>
      </w:r>
      <w:r>
        <w:rPr>
          <w:rFonts w:hint="eastAsia" w:ascii="宋体" w:hAnsi="宋体" w:eastAsia="宋体" w:cs="宋体"/>
          <w:b/>
          <w:bCs/>
          <w:color w:val="auto"/>
          <w:spacing w:val="0"/>
          <w:sz w:val="21"/>
          <w:szCs w:val="21"/>
          <w:highlight w:val="none"/>
          <w:lang w:val="en-US" w:eastAsia="zh-CN"/>
        </w:rPr>
        <w:t>感知中心</w:t>
      </w:r>
    </w:p>
    <w:p w14:paraId="1C3286B0">
      <w:pPr>
        <w:keepNext w:val="0"/>
        <w:keepLines w:val="0"/>
        <w:pageBreakBefore w:val="0"/>
        <w:widowControl w:val="0"/>
        <w:numPr>
          <w:ilvl w:val="0"/>
          <w:numId w:val="8"/>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firstLine="420" w:firstLineChars="0"/>
        <w:jc w:val="both"/>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首页</w:t>
      </w:r>
    </w:p>
    <w:p w14:paraId="3511C135">
      <w:pPr>
        <w:keepNext w:val="0"/>
        <w:keepLines w:val="0"/>
        <w:pageBreakBefore w:val="0"/>
        <w:widowControl w:val="0"/>
        <w:numPr>
          <w:ilvl w:val="0"/>
          <w:numId w:val="9"/>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firstLine="420" w:firstLineChars="200"/>
        <w:jc w:val="both"/>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首页政策推送</w:t>
      </w:r>
    </w:p>
    <w:p w14:paraId="7BDA736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根据企业属性，在首页个性化推送相关的政策。</w:t>
      </w:r>
      <w:r>
        <w:rPr>
          <w:rFonts w:hint="eastAsia" w:ascii="宋体" w:hAnsi="宋体" w:cs="宋体"/>
          <w:b/>
          <w:bCs/>
          <w:color w:val="auto"/>
          <w:spacing w:val="0"/>
          <w:kern w:val="2"/>
          <w:sz w:val="21"/>
          <w:szCs w:val="21"/>
          <w:highlight w:val="none"/>
          <w:lang w:val="en-US" w:eastAsia="zh-CN" w:bidi="ar"/>
        </w:rPr>
        <w:t>（需演示）</w:t>
      </w:r>
    </w:p>
    <w:p w14:paraId="20921B35">
      <w:pPr>
        <w:keepNext w:val="0"/>
        <w:keepLines w:val="0"/>
        <w:pageBreakBefore w:val="0"/>
        <w:widowControl w:val="0"/>
        <w:numPr>
          <w:ilvl w:val="0"/>
          <w:numId w:val="9"/>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firstLine="420" w:firstLineChars="200"/>
        <w:jc w:val="both"/>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我要查</w:t>
      </w:r>
    </w:p>
    <w:p w14:paraId="584C4FC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跳转政策文件模块，支持政策的查询。</w:t>
      </w:r>
      <w:r>
        <w:rPr>
          <w:rFonts w:hint="eastAsia" w:ascii="宋体" w:hAnsi="宋体" w:cs="宋体"/>
          <w:b/>
          <w:bCs/>
          <w:color w:val="auto"/>
          <w:spacing w:val="0"/>
          <w:kern w:val="2"/>
          <w:sz w:val="21"/>
          <w:szCs w:val="21"/>
          <w:highlight w:val="none"/>
          <w:lang w:val="en-US" w:eastAsia="zh-CN" w:bidi="ar"/>
        </w:rPr>
        <w:t>（需演示）</w:t>
      </w:r>
    </w:p>
    <w:p w14:paraId="2F0B04C5">
      <w:pPr>
        <w:keepNext w:val="0"/>
        <w:keepLines w:val="0"/>
        <w:pageBreakBefore w:val="0"/>
        <w:widowControl w:val="0"/>
        <w:numPr>
          <w:ilvl w:val="0"/>
          <w:numId w:val="9"/>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firstLine="420" w:firstLineChars="200"/>
        <w:jc w:val="both"/>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我要问</w:t>
      </w:r>
    </w:p>
    <w:p w14:paraId="1B54C70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跳转AI智能问答模块，支持政策AI快速问答。</w:t>
      </w:r>
      <w:r>
        <w:rPr>
          <w:rFonts w:hint="eastAsia" w:ascii="宋体" w:hAnsi="宋体" w:cs="宋体"/>
          <w:b/>
          <w:bCs/>
          <w:color w:val="auto"/>
          <w:spacing w:val="0"/>
          <w:kern w:val="2"/>
          <w:sz w:val="21"/>
          <w:szCs w:val="21"/>
          <w:highlight w:val="none"/>
          <w:lang w:val="en-US" w:eastAsia="zh-CN" w:bidi="ar"/>
        </w:rPr>
        <w:t>（需演示）</w:t>
      </w:r>
    </w:p>
    <w:p w14:paraId="3F9F8649">
      <w:pPr>
        <w:keepNext w:val="0"/>
        <w:keepLines w:val="0"/>
        <w:pageBreakBefore w:val="0"/>
        <w:widowControl w:val="0"/>
        <w:numPr>
          <w:ilvl w:val="0"/>
          <w:numId w:val="8"/>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firstLine="420" w:firstLineChars="0"/>
        <w:jc w:val="both"/>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政策推荐</w:t>
      </w:r>
    </w:p>
    <w:p w14:paraId="195CF8A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根据政策匹配大模型，在企业用户侧展示匹配到的可享政策，千企千面，同时支持按根据匹配度和时间进行排序，点击可查看详情。</w:t>
      </w:r>
    </w:p>
    <w:p w14:paraId="19CFF87B">
      <w:pPr>
        <w:keepNext w:val="0"/>
        <w:keepLines w:val="0"/>
        <w:pageBreakBefore w:val="0"/>
        <w:widowControl w:val="0"/>
        <w:numPr>
          <w:ilvl w:val="0"/>
          <w:numId w:val="8"/>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firstLine="420" w:firstLineChars="0"/>
        <w:jc w:val="both"/>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工具箱</w:t>
      </w:r>
    </w:p>
    <w:p w14:paraId="3D834CD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200"/>
        <w:jc w:val="both"/>
        <w:textAlignment w:val="auto"/>
        <w:rPr>
          <w:rFonts w:hint="eastAsia" w:ascii="宋体" w:hAnsi="宋体" w:eastAsia="宋体" w:cs="宋体"/>
          <w:color w:val="auto"/>
          <w:spacing w:val="0"/>
          <w:sz w:val="21"/>
          <w:szCs w:val="21"/>
          <w:highlight w:val="none"/>
          <w:lang w:val="en-US" w:eastAsia="zh-CN"/>
        </w:rPr>
      </w:pPr>
      <w:r>
        <w:rPr>
          <w:rFonts w:hint="default" w:ascii="宋体" w:hAnsi="宋体" w:eastAsia="宋体" w:cs="宋体"/>
          <w:color w:val="auto"/>
          <w:spacing w:val="0"/>
          <w:kern w:val="2"/>
          <w:sz w:val="21"/>
          <w:szCs w:val="21"/>
          <w:highlight w:val="none"/>
          <w:lang w:val="en-US" w:eastAsia="zh-CN" w:bidi="ar-SA"/>
        </w:rPr>
        <w:t>1．</w:t>
      </w:r>
      <w:r>
        <w:rPr>
          <w:rFonts w:hint="eastAsia" w:ascii="宋体" w:hAnsi="宋体" w:eastAsia="宋体" w:cs="宋体"/>
          <w:color w:val="auto"/>
          <w:spacing w:val="0"/>
          <w:sz w:val="21"/>
          <w:szCs w:val="21"/>
          <w:highlight w:val="none"/>
          <w:lang w:val="en-US" w:eastAsia="zh-CN"/>
        </w:rPr>
        <w:t>政策文件查询</w:t>
      </w:r>
    </w:p>
    <w:p w14:paraId="5658DF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提供政策文件查询服务，用户可按地区、日期、类型、发文机构等条件筛选，或直接按政策名称快速检索。系统以列表形式展示政策标题、类型、发文单位、发布时间等信息并按时间排序，点击可查看政策基本信息、原文、快照等详情。同时支持政策链接分享与收藏功能，方便后续查阅。依托 AI 大模型对政策原文进行智能总结、解读与分析。</w:t>
      </w:r>
      <w:r>
        <w:rPr>
          <w:rFonts w:hint="eastAsia" w:ascii="宋体" w:hAnsi="宋体" w:cs="宋体"/>
          <w:b/>
          <w:bCs/>
          <w:color w:val="auto"/>
          <w:spacing w:val="0"/>
          <w:kern w:val="2"/>
          <w:sz w:val="21"/>
          <w:szCs w:val="21"/>
          <w:highlight w:val="none"/>
          <w:lang w:val="en-US" w:eastAsia="zh-CN" w:bidi="ar"/>
        </w:rPr>
        <w:t>（需演示）</w:t>
      </w:r>
    </w:p>
    <w:p w14:paraId="323CC92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200"/>
        <w:jc w:val="both"/>
        <w:textAlignment w:val="auto"/>
        <w:rPr>
          <w:rFonts w:hint="eastAsia" w:ascii="宋体" w:hAnsi="宋体" w:eastAsia="宋体" w:cs="宋体"/>
          <w:color w:val="auto"/>
          <w:spacing w:val="0"/>
          <w:sz w:val="21"/>
          <w:szCs w:val="21"/>
          <w:highlight w:val="none"/>
          <w:lang w:val="en-US" w:eastAsia="zh-CN"/>
        </w:rPr>
      </w:pPr>
      <w:r>
        <w:rPr>
          <w:rFonts w:hint="default" w:ascii="宋体" w:hAnsi="宋体" w:eastAsia="宋体" w:cs="宋体"/>
          <w:color w:val="auto"/>
          <w:spacing w:val="0"/>
          <w:kern w:val="2"/>
          <w:sz w:val="21"/>
          <w:szCs w:val="21"/>
          <w:highlight w:val="none"/>
          <w:lang w:val="en-US" w:eastAsia="zh-CN" w:bidi="ar-SA"/>
        </w:rPr>
        <w:t>2．</w:t>
      </w:r>
      <w:r>
        <w:rPr>
          <w:rFonts w:hint="eastAsia" w:ascii="宋体" w:hAnsi="宋体" w:eastAsia="宋体" w:cs="宋体"/>
          <w:color w:val="auto"/>
          <w:spacing w:val="0"/>
          <w:sz w:val="21"/>
          <w:szCs w:val="21"/>
          <w:highlight w:val="none"/>
          <w:lang w:val="en-US" w:eastAsia="zh-CN"/>
        </w:rPr>
        <w:t>奖补项目查询</w:t>
      </w:r>
    </w:p>
    <w:p w14:paraId="207BE1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提供奖补项目查询功能，用户可按省市地区、部门类型、项目级别等标签筛选项目，也可直接搜索项目名称快速定位目标项目。系统以列表形式展示项目，包含项目名称、级别、认定单位、有效期等信息；点击可查看项目基本信息、项目介绍、申报条件、历史获批名单及相关政策等详情。同时支持项目链接分享和收藏功能，方便用户后续快速查阅。</w:t>
      </w:r>
      <w:r>
        <w:rPr>
          <w:rFonts w:hint="eastAsia" w:ascii="宋体" w:hAnsi="宋体" w:cs="宋体"/>
          <w:b/>
          <w:bCs/>
          <w:color w:val="auto"/>
          <w:spacing w:val="0"/>
          <w:kern w:val="2"/>
          <w:sz w:val="21"/>
          <w:szCs w:val="21"/>
          <w:highlight w:val="none"/>
          <w:lang w:val="en-US" w:eastAsia="zh-CN" w:bidi="ar"/>
        </w:rPr>
        <w:t>（需演示）</w:t>
      </w:r>
    </w:p>
    <w:p w14:paraId="4790E1E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200"/>
        <w:jc w:val="both"/>
        <w:textAlignment w:val="auto"/>
        <w:rPr>
          <w:rFonts w:hint="eastAsia" w:ascii="宋体" w:hAnsi="宋体" w:eastAsia="宋体" w:cs="宋体"/>
          <w:color w:val="auto"/>
          <w:spacing w:val="0"/>
          <w:sz w:val="21"/>
          <w:szCs w:val="21"/>
          <w:highlight w:val="none"/>
          <w:lang w:val="en-US" w:eastAsia="zh-CN"/>
        </w:rPr>
      </w:pPr>
      <w:r>
        <w:rPr>
          <w:rFonts w:hint="default" w:ascii="宋体" w:hAnsi="宋体" w:eastAsia="宋体" w:cs="宋体"/>
          <w:color w:val="auto"/>
          <w:spacing w:val="0"/>
          <w:kern w:val="2"/>
          <w:sz w:val="21"/>
          <w:szCs w:val="21"/>
          <w:highlight w:val="none"/>
          <w:lang w:val="en-US" w:eastAsia="zh-CN" w:bidi="ar-SA"/>
        </w:rPr>
        <w:t>3．</w:t>
      </w:r>
      <w:r>
        <w:rPr>
          <w:rFonts w:hint="eastAsia" w:ascii="宋体" w:hAnsi="宋体" w:eastAsia="宋体" w:cs="宋体"/>
          <w:color w:val="auto"/>
          <w:spacing w:val="0"/>
          <w:sz w:val="21"/>
          <w:szCs w:val="21"/>
          <w:highlight w:val="none"/>
          <w:lang w:val="en-US" w:eastAsia="zh-CN"/>
        </w:rPr>
        <w:t>申报规划</w:t>
      </w:r>
    </w:p>
    <w:p w14:paraId="5E8058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构建企业成长培育体系，贴合政府重点企业培育方向，明确企业从初创期到成熟期的培育路径，确定整体培育大方向，为企业推荐适配的培育类项目。实时跟踪企业关键成长数据，用可视化方式展示指标完成情况，对未达标指标进行提醒</w:t>
      </w:r>
      <w:r>
        <w:rPr>
          <w:rFonts w:hint="eastAsia" w:ascii="宋体" w:hAnsi="宋体" w:cs="宋体"/>
          <w:color w:val="auto"/>
          <w:spacing w:val="0"/>
          <w:sz w:val="21"/>
          <w:szCs w:val="21"/>
          <w:highlight w:val="none"/>
          <w:lang w:val="en-US" w:eastAsia="zh-CN"/>
        </w:rPr>
        <w:t>。</w:t>
      </w:r>
      <w:r>
        <w:rPr>
          <w:rFonts w:hint="eastAsia" w:ascii="宋体" w:hAnsi="宋体" w:cs="宋体"/>
          <w:b/>
          <w:bCs/>
          <w:color w:val="auto"/>
          <w:spacing w:val="0"/>
          <w:kern w:val="2"/>
          <w:sz w:val="21"/>
          <w:szCs w:val="21"/>
          <w:highlight w:val="none"/>
          <w:lang w:val="en-US" w:eastAsia="zh-CN" w:bidi="ar"/>
        </w:rPr>
        <w:t>（需演示）</w:t>
      </w:r>
    </w:p>
    <w:p w14:paraId="18F566A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200"/>
        <w:jc w:val="both"/>
        <w:textAlignment w:val="auto"/>
        <w:rPr>
          <w:rFonts w:hint="eastAsia" w:ascii="宋体" w:hAnsi="宋体" w:eastAsia="宋体" w:cs="宋体"/>
          <w:color w:val="auto"/>
          <w:spacing w:val="0"/>
          <w:sz w:val="21"/>
          <w:szCs w:val="21"/>
          <w:highlight w:val="none"/>
          <w:lang w:val="en-US" w:eastAsia="zh-CN"/>
        </w:rPr>
      </w:pPr>
      <w:r>
        <w:rPr>
          <w:rFonts w:hint="default" w:ascii="宋体" w:hAnsi="宋体" w:eastAsia="宋体" w:cs="宋体"/>
          <w:color w:val="auto"/>
          <w:spacing w:val="0"/>
          <w:kern w:val="2"/>
          <w:sz w:val="21"/>
          <w:szCs w:val="21"/>
          <w:highlight w:val="none"/>
          <w:lang w:val="en-US" w:eastAsia="zh-CN" w:bidi="ar-SA"/>
        </w:rPr>
        <w:t>4．</w:t>
      </w:r>
      <w:r>
        <w:rPr>
          <w:rFonts w:hint="eastAsia" w:ascii="宋体" w:hAnsi="宋体" w:eastAsia="宋体" w:cs="宋体"/>
          <w:color w:val="auto"/>
          <w:spacing w:val="0"/>
          <w:sz w:val="21"/>
          <w:szCs w:val="21"/>
          <w:highlight w:val="none"/>
          <w:lang w:val="en-US" w:eastAsia="zh-CN"/>
        </w:rPr>
        <w:t xml:space="preserve">企业政策体检 </w:t>
      </w:r>
    </w:p>
    <w:p w14:paraId="02AF76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企业绑定后，可选择政策体检项目进行政策初检，系统通过体检模型结合企业数据生成初检结果，依托企业提交更完善的数据开展深度复检并输出精准结果，同时生成指标达标明细的体检单。</w:t>
      </w:r>
      <w:r>
        <w:rPr>
          <w:rFonts w:hint="eastAsia" w:ascii="宋体" w:hAnsi="宋体" w:cs="宋体"/>
          <w:b/>
          <w:bCs/>
          <w:color w:val="auto"/>
          <w:spacing w:val="0"/>
          <w:kern w:val="2"/>
          <w:sz w:val="21"/>
          <w:szCs w:val="21"/>
          <w:highlight w:val="none"/>
          <w:lang w:val="en-US" w:eastAsia="zh-CN" w:bidi="ar"/>
        </w:rPr>
        <w:t>（需演示）</w:t>
      </w:r>
    </w:p>
    <w:p w14:paraId="3A5D753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200"/>
        <w:jc w:val="both"/>
        <w:textAlignment w:val="auto"/>
        <w:rPr>
          <w:rFonts w:hint="eastAsia" w:ascii="宋体" w:hAnsi="宋体" w:eastAsia="宋体" w:cs="宋体"/>
          <w:color w:val="auto"/>
          <w:spacing w:val="0"/>
          <w:sz w:val="21"/>
          <w:szCs w:val="21"/>
          <w:highlight w:val="none"/>
          <w:lang w:val="en-US" w:eastAsia="zh-CN"/>
        </w:rPr>
      </w:pPr>
      <w:r>
        <w:rPr>
          <w:rFonts w:hint="default" w:ascii="宋体" w:hAnsi="宋体" w:eastAsia="宋体" w:cs="宋体"/>
          <w:color w:val="auto"/>
          <w:spacing w:val="0"/>
          <w:kern w:val="2"/>
          <w:sz w:val="21"/>
          <w:szCs w:val="21"/>
          <w:highlight w:val="none"/>
          <w:lang w:val="en-US" w:eastAsia="zh-CN" w:bidi="ar-SA"/>
        </w:rPr>
        <w:t>5．</w:t>
      </w:r>
      <w:r>
        <w:rPr>
          <w:rFonts w:hint="eastAsia" w:ascii="宋体" w:hAnsi="宋体" w:eastAsia="宋体" w:cs="宋体"/>
          <w:color w:val="auto"/>
          <w:spacing w:val="0"/>
          <w:sz w:val="21"/>
          <w:szCs w:val="21"/>
          <w:highlight w:val="none"/>
          <w:lang w:val="en-US" w:eastAsia="zh-CN"/>
        </w:rPr>
        <w:t>AI政策问答</w:t>
      </w:r>
    </w:p>
    <w:p w14:paraId="2F38F4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为企业提供政策垂直领域AI问答助手，AI政策问答需在企业端以卡片展示预设常见问题以引导交互；依托 NLP 与知识图谱构建 7×24 小时智能问答智能体，精准理解企业政策问题并提供含条款原文、解读、流程的完整解答。通过搭建整合政策原文、高频问答、术语词典的结构化向量知识库和分层提示词框架规范解答输出，实现精准、规范、可持续优化的政策智能咨询服务。</w:t>
      </w:r>
      <w:r>
        <w:rPr>
          <w:rFonts w:hint="eastAsia" w:ascii="宋体" w:hAnsi="宋体" w:cs="宋体"/>
          <w:b/>
          <w:bCs/>
          <w:color w:val="auto"/>
          <w:spacing w:val="0"/>
          <w:kern w:val="2"/>
          <w:sz w:val="21"/>
          <w:szCs w:val="21"/>
          <w:highlight w:val="none"/>
          <w:lang w:val="en-US" w:eastAsia="zh-CN" w:bidi="ar"/>
        </w:rPr>
        <w:t>（需演示）</w:t>
      </w:r>
    </w:p>
    <w:p w14:paraId="24A77D0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200"/>
        <w:jc w:val="both"/>
        <w:textAlignment w:val="auto"/>
        <w:rPr>
          <w:rFonts w:hint="eastAsia" w:ascii="宋体" w:hAnsi="宋体" w:eastAsia="宋体" w:cs="宋体"/>
          <w:color w:val="auto"/>
          <w:spacing w:val="0"/>
          <w:sz w:val="21"/>
          <w:szCs w:val="21"/>
          <w:highlight w:val="none"/>
          <w:lang w:val="en-US" w:eastAsia="zh-CN"/>
        </w:rPr>
      </w:pPr>
      <w:r>
        <w:rPr>
          <w:rFonts w:hint="default" w:ascii="宋体" w:hAnsi="宋体" w:eastAsia="宋体" w:cs="宋体"/>
          <w:color w:val="auto"/>
          <w:spacing w:val="0"/>
          <w:kern w:val="2"/>
          <w:sz w:val="21"/>
          <w:szCs w:val="21"/>
          <w:highlight w:val="none"/>
          <w:lang w:val="en-US" w:eastAsia="zh-CN" w:bidi="ar-SA"/>
        </w:rPr>
        <w:t>6．</w:t>
      </w:r>
      <w:r>
        <w:rPr>
          <w:rFonts w:hint="eastAsia" w:ascii="宋体" w:hAnsi="宋体" w:eastAsia="宋体" w:cs="宋体"/>
          <w:color w:val="auto"/>
          <w:spacing w:val="0"/>
          <w:sz w:val="21"/>
          <w:szCs w:val="21"/>
          <w:highlight w:val="none"/>
          <w:lang w:val="en-US" w:eastAsia="zh-CN"/>
        </w:rPr>
        <w:t>政策解读</w:t>
      </w:r>
    </w:p>
    <w:p w14:paraId="52553A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在企业侧设置政策解读板块，企业用户可在平台查看官方的政策解读图文或视频，支持在线阅读观看。</w:t>
      </w:r>
    </w:p>
    <w:p w14:paraId="35248D0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200"/>
        <w:jc w:val="both"/>
        <w:textAlignment w:val="auto"/>
        <w:rPr>
          <w:rFonts w:hint="eastAsia" w:ascii="宋体" w:hAnsi="宋体" w:eastAsia="宋体" w:cs="宋体"/>
          <w:color w:val="auto"/>
          <w:spacing w:val="0"/>
          <w:sz w:val="21"/>
          <w:szCs w:val="21"/>
          <w:highlight w:val="none"/>
          <w:lang w:val="en-US" w:eastAsia="zh-CN"/>
        </w:rPr>
      </w:pPr>
      <w:r>
        <w:rPr>
          <w:rFonts w:hint="default" w:ascii="宋体" w:hAnsi="宋体" w:eastAsia="宋体" w:cs="宋体"/>
          <w:color w:val="auto"/>
          <w:spacing w:val="0"/>
          <w:kern w:val="2"/>
          <w:sz w:val="21"/>
          <w:szCs w:val="21"/>
          <w:highlight w:val="none"/>
          <w:lang w:val="en-US" w:eastAsia="zh-CN" w:bidi="ar-SA"/>
        </w:rPr>
        <w:t>7．</w:t>
      </w:r>
      <w:r>
        <w:rPr>
          <w:rFonts w:hint="eastAsia" w:ascii="宋体" w:hAnsi="宋体" w:eastAsia="宋体" w:cs="宋体"/>
          <w:color w:val="auto"/>
          <w:spacing w:val="0"/>
          <w:sz w:val="21"/>
          <w:szCs w:val="21"/>
          <w:highlight w:val="none"/>
          <w:lang w:val="en-US" w:eastAsia="zh-CN"/>
        </w:rPr>
        <w:t>浙企服务</w:t>
      </w:r>
    </w:p>
    <w:p w14:paraId="215733D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20" w:firstLineChars="200"/>
        <w:jc w:val="both"/>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展示浙江省各部门企业服务平台，帮助企业更便捷地享受企业服务。</w:t>
      </w:r>
    </w:p>
    <w:p w14:paraId="7C88ACE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200"/>
        <w:jc w:val="both"/>
        <w:textAlignment w:val="auto"/>
        <w:rPr>
          <w:rFonts w:hint="eastAsia" w:ascii="宋体" w:hAnsi="宋体" w:eastAsia="宋体" w:cs="宋体"/>
          <w:color w:val="auto"/>
          <w:spacing w:val="0"/>
          <w:sz w:val="21"/>
          <w:szCs w:val="21"/>
          <w:highlight w:val="none"/>
          <w:lang w:val="en-US" w:eastAsia="zh-CN"/>
        </w:rPr>
      </w:pPr>
      <w:r>
        <w:rPr>
          <w:rFonts w:hint="default" w:ascii="宋体" w:hAnsi="宋体" w:eastAsia="宋体" w:cs="宋体"/>
          <w:color w:val="auto"/>
          <w:spacing w:val="0"/>
          <w:kern w:val="2"/>
          <w:sz w:val="21"/>
          <w:szCs w:val="21"/>
          <w:highlight w:val="none"/>
          <w:lang w:val="en-US" w:eastAsia="zh-CN" w:bidi="ar-SA"/>
        </w:rPr>
        <w:t>8．</w:t>
      </w:r>
      <w:r>
        <w:rPr>
          <w:rFonts w:hint="eastAsia" w:ascii="宋体" w:hAnsi="宋体" w:eastAsia="宋体" w:cs="宋体"/>
          <w:color w:val="auto"/>
          <w:spacing w:val="0"/>
          <w:sz w:val="21"/>
          <w:szCs w:val="21"/>
          <w:highlight w:val="none"/>
          <w:lang w:val="en-US" w:eastAsia="zh-CN"/>
        </w:rPr>
        <w:t>地市政策服务</w:t>
      </w:r>
    </w:p>
    <w:p w14:paraId="6FBF16B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20" w:firstLineChars="200"/>
        <w:jc w:val="both"/>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展示浙江省十一个地市政策服务的入口。</w:t>
      </w:r>
    </w:p>
    <w:p w14:paraId="26BE3125">
      <w:pPr>
        <w:keepNext w:val="0"/>
        <w:keepLines w:val="0"/>
        <w:pageBreakBefore w:val="0"/>
        <w:widowControl w:val="0"/>
        <w:numPr>
          <w:ilvl w:val="0"/>
          <w:numId w:val="8"/>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firstLine="420" w:firstLineChars="0"/>
        <w:jc w:val="both"/>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企业用户中心</w:t>
      </w:r>
    </w:p>
    <w:p w14:paraId="77623D17">
      <w:pPr>
        <w:keepNext w:val="0"/>
        <w:keepLines w:val="0"/>
        <w:pageBreakBefore w:val="0"/>
        <w:widowControl w:val="0"/>
        <w:numPr>
          <w:ilvl w:val="0"/>
          <w:numId w:val="10"/>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420" w:leftChars="0" w:right="0" w:firstLine="0" w:firstLineChars="0"/>
        <w:jc w:val="both"/>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登录/登出</w:t>
      </w:r>
    </w:p>
    <w:p w14:paraId="36D8B2D3">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 xml:space="preserve">提供登录/登出功能，支持用手机号+验证码方式进行登录。 </w:t>
      </w:r>
    </w:p>
    <w:p w14:paraId="39FA4E98">
      <w:pPr>
        <w:keepNext w:val="0"/>
        <w:keepLines w:val="0"/>
        <w:pageBreakBefore w:val="0"/>
        <w:widowControl w:val="0"/>
        <w:numPr>
          <w:ilvl w:val="0"/>
          <w:numId w:val="10"/>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420" w:leftChars="0" w:right="0" w:firstLine="0" w:firstLineChars="0"/>
        <w:jc w:val="both"/>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信息维护</w:t>
      </w:r>
    </w:p>
    <w:p w14:paraId="5EDDEF32">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 xml:space="preserve">基本信息维护：支持企业对基本信息进行维护，包括修改企业简介等信息。 </w:t>
      </w:r>
    </w:p>
    <w:p w14:paraId="2E5B5E11">
      <w:pPr>
        <w:keepNext w:val="0"/>
        <w:keepLines w:val="0"/>
        <w:pageBreakBefore w:val="0"/>
        <w:widowControl w:val="0"/>
        <w:numPr>
          <w:ilvl w:val="0"/>
          <w:numId w:val="10"/>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420" w:leftChars="0" w:right="0" w:firstLine="0" w:firstLineChars="0"/>
        <w:jc w:val="both"/>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查询记录</w:t>
      </w:r>
    </w:p>
    <w:p w14:paraId="28522312">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 xml:space="preserve">展示当前登录企业的历史查询记录信息。 </w:t>
      </w:r>
    </w:p>
    <w:p w14:paraId="736DD303">
      <w:pPr>
        <w:keepNext w:val="0"/>
        <w:keepLines w:val="0"/>
        <w:pageBreakBefore w:val="0"/>
        <w:widowControl w:val="0"/>
        <w:numPr>
          <w:ilvl w:val="0"/>
          <w:numId w:val="10"/>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420" w:leftChars="0" w:right="0" w:firstLine="0" w:firstLineChars="0"/>
        <w:jc w:val="both"/>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我的收藏</w:t>
      </w:r>
    </w:p>
    <w:p w14:paraId="2BAF887E">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 xml:space="preserve">可查看当前用户历史收藏的政策和项目数据。 </w:t>
      </w:r>
    </w:p>
    <w:p w14:paraId="7360FBAA">
      <w:pPr>
        <w:keepNext w:val="0"/>
        <w:keepLines w:val="0"/>
        <w:pageBreakBefore w:val="0"/>
        <w:widowControl w:val="0"/>
        <w:numPr>
          <w:ilvl w:val="0"/>
          <w:numId w:val="10"/>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420" w:leftChars="0" w:right="0" w:firstLine="0" w:firstLineChars="0"/>
        <w:jc w:val="both"/>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 xml:space="preserve">消息通知 </w:t>
      </w:r>
    </w:p>
    <w:p w14:paraId="46629CAC">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 xml:space="preserve">以列表的形式展示企业接收的平台消息通知，可查看消息通知详情，支持对消息通知进行删除。 </w:t>
      </w:r>
    </w:p>
    <w:p w14:paraId="0F8A538D">
      <w:pPr>
        <w:keepNext w:val="0"/>
        <w:keepLines w:val="0"/>
        <w:pageBreakBefore w:val="0"/>
        <w:widowControl w:val="0"/>
        <w:numPr>
          <w:ilvl w:val="0"/>
          <w:numId w:val="10"/>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420" w:leftChars="0" w:right="0" w:firstLine="0" w:firstLineChars="0"/>
        <w:jc w:val="both"/>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 xml:space="preserve">绑定企业 </w:t>
      </w:r>
    </w:p>
    <w:p w14:paraId="6D5517BA">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 xml:space="preserve">用户登录后可绑定关联企业，在用户中心可随时调整更新企业。 </w:t>
      </w:r>
    </w:p>
    <w:p w14:paraId="311A1919">
      <w:pPr>
        <w:keepNext w:val="0"/>
        <w:keepLines w:val="0"/>
        <w:pageBreakBefore w:val="0"/>
        <w:widowControl w:val="0"/>
        <w:numPr>
          <w:ilvl w:val="0"/>
          <w:numId w:val="10"/>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420" w:leftChars="0" w:right="0" w:firstLine="0" w:firstLineChars="0"/>
        <w:jc w:val="both"/>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 xml:space="preserve">企业切换 </w:t>
      </w:r>
    </w:p>
    <w:p w14:paraId="6BE02BE5">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 xml:space="preserve">用户如绑定多个企业，可在企业切换图标处进行企业视角切换。 </w:t>
      </w:r>
    </w:p>
    <w:p w14:paraId="5CBC916D">
      <w:pPr>
        <w:keepNext w:val="0"/>
        <w:keepLines w:val="0"/>
        <w:pageBreakBefore w:val="0"/>
        <w:widowControl w:val="0"/>
        <w:numPr>
          <w:ilvl w:val="0"/>
          <w:numId w:val="10"/>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420" w:leftChars="0" w:right="0" w:firstLine="0" w:firstLineChars="0"/>
        <w:jc w:val="both"/>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 xml:space="preserve">企业奖补 </w:t>
      </w:r>
    </w:p>
    <w:p w14:paraId="0355B22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pacing w:val="0"/>
          <w:kern w:val="2"/>
          <w:sz w:val="21"/>
          <w:szCs w:val="21"/>
          <w:highlight w:val="none"/>
          <w:lang w:val="en-US" w:eastAsia="zh-CN" w:bidi="ar-SA"/>
        </w:rPr>
      </w:pPr>
      <w:r>
        <w:rPr>
          <w:rFonts w:hint="eastAsia" w:ascii="宋体" w:hAnsi="宋体" w:eastAsia="宋体" w:cs="宋体"/>
          <w:color w:val="auto"/>
          <w:spacing w:val="0"/>
          <w:kern w:val="2"/>
          <w:sz w:val="21"/>
          <w:szCs w:val="21"/>
          <w:highlight w:val="none"/>
          <w:lang w:val="en-US" w:eastAsia="zh-CN" w:bidi="ar-SA"/>
        </w:rPr>
        <w:t>以时间轴的形式展示当前企业历史获批数据，包括获批时间、获批项目、认定部门，文件依据等，让企业在浏览政策的同时更有获得感。</w:t>
      </w:r>
    </w:p>
    <w:p w14:paraId="3A77D93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643" w:leftChars="0" w:right="0" w:firstLine="643" w:firstLineChars="0"/>
        <w:jc w:val="both"/>
        <w:textAlignment w:val="auto"/>
        <w:outlineLvl w:val="2"/>
        <w:rPr>
          <w:rFonts w:hint="eastAsia" w:ascii="宋体" w:hAnsi="宋体" w:eastAsia="宋体" w:cs="宋体"/>
          <w:b/>
          <w:bCs/>
          <w:color w:val="auto"/>
          <w:spacing w:val="0"/>
          <w:sz w:val="21"/>
          <w:szCs w:val="21"/>
          <w:highlight w:val="none"/>
          <w:lang w:val="en-US" w:eastAsia="zh-CN"/>
        </w:rPr>
      </w:pPr>
      <w:r>
        <w:rPr>
          <w:rFonts w:hint="eastAsia" w:ascii="宋体" w:hAnsi="宋体" w:eastAsia="宋体" w:cs="宋体"/>
          <w:b/>
          <w:bCs/>
          <w:color w:val="auto"/>
          <w:spacing w:val="0"/>
          <w:kern w:val="2"/>
          <w:sz w:val="21"/>
          <w:szCs w:val="21"/>
          <w:highlight w:val="none"/>
          <w:lang w:val="en-US" w:eastAsia="zh-CN" w:bidi="ar-SA"/>
        </w:rPr>
        <w:t>七、</w:t>
      </w:r>
      <w:r>
        <w:rPr>
          <w:rFonts w:hint="eastAsia" w:ascii="宋体" w:hAnsi="宋体" w:eastAsia="宋体" w:cs="宋体"/>
          <w:b/>
          <w:bCs/>
          <w:color w:val="auto"/>
          <w:spacing w:val="0"/>
          <w:sz w:val="21"/>
          <w:szCs w:val="21"/>
          <w:highlight w:val="none"/>
          <w:lang w:val="en-US" w:eastAsia="zh-CN"/>
        </w:rPr>
        <w:t>数据集成服务</w:t>
      </w:r>
    </w:p>
    <w:p w14:paraId="01A62589">
      <w:pPr>
        <w:keepNext w:val="0"/>
        <w:keepLines w:val="0"/>
        <w:pageBreakBefore w:val="0"/>
        <w:widowControl w:val="0"/>
        <w:numPr>
          <w:ilvl w:val="0"/>
          <w:numId w:val="11"/>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firstLine="420" w:firstLineChars="0"/>
        <w:jc w:val="both"/>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数据汇聚整合</w:t>
      </w:r>
    </w:p>
    <w:p w14:paraId="2B4195D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200"/>
        <w:jc w:val="both"/>
        <w:textAlignment w:val="auto"/>
        <w:rPr>
          <w:rFonts w:hint="eastAsia" w:ascii="宋体" w:hAnsi="宋体" w:eastAsia="宋体" w:cs="宋体"/>
          <w:color w:val="auto"/>
          <w:spacing w:val="0"/>
          <w:sz w:val="21"/>
          <w:szCs w:val="21"/>
          <w:highlight w:val="none"/>
          <w:lang w:val="en-US" w:eastAsia="zh-CN"/>
        </w:rPr>
      </w:pPr>
      <w:r>
        <w:rPr>
          <w:rFonts w:hint="default" w:ascii="宋体" w:hAnsi="宋体" w:eastAsia="宋体" w:cs="宋体"/>
          <w:color w:val="auto"/>
          <w:spacing w:val="0"/>
          <w:kern w:val="2"/>
          <w:sz w:val="21"/>
          <w:szCs w:val="21"/>
          <w:highlight w:val="none"/>
          <w:lang w:val="en-US" w:eastAsia="zh-CN" w:bidi="ar-SA"/>
        </w:rPr>
        <w:t>1．</w:t>
      </w:r>
      <w:r>
        <w:rPr>
          <w:rFonts w:hint="eastAsia" w:ascii="宋体" w:hAnsi="宋体" w:eastAsia="宋体" w:cs="宋体"/>
          <w:color w:val="auto"/>
          <w:spacing w:val="0"/>
          <w:sz w:val="21"/>
          <w:szCs w:val="21"/>
          <w:highlight w:val="none"/>
          <w:lang w:val="en-US" w:eastAsia="zh-CN"/>
        </w:rPr>
        <w:t>企业数据采集整合</w:t>
      </w:r>
    </w:p>
    <w:p w14:paraId="74AB1107">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 xml:space="preserve">通过互联网采集数据的方式，补充完善企业数据。 </w:t>
      </w:r>
    </w:p>
    <w:p w14:paraId="251A32F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200"/>
        <w:jc w:val="both"/>
        <w:textAlignment w:val="auto"/>
        <w:rPr>
          <w:rFonts w:hint="eastAsia" w:ascii="宋体" w:hAnsi="宋体" w:eastAsia="宋体" w:cs="宋体"/>
          <w:color w:val="auto"/>
          <w:spacing w:val="0"/>
          <w:sz w:val="21"/>
          <w:szCs w:val="21"/>
          <w:highlight w:val="none"/>
          <w:lang w:val="en-US" w:eastAsia="zh-CN"/>
        </w:rPr>
      </w:pPr>
      <w:r>
        <w:rPr>
          <w:rFonts w:hint="default" w:ascii="宋体" w:hAnsi="宋体" w:eastAsia="宋体" w:cs="宋体"/>
          <w:color w:val="auto"/>
          <w:spacing w:val="0"/>
          <w:kern w:val="2"/>
          <w:sz w:val="21"/>
          <w:szCs w:val="21"/>
          <w:highlight w:val="none"/>
          <w:lang w:val="en-US" w:eastAsia="zh-CN" w:bidi="ar-SA"/>
        </w:rPr>
        <w:t>2．</w:t>
      </w:r>
      <w:r>
        <w:rPr>
          <w:rFonts w:hint="eastAsia" w:ascii="宋体" w:hAnsi="宋体" w:eastAsia="宋体" w:cs="宋体"/>
          <w:color w:val="auto"/>
          <w:spacing w:val="0"/>
          <w:sz w:val="21"/>
          <w:szCs w:val="21"/>
          <w:highlight w:val="none"/>
          <w:lang w:val="en-US" w:eastAsia="zh-CN"/>
        </w:rPr>
        <w:t>政策数据采集整合</w:t>
      </w:r>
    </w:p>
    <w:p w14:paraId="671A17FF">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 xml:space="preserve">通过互联网采集数据的方式，政策数据库，扩大数据归集范围。 </w:t>
      </w:r>
    </w:p>
    <w:p w14:paraId="17F231D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200"/>
        <w:jc w:val="both"/>
        <w:textAlignment w:val="auto"/>
        <w:rPr>
          <w:rFonts w:hint="eastAsia" w:ascii="宋体" w:hAnsi="宋体" w:eastAsia="宋体" w:cs="宋体"/>
          <w:color w:val="auto"/>
          <w:spacing w:val="0"/>
          <w:sz w:val="21"/>
          <w:szCs w:val="21"/>
          <w:highlight w:val="none"/>
          <w:lang w:val="en-US" w:eastAsia="zh-CN"/>
        </w:rPr>
      </w:pPr>
      <w:r>
        <w:rPr>
          <w:rFonts w:hint="default" w:ascii="宋体" w:hAnsi="宋体" w:eastAsia="宋体" w:cs="宋体"/>
          <w:color w:val="auto"/>
          <w:spacing w:val="0"/>
          <w:kern w:val="2"/>
          <w:sz w:val="21"/>
          <w:szCs w:val="21"/>
          <w:highlight w:val="none"/>
          <w:lang w:val="en-US" w:eastAsia="zh-CN" w:bidi="ar-SA"/>
        </w:rPr>
        <w:t>3．</w:t>
      </w:r>
      <w:r>
        <w:rPr>
          <w:rFonts w:hint="eastAsia" w:ascii="宋体" w:hAnsi="宋体" w:eastAsia="宋体" w:cs="宋体"/>
          <w:color w:val="auto"/>
          <w:spacing w:val="0"/>
          <w:sz w:val="21"/>
          <w:szCs w:val="21"/>
          <w:highlight w:val="none"/>
          <w:lang w:val="en-US" w:eastAsia="zh-CN"/>
        </w:rPr>
        <w:t>省公共数据平台涉企数据整合</w:t>
      </w:r>
    </w:p>
    <w:p w14:paraId="2E5D0F68">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 xml:space="preserve">与省数据局进行涉企相关政策、企业数据对接，依托一体化智能化公共数据平台，结合互联网采集、企业填报等数据来源，构建全省政策文件库，完善企业画像。 </w:t>
      </w:r>
    </w:p>
    <w:p w14:paraId="0DF9F3B0">
      <w:pPr>
        <w:keepNext w:val="0"/>
        <w:keepLines w:val="0"/>
        <w:pageBreakBefore w:val="0"/>
        <w:widowControl w:val="0"/>
        <w:numPr>
          <w:ilvl w:val="0"/>
          <w:numId w:val="11"/>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firstLine="420" w:firstLineChars="0"/>
        <w:jc w:val="both"/>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数据处理</w:t>
      </w:r>
    </w:p>
    <w:p w14:paraId="715CB1D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200"/>
        <w:jc w:val="both"/>
        <w:textAlignment w:val="auto"/>
        <w:rPr>
          <w:rFonts w:hint="eastAsia" w:ascii="宋体" w:hAnsi="宋体" w:eastAsia="宋体" w:cs="宋体"/>
          <w:color w:val="auto"/>
          <w:spacing w:val="0"/>
          <w:sz w:val="21"/>
          <w:szCs w:val="21"/>
          <w:highlight w:val="none"/>
          <w:lang w:val="en-US" w:eastAsia="zh-CN"/>
        </w:rPr>
      </w:pPr>
      <w:r>
        <w:rPr>
          <w:rFonts w:hint="default" w:ascii="宋体" w:hAnsi="宋体" w:eastAsia="宋体" w:cs="宋体"/>
          <w:color w:val="auto"/>
          <w:spacing w:val="0"/>
          <w:kern w:val="2"/>
          <w:sz w:val="21"/>
          <w:szCs w:val="21"/>
          <w:highlight w:val="none"/>
          <w:lang w:val="en-US" w:eastAsia="zh-CN" w:bidi="ar-SA"/>
        </w:rPr>
        <w:t>1．</w:t>
      </w:r>
      <w:r>
        <w:rPr>
          <w:rFonts w:hint="eastAsia" w:ascii="宋体" w:hAnsi="宋体" w:eastAsia="宋体" w:cs="宋体"/>
          <w:color w:val="auto"/>
          <w:spacing w:val="0"/>
          <w:sz w:val="21"/>
          <w:szCs w:val="21"/>
          <w:highlight w:val="none"/>
          <w:lang w:val="en-US" w:eastAsia="zh-CN"/>
        </w:rPr>
        <w:t>政策数据清洗</w:t>
      </w:r>
    </w:p>
    <w:p w14:paraId="286253FC">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 xml:space="preserve">制定统一的政策文件治理标准，针对互联网采集数据进行初步清洗，便于后续对政策数据进行判断。 </w:t>
      </w:r>
    </w:p>
    <w:p w14:paraId="21703B6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200"/>
        <w:jc w:val="both"/>
        <w:textAlignment w:val="auto"/>
        <w:rPr>
          <w:rFonts w:hint="eastAsia" w:ascii="宋体" w:hAnsi="宋体" w:eastAsia="宋体" w:cs="宋体"/>
          <w:color w:val="auto"/>
          <w:spacing w:val="0"/>
          <w:sz w:val="21"/>
          <w:szCs w:val="21"/>
          <w:highlight w:val="none"/>
          <w:lang w:val="en-US" w:eastAsia="zh-CN"/>
        </w:rPr>
      </w:pPr>
      <w:r>
        <w:rPr>
          <w:rFonts w:hint="default" w:ascii="宋体" w:hAnsi="宋体" w:eastAsia="宋体" w:cs="宋体"/>
          <w:color w:val="auto"/>
          <w:spacing w:val="0"/>
          <w:kern w:val="2"/>
          <w:sz w:val="21"/>
          <w:szCs w:val="21"/>
          <w:highlight w:val="none"/>
          <w:lang w:val="en-US" w:eastAsia="zh-CN" w:bidi="ar-SA"/>
        </w:rPr>
        <w:t>2．</w:t>
      </w:r>
      <w:r>
        <w:rPr>
          <w:rFonts w:hint="eastAsia" w:ascii="宋体" w:hAnsi="宋体" w:eastAsia="宋体" w:cs="宋体"/>
          <w:color w:val="auto"/>
          <w:spacing w:val="0"/>
          <w:sz w:val="21"/>
          <w:szCs w:val="21"/>
          <w:highlight w:val="none"/>
          <w:lang w:val="en-US" w:eastAsia="zh-CN"/>
        </w:rPr>
        <w:t>企业数据清洗</w:t>
      </w:r>
    </w:p>
    <w:p w14:paraId="267A0DA7">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 xml:space="preserve">针对互联网采集的企业数据、部门共享的企业数据、企业直报数据，支持按照统一标准进行清洗。 </w:t>
      </w:r>
    </w:p>
    <w:p w14:paraId="5D18ECB6">
      <w:pPr>
        <w:keepNext w:val="0"/>
        <w:keepLines w:val="0"/>
        <w:pageBreakBefore w:val="0"/>
        <w:widowControl w:val="0"/>
        <w:numPr>
          <w:ilvl w:val="0"/>
          <w:numId w:val="11"/>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firstLine="420" w:firstLineChars="0"/>
        <w:jc w:val="both"/>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数据共享</w:t>
      </w:r>
    </w:p>
    <w:p w14:paraId="3C2B9CE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200"/>
        <w:jc w:val="both"/>
        <w:textAlignment w:val="auto"/>
        <w:rPr>
          <w:rFonts w:hint="eastAsia" w:ascii="宋体" w:hAnsi="宋体" w:eastAsia="宋体" w:cs="宋体"/>
          <w:color w:val="auto"/>
          <w:spacing w:val="0"/>
          <w:sz w:val="21"/>
          <w:szCs w:val="21"/>
          <w:highlight w:val="none"/>
          <w:lang w:val="en-US" w:eastAsia="zh-CN"/>
        </w:rPr>
      </w:pPr>
      <w:r>
        <w:rPr>
          <w:rFonts w:hint="default" w:ascii="宋体" w:hAnsi="宋体" w:eastAsia="宋体" w:cs="宋体"/>
          <w:color w:val="auto"/>
          <w:spacing w:val="0"/>
          <w:kern w:val="2"/>
          <w:sz w:val="21"/>
          <w:szCs w:val="21"/>
          <w:highlight w:val="none"/>
          <w:lang w:val="en-US" w:eastAsia="zh-CN" w:bidi="ar-SA"/>
        </w:rPr>
        <w:t>1．</w:t>
      </w:r>
      <w:r>
        <w:rPr>
          <w:rFonts w:hint="eastAsia" w:ascii="宋体" w:hAnsi="宋体" w:eastAsia="宋体" w:cs="宋体"/>
          <w:color w:val="auto"/>
          <w:spacing w:val="0"/>
          <w:sz w:val="21"/>
          <w:szCs w:val="21"/>
          <w:highlight w:val="none"/>
          <w:lang w:val="en-US" w:eastAsia="zh-CN"/>
        </w:rPr>
        <w:t>统一标准接口</w:t>
      </w:r>
    </w:p>
    <w:p w14:paraId="4618B043">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数据共享利用，通过对本项目所有的政策数据资产按照特定专题进行分类整理，梳理出可共享政策数据指标目录，并预留接口，以便后续对其他部门进行共享。</w:t>
      </w:r>
    </w:p>
    <w:p w14:paraId="4EEE8B88">
      <w:pPr>
        <w:keepNext w:val="0"/>
        <w:keepLines w:val="0"/>
        <w:pageBreakBefore w:val="0"/>
        <w:widowControl w:val="0"/>
        <w:numPr>
          <w:ilvl w:val="0"/>
          <w:numId w:val="11"/>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firstLine="420" w:firstLineChars="0"/>
        <w:jc w:val="both"/>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 xml:space="preserve">建设专题库 </w:t>
      </w:r>
    </w:p>
    <w:p w14:paraId="64DB7AB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200"/>
        <w:jc w:val="both"/>
        <w:textAlignment w:val="auto"/>
        <w:rPr>
          <w:rFonts w:hint="eastAsia" w:ascii="宋体" w:hAnsi="宋体" w:eastAsia="宋体" w:cs="宋体"/>
          <w:color w:val="auto"/>
          <w:spacing w:val="0"/>
          <w:sz w:val="21"/>
          <w:szCs w:val="21"/>
          <w:highlight w:val="none"/>
          <w:lang w:val="en-US" w:eastAsia="zh-CN"/>
        </w:rPr>
      </w:pPr>
      <w:r>
        <w:rPr>
          <w:rFonts w:hint="default" w:ascii="宋体" w:hAnsi="宋体" w:eastAsia="宋体" w:cs="宋体"/>
          <w:color w:val="auto"/>
          <w:spacing w:val="0"/>
          <w:kern w:val="2"/>
          <w:sz w:val="21"/>
          <w:szCs w:val="21"/>
          <w:highlight w:val="none"/>
          <w:lang w:val="en-US" w:eastAsia="zh-CN" w:bidi="ar-SA"/>
        </w:rPr>
        <w:t>1．</w:t>
      </w:r>
      <w:r>
        <w:rPr>
          <w:rFonts w:hint="eastAsia" w:ascii="宋体" w:hAnsi="宋体" w:eastAsia="宋体" w:cs="宋体"/>
          <w:color w:val="auto"/>
          <w:spacing w:val="0"/>
          <w:sz w:val="21"/>
          <w:szCs w:val="21"/>
          <w:highlight w:val="none"/>
          <w:lang w:val="en-US" w:eastAsia="zh-CN"/>
        </w:rPr>
        <w:t>企业画像库</w:t>
      </w:r>
    </w:p>
    <w:p w14:paraId="20FCCD3F">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 xml:space="preserve">以统一社会信用代码作为关键字段，采用“一企一档”设计，整合全省各企业相关数据，包含企业注册地址、企业标签、企业专利、企业资质等，建立企业档案库。 </w:t>
      </w:r>
    </w:p>
    <w:p w14:paraId="4BBE84F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200"/>
        <w:jc w:val="both"/>
        <w:textAlignment w:val="auto"/>
        <w:rPr>
          <w:rFonts w:hint="eastAsia" w:ascii="宋体" w:hAnsi="宋体" w:eastAsia="宋体" w:cs="宋体"/>
          <w:color w:val="auto"/>
          <w:spacing w:val="0"/>
          <w:sz w:val="21"/>
          <w:szCs w:val="21"/>
          <w:highlight w:val="none"/>
          <w:lang w:val="en-US" w:eastAsia="zh-CN"/>
        </w:rPr>
      </w:pPr>
      <w:r>
        <w:rPr>
          <w:rFonts w:hint="default" w:ascii="宋体" w:hAnsi="宋体" w:eastAsia="宋体" w:cs="宋体"/>
          <w:color w:val="auto"/>
          <w:spacing w:val="0"/>
          <w:kern w:val="2"/>
          <w:sz w:val="21"/>
          <w:szCs w:val="21"/>
          <w:highlight w:val="none"/>
          <w:lang w:val="en-US" w:eastAsia="zh-CN" w:bidi="ar-SA"/>
        </w:rPr>
        <w:t>2．</w:t>
      </w:r>
      <w:r>
        <w:rPr>
          <w:rFonts w:hint="eastAsia" w:ascii="宋体" w:hAnsi="宋体" w:eastAsia="宋体" w:cs="宋体"/>
          <w:color w:val="auto"/>
          <w:spacing w:val="0"/>
          <w:sz w:val="21"/>
          <w:szCs w:val="21"/>
          <w:highlight w:val="none"/>
          <w:lang w:val="en-US" w:eastAsia="zh-CN"/>
        </w:rPr>
        <w:t>全省政策库</w:t>
      </w:r>
    </w:p>
    <w:p w14:paraId="38A6EB5F">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 xml:space="preserve">归集整合互联网采集并经判断的政策数据，以及发文单位归集的政策数据，加工去重后，形成统一的全省政策库，为政策项目匹配、推送等模块提供数据支撑。 </w:t>
      </w:r>
    </w:p>
    <w:p w14:paraId="38151A0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200"/>
        <w:jc w:val="both"/>
        <w:textAlignment w:val="auto"/>
        <w:rPr>
          <w:rFonts w:hint="eastAsia" w:ascii="宋体" w:hAnsi="宋体" w:eastAsia="宋体" w:cs="宋体"/>
          <w:color w:val="auto"/>
          <w:spacing w:val="0"/>
          <w:sz w:val="21"/>
          <w:szCs w:val="21"/>
          <w:highlight w:val="none"/>
          <w:lang w:val="en-US" w:eastAsia="zh-CN"/>
        </w:rPr>
      </w:pPr>
      <w:r>
        <w:rPr>
          <w:rFonts w:hint="default" w:ascii="宋体" w:hAnsi="宋体" w:eastAsia="宋体" w:cs="宋体"/>
          <w:color w:val="auto"/>
          <w:spacing w:val="0"/>
          <w:kern w:val="2"/>
          <w:sz w:val="21"/>
          <w:szCs w:val="21"/>
          <w:highlight w:val="none"/>
          <w:lang w:val="en-US" w:eastAsia="zh-CN" w:bidi="ar-SA"/>
        </w:rPr>
        <w:t>3．</w:t>
      </w:r>
      <w:r>
        <w:rPr>
          <w:rFonts w:hint="eastAsia" w:ascii="宋体" w:hAnsi="宋体" w:eastAsia="宋体" w:cs="宋体"/>
          <w:color w:val="auto"/>
          <w:spacing w:val="0"/>
          <w:sz w:val="21"/>
          <w:szCs w:val="21"/>
          <w:highlight w:val="none"/>
          <w:lang w:val="en-US" w:eastAsia="zh-CN"/>
        </w:rPr>
        <w:t>资格认定库</w:t>
      </w:r>
    </w:p>
    <w:p w14:paraId="0FC4C1FD">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 xml:space="preserve">归集整合全省资格认定相关的政策项目、对应的企业清单、获得资质、获得时间等，形成统一的全省资格认定库。 </w:t>
      </w:r>
    </w:p>
    <w:p w14:paraId="40B84AC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643" w:leftChars="0" w:right="0" w:firstLine="643" w:firstLineChars="0"/>
        <w:jc w:val="both"/>
        <w:textAlignment w:val="auto"/>
        <w:outlineLvl w:val="2"/>
        <w:rPr>
          <w:rFonts w:hint="eastAsia" w:ascii="宋体" w:hAnsi="宋体" w:eastAsia="宋体" w:cs="宋体"/>
          <w:b/>
          <w:bCs/>
          <w:color w:val="auto"/>
          <w:spacing w:val="0"/>
          <w:sz w:val="21"/>
          <w:szCs w:val="21"/>
          <w:highlight w:val="none"/>
          <w:lang w:val="en-US" w:eastAsia="zh-CN"/>
        </w:rPr>
      </w:pPr>
      <w:r>
        <w:rPr>
          <w:rFonts w:hint="eastAsia" w:ascii="宋体" w:hAnsi="宋体" w:eastAsia="宋体" w:cs="宋体"/>
          <w:b/>
          <w:bCs/>
          <w:color w:val="auto"/>
          <w:spacing w:val="0"/>
          <w:kern w:val="2"/>
          <w:sz w:val="21"/>
          <w:szCs w:val="21"/>
          <w:highlight w:val="none"/>
          <w:lang w:val="en-US" w:eastAsia="zh-CN" w:bidi="ar-SA"/>
        </w:rPr>
        <w:t>八、</w:t>
      </w:r>
      <w:r>
        <w:rPr>
          <w:rFonts w:hint="eastAsia" w:ascii="宋体" w:hAnsi="宋体" w:eastAsia="宋体" w:cs="宋体"/>
          <w:b/>
          <w:bCs/>
          <w:color w:val="auto"/>
          <w:spacing w:val="0"/>
          <w:sz w:val="21"/>
          <w:szCs w:val="21"/>
          <w:highlight w:val="none"/>
          <w:lang w:val="en-US" w:eastAsia="zh-CN"/>
        </w:rPr>
        <w:t>系统对接集成</w:t>
      </w:r>
    </w:p>
    <w:p w14:paraId="4094BC5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0"/>
        <w:jc w:val="both"/>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kern w:val="2"/>
          <w:sz w:val="21"/>
          <w:szCs w:val="21"/>
          <w:highlight w:val="none"/>
          <w:lang w:val="en-US" w:eastAsia="zh-CN" w:bidi="ar-SA"/>
        </w:rPr>
        <w:t>（一）</w:t>
      </w:r>
      <w:r>
        <w:rPr>
          <w:rFonts w:hint="eastAsia" w:ascii="宋体" w:hAnsi="宋体" w:eastAsia="宋体" w:cs="宋体"/>
          <w:color w:val="auto"/>
          <w:spacing w:val="0"/>
          <w:sz w:val="21"/>
          <w:szCs w:val="21"/>
          <w:highlight w:val="none"/>
          <w:lang w:val="en-US" w:eastAsia="zh-CN"/>
        </w:rPr>
        <w:t>浙江企业在线对接</w:t>
      </w:r>
    </w:p>
    <w:p w14:paraId="2214DF0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 xml:space="preserve">对接“浙江企业在线”系统，基于政策和企业匹配的清单，对企业进行触达，将引导性政策和区域奖补性政策精准推送至企业端，真正实现政策精准找企业。 </w:t>
      </w:r>
    </w:p>
    <w:p w14:paraId="3C8CEB5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0"/>
        <w:jc w:val="both"/>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kern w:val="2"/>
          <w:sz w:val="21"/>
          <w:szCs w:val="21"/>
          <w:highlight w:val="none"/>
          <w:lang w:val="en-US" w:eastAsia="zh-CN" w:bidi="ar-SA"/>
        </w:rPr>
        <w:t>（二）</w:t>
      </w:r>
      <w:r>
        <w:rPr>
          <w:rFonts w:hint="eastAsia" w:ascii="宋体" w:hAnsi="宋体" w:eastAsia="宋体" w:cs="宋体"/>
          <w:color w:val="auto"/>
          <w:spacing w:val="0"/>
          <w:sz w:val="21"/>
          <w:szCs w:val="21"/>
          <w:highlight w:val="none"/>
          <w:lang w:val="en-US" w:eastAsia="zh-CN"/>
        </w:rPr>
        <w:t>浙政钉对接</w:t>
      </w:r>
    </w:p>
    <w:p w14:paraId="3B101873">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 xml:space="preserve">针对政府侧用户，通过对接浙政钉用户体系，实现扫码登录。 </w:t>
      </w:r>
    </w:p>
    <w:p w14:paraId="4C63C63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0"/>
        <w:jc w:val="both"/>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kern w:val="2"/>
          <w:sz w:val="21"/>
          <w:szCs w:val="21"/>
          <w:highlight w:val="none"/>
          <w:lang w:val="en-US" w:eastAsia="zh-CN" w:bidi="ar-SA"/>
        </w:rPr>
        <w:t>（三）</w:t>
      </w:r>
      <w:r>
        <w:rPr>
          <w:rFonts w:hint="eastAsia" w:ascii="宋体" w:hAnsi="宋体" w:eastAsia="宋体" w:cs="宋体"/>
          <w:color w:val="auto"/>
          <w:spacing w:val="0"/>
          <w:sz w:val="21"/>
          <w:szCs w:val="21"/>
          <w:highlight w:val="none"/>
          <w:lang w:val="en-US" w:eastAsia="zh-CN"/>
        </w:rPr>
        <w:t>浙里办对接</w:t>
      </w:r>
    </w:p>
    <w:p w14:paraId="2C8F332C">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 xml:space="preserve">针对企业侧用户，通过对接浙里办用户体系，实现扫码或账号密码登录。 </w:t>
      </w:r>
    </w:p>
    <w:p w14:paraId="53EA339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0"/>
        <w:jc w:val="both"/>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kern w:val="2"/>
          <w:sz w:val="21"/>
          <w:szCs w:val="21"/>
          <w:highlight w:val="none"/>
          <w:lang w:val="en-US" w:eastAsia="zh-CN" w:bidi="ar-SA"/>
        </w:rPr>
        <w:t>（四）</w:t>
      </w:r>
      <w:r>
        <w:rPr>
          <w:rFonts w:hint="eastAsia" w:ascii="宋体" w:hAnsi="宋体" w:eastAsia="宋体" w:cs="宋体"/>
          <w:color w:val="auto"/>
          <w:spacing w:val="0"/>
          <w:sz w:val="21"/>
          <w:szCs w:val="21"/>
          <w:highlight w:val="none"/>
          <w:lang w:val="en-US" w:eastAsia="zh-CN"/>
        </w:rPr>
        <w:t>各地市政策平台对接</w:t>
      </w:r>
    </w:p>
    <w:p w14:paraId="12320BB2">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 xml:space="preserve">与浙江省多个市政策平台进行对接，支持企业从本平台推荐的政策项目中，通过点击链接、快速跳转至地市政策平台。可减少企业在多个平台进行政策查找的行为，提高企业从匹配政策到政策申请的全链路流程。 </w:t>
      </w:r>
    </w:p>
    <w:p w14:paraId="2145F0D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0"/>
        <w:jc w:val="both"/>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kern w:val="2"/>
          <w:sz w:val="21"/>
          <w:szCs w:val="21"/>
          <w:highlight w:val="none"/>
          <w:lang w:val="en-US" w:eastAsia="zh-CN" w:bidi="ar-SA"/>
        </w:rPr>
        <w:t>（五）</w:t>
      </w:r>
      <w:r>
        <w:rPr>
          <w:rFonts w:hint="eastAsia" w:ascii="宋体" w:hAnsi="宋体" w:eastAsia="宋体" w:cs="宋体"/>
          <w:color w:val="auto"/>
          <w:spacing w:val="0"/>
          <w:sz w:val="21"/>
          <w:szCs w:val="21"/>
          <w:highlight w:val="none"/>
          <w:lang w:val="en-US" w:eastAsia="zh-CN"/>
        </w:rPr>
        <w:t>浙商在线平台对接</w:t>
      </w:r>
    </w:p>
    <w:p w14:paraId="36B27436">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 xml:space="preserve">对接浙商在线用户体系及浙商资源。 </w:t>
      </w:r>
    </w:p>
    <w:p w14:paraId="20FDE13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643" w:leftChars="0" w:right="0" w:firstLine="643" w:firstLineChars="0"/>
        <w:jc w:val="both"/>
        <w:textAlignment w:val="auto"/>
        <w:outlineLvl w:val="2"/>
        <w:rPr>
          <w:rFonts w:hint="eastAsia" w:ascii="宋体" w:hAnsi="宋体" w:eastAsia="宋体" w:cs="宋体"/>
          <w:b/>
          <w:bCs/>
          <w:color w:val="auto"/>
          <w:spacing w:val="0"/>
          <w:sz w:val="21"/>
          <w:szCs w:val="21"/>
          <w:highlight w:val="none"/>
          <w:lang w:val="en-US" w:eastAsia="zh-CN"/>
        </w:rPr>
      </w:pPr>
      <w:r>
        <w:rPr>
          <w:rFonts w:hint="eastAsia" w:ascii="宋体" w:hAnsi="宋体" w:eastAsia="宋体" w:cs="宋体"/>
          <w:b/>
          <w:bCs/>
          <w:color w:val="auto"/>
          <w:spacing w:val="0"/>
          <w:kern w:val="2"/>
          <w:sz w:val="21"/>
          <w:szCs w:val="21"/>
          <w:highlight w:val="none"/>
          <w:lang w:val="en-US" w:eastAsia="zh-CN" w:bidi="ar-SA"/>
        </w:rPr>
        <w:t>九、</w:t>
      </w:r>
      <w:r>
        <w:rPr>
          <w:rFonts w:hint="eastAsia" w:ascii="宋体" w:hAnsi="宋体" w:eastAsia="宋体" w:cs="宋体"/>
          <w:b/>
          <w:bCs/>
          <w:color w:val="auto"/>
          <w:spacing w:val="0"/>
          <w:sz w:val="21"/>
          <w:szCs w:val="21"/>
          <w:highlight w:val="none"/>
          <w:lang w:val="en-US" w:eastAsia="zh-CN"/>
        </w:rPr>
        <w:t>大模型支撑体系</w:t>
      </w:r>
    </w:p>
    <w:p w14:paraId="0FF9D3E0">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auto"/>
        <w:rPr>
          <w:rFonts w:hint="eastAsia" w:ascii="宋体" w:hAnsi="宋体" w:eastAsia="宋体" w:cs="宋体"/>
          <w:color w:val="auto"/>
          <w:spacing w:val="0"/>
          <w:sz w:val="21"/>
          <w:szCs w:val="21"/>
          <w:highlight w:val="none"/>
          <w:lang w:val="en-US" w:eastAsia="zh-CN"/>
        </w:rPr>
      </w:pPr>
      <w:r>
        <w:rPr>
          <w:rFonts w:hint="eastAsia" w:ascii="宋体" w:hAnsi="宋体" w:cs="宋体"/>
          <w:color w:val="auto"/>
          <w:spacing w:val="0"/>
          <w:sz w:val="21"/>
          <w:szCs w:val="21"/>
          <w:highlight w:val="none"/>
          <w:lang w:val="en-US" w:eastAsia="zh-CN"/>
        </w:rPr>
        <w:t>通过</w:t>
      </w:r>
      <w:r>
        <w:rPr>
          <w:rFonts w:hint="eastAsia" w:ascii="宋体" w:hAnsi="宋体" w:eastAsia="宋体" w:cs="宋体"/>
          <w:color w:val="auto"/>
          <w:spacing w:val="0"/>
          <w:sz w:val="21"/>
          <w:szCs w:val="21"/>
          <w:highlight w:val="none"/>
          <w:lang w:val="en-US" w:eastAsia="zh-CN"/>
        </w:rPr>
        <w:t>成熟政策大模型产品服务，支撑应用建设中政策解读、政策匹配、政策体检、企业成长规划等场景的开发。包括企业信息理解大模型、政策解读大模型、政策匹配大模型 、数字人大模型、政策评价报告大模型、AI智能问答大模型、政策体检大模型、企业成长规划大模型</w:t>
      </w:r>
      <w:r>
        <w:rPr>
          <w:rFonts w:hint="eastAsia" w:ascii="宋体" w:hAnsi="宋体" w:cs="宋体"/>
          <w:color w:val="auto"/>
          <w:spacing w:val="0"/>
          <w:sz w:val="21"/>
          <w:szCs w:val="21"/>
          <w:highlight w:val="none"/>
          <w:lang w:val="en-US" w:eastAsia="zh-CN"/>
        </w:rPr>
        <w:t>。</w:t>
      </w:r>
      <w:r>
        <w:rPr>
          <w:rFonts w:hint="eastAsia" w:ascii="宋体" w:hAnsi="宋体" w:eastAsia="宋体" w:cs="宋体"/>
          <w:color w:val="auto"/>
          <w:spacing w:val="0"/>
          <w:sz w:val="21"/>
          <w:szCs w:val="21"/>
          <w:highlight w:val="none"/>
          <w:lang w:val="en-US" w:eastAsia="zh-CN"/>
        </w:rPr>
        <w:t xml:space="preserve"> </w:t>
      </w:r>
    </w:p>
    <w:p w14:paraId="531A46A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643" w:leftChars="0" w:right="0" w:firstLine="643" w:firstLineChars="0"/>
        <w:jc w:val="both"/>
        <w:textAlignment w:val="auto"/>
        <w:outlineLvl w:val="2"/>
        <w:rPr>
          <w:rFonts w:hint="eastAsia" w:ascii="宋体" w:hAnsi="宋体" w:eastAsia="宋体" w:cs="宋体"/>
          <w:b/>
          <w:bCs/>
          <w:color w:val="auto"/>
          <w:spacing w:val="0"/>
          <w:sz w:val="21"/>
          <w:szCs w:val="21"/>
          <w:highlight w:val="none"/>
          <w:lang w:val="en-US" w:eastAsia="zh-CN"/>
        </w:rPr>
      </w:pPr>
      <w:r>
        <w:rPr>
          <w:rFonts w:hint="eastAsia" w:ascii="宋体" w:hAnsi="宋体" w:eastAsia="宋体" w:cs="宋体"/>
          <w:b/>
          <w:bCs/>
          <w:color w:val="auto"/>
          <w:spacing w:val="0"/>
          <w:kern w:val="2"/>
          <w:sz w:val="21"/>
          <w:szCs w:val="21"/>
          <w:highlight w:val="none"/>
          <w:lang w:val="en-US" w:eastAsia="zh-CN" w:bidi="ar-SA"/>
        </w:rPr>
        <w:t>十、</w:t>
      </w:r>
      <w:r>
        <w:rPr>
          <w:rFonts w:hint="eastAsia" w:ascii="宋体" w:hAnsi="宋体" w:eastAsia="宋体" w:cs="宋体"/>
          <w:b/>
          <w:bCs/>
          <w:color w:val="auto"/>
          <w:spacing w:val="0"/>
          <w:sz w:val="21"/>
          <w:szCs w:val="21"/>
          <w:highlight w:val="none"/>
          <w:lang w:val="en-US" w:eastAsia="zh-CN"/>
        </w:rPr>
        <w:t>系统设置</w:t>
      </w:r>
    </w:p>
    <w:p w14:paraId="36656CC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0"/>
        <w:jc w:val="both"/>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kern w:val="2"/>
          <w:sz w:val="21"/>
          <w:szCs w:val="21"/>
          <w:highlight w:val="none"/>
          <w:lang w:val="en-US" w:eastAsia="zh-CN" w:bidi="ar-SA"/>
        </w:rPr>
        <w:t>（一）</w:t>
      </w:r>
      <w:r>
        <w:rPr>
          <w:rFonts w:hint="eastAsia" w:ascii="宋体" w:hAnsi="宋体" w:eastAsia="宋体" w:cs="宋体"/>
          <w:color w:val="auto"/>
          <w:spacing w:val="0"/>
          <w:sz w:val="21"/>
          <w:szCs w:val="21"/>
          <w:highlight w:val="none"/>
          <w:lang w:val="en-US" w:eastAsia="zh-CN"/>
        </w:rPr>
        <w:t>用户管理</w:t>
      </w:r>
    </w:p>
    <w:p w14:paraId="7DC971C1">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实现政府用户组织架构管理、政府侧账号增删改查，以及企业用户名单展示、筛选、冻结与导出等用户管理功能。</w:t>
      </w:r>
    </w:p>
    <w:p w14:paraId="36F5F5D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0"/>
        <w:jc w:val="both"/>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kern w:val="2"/>
          <w:sz w:val="21"/>
          <w:szCs w:val="21"/>
          <w:highlight w:val="none"/>
          <w:lang w:val="en-US" w:eastAsia="zh-CN" w:bidi="ar-SA"/>
        </w:rPr>
        <w:t>（二）</w:t>
      </w:r>
      <w:r>
        <w:rPr>
          <w:rFonts w:hint="eastAsia" w:ascii="宋体" w:hAnsi="宋体" w:eastAsia="宋体" w:cs="宋体"/>
          <w:color w:val="auto"/>
          <w:spacing w:val="0"/>
          <w:sz w:val="21"/>
          <w:szCs w:val="21"/>
          <w:highlight w:val="none"/>
          <w:lang w:val="en-US" w:eastAsia="zh-CN"/>
        </w:rPr>
        <w:t>角色管理</w:t>
      </w:r>
    </w:p>
    <w:p w14:paraId="4C817859">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系统角色新增、删除、修改、查询等操作。</w:t>
      </w:r>
    </w:p>
    <w:p w14:paraId="4C7CD66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0"/>
        <w:jc w:val="both"/>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kern w:val="2"/>
          <w:sz w:val="21"/>
          <w:szCs w:val="21"/>
          <w:highlight w:val="none"/>
          <w:lang w:val="en-US" w:eastAsia="zh-CN" w:bidi="ar-SA"/>
        </w:rPr>
        <w:t>（三）</w:t>
      </w:r>
      <w:r>
        <w:rPr>
          <w:rFonts w:hint="eastAsia" w:ascii="宋体" w:hAnsi="宋体" w:eastAsia="宋体" w:cs="宋体"/>
          <w:color w:val="auto"/>
          <w:spacing w:val="0"/>
          <w:sz w:val="21"/>
          <w:szCs w:val="21"/>
          <w:highlight w:val="none"/>
          <w:lang w:val="en-US" w:eastAsia="zh-CN"/>
        </w:rPr>
        <w:t>权限管理</w:t>
      </w:r>
    </w:p>
    <w:p w14:paraId="24F8908D">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系统权限管理。支持对系统菜单和按钮做操作权限。</w:t>
      </w:r>
    </w:p>
    <w:p w14:paraId="70CCA3E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0"/>
        <w:jc w:val="both"/>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kern w:val="2"/>
          <w:sz w:val="21"/>
          <w:szCs w:val="21"/>
          <w:highlight w:val="none"/>
          <w:lang w:val="en-US" w:eastAsia="zh-CN" w:bidi="ar-SA"/>
        </w:rPr>
        <w:t>（四）</w:t>
      </w:r>
      <w:r>
        <w:rPr>
          <w:rFonts w:hint="eastAsia" w:ascii="宋体" w:hAnsi="宋体" w:eastAsia="宋体" w:cs="宋体"/>
          <w:color w:val="auto"/>
          <w:spacing w:val="0"/>
          <w:sz w:val="21"/>
          <w:szCs w:val="21"/>
          <w:highlight w:val="none"/>
          <w:lang w:val="en-US" w:eastAsia="zh-CN"/>
        </w:rPr>
        <w:t>日志管理</w:t>
      </w:r>
    </w:p>
    <w:p w14:paraId="19DE4976">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系统登录日志管理。</w:t>
      </w:r>
    </w:p>
    <w:p w14:paraId="57F8915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0"/>
        <w:jc w:val="both"/>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kern w:val="2"/>
          <w:sz w:val="21"/>
          <w:szCs w:val="21"/>
          <w:highlight w:val="none"/>
          <w:lang w:val="en-US" w:eastAsia="zh-CN" w:bidi="ar-SA"/>
        </w:rPr>
        <w:t>（五）</w:t>
      </w:r>
      <w:r>
        <w:rPr>
          <w:rFonts w:hint="eastAsia" w:ascii="宋体" w:hAnsi="宋体" w:eastAsia="宋体" w:cs="宋体"/>
          <w:color w:val="auto"/>
          <w:spacing w:val="0"/>
          <w:sz w:val="21"/>
          <w:szCs w:val="21"/>
          <w:highlight w:val="none"/>
          <w:lang w:val="en-US" w:eastAsia="zh-CN"/>
        </w:rPr>
        <w:t>通知中心</w:t>
      </w:r>
    </w:p>
    <w:p w14:paraId="41643D11">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提供平台内的实时消息交互服务，包括系统通知、管理员定向推送等功能。消息以红点标记未读状态，支持分类检索，确保消息的精准推送与数据安全。</w:t>
      </w:r>
    </w:p>
    <w:p w14:paraId="78085CD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0"/>
        <w:jc w:val="both"/>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kern w:val="2"/>
          <w:sz w:val="21"/>
          <w:szCs w:val="21"/>
          <w:highlight w:val="none"/>
          <w:lang w:val="en-US" w:eastAsia="zh-CN" w:bidi="ar-SA"/>
        </w:rPr>
        <w:t>（六）</w:t>
      </w:r>
      <w:r>
        <w:rPr>
          <w:rFonts w:hint="eastAsia" w:ascii="宋体" w:hAnsi="宋体" w:eastAsia="宋体" w:cs="宋体"/>
          <w:color w:val="auto"/>
          <w:spacing w:val="0"/>
          <w:sz w:val="21"/>
          <w:szCs w:val="21"/>
          <w:highlight w:val="none"/>
          <w:lang w:val="en-US" w:eastAsia="zh-CN"/>
        </w:rPr>
        <w:t>系统监测</w:t>
      </w:r>
    </w:p>
    <w:p w14:paraId="7C04365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200"/>
        <w:jc w:val="both"/>
        <w:textAlignment w:val="auto"/>
        <w:rPr>
          <w:rFonts w:hint="eastAsia" w:ascii="宋体" w:hAnsi="宋体" w:eastAsia="宋体" w:cs="宋体"/>
          <w:color w:val="auto"/>
          <w:spacing w:val="0"/>
          <w:sz w:val="21"/>
          <w:szCs w:val="21"/>
          <w:highlight w:val="none"/>
          <w:lang w:val="en-US" w:eastAsia="zh-CN"/>
        </w:rPr>
      </w:pPr>
      <w:r>
        <w:rPr>
          <w:rFonts w:hint="default" w:ascii="宋体" w:hAnsi="宋体" w:eastAsia="宋体" w:cs="宋体"/>
          <w:color w:val="auto"/>
          <w:spacing w:val="0"/>
          <w:kern w:val="2"/>
          <w:sz w:val="21"/>
          <w:szCs w:val="21"/>
          <w:highlight w:val="none"/>
          <w:lang w:val="en-US" w:eastAsia="zh-CN" w:bidi="ar-SA"/>
        </w:rPr>
        <w:t>1．</w:t>
      </w:r>
      <w:r>
        <w:rPr>
          <w:rFonts w:hint="eastAsia" w:ascii="宋体" w:hAnsi="宋体" w:eastAsia="宋体" w:cs="宋体"/>
          <w:color w:val="auto"/>
          <w:spacing w:val="0"/>
          <w:sz w:val="21"/>
          <w:szCs w:val="21"/>
          <w:highlight w:val="none"/>
          <w:lang w:val="en-US" w:eastAsia="zh-CN"/>
        </w:rPr>
        <w:t>用户行为监测</w:t>
      </w:r>
    </w:p>
    <w:p w14:paraId="3F56351E">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 xml:space="preserve">用户的登录次数、登录频率、最后登录时间、用户常用标签等行为的监测。 </w:t>
      </w:r>
    </w:p>
    <w:p w14:paraId="36FDCCF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200"/>
        <w:jc w:val="both"/>
        <w:textAlignment w:val="auto"/>
        <w:rPr>
          <w:rFonts w:hint="eastAsia" w:ascii="宋体" w:hAnsi="宋体" w:eastAsia="宋体" w:cs="宋体"/>
          <w:color w:val="auto"/>
          <w:spacing w:val="0"/>
          <w:sz w:val="21"/>
          <w:szCs w:val="21"/>
          <w:highlight w:val="none"/>
          <w:lang w:val="en-US" w:eastAsia="zh-CN"/>
        </w:rPr>
      </w:pPr>
      <w:r>
        <w:rPr>
          <w:rFonts w:hint="default" w:ascii="宋体" w:hAnsi="宋体" w:eastAsia="宋体" w:cs="宋体"/>
          <w:color w:val="auto"/>
          <w:spacing w:val="0"/>
          <w:kern w:val="2"/>
          <w:sz w:val="21"/>
          <w:szCs w:val="21"/>
          <w:highlight w:val="none"/>
          <w:lang w:val="en-US" w:eastAsia="zh-CN" w:bidi="ar-SA"/>
        </w:rPr>
        <w:t>2．</w:t>
      </w:r>
      <w:r>
        <w:rPr>
          <w:rFonts w:hint="eastAsia" w:ascii="宋体" w:hAnsi="宋体" w:eastAsia="宋体" w:cs="宋体"/>
          <w:color w:val="auto"/>
          <w:spacing w:val="0"/>
          <w:sz w:val="21"/>
          <w:szCs w:val="21"/>
          <w:highlight w:val="none"/>
          <w:lang w:val="en-US" w:eastAsia="zh-CN"/>
        </w:rPr>
        <w:t>流量监测</w:t>
      </w:r>
    </w:p>
    <w:p w14:paraId="6CE5F208">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系统PV、UV等流量、活跃度等埋点监测。</w:t>
      </w:r>
    </w:p>
    <w:p w14:paraId="210A7F2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0"/>
        <w:jc w:val="both"/>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kern w:val="2"/>
          <w:sz w:val="21"/>
          <w:szCs w:val="21"/>
          <w:highlight w:val="none"/>
          <w:lang w:val="en-US" w:eastAsia="zh-CN" w:bidi="ar-SA"/>
        </w:rPr>
        <w:t>（七）</w:t>
      </w:r>
      <w:r>
        <w:rPr>
          <w:rFonts w:hint="eastAsia" w:ascii="宋体" w:hAnsi="宋体" w:eastAsia="宋体" w:cs="宋体"/>
          <w:color w:val="auto"/>
          <w:spacing w:val="0"/>
          <w:sz w:val="21"/>
          <w:szCs w:val="21"/>
          <w:highlight w:val="none"/>
          <w:lang w:val="en-US" w:eastAsia="zh-CN"/>
        </w:rPr>
        <w:t>运营管理</w:t>
      </w:r>
    </w:p>
    <w:p w14:paraId="78F1C0E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200"/>
        <w:jc w:val="both"/>
        <w:textAlignment w:val="auto"/>
        <w:rPr>
          <w:rFonts w:hint="eastAsia" w:ascii="宋体" w:hAnsi="宋体" w:eastAsia="宋体" w:cs="宋体"/>
          <w:color w:val="auto"/>
          <w:spacing w:val="0"/>
          <w:sz w:val="21"/>
          <w:szCs w:val="21"/>
          <w:highlight w:val="none"/>
          <w:lang w:val="en-US" w:eastAsia="zh-CN"/>
        </w:rPr>
      </w:pPr>
      <w:r>
        <w:rPr>
          <w:rFonts w:hint="default" w:ascii="宋体" w:hAnsi="宋体" w:eastAsia="宋体" w:cs="宋体"/>
          <w:color w:val="auto"/>
          <w:spacing w:val="0"/>
          <w:kern w:val="2"/>
          <w:sz w:val="21"/>
          <w:szCs w:val="21"/>
          <w:highlight w:val="none"/>
          <w:lang w:val="en-US" w:eastAsia="zh-CN" w:bidi="ar-SA"/>
        </w:rPr>
        <w:t>1．</w:t>
      </w:r>
      <w:r>
        <w:rPr>
          <w:rFonts w:hint="eastAsia" w:ascii="宋体" w:hAnsi="宋体" w:eastAsia="宋体" w:cs="宋体"/>
          <w:color w:val="auto"/>
          <w:spacing w:val="0"/>
          <w:sz w:val="21"/>
          <w:szCs w:val="21"/>
          <w:highlight w:val="none"/>
          <w:lang w:val="en-US" w:eastAsia="zh-CN"/>
        </w:rPr>
        <w:t>解读内容上传</w:t>
      </w:r>
    </w:p>
    <w:p w14:paraId="23A34436">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 xml:space="preserve">系统后台支持对解读的内容进行上传、删除、排序等操作。 </w:t>
      </w:r>
    </w:p>
    <w:p w14:paraId="33E98C8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firstLineChars="200"/>
        <w:jc w:val="both"/>
        <w:textAlignment w:val="auto"/>
        <w:rPr>
          <w:rFonts w:hint="eastAsia" w:ascii="宋体" w:hAnsi="宋体" w:eastAsia="宋体" w:cs="宋体"/>
          <w:color w:val="auto"/>
          <w:spacing w:val="0"/>
          <w:sz w:val="21"/>
          <w:szCs w:val="21"/>
          <w:highlight w:val="none"/>
          <w:lang w:val="en-US" w:eastAsia="zh-CN"/>
        </w:rPr>
      </w:pPr>
      <w:r>
        <w:rPr>
          <w:rFonts w:hint="default" w:ascii="宋体" w:hAnsi="宋体" w:eastAsia="宋体" w:cs="宋体"/>
          <w:color w:val="auto"/>
          <w:spacing w:val="0"/>
          <w:kern w:val="2"/>
          <w:sz w:val="21"/>
          <w:szCs w:val="21"/>
          <w:highlight w:val="none"/>
          <w:lang w:val="en-US" w:eastAsia="zh-CN" w:bidi="ar-SA"/>
        </w:rPr>
        <w:t>2．</w:t>
      </w:r>
      <w:r>
        <w:rPr>
          <w:rFonts w:hint="eastAsia" w:ascii="宋体" w:hAnsi="宋体" w:eastAsia="宋体" w:cs="宋体"/>
          <w:color w:val="auto"/>
          <w:spacing w:val="0"/>
          <w:sz w:val="21"/>
          <w:szCs w:val="21"/>
          <w:highlight w:val="none"/>
          <w:lang w:val="en-US" w:eastAsia="zh-CN"/>
        </w:rPr>
        <w:t>浙企服务上架</w:t>
      </w:r>
    </w:p>
    <w:p w14:paraId="43D2FD5E">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 xml:space="preserve">后台提供服务上架的功能，便于及时上架和变更浙企服务应用链接。 </w:t>
      </w:r>
    </w:p>
    <w:p w14:paraId="54607506">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auto"/>
        <w:rPr>
          <w:rFonts w:hint="eastAsia" w:ascii="宋体" w:hAnsi="宋体" w:eastAsia="宋体" w:cs="宋体"/>
          <w:color w:val="auto"/>
          <w:spacing w:val="0"/>
          <w:sz w:val="21"/>
          <w:szCs w:val="21"/>
          <w:highlight w:val="none"/>
          <w:lang w:val="en-US" w:eastAsia="zh-CN"/>
        </w:rPr>
      </w:pPr>
    </w:p>
    <w:p w14:paraId="5CC603E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643" w:leftChars="0" w:right="0" w:firstLine="643" w:firstLineChars="0"/>
        <w:jc w:val="both"/>
        <w:textAlignment w:val="auto"/>
        <w:outlineLvl w:val="2"/>
        <w:rPr>
          <w:rFonts w:hint="eastAsia" w:ascii="宋体" w:hAnsi="宋体" w:eastAsia="宋体" w:cs="宋体"/>
          <w:b/>
          <w:bCs/>
          <w:color w:val="auto"/>
          <w:spacing w:val="0"/>
          <w:sz w:val="21"/>
          <w:szCs w:val="21"/>
          <w:highlight w:val="none"/>
          <w:lang w:val="en-US" w:eastAsia="zh-CN"/>
        </w:rPr>
      </w:pPr>
      <w:r>
        <w:rPr>
          <w:rFonts w:hint="eastAsia" w:ascii="宋体" w:hAnsi="宋体" w:eastAsia="宋体" w:cs="宋体"/>
          <w:b/>
          <w:bCs/>
          <w:color w:val="auto"/>
          <w:spacing w:val="0"/>
          <w:kern w:val="2"/>
          <w:sz w:val="21"/>
          <w:szCs w:val="21"/>
          <w:highlight w:val="none"/>
          <w:lang w:val="en-US" w:eastAsia="zh-CN" w:bidi="ar-SA"/>
        </w:rPr>
        <w:t>十一、</w:t>
      </w:r>
      <w:r>
        <w:rPr>
          <w:rFonts w:hint="eastAsia" w:ascii="宋体" w:hAnsi="宋体" w:eastAsia="宋体" w:cs="宋体"/>
          <w:b/>
          <w:bCs/>
          <w:color w:val="auto"/>
          <w:spacing w:val="0"/>
          <w:sz w:val="21"/>
          <w:szCs w:val="21"/>
          <w:highlight w:val="none"/>
          <w:lang w:val="en-US" w:eastAsia="zh-CN"/>
        </w:rPr>
        <w:t>其他需求</w:t>
      </w:r>
    </w:p>
    <w:p w14:paraId="596AED0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firstLine="420" w:firstLineChars="0"/>
        <w:jc w:val="both"/>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kern w:val="2"/>
          <w:sz w:val="21"/>
          <w:szCs w:val="21"/>
          <w:highlight w:val="none"/>
          <w:lang w:val="en-US" w:eastAsia="zh-CN" w:bidi="ar-SA"/>
        </w:rPr>
        <w:t>（一）</w:t>
      </w:r>
      <w:r>
        <w:rPr>
          <w:rFonts w:hint="eastAsia" w:ascii="宋体" w:hAnsi="宋体" w:eastAsia="宋体" w:cs="宋体"/>
          <w:color w:val="auto"/>
          <w:spacing w:val="0"/>
          <w:sz w:val="21"/>
          <w:szCs w:val="21"/>
          <w:highlight w:val="none"/>
          <w:lang w:val="en-US" w:eastAsia="zh-CN"/>
        </w:rPr>
        <w:t>系统国产化适配</w:t>
      </w:r>
    </w:p>
    <w:p w14:paraId="3D5DA4F5">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系统建设须严格遵循国家信创与国产化政策要求，全面适配国产软硬件生态，实现自主可控、安全可信、合规可用。</w:t>
      </w:r>
    </w:p>
    <w:p w14:paraId="510749C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firstLine="420" w:firstLineChars="0"/>
        <w:jc w:val="both"/>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kern w:val="2"/>
          <w:sz w:val="21"/>
          <w:szCs w:val="21"/>
          <w:highlight w:val="none"/>
          <w:lang w:val="en-US" w:eastAsia="zh-CN" w:bidi="ar-SA"/>
        </w:rPr>
        <w:t>（二）</w:t>
      </w:r>
      <w:r>
        <w:rPr>
          <w:rFonts w:hint="eastAsia" w:ascii="宋体" w:hAnsi="宋体" w:eastAsia="宋体" w:cs="宋体"/>
          <w:color w:val="auto"/>
          <w:spacing w:val="0"/>
          <w:sz w:val="21"/>
          <w:szCs w:val="21"/>
          <w:highlight w:val="none"/>
          <w:lang w:val="en-US" w:eastAsia="zh-CN"/>
        </w:rPr>
        <w:t>第三方测评</w:t>
      </w:r>
    </w:p>
    <w:p w14:paraId="64AC7D75">
      <w:pPr>
        <w:keepNext w:val="0"/>
        <w:keepLines w:val="0"/>
        <w:adjustRightInd/>
        <w:spacing w:before="0" w:beforeLines="0" w:after="0" w:afterLines="0" w:line="360" w:lineRule="auto"/>
        <w:ind w:left="0" w:firstLine="420" w:firstLineChars="200"/>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完成并通过网络安全等级保护第三级测评、商用密码应用安全性测评、软件测评、信创测评相关测评认证，全面满足安全合规与质量管控要求。</w:t>
      </w:r>
    </w:p>
    <w:p w14:paraId="271DA403">
      <w:pPr>
        <w:keepNext w:val="0"/>
        <w:keepLines w:val="0"/>
        <w:numPr>
          <w:ilvl w:val="0"/>
          <w:numId w:val="0"/>
        </w:numPr>
        <w:adjustRightInd/>
        <w:spacing w:before="0" w:beforeLines="0" w:after="0" w:afterLines="0" w:line="360" w:lineRule="auto"/>
        <w:ind w:left="0" w:firstLine="420" w:firstLineChars="0"/>
        <w:rPr>
          <w:rFonts w:hint="eastAsia" w:ascii="宋体" w:hAnsi="宋体" w:cs="宋体"/>
          <w:color w:val="auto"/>
          <w:szCs w:val="21"/>
          <w:highlight w:val="none"/>
          <w:lang w:val="en-US" w:eastAsia="zh-CN"/>
        </w:rPr>
      </w:pPr>
      <w:r>
        <w:rPr>
          <w:rFonts w:hint="eastAsia" w:ascii="宋体" w:hAnsi="宋体" w:eastAsia="宋体" w:cs="宋体"/>
          <w:color w:val="auto"/>
          <w:spacing w:val="0"/>
          <w:kern w:val="2"/>
          <w:sz w:val="21"/>
          <w:szCs w:val="21"/>
          <w:highlight w:val="none"/>
          <w:lang w:val="en-US" w:eastAsia="zh-CN" w:bidi="ar-SA"/>
        </w:rPr>
        <w:t>（</w:t>
      </w:r>
      <w:r>
        <w:rPr>
          <w:rFonts w:hint="eastAsia" w:ascii="宋体" w:hAnsi="宋体" w:cs="宋体"/>
          <w:color w:val="auto"/>
          <w:spacing w:val="0"/>
          <w:kern w:val="2"/>
          <w:sz w:val="21"/>
          <w:szCs w:val="21"/>
          <w:highlight w:val="none"/>
          <w:lang w:val="en-US" w:eastAsia="zh-CN" w:bidi="ar-SA"/>
        </w:rPr>
        <w:t>三</w:t>
      </w:r>
      <w:r>
        <w:rPr>
          <w:rFonts w:hint="eastAsia" w:ascii="宋体" w:hAnsi="宋体" w:eastAsia="宋体" w:cs="宋体"/>
          <w:color w:val="auto"/>
          <w:spacing w:val="0"/>
          <w:kern w:val="2"/>
          <w:sz w:val="21"/>
          <w:szCs w:val="21"/>
          <w:highlight w:val="none"/>
          <w:lang w:val="en-US" w:eastAsia="zh-CN" w:bidi="ar-SA"/>
        </w:rPr>
        <w:t>）</w:t>
      </w:r>
      <w:r>
        <w:rPr>
          <w:rFonts w:hint="eastAsia" w:ascii="宋体" w:hAnsi="宋体" w:cs="宋体"/>
          <w:i w:val="0"/>
          <w:iCs w:val="0"/>
          <w:color w:val="auto"/>
          <w:kern w:val="2"/>
          <w:sz w:val="21"/>
          <w:szCs w:val="21"/>
          <w:highlight w:val="none"/>
          <w:lang w:val="en-US" w:eastAsia="zh-CN" w:bidi="ar-SA"/>
          <w:woUserID w:val="0"/>
        </w:rPr>
        <w:t>投标人承诺</w:t>
      </w:r>
      <w:r>
        <w:rPr>
          <w:rFonts w:hint="eastAsia" w:ascii="宋体" w:hAnsi="宋体" w:eastAsia="宋体" w:cs="宋体"/>
          <w:i w:val="0"/>
          <w:iCs w:val="0"/>
          <w:color w:val="auto"/>
          <w:kern w:val="2"/>
          <w:sz w:val="21"/>
          <w:szCs w:val="21"/>
          <w:highlight w:val="none"/>
          <w:lang w:val="en-US" w:eastAsia="zh-CN" w:bidi="ar-SA"/>
          <w:woUserID w:val="0"/>
        </w:rPr>
        <w:t>在建设和质保期内的</w:t>
      </w:r>
      <w:r>
        <w:rPr>
          <w:rFonts w:hint="eastAsia" w:ascii="宋体" w:hAnsi="宋体" w:cs="宋体"/>
          <w:i w:val="0"/>
          <w:iCs w:val="0"/>
          <w:color w:val="auto"/>
          <w:kern w:val="2"/>
          <w:sz w:val="21"/>
          <w:szCs w:val="21"/>
          <w:highlight w:val="none"/>
          <w:lang w:val="en-US" w:eastAsia="zh-CN" w:bidi="ar-SA"/>
          <w:woUserID w:val="0"/>
        </w:rPr>
        <w:t>重要会议、活动期间，提供人员保障，驻点支持人员不少于2人。</w:t>
      </w:r>
    </w:p>
    <w:p w14:paraId="55087539">
      <w:pPr>
        <w:pageBreakBefore w:val="0"/>
        <w:numPr>
          <w:ilvl w:val="0"/>
          <w:numId w:val="0"/>
        </w:numPr>
        <w:kinsoku/>
        <w:wordWrap/>
        <w:overflowPunct/>
        <w:topLinePunct w:val="0"/>
        <w:bidi w:val="0"/>
        <w:adjustRightInd w:val="0"/>
        <w:snapToGrid w:val="0"/>
        <w:spacing w:line="360" w:lineRule="auto"/>
        <w:ind w:left="240" w:leftChars="0"/>
        <w:rPr>
          <w:rFonts w:hint="eastAsia" w:ascii="宋体" w:hAnsi="宋体" w:eastAsia="宋体" w:cs="宋体"/>
          <w:b/>
          <w:color w:val="auto"/>
          <w:sz w:val="21"/>
          <w:szCs w:val="21"/>
          <w:highlight w:val="none"/>
          <w:lang w:val="en-US" w:eastAsia="zh-CN"/>
        </w:rPr>
      </w:pPr>
    </w:p>
    <w:p w14:paraId="74DCA453">
      <w:pPr>
        <w:pageBreakBefore w:val="0"/>
        <w:numPr>
          <w:ilvl w:val="0"/>
          <w:numId w:val="0"/>
        </w:numPr>
        <w:kinsoku/>
        <w:wordWrap/>
        <w:overflowPunct/>
        <w:topLinePunct w:val="0"/>
        <w:bidi w:val="0"/>
        <w:adjustRightInd w:val="0"/>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十二</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实施工期</w:t>
      </w:r>
      <w:r>
        <w:rPr>
          <w:rFonts w:hint="eastAsia" w:ascii="宋体" w:hAnsi="宋体" w:eastAsia="宋体" w:cs="宋体"/>
          <w:b/>
          <w:color w:val="auto"/>
          <w:sz w:val="21"/>
          <w:szCs w:val="21"/>
          <w:highlight w:val="none"/>
        </w:rPr>
        <w:t>要求</w:t>
      </w:r>
    </w:p>
    <w:p w14:paraId="44FE1B62">
      <w:pPr>
        <w:widowControl/>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合同签订后</w:t>
      </w:r>
      <w:r>
        <w:rPr>
          <w:rFonts w:hint="eastAsia" w:ascii="宋体" w:hAnsi="宋体" w:cs="宋体"/>
          <w:color w:val="auto"/>
          <w:sz w:val="21"/>
          <w:szCs w:val="21"/>
          <w:highlight w:val="none"/>
          <w:lang w:val="en-US" w:eastAsia="zh-CN"/>
        </w:rPr>
        <w:t>10个月</w:t>
      </w:r>
      <w:r>
        <w:rPr>
          <w:rFonts w:hint="eastAsia" w:ascii="宋体" w:hAnsi="宋体" w:eastAsia="宋体" w:cs="宋体"/>
          <w:color w:val="auto"/>
          <w:sz w:val="21"/>
          <w:szCs w:val="21"/>
          <w:highlight w:val="none"/>
          <w:lang w:val="zh-CN"/>
        </w:rPr>
        <w:t>内完成项目的实施</w:t>
      </w:r>
      <w:r>
        <w:rPr>
          <w:rFonts w:hint="eastAsia" w:ascii="宋体" w:hAnsi="宋体" w:cs="宋体"/>
          <w:color w:val="auto"/>
          <w:sz w:val="21"/>
          <w:szCs w:val="21"/>
          <w:highlight w:val="none"/>
          <w:lang w:val="en-US" w:eastAsia="zh-CN"/>
        </w:rPr>
        <w:t>并通过终验</w:t>
      </w:r>
      <w:r>
        <w:rPr>
          <w:rFonts w:hint="eastAsia" w:ascii="宋体" w:hAnsi="宋体" w:eastAsia="宋体" w:cs="宋体"/>
          <w:color w:val="auto"/>
          <w:sz w:val="21"/>
          <w:szCs w:val="21"/>
          <w:highlight w:val="none"/>
        </w:rPr>
        <w:t>。其中建设工期为</w:t>
      </w:r>
      <w:r>
        <w:rPr>
          <w:rFonts w:hint="eastAsia" w:ascii="宋体" w:hAnsi="宋体" w:cs="宋体"/>
          <w:color w:val="auto"/>
          <w:sz w:val="21"/>
          <w:szCs w:val="21"/>
          <w:highlight w:val="none"/>
          <w:lang w:val="en-US" w:eastAsia="zh-CN"/>
        </w:rPr>
        <w:t>4个月</w:t>
      </w:r>
      <w:r>
        <w:rPr>
          <w:rFonts w:hint="eastAsia" w:ascii="宋体" w:hAnsi="宋体" w:eastAsia="宋体" w:cs="宋体"/>
          <w:color w:val="auto"/>
          <w:sz w:val="21"/>
          <w:szCs w:val="21"/>
          <w:highlight w:val="none"/>
        </w:rPr>
        <w:t>，试运行</w:t>
      </w:r>
      <w:r>
        <w:rPr>
          <w:rFonts w:hint="eastAsia" w:ascii="宋体" w:hAnsi="宋体" w:cs="宋体"/>
          <w:color w:val="auto"/>
          <w:sz w:val="21"/>
          <w:szCs w:val="21"/>
          <w:highlight w:val="none"/>
          <w:lang w:val="en-US" w:eastAsia="zh-CN"/>
        </w:rPr>
        <w:t>6个月</w:t>
      </w:r>
      <w:r>
        <w:rPr>
          <w:rFonts w:hint="eastAsia" w:ascii="宋体" w:hAnsi="宋体" w:eastAsia="宋体" w:cs="宋体"/>
          <w:color w:val="auto"/>
          <w:sz w:val="21"/>
          <w:szCs w:val="21"/>
          <w:highlight w:val="none"/>
        </w:rPr>
        <w:t>。</w:t>
      </w:r>
    </w:p>
    <w:p w14:paraId="219AF27D">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项目建设进度如下：</w:t>
      </w:r>
    </w:p>
    <w:p w14:paraId="71408904">
      <w:pPr>
        <w:keepNext w:val="0"/>
        <w:keepLines w:val="0"/>
        <w:pageBreakBefore w:val="0"/>
        <w:widowControl/>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val="zh-TW"/>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zh-TW" w:eastAsia="zh-TW"/>
        </w:rPr>
        <w:t>合同签订后7天内，</w:t>
      </w:r>
      <w:r>
        <w:rPr>
          <w:rFonts w:hint="eastAsia" w:ascii="宋体" w:hAnsi="宋体" w:eastAsia="宋体" w:cs="宋体"/>
          <w:color w:val="auto"/>
          <w:sz w:val="21"/>
          <w:szCs w:val="21"/>
          <w:highlight w:val="none"/>
          <w:lang w:val="zh-TW" w:eastAsia="zh-CN"/>
        </w:rPr>
        <w:t>中标人</w:t>
      </w:r>
      <w:r>
        <w:rPr>
          <w:rFonts w:hint="eastAsia" w:ascii="宋体" w:hAnsi="宋体" w:eastAsia="宋体" w:cs="宋体"/>
          <w:color w:val="auto"/>
          <w:sz w:val="21"/>
          <w:szCs w:val="21"/>
          <w:highlight w:val="none"/>
          <w:lang w:eastAsia="zh-TW"/>
        </w:rPr>
        <w:t>完成实施方案，并配合</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lang w:eastAsia="zh-TW"/>
        </w:rPr>
        <w:t>召开项目启动会</w:t>
      </w:r>
      <w:r>
        <w:rPr>
          <w:rFonts w:hint="eastAsia" w:ascii="宋体" w:hAnsi="宋体" w:eastAsia="宋体" w:cs="宋体"/>
          <w:color w:val="auto"/>
          <w:sz w:val="21"/>
          <w:szCs w:val="21"/>
          <w:highlight w:val="none"/>
          <w:lang w:val="zh-TW"/>
        </w:rPr>
        <w:t>；</w:t>
      </w:r>
    </w:p>
    <w:p w14:paraId="276295F4">
      <w:pPr>
        <w:keepNext w:val="0"/>
        <w:keepLines w:val="0"/>
        <w:pageBreakBefore w:val="0"/>
        <w:widowControl/>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val="zh-TW"/>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zh-TW" w:eastAsia="zh-TW"/>
        </w:rPr>
        <w:t>合同签订后</w:t>
      </w:r>
      <w:r>
        <w:rPr>
          <w:rFonts w:hint="eastAsia" w:ascii="宋体" w:hAnsi="宋体" w:cs="宋体"/>
          <w:color w:val="auto"/>
          <w:sz w:val="21"/>
          <w:szCs w:val="21"/>
          <w:highlight w:val="none"/>
          <w:lang w:val="en-US" w:eastAsia="zh-CN"/>
        </w:rPr>
        <w:t>4个月</w:t>
      </w:r>
      <w:r>
        <w:rPr>
          <w:rFonts w:hint="eastAsia" w:ascii="宋体" w:hAnsi="宋体" w:eastAsia="宋体" w:cs="宋体"/>
          <w:color w:val="auto"/>
          <w:sz w:val="21"/>
          <w:szCs w:val="21"/>
          <w:highlight w:val="none"/>
          <w:lang w:val="zh-TW" w:eastAsia="zh-TW"/>
        </w:rPr>
        <w:t>内，</w:t>
      </w:r>
      <w:r>
        <w:rPr>
          <w:rFonts w:hint="eastAsia" w:ascii="宋体" w:hAnsi="宋体" w:eastAsia="宋体" w:cs="宋体"/>
          <w:color w:val="auto"/>
          <w:sz w:val="21"/>
          <w:szCs w:val="21"/>
          <w:highlight w:val="none"/>
          <w:lang w:val="zh-TW" w:eastAsia="zh-CN"/>
        </w:rPr>
        <w:t>中标人</w:t>
      </w:r>
      <w:r>
        <w:rPr>
          <w:rFonts w:hint="eastAsia" w:ascii="宋体" w:hAnsi="宋体" w:eastAsia="宋体" w:cs="宋体"/>
          <w:color w:val="auto"/>
          <w:sz w:val="21"/>
          <w:szCs w:val="21"/>
          <w:highlight w:val="none"/>
          <w:lang w:val="zh-TW" w:eastAsia="zh-TW"/>
        </w:rPr>
        <w:t>完成所有系统的数据对接、系统开发、调试和部署工作，并完成</w:t>
      </w:r>
      <w:r>
        <w:rPr>
          <w:rFonts w:hint="eastAsia" w:ascii="宋体" w:hAnsi="宋体" w:eastAsia="宋体" w:cs="宋体"/>
          <w:color w:val="auto"/>
          <w:sz w:val="21"/>
          <w:szCs w:val="21"/>
          <w:highlight w:val="none"/>
          <w:lang w:eastAsia="zh-TW"/>
        </w:rPr>
        <w:t>相关过程文档的编写</w:t>
      </w:r>
      <w:r>
        <w:rPr>
          <w:rFonts w:hint="eastAsia" w:ascii="宋体" w:hAnsi="宋体" w:eastAsia="宋体" w:cs="宋体"/>
          <w:color w:val="auto"/>
          <w:sz w:val="21"/>
          <w:szCs w:val="21"/>
          <w:highlight w:val="none"/>
          <w:lang w:val="zh-TW" w:eastAsia="zh-TW"/>
        </w:rPr>
        <w:t>，并由</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lang w:val="zh-TW" w:eastAsia="zh-TW"/>
        </w:rPr>
        <w:t>出具初验报告后进入试运行</w:t>
      </w:r>
      <w:r>
        <w:rPr>
          <w:rFonts w:hint="eastAsia" w:ascii="宋体" w:hAnsi="宋体" w:eastAsia="宋体" w:cs="宋体"/>
          <w:color w:val="auto"/>
          <w:sz w:val="21"/>
          <w:szCs w:val="21"/>
          <w:highlight w:val="none"/>
          <w:lang w:val="zh-TW"/>
        </w:rPr>
        <w:t>；</w:t>
      </w:r>
    </w:p>
    <w:p w14:paraId="73AC0496">
      <w:pPr>
        <w:keepNext w:val="0"/>
        <w:keepLines w:val="0"/>
        <w:pageBreakBefore w:val="0"/>
        <w:widowControl/>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zh-TW" w:eastAsia="zh-TW"/>
        </w:rPr>
        <w:t>系统正常试运行</w:t>
      </w:r>
      <w:r>
        <w:rPr>
          <w:rFonts w:hint="eastAsia" w:ascii="宋体" w:hAnsi="宋体" w:cs="宋体"/>
          <w:color w:val="auto"/>
          <w:sz w:val="21"/>
          <w:szCs w:val="21"/>
          <w:highlight w:val="none"/>
          <w:lang w:val="en-US" w:eastAsia="zh-CN"/>
        </w:rPr>
        <w:t>6个月</w:t>
      </w:r>
      <w:r>
        <w:rPr>
          <w:rFonts w:hint="eastAsia" w:ascii="宋体" w:hAnsi="宋体" w:eastAsia="宋体" w:cs="宋体"/>
          <w:color w:val="auto"/>
          <w:sz w:val="21"/>
          <w:szCs w:val="21"/>
          <w:highlight w:val="none"/>
          <w:lang w:val="zh-TW" w:eastAsia="zh-TW"/>
        </w:rPr>
        <w:t>后，</w:t>
      </w:r>
      <w:r>
        <w:rPr>
          <w:rFonts w:hint="eastAsia" w:ascii="宋体" w:hAnsi="宋体" w:eastAsia="宋体" w:cs="宋体"/>
          <w:color w:val="auto"/>
          <w:sz w:val="21"/>
          <w:szCs w:val="21"/>
          <w:highlight w:val="none"/>
          <w:lang w:val="zh-TW" w:eastAsia="zh-CN"/>
        </w:rPr>
        <w:t>中标人</w:t>
      </w:r>
      <w:r>
        <w:rPr>
          <w:rFonts w:hint="eastAsia" w:ascii="宋体" w:hAnsi="宋体" w:eastAsia="宋体" w:cs="宋体"/>
          <w:color w:val="auto"/>
          <w:sz w:val="21"/>
          <w:szCs w:val="21"/>
          <w:highlight w:val="none"/>
          <w:lang w:val="zh-TW" w:eastAsia="zh-TW"/>
        </w:rPr>
        <w:t>向</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lang w:val="zh-TW" w:eastAsia="zh-TW"/>
        </w:rPr>
        <w:t>提交全部报告材料并</w:t>
      </w:r>
      <w:r>
        <w:rPr>
          <w:rFonts w:hint="eastAsia" w:ascii="宋体" w:hAnsi="宋体" w:eastAsia="宋体" w:cs="宋体"/>
          <w:color w:val="auto"/>
          <w:sz w:val="21"/>
          <w:szCs w:val="21"/>
          <w:highlight w:val="none"/>
          <w:lang w:val="en-US" w:eastAsia="zh-CN"/>
        </w:rPr>
        <w:t>进行</w:t>
      </w:r>
      <w:r>
        <w:rPr>
          <w:rFonts w:hint="eastAsia" w:ascii="宋体" w:hAnsi="宋体" w:eastAsia="宋体" w:cs="宋体"/>
          <w:color w:val="auto"/>
          <w:sz w:val="21"/>
          <w:szCs w:val="21"/>
          <w:highlight w:val="none"/>
          <w:lang w:val="zh-TW" w:eastAsia="zh-TW"/>
        </w:rPr>
        <w:t>项目</w:t>
      </w:r>
      <w:r>
        <w:rPr>
          <w:rFonts w:hint="eastAsia" w:ascii="宋体" w:hAnsi="宋体" w:eastAsia="宋体" w:cs="宋体"/>
          <w:color w:val="auto"/>
          <w:sz w:val="21"/>
          <w:szCs w:val="21"/>
          <w:highlight w:val="none"/>
          <w:lang w:val="en-US" w:eastAsia="zh-CN"/>
        </w:rPr>
        <w:t>最终</w:t>
      </w:r>
      <w:r>
        <w:rPr>
          <w:rFonts w:hint="eastAsia" w:ascii="宋体" w:hAnsi="宋体" w:eastAsia="宋体" w:cs="宋体"/>
          <w:color w:val="auto"/>
          <w:sz w:val="21"/>
          <w:szCs w:val="21"/>
          <w:highlight w:val="none"/>
          <w:lang w:val="zh-TW" w:eastAsia="zh-TW"/>
        </w:rPr>
        <w:t>验收</w:t>
      </w:r>
      <w:r>
        <w:rPr>
          <w:rFonts w:hint="eastAsia" w:ascii="宋体" w:hAnsi="宋体" w:eastAsia="宋体" w:cs="宋体"/>
          <w:color w:val="auto"/>
          <w:sz w:val="21"/>
          <w:szCs w:val="21"/>
          <w:highlight w:val="none"/>
          <w:lang w:val="zh-TW"/>
        </w:rPr>
        <w:t>。</w:t>
      </w:r>
    </w:p>
    <w:p w14:paraId="7543F33A">
      <w:pPr>
        <w:pStyle w:val="139"/>
        <w:keepNext w:val="0"/>
        <w:keepLines w:val="0"/>
        <w:pageBreakBefore w:val="0"/>
        <w:kinsoku/>
        <w:wordWrap/>
        <w:overflowPunct/>
        <w:topLinePunct w:val="0"/>
        <w:bidi w:val="0"/>
        <w:adjustRightInd/>
        <w:snapToGrid/>
        <w:spacing w:before="0" w:beforeLines="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TW" w:eastAsia="zh-CN"/>
        </w:rPr>
        <w:t>中标人</w:t>
      </w:r>
      <w:r>
        <w:rPr>
          <w:rFonts w:hint="eastAsia" w:ascii="宋体" w:hAnsi="宋体" w:eastAsia="宋体" w:cs="宋体"/>
          <w:color w:val="auto"/>
          <w:sz w:val="21"/>
          <w:szCs w:val="21"/>
          <w:highlight w:val="none"/>
        </w:rPr>
        <w:t>应严格按照项目建设进度的要求开展相应项目建设工作，未经</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书面同意，不得擅自改变项目建设期限。</w:t>
      </w:r>
    </w:p>
    <w:p w14:paraId="1D09287D">
      <w:pPr>
        <w:pageBreakBefore w:val="0"/>
        <w:kinsoku/>
        <w:wordWrap/>
        <w:overflowPunct/>
        <w:topLinePunct w:val="0"/>
        <w:bidi w:val="0"/>
        <w:adjustRightInd w:val="0"/>
        <w:snapToGrid w:val="0"/>
        <w:spacing w:line="360" w:lineRule="auto"/>
        <w:rPr>
          <w:rFonts w:hint="eastAsia" w:ascii="宋体" w:hAnsi="宋体" w:eastAsia="宋体" w:cs="宋体"/>
          <w:b/>
          <w:bCs/>
          <w:color w:val="auto"/>
          <w:sz w:val="21"/>
          <w:szCs w:val="21"/>
          <w:highlight w:val="none"/>
        </w:rPr>
      </w:pPr>
    </w:p>
    <w:p w14:paraId="52B2F4BE">
      <w:pPr>
        <w:pageBreakBefore w:val="0"/>
        <w:numPr>
          <w:ilvl w:val="0"/>
          <w:numId w:val="0"/>
        </w:numPr>
        <w:kinsoku/>
        <w:overflowPunct/>
        <w:topLinePunct w:val="0"/>
        <w:bidi w:val="0"/>
        <w:adjustRightInd w:val="0"/>
        <w:snapToGrid w:val="0"/>
        <w:spacing w:line="360" w:lineRule="auto"/>
        <w:ind w:left="-643" w:leftChars="0" w:firstLine="643" w:firstLineChars="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kern w:val="2"/>
          <w:sz w:val="21"/>
          <w:szCs w:val="21"/>
          <w:highlight w:val="none"/>
          <w:lang w:val="en-US" w:eastAsia="zh-CN" w:bidi="ar-SA"/>
        </w:rPr>
        <w:t>十</w:t>
      </w:r>
      <w:r>
        <w:rPr>
          <w:rFonts w:hint="eastAsia" w:ascii="宋体" w:hAnsi="宋体" w:cs="宋体"/>
          <w:b/>
          <w:bCs/>
          <w:color w:val="auto"/>
          <w:kern w:val="2"/>
          <w:sz w:val="21"/>
          <w:szCs w:val="21"/>
          <w:highlight w:val="none"/>
          <w:lang w:val="en-US" w:eastAsia="zh-CN" w:bidi="ar-SA"/>
        </w:rPr>
        <w:t>三</w:t>
      </w:r>
      <w:r>
        <w:rPr>
          <w:rFonts w:hint="eastAsia" w:ascii="宋体" w:hAnsi="宋体" w:eastAsia="宋体" w:cs="宋体"/>
          <w:b/>
          <w:bCs/>
          <w:color w:val="auto"/>
          <w:kern w:val="2"/>
          <w:sz w:val="21"/>
          <w:szCs w:val="21"/>
          <w:highlight w:val="none"/>
          <w:lang w:val="en-US" w:eastAsia="zh-CN" w:bidi="ar-SA"/>
        </w:rPr>
        <w:t>、</w:t>
      </w:r>
      <w:r>
        <w:rPr>
          <w:rFonts w:hint="eastAsia" w:ascii="宋体" w:hAnsi="宋体" w:eastAsia="宋体" w:cs="宋体"/>
          <w:b/>
          <w:bCs/>
          <w:color w:val="auto"/>
          <w:sz w:val="21"/>
          <w:szCs w:val="21"/>
          <w:highlight w:val="none"/>
          <w:lang w:eastAsia="zh-CN"/>
        </w:rPr>
        <w:t>服务期：</w:t>
      </w:r>
    </w:p>
    <w:p w14:paraId="38DBDE29">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eastAsia="zh-CN"/>
        </w:rPr>
        <w:t>中标人应在项目</w:t>
      </w:r>
      <w:r>
        <w:rPr>
          <w:rFonts w:hint="eastAsia" w:ascii="宋体" w:hAnsi="宋体" w:cs="宋体"/>
          <w:color w:val="auto"/>
          <w:sz w:val="21"/>
          <w:szCs w:val="21"/>
          <w:highlight w:val="none"/>
          <w:lang w:val="en-US" w:eastAsia="zh-CN"/>
        </w:rPr>
        <w:t>终验通过</w:t>
      </w:r>
      <w:r>
        <w:rPr>
          <w:rFonts w:hint="eastAsia" w:ascii="宋体" w:hAnsi="宋体" w:eastAsia="宋体" w:cs="宋体"/>
          <w:color w:val="auto"/>
          <w:sz w:val="21"/>
          <w:szCs w:val="21"/>
          <w:highlight w:val="none"/>
          <w:lang w:eastAsia="zh-CN"/>
        </w:rPr>
        <w:t>之日起提供</w:t>
      </w:r>
      <w:r>
        <w:rPr>
          <w:rFonts w:hint="eastAsia" w:ascii="宋体" w:hAnsi="宋体" w:cs="宋体"/>
          <w:color w:val="auto"/>
          <w:sz w:val="21"/>
          <w:szCs w:val="21"/>
          <w:highlight w:val="none"/>
          <w:lang w:val="en-US" w:eastAsia="zh-CN"/>
        </w:rPr>
        <w:t>一</w:t>
      </w:r>
      <w:r>
        <w:rPr>
          <w:rFonts w:hint="eastAsia" w:ascii="宋体" w:hAnsi="宋体" w:eastAsia="宋体" w:cs="宋体"/>
          <w:color w:val="auto"/>
          <w:sz w:val="21"/>
          <w:szCs w:val="21"/>
          <w:highlight w:val="none"/>
          <w:lang w:eastAsia="zh-CN"/>
        </w:rPr>
        <w:t>年的免费维护服务，维护人员具备独立承担日常维护的技术能力，及时响应服务需求。</w:t>
      </w:r>
    </w:p>
    <w:p w14:paraId="6F045313">
      <w:pPr>
        <w:pageBreakBefore w:val="0"/>
        <w:kinsoku/>
        <w:wordWrap/>
        <w:overflowPunct/>
        <w:topLinePunct w:val="0"/>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十</w:t>
      </w:r>
      <w:r>
        <w:rPr>
          <w:rFonts w:hint="eastAsia" w:ascii="宋体" w:hAnsi="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、付款方式：</w:t>
      </w:r>
    </w:p>
    <w:p w14:paraId="5942EC00">
      <w:pPr>
        <w:pageBreakBefore w:val="0"/>
        <w:kinsoku/>
        <w:wordWrap/>
        <w:overflowPunct/>
        <w:topLinePunct w:val="0"/>
        <w:bidi w:val="0"/>
        <w:adjustRightInd w:val="0"/>
        <w:snapToGrid w:val="0"/>
        <w:spacing w:line="360" w:lineRule="auto"/>
        <w:ind w:firstLine="211" w:firstLineChars="1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1.履约保证金：</w:t>
      </w:r>
      <w:r>
        <w:rPr>
          <w:rFonts w:hint="eastAsia" w:ascii="宋体" w:hAnsi="宋体" w:eastAsia="宋体" w:cs="宋体"/>
          <w:b/>
          <w:bCs/>
          <w:color w:val="auto"/>
          <w:sz w:val="21"/>
          <w:szCs w:val="21"/>
          <w:highlight w:val="none"/>
          <w:lang w:val="en-US" w:eastAsia="zh-CN"/>
        </w:rPr>
        <w:t xml:space="preserve">无 </w:t>
      </w:r>
    </w:p>
    <w:p w14:paraId="5587E628">
      <w:pPr>
        <w:pageBreakBefore w:val="0"/>
        <w:kinsoku/>
        <w:wordWrap/>
        <w:overflowPunct/>
        <w:topLinePunct w:val="0"/>
        <w:bidi w:val="0"/>
        <w:adjustRightInd w:val="0"/>
        <w:snapToGrid w:val="0"/>
        <w:spacing w:line="360" w:lineRule="auto"/>
        <w:ind w:firstLine="211" w:firstLineChars="1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2.付款方式：</w:t>
      </w:r>
    </w:p>
    <w:p w14:paraId="60DF6151">
      <w:pPr>
        <w:pageBreakBefore w:val="0"/>
        <w:kinsoku/>
        <w:wordWrap/>
        <w:overflowPunct/>
        <w:topLinePunct w:val="0"/>
        <w:bidi w:val="0"/>
        <w:adjustRightInd w:val="0"/>
        <w:snapToGrid w:val="0"/>
        <w:spacing w:before="48" w:beforeLines="20" w:after="48" w:afterLines="20" w:line="360" w:lineRule="auto"/>
        <w:ind w:left="42" w:leftChars="20" w:right="42" w:rightChars="2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2.1合同生效以及具备实施条件后7日内，采购人支付合同总价的50%作为合同预付款，</w:t>
      </w:r>
      <w:r>
        <w:rPr>
          <w:rFonts w:hint="eastAsia" w:ascii="宋体" w:hAnsi="宋体" w:eastAsia="宋体" w:cs="宋体"/>
          <w:bCs/>
          <w:color w:val="auto"/>
          <w:sz w:val="21"/>
          <w:szCs w:val="21"/>
          <w:highlight w:val="none"/>
        </w:rPr>
        <w:t>支付前</w:t>
      </w:r>
      <w:r>
        <w:rPr>
          <w:rFonts w:hint="eastAsia" w:ascii="宋体" w:hAnsi="宋体" w:eastAsia="宋体" w:cs="宋体"/>
          <w:bCs/>
          <w:color w:val="auto"/>
          <w:sz w:val="21"/>
          <w:szCs w:val="21"/>
          <w:highlight w:val="none"/>
          <w:lang w:eastAsia="zh-CN"/>
        </w:rPr>
        <w:t>中标人</w:t>
      </w:r>
      <w:r>
        <w:rPr>
          <w:rFonts w:hint="eastAsia" w:ascii="宋体" w:hAnsi="宋体" w:eastAsia="宋体" w:cs="宋体"/>
          <w:bCs/>
          <w:color w:val="auto"/>
          <w:sz w:val="21"/>
          <w:szCs w:val="21"/>
          <w:highlight w:val="none"/>
        </w:rPr>
        <w:t>应向</w:t>
      </w:r>
      <w:r>
        <w:rPr>
          <w:rFonts w:hint="eastAsia" w:ascii="宋体" w:hAnsi="宋体" w:eastAsia="宋体" w:cs="宋体"/>
          <w:bCs/>
          <w:color w:val="auto"/>
          <w:sz w:val="21"/>
          <w:szCs w:val="21"/>
          <w:highlight w:val="none"/>
          <w:lang w:eastAsia="zh-CN"/>
        </w:rPr>
        <w:t>采购人</w:t>
      </w:r>
      <w:r>
        <w:rPr>
          <w:rFonts w:hint="eastAsia" w:ascii="宋体" w:hAnsi="宋体" w:eastAsia="宋体" w:cs="宋体"/>
          <w:bCs/>
          <w:color w:val="auto"/>
          <w:sz w:val="21"/>
          <w:szCs w:val="21"/>
          <w:highlight w:val="none"/>
        </w:rPr>
        <w:t>开具相同金额的正式发票。</w:t>
      </w:r>
    </w:p>
    <w:p w14:paraId="62493922">
      <w:pPr>
        <w:pStyle w:val="33"/>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2.2</w:t>
      </w:r>
      <w:r>
        <w:rPr>
          <w:rFonts w:hint="eastAsia" w:ascii="宋体" w:hAnsi="宋体" w:eastAsia="宋体" w:cs="宋体"/>
          <w:bCs/>
          <w:color w:val="auto"/>
          <w:sz w:val="21"/>
          <w:szCs w:val="21"/>
          <w:highlight w:val="none"/>
        </w:rPr>
        <w:t>合同签订后</w:t>
      </w:r>
      <w:r>
        <w:rPr>
          <w:rFonts w:hint="eastAsia" w:hAnsi="宋体" w:cs="宋体"/>
          <w:bCs/>
          <w:color w:val="auto"/>
          <w:sz w:val="21"/>
          <w:szCs w:val="21"/>
          <w:highlight w:val="none"/>
          <w:lang w:val="en-US" w:eastAsia="zh-CN"/>
        </w:rPr>
        <w:t>4个月</w:t>
      </w:r>
      <w:r>
        <w:rPr>
          <w:rFonts w:hint="eastAsia" w:ascii="宋体" w:hAnsi="宋体" w:eastAsia="宋体" w:cs="宋体"/>
          <w:bCs/>
          <w:color w:val="auto"/>
          <w:sz w:val="21"/>
          <w:szCs w:val="21"/>
          <w:highlight w:val="none"/>
        </w:rPr>
        <w:t>内，</w:t>
      </w:r>
      <w:r>
        <w:rPr>
          <w:rFonts w:hint="eastAsia" w:ascii="宋体" w:hAnsi="宋体" w:eastAsia="宋体" w:cs="宋体"/>
          <w:bCs/>
          <w:color w:val="auto"/>
          <w:sz w:val="21"/>
          <w:szCs w:val="21"/>
          <w:highlight w:val="none"/>
          <w:lang w:eastAsia="zh-CN"/>
        </w:rPr>
        <w:t>中标人</w:t>
      </w:r>
      <w:r>
        <w:rPr>
          <w:rFonts w:hint="eastAsia" w:ascii="宋体" w:hAnsi="宋体" w:eastAsia="宋体" w:cs="宋体"/>
          <w:bCs/>
          <w:color w:val="auto"/>
          <w:sz w:val="21"/>
          <w:szCs w:val="21"/>
          <w:highlight w:val="none"/>
        </w:rPr>
        <w:t>完成所有系统的数据对接、系统开发、调试和部署工作，并且完成基础数据的录入，</w:t>
      </w:r>
      <w:r>
        <w:rPr>
          <w:rFonts w:hint="eastAsia" w:ascii="宋体" w:hAnsi="宋体" w:eastAsia="宋体" w:cs="宋体"/>
          <w:bCs/>
          <w:color w:val="auto"/>
          <w:sz w:val="21"/>
          <w:szCs w:val="21"/>
          <w:highlight w:val="none"/>
          <w:lang w:val="en-US" w:eastAsia="zh-CN"/>
        </w:rPr>
        <w:t>向采购人提交</w:t>
      </w:r>
      <w:r>
        <w:rPr>
          <w:rFonts w:hint="eastAsia" w:ascii="宋体" w:hAnsi="宋体" w:eastAsia="宋体" w:cs="宋体"/>
          <w:bCs/>
          <w:color w:val="auto"/>
          <w:sz w:val="21"/>
          <w:szCs w:val="21"/>
          <w:highlight w:val="none"/>
        </w:rPr>
        <w:t>提交初验申请报告和相关材料</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并通过采购人初验</w:t>
      </w:r>
      <w:r>
        <w:rPr>
          <w:rFonts w:hint="eastAsia" w:ascii="宋体" w:hAnsi="宋体" w:eastAsia="宋体" w:cs="宋体"/>
          <w:bCs/>
          <w:color w:val="auto"/>
          <w:sz w:val="21"/>
          <w:szCs w:val="21"/>
          <w:highlight w:val="none"/>
        </w:rPr>
        <w:t>后进入试运行</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lang w:eastAsia="zh-CN"/>
        </w:rPr>
        <w:t>采购人</w:t>
      </w:r>
      <w:r>
        <w:rPr>
          <w:rFonts w:hint="eastAsia" w:ascii="宋体" w:hAnsi="宋体" w:eastAsia="宋体" w:cs="宋体"/>
          <w:bCs/>
          <w:color w:val="auto"/>
          <w:sz w:val="21"/>
          <w:szCs w:val="21"/>
          <w:highlight w:val="none"/>
        </w:rPr>
        <w:t>向</w:t>
      </w:r>
      <w:r>
        <w:rPr>
          <w:rFonts w:hint="eastAsia" w:ascii="宋体" w:hAnsi="宋体" w:eastAsia="宋体" w:cs="宋体"/>
          <w:bCs/>
          <w:color w:val="auto"/>
          <w:sz w:val="21"/>
          <w:szCs w:val="21"/>
          <w:highlight w:val="none"/>
          <w:lang w:eastAsia="zh-CN"/>
        </w:rPr>
        <w:t>中标人</w:t>
      </w:r>
      <w:r>
        <w:rPr>
          <w:rFonts w:hint="eastAsia" w:ascii="宋体" w:hAnsi="宋体" w:eastAsia="宋体" w:cs="宋体"/>
          <w:bCs/>
          <w:color w:val="auto"/>
          <w:sz w:val="21"/>
          <w:szCs w:val="21"/>
          <w:highlight w:val="none"/>
        </w:rPr>
        <w:t>支付</w:t>
      </w:r>
      <w:r>
        <w:rPr>
          <w:rFonts w:hint="eastAsia" w:ascii="宋体" w:hAnsi="宋体" w:eastAsia="宋体" w:cs="宋体"/>
          <w:bCs/>
          <w:color w:val="auto"/>
          <w:sz w:val="21"/>
          <w:szCs w:val="21"/>
          <w:highlight w:val="none"/>
          <w:lang w:eastAsia="zh-CN"/>
        </w:rPr>
        <w:t>至</w:t>
      </w:r>
      <w:r>
        <w:rPr>
          <w:rFonts w:hint="eastAsia" w:ascii="宋体" w:hAnsi="宋体" w:eastAsia="宋体" w:cs="宋体"/>
          <w:bCs/>
          <w:color w:val="auto"/>
          <w:sz w:val="21"/>
          <w:szCs w:val="21"/>
          <w:highlight w:val="none"/>
        </w:rPr>
        <w:t>合同总金额</w:t>
      </w:r>
      <w:r>
        <w:rPr>
          <w:rFonts w:hint="eastAsia" w:ascii="宋体" w:hAnsi="宋体" w:eastAsia="宋体" w:cs="宋体"/>
          <w:bCs/>
          <w:color w:val="auto"/>
          <w:sz w:val="21"/>
          <w:szCs w:val="21"/>
          <w:highlight w:val="none"/>
          <w:u w:val="none"/>
          <w:lang w:val="en-US" w:eastAsia="zh-CN"/>
        </w:rPr>
        <w:t>80%</w:t>
      </w:r>
      <w:r>
        <w:rPr>
          <w:rFonts w:hint="eastAsia" w:ascii="宋体" w:hAnsi="宋体" w:eastAsia="宋体" w:cs="宋体"/>
          <w:bCs/>
          <w:color w:val="auto"/>
          <w:sz w:val="21"/>
          <w:szCs w:val="21"/>
          <w:highlight w:val="none"/>
        </w:rPr>
        <w:t>，支付前</w:t>
      </w:r>
      <w:r>
        <w:rPr>
          <w:rFonts w:hint="eastAsia" w:ascii="宋体" w:hAnsi="宋体" w:eastAsia="宋体" w:cs="宋体"/>
          <w:bCs/>
          <w:color w:val="auto"/>
          <w:sz w:val="21"/>
          <w:szCs w:val="21"/>
          <w:highlight w:val="none"/>
          <w:lang w:eastAsia="zh-CN"/>
        </w:rPr>
        <w:t>中标人</w:t>
      </w:r>
      <w:r>
        <w:rPr>
          <w:rFonts w:hint="eastAsia" w:ascii="宋体" w:hAnsi="宋体" w:eastAsia="宋体" w:cs="宋体"/>
          <w:bCs/>
          <w:color w:val="auto"/>
          <w:sz w:val="21"/>
          <w:szCs w:val="21"/>
          <w:highlight w:val="none"/>
        </w:rPr>
        <w:t>应向</w:t>
      </w:r>
      <w:r>
        <w:rPr>
          <w:rFonts w:hint="eastAsia" w:ascii="宋体" w:hAnsi="宋体" w:eastAsia="宋体" w:cs="宋体"/>
          <w:bCs/>
          <w:color w:val="auto"/>
          <w:sz w:val="21"/>
          <w:szCs w:val="21"/>
          <w:highlight w:val="none"/>
          <w:lang w:eastAsia="zh-CN"/>
        </w:rPr>
        <w:t>采购人</w:t>
      </w:r>
      <w:r>
        <w:rPr>
          <w:rFonts w:hint="eastAsia" w:ascii="宋体" w:hAnsi="宋体" w:eastAsia="宋体" w:cs="宋体"/>
          <w:bCs/>
          <w:color w:val="auto"/>
          <w:sz w:val="21"/>
          <w:szCs w:val="21"/>
          <w:highlight w:val="none"/>
        </w:rPr>
        <w:t>开具相同金额的正式发票</w:t>
      </w:r>
      <w:r>
        <w:rPr>
          <w:rFonts w:hint="eastAsia" w:ascii="宋体" w:hAnsi="宋体" w:eastAsia="宋体" w:cs="宋体"/>
          <w:bCs/>
          <w:color w:val="auto"/>
          <w:sz w:val="21"/>
          <w:szCs w:val="21"/>
          <w:highlight w:val="none"/>
          <w:u w:val="none"/>
          <w:lang w:val="en-US" w:eastAsia="zh-CN"/>
        </w:rPr>
        <w:t>；</w:t>
      </w:r>
    </w:p>
    <w:p w14:paraId="058A869D">
      <w:pPr>
        <w:pStyle w:val="33"/>
        <w:adjustRightInd w:val="0"/>
        <w:snapToGrid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2.3</w:t>
      </w:r>
      <w:r>
        <w:rPr>
          <w:rFonts w:hint="eastAsia" w:ascii="宋体" w:hAnsi="宋体" w:eastAsia="宋体" w:cs="宋体"/>
          <w:bCs/>
          <w:color w:val="auto"/>
          <w:sz w:val="21"/>
          <w:szCs w:val="21"/>
          <w:highlight w:val="none"/>
        </w:rPr>
        <w:t>系统正常试运行</w:t>
      </w:r>
      <w:r>
        <w:rPr>
          <w:rFonts w:hint="eastAsia" w:hAnsi="宋体" w:cs="宋体"/>
          <w:bCs/>
          <w:color w:val="auto"/>
          <w:sz w:val="21"/>
          <w:szCs w:val="21"/>
          <w:highlight w:val="none"/>
          <w:lang w:val="en-US" w:eastAsia="zh-CN"/>
        </w:rPr>
        <w:t>6个月</w:t>
      </w:r>
      <w:r>
        <w:rPr>
          <w:rFonts w:hint="eastAsia" w:ascii="宋体" w:hAnsi="宋体" w:eastAsia="宋体" w:cs="宋体"/>
          <w:bCs/>
          <w:color w:val="auto"/>
          <w:sz w:val="21"/>
          <w:szCs w:val="21"/>
          <w:highlight w:val="none"/>
        </w:rPr>
        <w:t>后，</w:t>
      </w:r>
      <w:r>
        <w:rPr>
          <w:rFonts w:hint="eastAsia" w:ascii="宋体" w:hAnsi="宋体" w:eastAsia="宋体" w:cs="宋体"/>
          <w:bCs/>
          <w:color w:val="auto"/>
          <w:sz w:val="21"/>
          <w:szCs w:val="21"/>
          <w:highlight w:val="none"/>
          <w:lang w:eastAsia="zh-CN"/>
        </w:rPr>
        <w:t>中标人</w:t>
      </w:r>
      <w:r>
        <w:rPr>
          <w:rFonts w:hint="eastAsia" w:ascii="宋体" w:hAnsi="宋体" w:eastAsia="宋体" w:cs="宋体"/>
          <w:bCs/>
          <w:color w:val="auto"/>
          <w:sz w:val="21"/>
          <w:szCs w:val="21"/>
          <w:highlight w:val="none"/>
        </w:rPr>
        <w:t>向</w:t>
      </w:r>
      <w:r>
        <w:rPr>
          <w:rFonts w:hint="eastAsia" w:ascii="宋体" w:hAnsi="宋体" w:eastAsia="宋体" w:cs="宋体"/>
          <w:bCs/>
          <w:color w:val="auto"/>
          <w:sz w:val="21"/>
          <w:szCs w:val="21"/>
          <w:highlight w:val="none"/>
          <w:lang w:eastAsia="zh-CN"/>
        </w:rPr>
        <w:t>采购人</w:t>
      </w:r>
      <w:r>
        <w:rPr>
          <w:rFonts w:hint="eastAsia" w:ascii="宋体" w:hAnsi="宋体" w:eastAsia="宋体" w:cs="宋体"/>
          <w:bCs/>
          <w:color w:val="auto"/>
          <w:sz w:val="21"/>
          <w:szCs w:val="21"/>
          <w:highlight w:val="none"/>
        </w:rPr>
        <w:t>提交全部报告材料并通过项目</w:t>
      </w:r>
      <w:r>
        <w:rPr>
          <w:rFonts w:hint="eastAsia" w:ascii="宋体" w:hAnsi="宋体" w:eastAsia="宋体" w:cs="宋体"/>
          <w:bCs/>
          <w:color w:val="auto"/>
          <w:sz w:val="21"/>
          <w:szCs w:val="21"/>
          <w:highlight w:val="none"/>
          <w:lang w:val="en-US" w:eastAsia="zh-CN"/>
        </w:rPr>
        <w:t>终验</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eastAsia="zh-CN"/>
        </w:rPr>
        <w:t>采购人</w:t>
      </w:r>
      <w:r>
        <w:rPr>
          <w:rFonts w:hint="eastAsia" w:ascii="宋体" w:hAnsi="宋体" w:eastAsia="宋体" w:cs="宋体"/>
          <w:bCs/>
          <w:color w:val="auto"/>
          <w:sz w:val="21"/>
          <w:szCs w:val="21"/>
          <w:highlight w:val="none"/>
        </w:rPr>
        <w:t>向</w:t>
      </w:r>
      <w:r>
        <w:rPr>
          <w:rFonts w:hint="eastAsia" w:ascii="宋体" w:hAnsi="宋体" w:eastAsia="宋体" w:cs="宋体"/>
          <w:bCs/>
          <w:color w:val="auto"/>
          <w:sz w:val="21"/>
          <w:szCs w:val="21"/>
          <w:highlight w:val="none"/>
          <w:lang w:eastAsia="zh-CN"/>
        </w:rPr>
        <w:t>中标人</w:t>
      </w:r>
      <w:r>
        <w:rPr>
          <w:rFonts w:hint="eastAsia" w:ascii="宋体" w:hAnsi="宋体" w:eastAsia="宋体" w:cs="宋体"/>
          <w:bCs/>
          <w:color w:val="auto"/>
          <w:sz w:val="21"/>
          <w:szCs w:val="21"/>
          <w:highlight w:val="none"/>
        </w:rPr>
        <w:t>支付</w:t>
      </w:r>
      <w:r>
        <w:rPr>
          <w:rFonts w:hint="eastAsia" w:ascii="宋体" w:hAnsi="宋体" w:eastAsia="宋体" w:cs="宋体"/>
          <w:bCs/>
          <w:color w:val="auto"/>
          <w:sz w:val="21"/>
          <w:szCs w:val="21"/>
          <w:highlight w:val="none"/>
          <w:lang w:eastAsia="zh-CN"/>
        </w:rPr>
        <w:t>至</w:t>
      </w:r>
      <w:r>
        <w:rPr>
          <w:rFonts w:hint="eastAsia" w:ascii="宋体" w:hAnsi="宋体" w:eastAsia="宋体" w:cs="宋体"/>
          <w:bCs/>
          <w:color w:val="auto"/>
          <w:sz w:val="21"/>
          <w:szCs w:val="21"/>
          <w:highlight w:val="none"/>
        </w:rPr>
        <w:t>合同总金额</w:t>
      </w:r>
      <w:r>
        <w:rPr>
          <w:rFonts w:hint="eastAsia" w:ascii="宋体" w:hAnsi="宋体" w:eastAsia="宋体" w:cs="宋体"/>
          <w:bCs/>
          <w:color w:val="auto"/>
          <w:sz w:val="21"/>
          <w:szCs w:val="21"/>
          <w:highlight w:val="none"/>
          <w:u w:val="none"/>
          <w:lang w:val="en-US" w:eastAsia="zh-CN"/>
        </w:rPr>
        <w:t>100%</w:t>
      </w:r>
      <w:r>
        <w:rPr>
          <w:rFonts w:hint="eastAsia" w:ascii="宋体" w:hAnsi="宋体" w:eastAsia="宋体" w:cs="宋体"/>
          <w:bCs/>
          <w:color w:val="auto"/>
          <w:sz w:val="21"/>
          <w:szCs w:val="21"/>
          <w:highlight w:val="none"/>
        </w:rPr>
        <w:t>，支付前</w:t>
      </w:r>
      <w:r>
        <w:rPr>
          <w:rFonts w:hint="eastAsia" w:ascii="宋体" w:hAnsi="宋体" w:eastAsia="宋体" w:cs="宋体"/>
          <w:bCs/>
          <w:color w:val="auto"/>
          <w:sz w:val="21"/>
          <w:szCs w:val="21"/>
          <w:highlight w:val="none"/>
          <w:lang w:eastAsia="zh-CN"/>
        </w:rPr>
        <w:t>中标人</w:t>
      </w:r>
      <w:r>
        <w:rPr>
          <w:rFonts w:hint="eastAsia" w:ascii="宋体" w:hAnsi="宋体" w:eastAsia="宋体" w:cs="宋体"/>
          <w:bCs/>
          <w:color w:val="auto"/>
          <w:sz w:val="21"/>
          <w:szCs w:val="21"/>
          <w:highlight w:val="none"/>
        </w:rPr>
        <w:t>应向</w:t>
      </w:r>
      <w:r>
        <w:rPr>
          <w:rFonts w:hint="eastAsia" w:ascii="宋体" w:hAnsi="宋体" w:eastAsia="宋体" w:cs="宋体"/>
          <w:bCs/>
          <w:color w:val="auto"/>
          <w:sz w:val="21"/>
          <w:szCs w:val="21"/>
          <w:highlight w:val="none"/>
          <w:lang w:eastAsia="zh-CN"/>
        </w:rPr>
        <w:t>采购人</w:t>
      </w:r>
      <w:r>
        <w:rPr>
          <w:rFonts w:hint="eastAsia" w:ascii="宋体" w:hAnsi="宋体" w:eastAsia="宋体" w:cs="宋体"/>
          <w:bCs/>
          <w:color w:val="auto"/>
          <w:sz w:val="21"/>
          <w:szCs w:val="21"/>
          <w:highlight w:val="none"/>
        </w:rPr>
        <w:t>开具相同金额的正式发票。验收涉及的费用由</w:t>
      </w:r>
      <w:r>
        <w:rPr>
          <w:rFonts w:hint="eastAsia" w:ascii="宋体" w:hAnsi="宋体" w:eastAsia="宋体" w:cs="宋体"/>
          <w:bCs/>
          <w:color w:val="auto"/>
          <w:sz w:val="21"/>
          <w:szCs w:val="21"/>
          <w:highlight w:val="none"/>
          <w:lang w:eastAsia="zh-CN"/>
        </w:rPr>
        <w:t>中标人</w:t>
      </w:r>
      <w:r>
        <w:rPr>
          <w:rFonts w:hint="eastAsia" w:ascii="宋体" w:hAnsi="宋体" w:eastAsia="宋体" w:cs="宋体"/>
          <w:bCs/>
          <w:color w:val="auto"/>
          <w:sz w:val="21"/>
          <w:szCs w:val="21"/>
          <w:highlight w:val="none"/>
        </w:rPr>
        <w:t>承担。</w:t>
      </w:r>
    </w:p>
    <w:p w14:paraId="63E07521">
      <w:pPr>
        <w:pStyle w:val="33"/>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2.</w:t>
      </w:r>
      <w:r>
        <w:rPr>
          <w:rFonts w:hint="default" w:hAnsi="宋体" w:cs="宋体"/>
          <w:bCs/>
          <w:color w:val="auto"/>
          <w:sz w:val="21"/>
          <w:szCs w:val="21"/>
          <w:highlight w:val="none"/>
          <w:lang w:eastAsia="zh-CN"/>
          <w:woUserID w:val="1"/>
        </w:rPr>
        <w:t>4</w:t>
      </w:r>
      <w:r>
        <w:rPr>
          <w:rFonts w:hint="eastAsia" w:ascii="宋体" w:hAnsi="宋体" w:eastAsia="宋体" w:cs="宋体"/>
          <w:bCs/>
          <w:color w:val="auto"/>
          <w:sz w:val="21"/>
          <w:szCs w:val="21"/>
          <w:highlight w:val="none"/>
        </w:rPr>
        <w:t>因</w:t>
      </w:r>
      <w:r>
        <w:rPr>
          <w:rFonts w:hint="eastAsia" w:ascii="宋体" w:hAnsi="宋体" w:eastAsia="宋体" w:cs="宋体"/>
          <w:bCs/>
          <w:color w:val="auto"/>
          <w:sz w:val="21"/>
          <w:szCs w:val="21"/>
          <w:highlight w:val="none"/>
          <w:lang w:eastAsia="zh-CN"/>
        </w:rPr>
        <w:t>中标人</w:t>
      </w:r>
      <w:r>
        <w:rPr>
          <w:rFonts w:hint="eastAsia" w:ascii="宋体" w:hAnsi="宋体" w:eastAsia="宋体" w:cs="宋体"/>
          <w:bCs/>
          <w:color w:val="auto"/>
          <w:sz w:val="21"/>
          <w:szCs w:val="21"/>
          <w:highlight w:val="none"/>
        </w:rPr>
        <w:t>未及时提供发票导致</w:t>
      </w:r>
      <w:r>
        <w:rPr>
          <w:rFonts w:hint="eastAsia" w:ascii="宋体" w:hAnsi="宋体" w:eastAsia="宋体" w:cs="宋体"/>
          <w:bCs/>
          <w:color w:val="auto"/>
          <w:sz w:val="21"/>
          <w:szCs w:val="21"/>
          <w:highlight w:val="none"/>
          <w:lang w:eastAsia="zh-CN"/>
        </w:rPr>
        <w:t>采购人</w:t>
      </w:r>
      <w:r>
        <w:rPr>
          <w:rFonts w:hint="eastAsia" w:ascii="宋体" w:hAnsi="宋体" w:eastAsia="宋体" w:cs="宋体"/>
          <w:bCs/>
          <w:color w:val="auto"/>
          <w:sz w:val="21"/>
          <w:szCs w:val="21"/>
          <w:highlight w:val="none"/>
        </w:rPr>
        <w:t>付款迟延的，不视为</w:t>
      </w:r>
      <w:r>
        <w:rPr>
          <w:rFonts w:hint="eastAsia" w:ascii="宋体" w:hAnsi="宋体" w:eastAsia="宋体" w:cs="宋体"/>
          <w:bCs/>
          <w:color w:val="auto"/>
          <w:sz w:val="21"/>
          <w:szCs w:val="21"/>
          <w:highlight w:val="none"/>
          <w:lang w:eastAsia="zh-CN"/>
        </w:rPr>
        <w:t>采购人</w:t>
      </w:r>
      <w:r>
        <w:rPr>
          <w:rFonts w:hint="eastAsia" w:ascii="宋体" w:hAnsi="宋体" w:eastAsia="宋体" w:cs="宋体"/>
          <w:bCs/>
          <w:color w:val="auto"/>
          <w:sz w:val="21"/>
          <w:szCs w:val="21"/>
          <w:highlight w:val="none"/>
        </w:rPr>
        <w:t>违约。</w:t>
      </w:r>
    </w:p>
    <w:p w14:paraId="22AB55F9">
      <w:pPr>
        <w:pageBreakBefore w:val="0"/>
        <w:kinsoku/>
        <w:wordWrap/>
        <w:overflowPunct/>
        <w:topLinePunct w:val="0"/>
        <w:bidi w:val="0"/>
        <w:adjustRightInd w:val="0"/>
        <w:snapToGrid w:val="0"/>
        <w:spacing w:line="360" w:lineRule="auto"/>
        <w:ind w:firstLine="422" w:firstLineChars="200"/>
        <w:jc w:val="left"/>
        <w:rPr>
          <w:rFonts w:hint="eastAsia" w:ascii="宋体" w:hAnsi="宋体" w:eastAsia="宋体" w:cs="宋体"/>
          <w:b/>
          <w:bCs/>
          <w:color w:val="auto"/>
          <w:sz w:val="21"/>
          <w:szCs w:val="21"/>
          <w:highlight w:val="none"/>
        </w:rPr>
      </w:pPr>
    </w:p>
    <w:p w14:paraId="5632ACBE">
      <w:pPr>
        <w:pageBreakBefore w:val="0"/>
        <w:kinsoku/>
        <w:wordWrap/>
        <w:overflowPunct/>
        <w:topLinePunct w:val="0"/>
        <w:bidi w:val="0"/>
        <w:adjustRightInd w:val="0"/>
        <w:snapToGrid w:val="0"/>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十</w:t>
      </w:r>
      <w:r>
        <w:rPr>
          <w:rFonts w:hint="eastAsia" w:ascii="宋体" w:hAnsi="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验收方式及方案：</w:t>
      </w:r>
    </w:p>
    <w:p w14:paraId="7A88DE95">
      <w:pPr>
        <w:pageBreakBefore w:val="0"/>
        <w:kinsoku/>
        <w:overflowPunct/>
        <w:topLinePunct w:val="0"/>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验收及保证</w:t>
      </w:r>
    </w:p>
    <w:p w14:paraId="78FA30D3">
      <w:pPr>
        <w:pageBreakBefore w:val="0"/>
        <w:kinsoku/>
        <w:overflowPunct/>
        <w:topLinePunct w:val="0"/>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1.第一阶段：合同签订后7天内，在项目需求范围内，中标人进一步优化需求分析、概要设计、详细设计，</w:t>
      </w:r>
      <w:r>
        <w:rPr>
          <w:rFonts w:hint="eastAsia" w:ascii="宋体" w:hAnsi="宋体" w:cs="宋体"/>
          <w:color w:val="auto"/>
          <w:sz w:val="21"/>
          <w:szCs w:val="21"/>
          <w:highlight w:val="none"/>
          <w:lang w:val="en-US" w:eastAsia="zh-CN"/>
        </w:rPr>
        <w:t>实施方案</w:t>
      </w:r>
      <w:r>
        <w:rPr>
          <w:rFonts w:hint="eastAsia" w:ascii="宋体" w:hAnsi="宋体" w:eastAsia="宋体" w:cs="宋体"/>
          <w:color w:val="auto"/>
          <w:sz w:val="21"/>
          <w:szCs w:val="21"/>
          <w:highlight w:val="none"/>
        </w:rPr>
        <w:t>和</w:t>
      </w:r>
      <w:r>
        <w:rPr>
          <w:rFonts w:hint="eastAsia" w:ascii="宋体" w:hAnsi="宋体" w:cs="宋体"/>
          <w:color w:val="auto"/>
          <w:sz w:val="21"/>
          <w:szCs w:val="21"/>
          <w:highlight w:val="none"/>
          <w:lang w:val="en-US" w:eastAsia="zh-CN"/>
        </w:rPr>
        <w:t>软件</w:t>
      </w:r>
      <w:r>
        <w:rPr>
          <w:rFonts w:hint="eastAsia" w:ascii="宋体" w:hAnsi="宋体" w:eastAsia="宋体" w:cs="宋体"/>
          <w:color w:val="auto"/>
          <w:sz w:val="21"/>
          <w:szCs w:val="21"/>
          <w:highlight w:val="none"/>
        </w:rPr>
        <w:t>测试方案，向采购人提供上述文档并经采购人审查，采购人可对前述内容提出修改意见，中标人应按照采购人的修改意见进行完善，直至满足采购人要求。</w:t>
      </w:r>
    </w:p>
    <w:p w14:paraId="7EC9D055">
      <w:pPr>
        <w:pageBreakBefore w:val="0"/>
        <w:kinsoku/>
        <w:overflowPunct/>
        <w:topLinePunct w:val="0"/>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2.第二阶段：合同签订后</w:t>
      </w:r>
      <w:r>
        <w:rPr>
          <w:rFonts w:hint="eastAsia" w:ascii="宋体" w:hAnsi="宋体" w:cs="宋体"/>
          <w:color w:val="auto"/>
          <w:sz w:val="21"/>
          <w:szCs w:val="21"/>
          <w:highlight w:val="none"/>
          <w:lang w:val="en-US" w:eastAsia="zh-CN"/>
        </w:rPr>
        <w:t>4个月</w:t>
      </w:r>
      <w:r>
        <w:rPr>
          <w:rFonts w:hint="eastAsia" w:ascii="宋体" w:hAnsi="宋体" w:eastAsia="宋体" w:cs="宋体"/>
          <w:color w:val="auto"/>
          <w:sz w:val="21"/>
          <w:szCs w:val="21"/>
          <w:highlight w:val="none"/>
        </w:rPr>
        <w:t>内，中标人完成所有系统部署、调试，并且完成培训，并由采购人出具初验报告后进入试运行，验收标准按合同约定及采购人要求执行。该阶段中，中标人进行的每一个系统部署均须向采购人进行确认，并根据采购人的意见进行系统调整与完善，直至满足采购人要求并出具初步验收报告后进入试运行；验收未通过的，采购人有权提出相关建议和意见要求中标人整改，直至中标人提供的软件达到采购人需求。</w:t>
      </w:r>
    </w:p>
    <w:p w14:paraId="07239A5F">
      <w:pPr>
        <w:pageBreakBefore w:val="0"/>
        <w:kinsoku/>
        <w:overflowPunct/>
        <w:topLinePunct w:val="0"/>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3.第三阶段：系统正常试运行</w:t>
      </w:r>
      <w:r>
        <w:rPr>
          <w:rFonts w:hint="eastAsia" w:ascii="宋体" w:hAnsi="宋体" w:cs="宋体"/>
          <w:color w:val="auto"/>
          <w:sz w:val="21"/>
          <w:szCs w:val="21"/>
          <w:highlight w:val="none"/>
          <w:lang w:val="en-US" w:eastAsia="zh-CN"/>
        </w:rPr>
        <w:t>6个月</w:t>
      </w:r>
      <w:r>
        <w:rPr>
          <w:rFonts w:hint="eastAsia" w:ascii="宋体" w:hAnsi="宋体" w:eastAsia="宋体" w:cs="宋体"/>
          <w:color w:val="auto"/>
          <w:sz w:val="21"/>
          <w:szCs w:val="21"/>
          <w:highlight w:val="none"/>
        </w:rPr>
        <w:t>后，中标人应在5个工作日内向采购人提交全部报告材料，并通过项目最终验收，验收标准按合同约定及采购人要求执行。验收未通过的，采购人有权提出相关建议和意见要求中标人整改，直至中标人提供的软件达到采购人需求。系统通过最终验收并正式交付使用后，进入免费维护期（自验收合格之次日起计算）。</w:t>
      </w:r>
    </w:p>
    <w:p w14:paraId="1DAD591B">
      <w:pPr>
        <w:pageBreakBefore w:val="0"/>
        <w:kinsoku/>
        <w:overflowPunct/>
        <w:topLinePunct w:val="0"/>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若维保期间系统无法运行且中标人无法解决，或出现重大缺陷故障等经中标人修复或修复后仍时常发生的，视为中标人违反合同约定，未交付合格系统。系统免费维护期过后，若因该软件本身或中标人原因所出现的问题，中标人仍应予以免费维护并修复。</w:t>
      </w:r>
    </w:p>
    <w:p w14:paraId="7352B0F4">
      <w:pPr>
        <w:pageBreakBefore w:val="0"/>
        <w:kinsoku/>
        <w:overflowPunct/>
        <w:topLinePunct w:val="0"/>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5.项目建设开始前，中标人应提前至少3日向采购人明确需求的材料，采购人根据项目需求向中标人提供相关材料，否则材料提供不及时或无法提供导致开发无法按时完成的责任由中标人承担。</w:t>
      </w:r>
    </w:p>
    <w:p w14:paraId="6436A180">
      <w:pPr>
        <w:pageBreakBefore w:val="0"/>
        <w:kinsoku/>
        <w:overflowPunct/>
        <w:topLinePunct w:val="0"/>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中标人不得在其提供的程序中加插和软件功能无关的程序或预留一些危害软件安全的漏洞。中标人应当保证提供的项目成果不得含有病毒，不含有色情、暴力，反动及违反国家法律规定的内容，且中标人提供的项目成果所需的图片及文案等因素均不侵害第三方的合法权利。如因前述问题导致采购人权益受损的，中标人应承担全部赔偿责任。</w:t>
      </w:r>
    </w:p>
    <w:p w14:paraId="5F538377">
      <w:pPr>
        <w:pageBreakBefore w:val="0"/>
        <w:kinsoku/>
        <w:overflowPunct/>
        <w:topLinePunct w:val="0"/>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中标人应当保证其交付给采购人的项目成果是完全利用自有条件自行研发，不侵犯任何第三人的合法权益，无权属纠纷。中标人因所提供的软项目成果侵犯他人合法权利的，由中标人承担侵权责任。采购人因此实际承担责任或产生损失的，有权要求中标人全额赔偿（损失赔偿范围包括但不限于：直接损失、消除或减少损失的费用、律师费、仲裁费、公证费、差旅费等，下同）。</w:t>
      </w:r>
    </w:p>
    <w:p w14:paraId="4880740D">
      <w:pPr>
        <w:pageBreakBefore w:val="0"/>
        <w:kinsoku/>
        <w:overflowPunct/>
        <w:topLinePunct w:val="0"/>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中标人承诺所提供的软件产品不含有后门、恶意代码等任何形式的安全隐患，因此引起安全事故的，采购人有权追索中标人责任，并要求中标人修复此等安全隐患，由此造成采购人损失，中标人应承担全部赔偿责任。</w:t>
      </w:r>
    </w:p>
    <w:p w14:paraId="0C4F9528">
      <w:pPr>
        <w:pageBreakBefore w:val="0"/>
        <w:kinsoku/>
        <w:overflowPunct/>
        <w:topLinePunct w:val="0"/>
        <w:bidi w:val="0"/>
        <w:adjustRightInd w:val="0"/>
        <w:snapToGrid w:val="0"/>
        <w:spacing w:line="360" w:lineRule="auto"/>
        <w:ind w:firstLine="420" w:firstLineChars="200"/>
        <w:rPr>
          <w:rFonts w:hint="eastAsia" w:ascii="宋体" w:hAnsi="宋体" w:eastAsia="宋体" w:cs="宋体"/>
          <w:bCs w:val="0"/>
          <w:color w:val="auto"/>
          <w:sz w:val="21"/>
          <w:szCs w:val="21"/>
          <w:highlight w:val="none"/>
        </w:rPr>
      </w:pPr>
      <w:r>
        <w:rPr>
          <w:rFonts w:hint="eastAsia" w:ascii="宋体" w:hAnsi="宋体" w:eastAsia="宋体" w:cs="宋体"/>
          <w:color w:val="auto"/>
          <w:sz w:val="21"/>
          <w:szCs w:val="21"/>
          <w:highlight w:val="none"/>
        </w:rPr>
        <w:t>9.如因项目验收工作导致中标人无法按期完成项目建设的，中标人应在期限到期前5个工作日内向采购人提交书面延期申请，经采购人审查认定延期理由及申请延期期限合理并同意后，方可延期。</w:t>
      </w:r>
    </w:p>
    <w:p w14:paraId="630EB620">
      <w:pPr>
        <w:pageBreakBefore w:val="0"/>
        <w:widowControl/>
        <w:numPr>
          <w:ilvl w:val="0"/>
          <w:numId w:val="0"/>
        </w:numPr>
        <w:kinsoku/>
        <w:wordWrap/>
        <w:overflowPunct/>
        <w:topLinePunct w:val="0"/>
        <w:bidi w:val="0"/>
        <w:adjustRightInd w:val="0"/>
        <w:snapToGrid w:val="0"/>
        <w:spacing w:line="360" w:lineRule="auto"/>
        <w:jc w:val="left"/>
        <w:rPr>
          <w:rFonts w:hint="eastAsia" w:ascii="宋体" w:hAnsi="宋体" w:eastAsia="宋体" w:cs="宋体"/>
          <w:b/>
          <w:bCs/>
          <w:color w:val="auto"/>
          <w:sz w:val="21"/>
          <w:szCs w:val="21"/>
          <w:highlight w:val="none"/>
          <w:lang w:val="zh-CN"/>
        </w:rPr>
      </w:pPr>
    </w:p>
    <w:p w14:paraId="0D266929">
      <w:pPr>
        <w:pageBreakBefore w:val="0"/>
        <w:widowControl/>
        <w:numPr>
          <w:ilvl w:val="0"/>
          <w:numId w:val="0"/>
        </w:numPr>
        <w:kinsoku/>
        <w:wordWrap/>
        <w:overflowPunct/>
        <w:topLinePunct w:val="0"/>
        <w:bidi w:val="0"/>
        <w:adjustRightInd w:val="0"/>
        <w:snapToGrid w:val="0"/>
        <w:spacing w:line="360" w:lineRule="auto"/>
        <w:jc w:val="left"/>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十</w:t>
      </w:r>
      <w:r>
        <w:rPr>
          <w:rFonts w:hint="eastAsia" w:ascii="宋体" w:hAnsi="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lang w:val="zh-CN"/>
        </w:rPr>
        <w:t>、其他要求：</w:t>
      </w:r>
    </w:p>
    <w:p w14:paraId="2E1E1B55">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b w:val="0"/>
          <w:bCs w:val="0"/>
          <w:color w:val="auto"/>
          <w:kern w:val="2"/>
          <w:sz w:val="21"/>
          <w:szCs w:val="21"/>
          <w:highlight w:val="none"/>
          <w:lang w:val="zh-TW" w:eastAsia="zh-CN" w:bidi="ar-SA"/>
        </w:rPr>
      </w:pPr>
      <w:r>
        <w:rPr>
          <w:rFonts w:hint="eastAsia" w:ascii="宋体" w:hAnsi="宋体" w:eastAsia="宋体" w:cs="宋体"/>
          <w:b w:val="0"/>
          <w:bCs w:val="0"/>
          <w:color w:val="auto"/>
          <w:kern w:val="2"/>
          <w:sz w:val="21"/>
          <w:szCs w:val="21"/>
          <w:highlight w:val="none"/>
          <w:lang w:val="en-US" w:eastAsia="zh-CN" w:bidi="ar-SA"/>
        </w:rPr>
        <w:t>1.</w:t>
      </w:r>
      <w:r>
        <w:rPr>
          <w:rFonts w:hint="eastAsia" w:ascii="宋体" w:hAnsi="宋体" w:eastAsia="宋体" w:cs="宋体"/>
          <w:color w:val="auto"/>
          <w:spacing w:val="6"/>
          <w:sz w:val="21"/>
          <w:szCs w:val="21"/>
          <w:highlight w:val="none"/>
        </w:rPr>
        <w:t>投标人</w:t>
      </w:r>
      <w:r>
        <w:rPr>
          <w:rFonts w:hint="eastAsia" w:ascii="宋体" w:hAnsi="宋体" w:eastAsia="宋体" w:cs="宋体"/>
          <w:color w:val="auto"/>
          <w:spacing w:val="6"/>
          <w:sz w:val="21"/>
          <w:szCs w:val="21"/>
          <w:highlight w:val="none"/>
          <w:lang w:val="en-US" w:eastAsia="zh-CN"/>
        </w:rPr>
        <w:t>具有</w:t>
      </w:r>
      <w:r>
        <w:rPr>
          <w:rFonts w:hint="eastAsia" w:ascii="宋体" w:hAnsi="宋体" w:eastAsia="宋体" w:cs="宋体"/>
          <w:color w:val="auto"/>
          <w:spacing w:val="6"/>
          <w:sz w:val="21"/>
          <w:szCs w:val="21"/>
          <w:highlight w:val="none"/>
        </w:rPr>
        <w:t>20</w:t>
      </w:r>
      <w:r>
        <w:rPr>
          <w:rFonts w:hint="eastAsia" w:ascii="宋体" w:hAnsi="宋体" w:eastAsia="宋体" w:cs="宋体"/>
          <w:color w:val="auto"/>
          <w:spacing w:val="6"/>
          <w:sz w:val="21"/>
          <w:szCs w:val="21"/>
          <w:highlight w:val="none"/>
          <w:lang w:val="en-US" w:eastAsia="zh-CN"/>
        </w:rPr>
        <w:t>2</w:t>
      </w:r>
      <w:r>
        <w:rPr>
          <w:rFonts w:hint="default" w:ascii="宋体" w:hAnsi="宋体" w:cs="宋体"/>
          <w:color w:val="auto"/>
          <w:spacing w:val="6"/>
          <w:sz w:val="21"/>
          <w:szCs w:val="21"/>
          <w:highlight w:val="none"/>
          <w:lang w:eastAsia="zh-CN"/>
          <w:woUserID w:val="1"/>
        </w:rPr>
        <w:t>2</w:t>
      </w:r>
      <w:r>
        <w:rPr>
          <w:rFonts w:hint="eastAsia" w:ascii="宋体" w:hAnsi="宋体" w:eastAsia="宋体" w:cs="宋体"/>
          <w:color w:val="auto"/>
          <w:spacing w:val="6"/>
          <w:sz w:val="21"/>
          <w:szCs w:val="21"/>
          <w:highlight w:val="none"/>
        </w:rPr>
        <w:t>年1月1日</w:t>
      </w:r>
      <w:r>
        <w:rPr>
          <w:rFonts w:hint="eastAsia" w:ascii="宋体" w:hAnsi="宋体" w:eastAsia="宋体" w:cs="宋体"/>
          <w:b w:val="0"/>
          <w:bCs w:val="0"/>
          <w:color w:val="auto"/>
          <w:kern w:val="2"/>
          <w:sz w:val="21"/>
          <w:szCs w:val="21"/>
          <w:highlight w:val="none"/>
          <w:lang w:val="zh-CN" w:eastAsia="zh-CN" w:bidi="ar-SA"/>
        </w:rPr>
        <w:t>至今（以合同签订时间为准）</w:t>
      </w:r>
      <w:r>
        <w:rPr>
          <w:rFonts w:hint="eastAsia" w:ascii="宋体" w:hAnsi="宋体" w:eastAsia="宋体" w:cs="宋体"/>
          <w:color w:val="auto"/>
          <w:spacing w:val="6"/>
          <w:sz w:val="21"/>
          <w:szCs w:val="21"/>
          <w:highlight w:val="none"/>
        </w:rPr>
        <w:t>类似</w:t>
      </w:r>
      <w:r>
        <w:rPr>
          <w:rFonts w:hint="eastAsia" w:ascii="宋体" w:hAnsi="宋体" w:eastAsia="宋体" w:cs="宋体"/>
          <w:color w:val="auto"/>
          <w:spacing w:val="6"/>
          <w:sz w:val="21"/>
          <w:szCs w:val="21"/>
          <w:highlight w:val="none"/>
          <w:lang w:val="en-US" w:eastAsia="zh-CN"/>
        </w:rPr>
        <w:t>系统</w:t>
      </w:r>
      <w:r>
        <w:rPr>
          <w:rFonts w:hint="eastAsia" w:ascii="宋体" w:hAnsi="宋体" w:eastAsia="宋体" w:cs="宋体"/>
          <w:color w:val="auto"/>
          <w:spacing w:val="6"/>
          <w:sz w:val="21"/>
          <w:szCs w:val="21"/>
          <w:highlight w:val="none"/>
          <w:lang w:eastAsia="zh-CN"/>
        </w:rPr>
        <w:t>平台</w:t>
      </w:r>
      <w:r>
        <w:rPr>
          <w:rFonts w:hint="eastAsia" w:ascii="宋体" w:hAnsi="宋体" w:eastAsia="宋体" w:cs="宋体"/>
          <w:color w:val="auto"/>
          <w:spacing w:val="6"/>
          <w:sz w:val="21"/>
          <w:szCs w:val="21"/>
          <w:highlight w:val="none"/>
          <w:lang w:val="en-US" w:eastAsia="zh-CN"/>
        </w:rPr>
        <w:t>建设</w:t>
      </w:r>
      <w:r>
        <w:rPr>
          <w:rFonts w:hint="eastAsia" w:ascii="宋体" w:hAnsi="宋体" w:eastAsia="宋体" w:cs="宋体"/>
          <w:color w:val="auto"/>
          <w:spacing w:val="6"/>
          <w:sz w:val="21"/>
          <w:szCs w:val="21"/>
          <w:highlight w:val="none"/>
        </w:rPr>
        <w:t>项目业绩</w:t>
      </w:r>
      <w:r>
        <w:rPr>
          <w:rFonts w:hint="eastAsia" w:ascii="宋体" w:hAnsi="宋体" w:eastAsia="宋体" w:cs="宋体"/>
          <w:b w:val="0"/>
          <w:bCs w:val="0"/>
          <w:color w:val="auto"/>
          <w:kern w:val="2"/>
          <w:sz w:val="21"/>
          <w:szCs w:val="21"/>
          <w:highlight w:val="none"/>
          <w:lang w:val="zh-TW" w:eastAsia="zh-CN" w:bidi="ar-SA"/>
        </w:rPr>
        <w:t>；</w:t>
      </w:r>
    </w:p>
    <w:p w14:paraId="5FD443F2">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b w:val="0"/>
          <w:bCs w:val="0"/>
          <w:color w:val="auto"/>
          <w:kern w:val="2"/>
          <w:sz w:val="21"/>
          <w:szCs w:val="21"/>
          <w:highlight w:val="none"/>
          <w:lang w:val="zh-TW" w:eastAsia="zh-CN" w:bidi="ar-SA"/>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sz w:val="21"/>
          <w:szCs w:val="21"/>
          <w:highlight w:val="none"/>
          <w:lang w:val="en-US" w:eastAsia="zh-CN"/>
        </w:rPr>
        <w:t>投标人具有有效期内的ISO9001质量管理体系认证证书(认证范围：类似计算机应用软件开发、信息系统集成及服务等)、ISO20000信息技术服务管理体系证书（认证范围：类似计算机应用软件开发、计算机软硬件运维服务等）、ISO27001信息安全管理体系认证证书认证范围：类似计算机信息系统集成、计算机应用软件开发及相关运维服务等)</w:t>
      </w:r>
      <w:r>
        <w:rPr>
          <w:rFonts w:hint="eastAsia" w:ascii="宋体" w:hAnsi="宋体" w:eastAsia="宋体" w:cs="宋体"/>
          <w:color w:val="auto"/>
          <w:sz w:val="21"/>
          <w:szCs w:val="21"/>
          <w:highlight w:val="none"/>
          <w:lang w:eastAsia="zh-CN"/>
        </w:rPr>
        <w:t>；</w:t>
      </w:r>
    </w:p>
    <w:p w14:paraId="60A58385">
      <w:pPr>
        <w:pStyle w:val="516"/>
        <w:pageBreakBefore w:val="0"/>
        <w:kinsoku/>
        <w:overflowPunct/>
        <w:topLinePunct w:val="0"/>
        <w:bidi w:val="0"/>
        <w:adjustRightInd w:val="0"/>
        <w:snapToGrid w:val="0"/>
        <w:spacing w:line="336" w:lineRule="auto"/>
        <w:ind w:left="0" w:leftChars="0" w:firstLine="400" w:firstLineChars="200"/>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kern w:val="2"/>
          <w:sz w:val="21"/>
          <w:szCs w:val="21"/>
          <w:highlight w:val="none"/>
          <w:lang w:val="en-US" w:eastAsia="zh-CN" w:bidi="ar-SA"/>
        </w:rPr>
        <w:t>3.</w:t>
      </w:r>
      <w:r>
        <w:rPr>
          <w:rFonts w:hint="eastAsia" w:ascii="宋体" w:hAnsi="宋体" w:eastAsia="宋体" w:cs="宋体"/>
          <w:color w:val="auto"/>
          <w:sz w:val="21"/>
          <w:szCs w:val="21"/>
          <w:highlight w:val="none"/>
          <w:lang w:eastAsia="zh-CN"/>
        </w:rPr>
        <w:t>投标人拟派项目经理</w:t>
      </w:r>
      <w:r>
        <w:rPr>
          <w:rFonts w:hint="eastAsia" w:ascii="宋体" w:hAnsi="宋体" w:eastAsia="宋体" w:cs="宋体"/>
          <w:color w:val="auto"/>
          <w:sz w:val="21"/>
          <w:szCs w:val="21"/>
          <w:highlight w:val="none"/>
          <w:lang w:eastAsia="zh-CN"/>
          <w:woUserID w:val="1"/>
        </w:rPr>
        <w:t>具有计算机等与本项目履约相关专业硕士及以上学历并具有人社部门颁发的高级工程师（信息技术相关专业）</w:t>
      </w:r>
      <w:r>
        <w:rPr>
          <w:rFonts w:hint="eastAsia" w:ascii="宋体" w:hAnsi="宋体" w:cs="宋体"/>
          <w:color w:val="auto"/>
          <w:sz w:val="21"/>
          <w:szCs w:val="21"/>
          <w:highlight w:val="none"/>
          <w:lang w:val="en-US" w:eastAsia="zh-CN"/>
          <w:woUserID w:val="1"/>
        </w:rPr>
        <w:t>证书</w:t>
      </w:r>
      <w:r>
        <w:rPr>
          <w:rFonts w:hint="eastAsia" w:ascii="宋体" w:hAnsi="宋体" w:eastAsia="宋体" w:cs="宋体"/>
          <w:color w:val="auto"/>
          <w:sz w:val="21"/>
          <w:szCs w:val="21"/>
          <w:highlight w:val="none"/>
          <w:lang w:eastAsia="zh-CN"/>
        </w:rPr>
        <w:t>的（响应文件中提供相关人员的证书扫描件及近三个月</w:t>
      </w:r>
      <w:r>
        <w:rPr>
          <w:rFonts w:hint="eastAsia" w:ascii="宋体" w:hAnsi="宋体" w:eastAsia="宋体" w:cs="宋体"/>
          <w:color w:val="auto"/>
          <w:sz w:val="21"/>
          <w:szCs w:val="21"/>
          <w:highlight w:val="none"/>
          <w:lang w:val="en-US" w:eastAsia="zh-CN"/>
        </w:rPr>
        <w:t>中任意一个月</w:t>
      </w:r>
      <w:r>
        <w:rPr>
          <w:rFonts w:hint="eastAsia" w:ascii="宋体" w:hAnsi="宋体" w:eastAsia="宋体" w:cs="宋体"/>
          <w:color w:val="auto"/>
          <w:sz w:val="21"/>
          <w:szCs w:val="21"/>
          <w:highlight w:val="none"/>
          <w:lang w:eastAsia="zh-CN"/>
        </w:rPr>
        <w:t>的社保缴纳证明扫描件）。</w:t>
      </w:r>
    </w:p>
    <w:p w14:paraId="6918D532">
      <w:pPr>
        <w:pStyle w:val="516"/>
        <w:pageBreakBefore w:val="0"/>
        <w:kinsoku/>
        <w:overflowPunct/>
        <w:topLinePunct w:val="0"/>
        <w:bidi w:val="0"/>
        <w:adjustRightInd w:val="0"/>
        <w:snapToGrid w:val="0"/>
        <w:spacing w:line="336" w:lineRule="auto"/>
        <w:ind w:left="0" w:leftChars="0" w:firstLine="40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投标人拟派项目技术负责人具有</w:t>
      </w:r>
      <w:r>
        <w:rPr>
          <w:rFonts w:hint="default" w:ascii="宋体" w:hAnsi="宋体" w:cs="宋体"/>
          <w:color w:val="auto"/>
          <w:sz w:val="21"/>
          <w:szCs w:val="21"/>
          <w:highlight w:val="none"/>
          <w:lang w:eastAsia="zh-CN"/>
          <w:woUserID w:val="1"/>
        </w:rPr>
        <w:t>系统架构设计师（高级）和软件设计师（中级）</w:t>
      </w:r>
      <w:r>
        <w:rPr>
          <w:rFonts w:hint="eastAsia" w:ascii="宋体" w:hAnsi="宋体" w:cs="宋体"/>
          <w:color w:val="auto"/>
          <w:sz w:val="21"/>
          <w:szCs w:val="21"/>
          <w:highlight w:val="none"/>
          <w:lang w:val="en-US" w:eastAsia="zh-CN"/>
          <w:woUserID w:val="1"/>
        </w:rPr>
        <w:t>证书</w:t>
      </w:r>
      <w:r>
        <w:rPr>
          <w:rFonts w:hint="eastAsia" w:ascii="宋体" w:hAnsi="宋体" w:eastAsia="宋体" w:cs="宋体"/>
          <w:color w:val="auto"/>
          <w:sz w:val="21"/>
          <w:szCs w:val="21"/>
          <w:highlight w:val="none"/>
          <w:lang w:eastAsia="zh-CN"/>
        </w:rPr>
        <w:t>（响应文件中提供相关人员的证书扫描件及近三个月</w:t>
      </w:r>
      <w:r>
        <w:rPr>
          <w:rFonts w:hint="eastAsia" w:ascii="宋体" w:hAnsi="宋体" w:eastAsia="宋体" w:cs="宋体"/>
          <w:color w:val="auto"/>
          <w:sz w:val="21"/>
          <w:szCs w:val="21"/>
          <w:highlight w:val="none"/>
          <w:lang w:val="en-US" w:eastAsia="zh-CN"/>
        </w:rPr>
        <w:t>中任意一个月</w:t>
      </w:r>
      <w:r>
        <w:rPr>
          <w:rFonts w:hint="eastAsia" w:ascii="宋体" w:hAnsi="宋体" w:eastAsia="宋体" w:cs="宋体"/>
          <w:color w:val="auto"/>
          <w:sz w:val="21"/>
          <w:szCs w:val="21"/>
          <w:highlight w:val="none"/>
          <w:lang w:eastAsia="zh-CN"/>
        </w:rPr>
        <w:t>的社保缴纳证明扫描件）。</w:t>
      </w:r>
    </w:p>
    <w:p w14:paraId="2FC98999">
      <w:pPr>
        <w:pStyle w:val="516"/>
        <w:pageBreakBefore w:val="0"/>
        <w:kinsoku/>
        <w:overflowPunct/>
        <w:topLinePunct w:val="0"/>
        <w:bidi w:val="0"/>
        <w:adjustRightInd w:val="0"/>
        <w:snapToGrid w:val="0"/>
        <w:spacing w:line="336" w:lineRule="auto"/>
        <w:ind w:left="0" w:leftChars="0" w:firstLine="400"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5.其</w:t>
      </w:r>
      <w:r>
        <w:rPr>
          <w:rFonts w:hint="eastAsia" w:ascii="宋体" w:hAnsi="宋体" w:eastAsia="宋体" w:cs="宋体"/>
          <w:color w:val="auto"/>
          <w:sz w:val="21"/>
          <w:szCs w:val="21"/>
          <w:highlight w:val="none"/>
          <w:lang w:eastAsia="zh-CN"/>
        </w:rPr>
        <w:t>他团队成员（除项目经理和技术负责人外），需具有信息系统项目管理师</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高级</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woUserID w:val="1"/>
        </w:rPr>
        <w:t>证书、系统集成项目管理工程师</w:t>
      </w:r>
      <w:r>
        <w:rPr>
          <w:rFonts w:hint="eastAsia" w:ascii="宋体" w:hAnsi="宋体" w:cs="宋体"/>
          <w:color w:val="auto"/>
          <w:sz w:val="21"/>
          <w:szCs w:val="21"/>
          <w:highlight w:val="none"/>
          <w:lang w:eastAsia="zh-CN"/>
          <w:woUserID w:val="1"/>
        </w:rPr>
        <w:t>、</w:t>
      </w:r>
      <w:r>
        <w:rPr>
          <w:rFonts w:hint="eastAsia" w:ascii="宋体" w:hAnsi="宋体" w:eastAsia="宋体" w:cs="宋体"/>
          <w:color w:val="auto"/>
          <w:sz w:val="21"/>
          <w:szCs w:val="21"/>
          <w:highlight w:val="none"/>
          <w:lang w:eastAsia="zh-CN"/>
          <w:woUserID w:val="1"/>
        </w:rPr>
        <w:t>软件设计师</w:t>
      </w:r>
      <w:r>
        <w:rPr>
          <w:rFonts w:hint="eastAsia" w:ascii="宋体" w:hAnsi="宋体" w:eastAsia="宋体" w:cs="宋体"/>
          <w:color w:val="auto"/>
          <w:sz w:val="21"/>
          <w:szCs w:val="21"/>
          <w:highlight w:val="none"/>
          <w:lang w:val="en-US" w:eastAsia="zh-CN"/>
          <w:woUserID w:val="1"/>
        </w:rPr>
        <w:t>证书</w:t>
      </w:r>
      <w:r>
        <w:rPr>
          <w:rFonts w:hint="eastAsia" w:ascii="宋体" w:hAnsi="宋体" w:eastAsia="宋体" w:cs="宋体"/>
          <w:color w:val="auto"/>
          <w:sz w:val="21"/>
          <w:szCs w:val="21"/>
          <w:highlight w:val="none"/>
          <w:lang w:eastAsia="zh-CN"/>
          <w:woUserID w:val="1"/>
        </w:rPr>
        <w:t>、网络规划设计师（高级）证书</w:t>
      </w:r>
      <w:r>
        <w:rPr>
          <w:rFonts w:hint="eastAsia" w:ascii="宋体" w:hAnsi="宋体" w:eastAsia="宋体" w:cs="宋体"/>
          <w:color w:val="auto"/>
          <w:sz w:val="21"/>
          <w:szCs w:val="21"/>
          <w:highlight w:val="none"/>
          <w:lang w:eastAsia="zh-CN"/>
        </w:rPr>
        <w:t>（响应文件中提供相关人员的证书扫描件及近三个月</w:t>
      </w:r>
      <w:r>
        <w:rPr>
          <w:rFonts w:hint="eastAsia" w:ascii="宋体" w:hAnsi="宋体" w:eastAsia="宋体" w:cs="宋体"/>
          <w:color w:val="auto"/>
          <w:sz w:val="21"/>
          <w:szCs w:val="21"/>
          <w:highlight w:val="none"/>
          <w:lang w:val="en-US" w:eastAsia="zh-CN"/>
        </w:rPr>
        <w:t>中任意一个月</w:t>
      </w:r>
      <w:r>
        <w:rPr>
          <w:rFonts w:hint="eastAsia" w:ascii="宋体" w:hAnsi="宋体" w:eastAsia="宋体" w:cs="宋体"/>
          <w:color w:val="auto"/>
          <w:sz w:val="21"/>
          <w:szCs w:val="21"/>
          <w:highlight w:val="none"/>
          <w:lang w:eastAsia="zh-CN"/>
        </w:rPr>
        <w:t>的社保缴纳证明扫描件）。</w:t>
      </w:r>
    </w:p>
    <w:p w14:paraId="278CD692">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b w:val="0"/>
          <w:bCs w:val="0"/>
          <w:color w:val="auto"/>
          <w:kern w:val="2"/>
          <w:sz w:val="21"/>
          <w:szCs w:val="21"/>
          <w:highlight w:val="none"/>
          <w:lang w:val="zh-CN" w:eastAsia="zh-TW" w:bidi="ar-SA"/>
        </w:rPr>
      </w:pPr>
      <w:r>
        <w:rPr>
          <w:rFonts w:hint="eastAsia" w:ascii="宋体" w:hAnsi="宋体" w:cs="宋体"/>
          <w:b w:val="0"/>
          <w:bCs w:val="0"/>
          <w:color w:val="auto"/>
          <w:kern w:val="2"/>
          <w:sz w:val="21"/>
          <w:szCs w:val="21"/>
          <w:highlight w:val="none"/>
          <w:lang w:val="en-US" w:eastAsia="zh-CN" w:bidi="ar-SA"/>
        </w:rPr>
        <w:t>6</w:t>
      </w:r>
      <w:r>
        <w:rPr>
          <w:rFonts w:hint="eastAsia" w:ascii="宋体" w:hAnsi="宋体" w:eastAsia="宋体" w:cs="宋体"/>
          <w:b w:val="0"/>
          <w:bCs w:val="0"/>
          <w:color w:val="auto"/>
          <w:kern w:val="2"/>
          <w:sz w:val="21"/>
          <w:szCs w:val="21"/>
          <w:highlight w:val="none"/>
          <w:lang w:val="en-US" w:eastAsia="zh-CN" w:bidi="ar-SA"/>
        </w:rPr>
        <w:t>.</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pacing w:val="6"/>
          <w:sz w:val="21"/>
          <w:szCs w:val="21"/>
          <w:highlight w:val="none"/>
          <w:lang w:val="en-US" w:eastAsia="zh-CN"/>
        </w:rPr>
        <w:t>需</w:t>
      </w:r>
      <w:r>
        <w:rPr>
          <w:rFonts w:hint="eastAsia" w:ascii="宋体" w:hAnsi="宋体" w:eastAsia="宋体" w:cs="宋体"/>
          <w:color w:val="auto"/>
          <w:sz w:val="21"/>
          <w:szCs w:val="21"/>
          <w:highlight w:val="none"/>
          <w:lang w:val="en-US" w:eastAsia="zh-CN"/>
        </w:rPr>
        <w:t>提出项目实施方案，包括</w:t>
      </w:r>
      <w:r>
        <w:rPr>
          <w:rFonts w:hint="eastAsia" w:ascii="宋体" w:hAnsi="宋体" w:cs="宋体"/>
          <w:color w:val="auto"/>
          <w:sz w:val="21"/>
          <w:szCs w:val="21"/>
          <w:highlight w:val="none"/>
          <w:lang w:val="en-US" w:eastAsia="zh-CN"/>
        </w:rPr>
        <w:t>实施规范</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组织架构、实施计划、实施保障措施、项目风险管理、项目安全保密</w:t>
      </w:r>
      <w:r>
        <w:rPr>
          <w:rFonts w:hint="eastAsia" w:ascii="宋体" w:hAnsi="宋体" w:eastAsia="宋体" w:cs="宋体"/>
          <w:color w:val="auto"/>
          <w:sz w:val="21"/>
          <w:szCs w:val="21"/>
          <w:highlight w:val="none"/>
          <w:lang w:val="en-US" w:eastAsia="zh-CN"/>
        </w:rPr>
        <w:t>等内容。</w:t>
      </w:r>
    </w:p>
    <w:p w14:paraId="5BDDCAC8">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auto"/>
          <w:kern w:val="2"/>
          <w:sz w:val="21"/>
          <w:szCs w:val="21"/>
          <w:highlight w:val="none"/>
          <w:lang w:val="zh-TW" w:eastAsia="zh-CN" w:bidi="ar-SA"/>
        </w:rPr>
      </w:pPr>
      <w:r>
        <w:rPr>
          <w:rFonts w:hint="eastAsia" w:ascii="宋体" w:hAnsi="宋体" w:cs="宋体"/>
          <w:color w:val="auto"/>
          <w:kern w:val="2"/>
          <w:sz w:val="21"/>
          <w:szCs w:val="21"/>
          <w:highlight w:val="none"/>
          <w:lang w:val="en-US" w:eastAsia="zh-CN" w:bidi="ar-SA"/>
        </w:rPr>
        <w:t>7</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pacing w:val="6"/>
          <w:sz w:val="21"/>
          <w:szCs w:val="21"/>
          <w:highlight w:val="none"/>
          <w:lang w:val="zh-CN"/>
        </w:rPr>
        <w:t>投标人</w:t>
      </w:r>
      <w:r>
        <w:rPr>
          <w:rFonts w:hint="eastAsia" w:ascii="宋体" w:hAnsi="宋体" w:eastAsia="宋体" w:cs="宋体"/>
          <w:color w:val="auto"/>
          <w:spacing w:val="6"/>
          <w:sz w:val="21"/>
          <w:szCs w:val="21"/>
          <w:highlight w:val="none"/>
          <w:lang w:val="en-US" w:eastAsia="zh-CN"/>
        </w:rPr>
        <w:t>需</w:t>
      </w:r>
      <w:r>
        <w:rPr>
          <w:rFonts w:hint="eastAsia" w:ascii="宋体" w:hAnsi="宋体" w:eastAsia="宋体" w:cs="宋体"/>
          <w:color w:val="auto"/>
          <w:spacing w:val="6"/>
          <w:sz w:val="21"/>
          <w:szCs w:val="21"/>
          <w:highlight w:val="none"/>
          <w:lang w:val="zh-CN"/>
        </w:rPr>
        <w:t>提供详细完整的</w:t>
      </w:r>
      <w:r>
        <w:rPr>
          <w:rFonts w:hint="eastAsia" w:ascii="宋体" w:hAnsi="宋体" w:cs="宋体"/>
          <w:color w:val="auto"/>
          <w:spacing w:val="6"/>
          <w:sz w:val="21"/>
          <w:szCs w:val="21"/>
          <w:highlight w:val="none"/>
          <w:lang w:val="en-US" w:eastAsia="zh-CN"/>
        </w:rPr>
        <w:t>系统测试、试运行</w:t>
      </w:r>
      <w:r>
        <w:rPr>
          <w:rFonts w:hint="eastAsia" w:ascii="宋体" w:hAnsi="宋体" w:eastAsia="宋体" w:cs="宋体"/>
          <w:color w:val="auto"/>
          <w:spacing w:val="6"/>
          <w:sz w:val="21"/>
          <w:szCs w:val="21"/>
          <w:highlight w:val="none"/>
        </w:rPr>
        <w:t>方案</w:t>
      </w:r>
      <w:r>
        <w:rPr>
          <w:rFonts w:hint="eastAsia" w:ascii="宋体" w:hAnsi="宋体" w:eastAsia="宋体" w:cs="宋体"/>
          <w:color w:val="auto"/>
          <w:spacing w:val="6"/>
          <w:sz w:val="21"/>
          <w:szCs w:val="21"/>
          <w:highlight w:val="none"/>
          <w:lang w:val="zh-CN"/>
        </w:rPr>
        <w:t>，包括</w:t>
      </w:r>
      <w:r>
        <w:rPr>
          <w:rFonts w:hint="eastAsia" w:ascii="宋体" w:hAnsi="宋体" w:cs="宋体"/>
          <w:color w:val="auto"/>
          <w:spacing w:val="6"/>
          <w:sz w:val="21"/>
          <w:szCs w:val="21"/>
          <w:highlight w:val="none"/>
          <w:lang w:val="en-US" w:eastAsia="zh-CN"/>
        </w:rPr>
        <w:t>测试</w:t>
      </w:r>
      <w:r>
        <w:rPr>
          <w:rFonts w:hint="eastAsia" w:ascii="宋体" w:hAnsi="宋体" w:eastAsia="宋体" w:cs="宋体"/>
          <w:color w:val="auto"/>
          <w:spacing w:val="6"/>
          <w:sz w:val="21"/>
          <w:szCs w:val="21"/>
          <w:highlight w:val="none"/>
        </w:rPr>
        <w:t>方案、</w:t>
      </w:r>
      <w:r>
        <w:rPr>
          <w:rFonts w:hint="eastAsia" w:ascii="宋体" w:hAnsi="宋体" w:cs="宋体"/>
          <w:color w:val="auto"/>
          <w:spacing w:val="6"/>
          <w:sz w:val="21"/>
          <w:szCs w:val="21"/>
          <w:highlight w:val="none"/>
          <w:lang w:val="en-US" w:eastAsia="zh-CN"/>
        </w:rPr>
        <w:t>试运行</w:t>
      </w:r>
      <w:r>
        <w:rPr>
          <w:rFonts w:hint="eastAsia" w:ascii="宋体" w:hAnsi="宋体" w:eastAsia="宋体" w:cs="宋体"/>
          <w:color w:val="auto"/>
          <w:spacing w:val="6"/>
          <w:sz w:val="21"/>
          <w:szCs w:val="21"/>
          <w:highlight w:val="none"/>
        </w:rPr>
        <w:t>方案</w:t>
      </w:r>
      <w:r>
        <w:rPr>
          <w:rFonts w:hint="eastAsia" w:ascii="宋体" w:hAnsi="宋体" w:eastAsia="宋体" w:cs="宋体"/>
          <w:color w:val="auto"/>
          <w:spacing w:val="6"/>
          <w:sz w:val="21"/>
          <w:szCs w:val="21"/>
          <w:highlight w:val="none"/>
          <w:lang w:val="zh-CN"/>
        </w:rPr>
        <w:t>等</w:t>
      </w:r>
      <w:r>
        <w:rPr>
          <w:rFonts w:hint="eastAsia" w:ascii="宋体" w:hAnsi="宋体" w:eastAsia="宋体" w:cs="宋体"/>
          <w:color w:val="auto"/>
          <w:spacing w:val="6"/>
          <w:sz w:val="21"/>
          <w:szCs w:val="21"/>
          <w:highlight w:val="none"/>
          <w:lang w:val="en-US" w:eastAsia="zh-CN"/>
        </w:rPr>
        <w:t>内容</w:t>
      </w:r>
      <w:r>
        <w:rPr>
          <w:rFonts w:hint="eastAsia" w:ascii="宋体" w:hAnsi="宋体" w:eastAsia="宋体" w:cs="宋体"/>
          <w:color w:val="auto"/>
          <w:spacing w:val="6"/>
          <w:sz w:val="21"/>
          <w:szCs w:val="21"/>
          <w:highlight w:val="none"/>
        </w:rPr>
        <w:t>；</w:t>
      </w:r>
    </w:p>
    <w:p w14:paraId="67AC3449">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auto"/>
          <w:spacing w:val="6"/>
          <w:sz w:val="21"/>
          <w:szCs w:val="21"/>
          <w:highlight w:val="none"/>
        </w:rPr>
      </w:pPr>
      <w:r>
        <w:rPr>
          <w:rFonts w:hint="eastAsia" w:ascii="宋体" w:hAnsi="宋体" w:cs="宋体"/>
          <w:color w:val="auto"/>
          <w:kern w:val="2"/>
          <w:sz w:val="21"/>
          <w:szCs w:val="21"/>
          <w:highlight w:val="none"/>
          <w:lang w:val="en-US" w:eastAsia="zh-CN" w:bidi="ar-SA"/>
        </w:rPr>
        <w:t>8</w:t>
      </w:r>
      <w:r>
        <w:rPr>
          <w:rFonts w:hint="eastAsia" w:ascii="宋体" w:hAnsi="宋体" w:eastAsia="宋体" w:cs="宋体"/>
          <w:color w:val="auto"/>
          <w:kern w:val="2"/>
          <w:sz w:val="21"/>
          <w:szCs w:val="21"/>
          <w:highlight w:val="none"/>
          <w:lang w:val="en-US" w:eastAsia="zh-CN" w:bidi="ar-SA"/>
        </w:rPr>
        <w:t>.</w:t>
      </w:r>
      <w:bookmarkStart w:id="68" w:name="_Toc7697"/>
      <w:r>
        <w:rPr>
          <w:rFonts w:hint="eastAsia" w:ascii="宋体" w:hAnsi="宋体" w:eastAsia="宋体" w:cs="宋体"/>
          <w:color w:val="auto"/>
          <w:sz w:val="21"/>
          <w:szCs w:val="21"/>
          <w:highlight w:val="none"/>
          <w:lang w:val="en-US" w:eastAsia="zh-CN"/>
        </w:rPr>
        <w:t>投标人需提供售后维护方案，包括具有较强的售后专业技术队伍及售后维护机构，快速的售后服务响应、运维期间的技术支持服务方案（</w:t>
      </w:r>
      <w:r>
        <w:rPr>
          <w:rFonts w:hint="eastAsia" w:ascii="宋体" w:hAnsi="宋体" w:cs="宋体"/>
          <w:color w:val="auto"/>
          <w:sz w:val="21"/>
          <w:szCs w:val="21"/>
          <w:highlight w:val="none"/>
          <w:lang w:val="en-US" w:eastAsia="zh-CN"/>
        </w:rPr>
        <w:t>售后服务承诺、售后服务内容、售后响应时间</w:t>
      </w:r>
      <w:r>
        <w:rPr>
          <w:rFonts w:hint="eastAsia" w:ascii="宋体" w:hAnsi="宋体" w:eastAsia="宋体" w:cs="宋体"/>
          <w:color w:val="auto"/>
          <w:sz w:val="21"/>
          <w:szCs w:val="21"/>
          <w:highlight w:val="none"/>
          <w:lang w:val="en-US" w:eastAsia="zh-CN"/>
        </w:rPr>
        <w:t>）等内容</w:t>
      </w:r>
      <w:r>
        <w:rPr>
          <w:rFonts w:hint="eastAsia" w:ascii="宋体" w:hAnsi="宋体" w:eastAsia="宋体" w:cs="宋体"/>
          <w:color w:val="auto"/>
          <w:spacing w:val="6"/>
          <w:sz w:val="21"/>
          <w:szCs w:val="21"/>
          <w:highlight w:val="none"/>
        </w:rPr>
        <w:t>；</w:t>
      </w:r>
      <w:bookmarkEnd w:id="68"/>
    </w:p>
    <w:p w14:paraId="57FFB207">
      <w:pPr>
        <w:pStyle w:val="23"/>
        <w:pageBreakBefore w:val="0"/>
        <w:kinsoku/>
        <w:overflowPunct/>
        <w:topLinePunct w:val="0"/>
        <w:bidi w:val="0"/>
        <w:adjustRightInd w:val="0"/>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hAnsi="宋体" w:cs="宋体"/>
          <w:b w:val="0"/>
          <w:bCs w:val="0"/>
          <w:color w:val="auto"/>
          <w:kern w:val="2"/>
          <w:sz w:val="21"/>
          <w:szCs w:val="21"/>
          <w:highlight w:val="none"/>
          <w:lang w:val="en-US" w:eastAsia="zh-CN" w:bidi="ar-SA"/>
        </w:rPr>
        <w:t>9</w:t>
      </w:r>
      <w:r>
        <w:rPr>
          <w:rFonts w:hint="eastAsia" w:ascii="宋体" w:hAnsi="宋体" w:eastAsia="宋体" w:cs="宋体"/>
          <w:b w:val="0"/>
          <w:bCs w:val="0"/>
          <w:color w:val="auto"/>
          <w:kern w:val="2"/>
          <w:sz w:val="21"/>
          <w:szCs w:val="21"/>
          <w:highlight w:val="none"/>
          <w:lang w:val="en-US" w:eastAsia="zh-CN" w:bidi="ar-SA"/>
        </w:rPr>
        <w:t>.</w:t>
      </w:r>
      <w:r>
        <w:rPr>
          <w:rFonts w:hint="eastAsia" w:ascii="宋体" w:hAnsi="宋体" w:eastAsia="宋体" w:cs="宋体"/>
          <w:i w:val="0"/>
          <w:iCs w:val="0"/>
          <w:caps w:val="0"/>
          <w:color w:val="auto"/>
          <w:spacing w:val="-5"/>
          <w:sz w:val="21"/>
          <w:szCs w:val="21"/>
          <w:highlight w:val="none"/>
        </w:rPr>
        <w:t>投标人</w:t>
      </w:r>
      <w:r>
        <w:rPr>
          <w:rFonts w:hint="eastAsia" w:ascii="宋体" w:hAnsi="宋体" w:eastAsia="宋体" w:cs="宋体"/>
          <w:i w:val="0"/>
          <w:iCs w:val="0"/>
          <w:caps w:val="0"/>
          <w:color w:val="auto"/>
          <w:spacing w:val="-5"/>
          <w:sz w:val="21"/>
          <w:szCs w:val="21"/>
          <w:highlight w:val="none"/>
          <w:lang w:val="en-US" w:eastAsia="zh-CN"/>
        </w:rPr>
        <w:t>需</w:t>
      </w:r>
      <w:r>
        <w:rPr>
          <w:rFonts w:hint="eastAsia" w:ascii="宋体" w:hAnsi="宋体" w:eastAsia="宋体" w:cs="宋体"/>
          <w:i w:val="0"/>
          <w:iCs w:val="0"/>
          <w:caps w:val="0"/>
          <w:color w:val="auto"/>
          <w:spacing w:val="-5"/>
          <w:sz w:val="21"/>
          <w:szCs w:val="21"/>
          <w:highlight w:val="none"/>
        </w:rPr>
        <w:t>提出</w:t>
      </w:r>
      <w:r>
        <w:rPr>
          <w:rFonts w:hint="eastAsia" w:hAnsi="宋体" w:cs="宋体"/>
          <w:i w:val="0"/>
          <w:iCs w:val="0"/>
          <w:caps w:val="0"/>
          <w:color w:val="auto"/>
          <w:spacing w:val="-5"/>
          <w:sz w:val="21"/>
          <w:szCs w:val="21"/>
          <w:highlight w:val="none"/>
          <w:lang w:val="en-US" w:eastAsia="zh-CN"/>
        </w:rPr>
        <w:t>突发情况及应对措施</w:t>
      </w:r>
      <w:r>
        <w:rPr>
          <w:rFonts w:hint="eastAsia" w:ascii="宋体" w:hAnsi="宋体" w:eastAsia="宋体" w:cs="宋体"/>
          <w:i w:val="0"/>
          <w:iCs w:val="0"/>
          <w:caps w:val="0"/>
          <w:color w:val="auto"/>
          <w:spacing w:val="-5"/>
          <w:sz w:val="21"/>
          <w:szCs w:val="21"/>
          <w:highlight w:val="none"/>
        </w:rPr>
        <w:t>等内容</w:t>
      </w:r>
      <w:r>
        <w:rPr>
          <w:rFonts w:hint="eastAsia" w:hAnsi="宋体" w:cs="宋体"/>
          <w:i w:val="0"/>
          <w:iCs w:val="0"/>
          <w:caps w:val="0"/>
          <w:color w:val="auto"/>
          <w:spacing w:val="-5"/>
          <w:sz w:val="21"/>
          <w:szCs w:val="21"/>
          <w:highlight w:val="none"/>
          <w:lang w:eastAsia="zh-CN"/>
        </w:rPr>
        <w:t>。</w:t>
      </w:r>
    </w:p>
    <w:p w14:paraId="00AB33CB">
      <w:pPr>
        <w:spacing w:line="360" w:lineRule="auto"/>
        <w:rPr>
          <w:rFonts w:hint="eastAsia" w:ascii="宋体" w:hAnsi="宋体" w:eastAsia="宋体" w:cs="宋体"/>
          <w:b/>
          <w:color w:val="auto"/>
          <w:sz w:val="36"/>
          <w:szCs w:val="36"/>
          <w:highlight w:val="none"/>
        </w:rPr>
      </w:pPr>
    </w:p>
    <w:p w14:paraId="64727568">
      <w:pPr>
        <w:spacing w:line="360" w:lineRule="auto"/>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p>
    <w:p w14:paraId="7B6EF182">
      <w:pPr>
        <w:spacing w:line="360" w:lineRule="auto"/>
        <w:jc w:val="center"/>
        <w:outlineLvl w:val="0"/>
        <w:rPr>
          <w:rFonts w:hint="eastAsia" w:ascii="宋体" w:hAnsi="宋体" w:eastAsia="宋体" w:cs="宋体"/>
          <w:b/>
          <w:color w:val="auto"/>
          <w:sz w:val="36"/>
          <w:szCs w:val="36"/>
          <w:highlight w:val="none"/>
        </w:rPr>
      </w:pPr>
      <w:bookmarkStart w:id="69" w:name="_Toc29346"/>
      <w:r>
        <w:rPr>
          <w:rFonts w:hint="eastAsia" w:ascii="宋体" w:hAnsi="宋体" w:eastAsia="宋体" w:cs="宋体"/>
          <w:b/>
          <w:color w:val="auto"/>
          <w:sz w:val="36"/>
          <w:szCs w:val="36"/>
          <w:highlight w:val="none"/>
        </w:rPr>
        <w:t xml:space="preserve">第四部分   </w:t>
      </w:r>
      <w:bookmarkStart w:id="70" w:name="_Toc184308096"/>
      <w:bookmarkEnd w:id="70"/>
      <w:bookmarkStart w:id="71" w:name="_Toc184314415"/>
      <w:bookmarkEnd w:id="71"/>
      <w:bookmarkStart w:id="72" w:name="_Toc184308088"/>
      <w:bookmarkEnd w:id="72"/>
      <w:bookmarkStart w:id="73" w:name="_Toc184314481"/>
      <w:bookmarkEnd w:id="73"/>
      <w:bookmarkStart w:id="74" w:name="_Toc184313244"/>
      <w:bookmarkEnd w:id="74"/>
      <w:bookmarkStart w:id="75" w:name="_Toc184313272"/>
      <w:bookmarkEnd w:id="75"/>
      <w:bookmarkStart w:id="76" w:name="_Toc184313289"/>
      <w:bookmarkEnd w:id="76"/>
      <w:bookmarkStart w:id="77" w:name="_Toc184312078"/>
      <w:bookmarkEnd w:id="77"/>
      <w:bookmarkStart w:id="78" w:name="_Toc184308101"/>
      <w:bookmarkEnd w:id="78"/>
      <w:bookmarkStart w:id="79" w:name="_Toc184313274"/>
      <w:bookmarkEnd w:id="79"/>
      <w:bookmarkStart w:id="80" w:name="_Toc184312135"/>
      <w:bookmarkEnd w:id="80"/>
      <w:bookmarkStart w:id="81" w:name="_Toc184314442"/>
      <w:bookmarkEnd w:id="81"/>
      <w:bookmarkStart w:id="82" w:name="_Toc184314451"/>
      <w:bookmarkEnd w:id="82"/>
      <w:bookmarkStart w:id="83" w:name="_Toc184314463"/>
      <w:bookmarkEnd w:id="83"/>
      <w:bookmarkStart w:id="84" w:name="_Toc184312128"/>
      <w:bookmarkEnd w:id="84"/>
      <w:bookmarkStart w:id="85" w:name="_Toc184312100"/>
      <w:bookmarkEnd w:id="85"/>
      <w:bookmarkStart w:id="86" w:name="_Toc184313283"/>
      <w:bookmarkEnd w:id="86"/>
      <w:bookmarkStart w:id="87" w:name="_Toc184313308"/>
      <w:bookmarkEnd w:id="87"/>
      <w:bookmarkStart w:id="88" w:name="_Toc184313279"/>
      <w:bookmarkEnd w:id="88"/>
      <w:bookmarkStart w:id="89" w:name="_Toc184310329"/>
      <w:bookmarkEnd w:id="89"/>
      <w:bookmarkStart w:id="90" w:name="_Toc184313292"/>
      <w:bookmarkEnd w:id="90"/>
      <w:bookmarkStart w:id="91" w:name="_Toc184308053"/>
      <w:bookmarkEnd w:id="91"/>
      <w:bookmarkStart w:id="92" w:name="_Toc184312067"/>
      <w:bookmarkEnd w:id="92"/>
      <w:bookmarkStart w:id="93" w:name="_Toc184312071"/>
      <w:bookmarkEnd w:id="93"/>
      <w:bookmarkStart w:id="94" w:name="_Toc184313305"/>
      <w:bookmarkEnd w:id="94"/>
      <w:bookmarkStart w:id="95" w:name="_Toc184313256"/>
      <w:bookmarkEnd w:id="95"/>
      <w:bookmarkStart w:id="96" w:name="_Toc184314443"/>
      <w:bookmarkEnd w:id="96"/>
      <w:bookmarkStart w:id="97" w:name="_Toc184308070"/>
      <w:bookmarkEnd w:id="97"/>
      <w:bookmarkStart w:id="98" w:name="_Toc184312117"/>
      <w:bookmarkEnd w:id="98"/>
      <w:bookmarkStart w:id="99" w:name="_Toc184310283"/>
      <w:bookmarkEnd w:id="99"/>
      <w:bookmarkStart w:id="100" w:name="_Toc184313306"/>
      <w:bookmarkEnd w:id="100"/>
      <w:bookmarkStart w:id="101" w:name="_Toc184308079"/>
      <w:bookmarkEnd w:id="101"/>
      <w:bookmarkStart w:id="102" w:name="_Toc184308092"/>
      <w:bookmarkEnd w:id="102"/>
      <w:bookmarkStart w:id="103" w:name="_Toc184312136"/>
      <w:bookmarkEnd w:id="103"/>
      <w:bookmarkStart w:id="104" w:name="_Toc184314412"/>
      <w:bookmarkEnd w:id="104"/>
      <w:bookmarkStart w:id="105" w:name="_Toc184312138"/>
      <w:bookmarkEnd w:id="105"/>
      <w:bookmarkStart w:id="106" w:name="_Toc184310323"/>
      <w:bookmarkEnd w:id="106"/>
      <w:bookmarkStart w:id="107" w:name="_Toc184313247"/>
      <w:bookmarkEnd w:id="107"/>
      <w:bookmarkStart w:id="108" w:name="_Toc184310340"/>
      <w:bookmarkEnd w:id="108"/>
      <w:bookmarkStart w:id="109" w:name="_Toc184314424"/>
      <w:bookmarkEnd w:id="109"/>
      <w:bookmarkStart w:id="110" w:name="_Toc184312127"/>
      <w:bookmarkEnd w:id="110"/>
      <w:bookmarkStart w:id="111" w:name="_Toc184310281"/>
      <w:bookmarkEnd w:id="111"/>
      <w:bookmarkStart w:id="112" w:name="_Toc184308078"/>
      <w:bookmarkEnd w:id="112"/>
      <w:bookmarkStart w:id="113" w:name="_Toc184312085"/>
      <w:bookmarkEnd w:id="113"/>
      <w:bookmarkStart w:id="114" w:name="_Toc184310310"/>
      <w:bookmarkEnd w:id="114"/>
      <w:bookmarkStart w:id="115" w:name="_Toc184313260"/>
      <w:bookmarkEnd w:id="115"/>
      <w:bookmarkStart w:id="116" w:name="_Toc184310290"/>
      <w:bookmarkEnd w:id="116"/>
      <w:bookmarkStart w:id="117" w:name="_Toc184314476"/>
      <w:bookmarkEnd w:id="117"/>
      <w:bookmarkStart w:id="118" w:name="_Toc184308065"/>
      <w:bookmarkEnd w:id="118"/>
      <w:bookmarkStart w:id="119" w:name="_Toc184310337"/>
      <w:bookmarkEnd w:id="119"/>
      <w:bookmarkStart w:id="120" w:name="_Toc184308086"/>
      <w:bookmarkEnd w:id="120"/>
      <w:bookmarkStart w:id="121" w:name="_Toc184308051"/>
      <w:bookmarkEnd w:id="121"/>
      <w:bookmarkStart w:id="122" w:name="_Toc184310312"/>
      <w:bookmarkEnd w:id="122"/>
      <w:bookmarkStart w:id="123" w:name="_Toc184312076"/>
      <w:bookmarkEnd w:id="123"/>
      <w:bookmarkStart w:id="124" w:name="_Toc184308081"/>
      <w:bookmarkEnd w:id="124"/>
      <w:bookmarkStart w:id="125" w:name="_Toc184310319"/>
      <w:bookmarkEnd w:id="125"/>
      <w:bookmarkStart w:id="126" w:name="_Toc184312126"/>
      <w:bookmarkEnd w:id="126"/>
      <w:bookmarkStart w:id="127" w:name="_Toc184314478"/>
      <w:bookmarkEnd w:id="127"/>
      <w:bookmarkStart w:id="128" w:name="_Toc184313291"/>
      <w:bookmarkEnd w:id="128"/>
      <w:bookmarkStart w:id="129" w:name="_Toc184314458"/>
      <w:bookmarkEnd w:id="129"/>
      <w:bookmarkStart w:id="130" w:name="_Toc184313271"/>
      <w:bookmarkEnd w:id="130"/>
      <w:bookmarkStart w:id="131" w:name="_Toc184312109"/>
      <w:bookmarkEnd w:id="131"/>
      <w:bookmarkStart w:id="132" w:name="_Toc184308041"/>
      <w:bookmarkEnd w:id="132"/>
      <w:bookmarkStart w:id="133" w:name="_Toc184314457"/>
      <w:bookmarkEnd w:id="133"/>
      <w:bookmarkStart w:id="134" w:name="_Toc184308067"/>
      <w:bookmarkEnd w:id="134"/>
      <w:bookmarkStart w:id="135" w:name="_Toc184313252"/>
      <w:bookmarkEnd w:id="135"/>
      <w:bookmarkStart w:id="136" w:name="_Toc184312090"/>
      <w:bookmarkEnd w:id="136"/>
      <w:bookmarkStart w:id="137" w:name="_Toc184312118"/>
      <w:bookmarkEnd w:id="137"/>
      <w:bookmarkStart w:id="138" w:name="_Toc184314480"/>
      <w:bookmarkEnd w:id="138"/>
      <w:bookmarkStart w:id="139" w:name="_Toc184314422"/>
      <w:bookmarkEnd w:id="139"/>
      <w:bookmarkStart w:id="140" w:name="_Toc184310314"/>
      <w:bookmarkEnd w:id="140"/>
      <w:bookmarkStart w:id="141" w:name="_Toc184313248"/>
      <w:bookmarkEnd w:id="141"/>
      <w:bookmarkStart w:id="142" w:name="_Toc184312137"/>
      <w:bookmarkEnd w:id="142"/>
      <w:bookmarkStart w:id="143" w:name="_Toc184310306"/>
      <w:bookmarkEnd w:id="143"/>
      <w:bookmarkStart w:id="144" w:name="_Toc184310300"/>
      <w:bookmarkEnd w:id="144"/>
      <w:bookmarkStart w:id="145" w:name="_Toc184313294"/>
      <w:bookmarkEnd w:id="145"/>
      <w:bookmarkStart w:id="146" w:name="_Toc184310331"/>
      <w:bookmarkEnd w:id="146"/>
      <w:bookmarkStart w:id="147" w:name="_Toc184314428"/>
      <w:bookmarkEnd w:id="147"/>
      <w:bookmarkStart w:id="148" w:name="_Toc184312068"/>
      <w:bookmarkEnd w:id="148"/>
      <w:bookmarkStart w:id="149" w:name="_Toc184308055"/>
      <w:bookmarkEnd w:id="149"/>
      <w:bookmarkStart w:id="150" w:name="_Toc184310316"/>
      <w:bookmarkEnd w:id="150"/>
      <w:bookmarkStart w:id="151" w:name="_Toc184312088"/>
      <w:bookmarkEnd w:id="151"/>
      <w:bookmarkStart w:id="152" w:name="_Toc184310295"/>
      <w:bookmarkEnd w:id="152"/>
      <w:bookmarkStart w:id="153" w:name="_Toc184313241"/>
      <w:bookmarkEnd w:id="153"/>
      <w:bookmarkStart w:id="154" w:name="_Toc184314465"/>
      <w:bookmarkEnd w:id="154"/>
      <w:bookmarkStart w:id="155" w:name="_Toc184314440"/>
      <w:bookmarkEnd w:id="155"/>
      <w:bookmarkStart w:id="156" w:name="_Toc184313298"/>
      <w:bookmarkEnd w:id="156"/>
      <w:bookmarkStart w:id="157" w:name="_Toc184314454"/>
      <w:bookmarkEnd w:id="157"/>
      <w:bookmarkStart w:id="158" w:name="_Toc184310280"/>
      <w:bookmarkEnd w:id="158"/>
      <w:bookmarkStart w:id="159" w:name="_Toc184312131"/>
      <w:bookmarkEnd w:id="159"/>
      <w:bookmarkStart w:id="160" w:name="_Toc184310293"/>
      <w:bookmarkEnd w:id="160"/>
      <w:bookmarkStart w:id="161" w:name="_Toc184308089"/>
      <w:bookmarkEnd w:id="161"/>
      <w:bookmarkStart w:id="162" w:name="_Toc184313287"/>
      <w:bookmarkEnd w:id="162"/>
      <w:bookmarkStart w:id="163" w:name="_Toc184308074"/>
      <w:bookmarkEnd w:id="163"/>
      <w:bookmarkStart w:id="164" w:name="_Toc184313290"/>
      <w:bookmarkEnd w:id="164"/>
      <w:bookmarkStart w:id="165" w:name="_Toc184313253"/>
      <w:bookmarkEnd w:id="165"/>
      <w:bookmarkStart w:id="166" w:name="_Toc184313288"/>
      <w:bookmarkEnd w:id="166"/>
      <w:bookmarkStart w:id="167" w:name="_Toc184312075"/>
      <w:bookmarkEnd w:id="167"/>
      <w:bookmarkStart w:id="168" w:name="_Toc184308038"/>
      <w:bookmarkEnd w:id="168"/>
      <w:bookmarkStart w:id="169" w:name="_Toc184310330"/>
      <w:bookmarkEnd w:id="169"/>
      <w:bookmarkStart w:id="170" w:name="_Toc184310336"/>
      <w:bookmarkEnd w:id="170"/>
      <w:bookmarkStart w:id="171" w:name="_Toc184312074"/>
      <w:bookmarkEnd w:id="171"/>
      <w:bookmarkStart w:id="172" w:name="_Toc184314416"/>
      <w:bookmarkEnd w:id="172"/>
      <w:bookmarkStart w:id="173" w:name="_Toc184313245"/>
      <w:bookmarkEnd w:id="173"/>
      <w:bookmarkStart w:id="174" w:name="_Toc184313240"/>
      <w:bookmarkEnd w:id="174"/>
      <w:bookmarkStart w:id="175" w:name="_Toc184313286"/>
      <w:bookmarkEnd w:id="175"/>
      <w:bookmarkStart w:id="176" w:name="_Toc184308056"/>
      <w:bookmarkEnd w:id="176"/>
      <w:bookmarkStart w:id="177" w:name="_Toc184308066"/>
      <w:bookmarkEnd w:id="177"/>
      <w:bookmarkStart w:id="178" w:name="_Toc184310296"/>
      <w:bookmarkEnd w:id="178"/>
      <w:bookmarkStart w:id="179" w:name="_Toc184312113"/>
      <w:bookmarkEnd w:id="179"/>
      <w:bookmarkStart w:id="180" w:name="_Toc184310325"/>
      <w:bookmarkEnd w:id="180"/>
      <w:bookmarkStart w:id="181" w:name="_Toc184314477"/>
      <w:bookmarkEnd w:id="181"/>
      <w:bookmarkStart w:id="182" w:name="_Toc184308090"/>
      <w:bookmarkEnd w:id="182"/>
      <w:bookmarkStart w:id="183" w:name="_Toc184310294"/>
      <w:bookmarkEnd w:id="183"/>
      <w:bookmarkStart w:id="184" w:name="_Toc184308044"/>
      <w:bookmarkEnd w:id="184"/>
      <w:bookmarkStart w:id="185" w:name="_Toc184308097"/>
      <w:bookmarkEnd w:id="185"/>
      <w:bookmarkStart w:id="186" w:name="_Toc184312070"/>
      <w:bookmarkEnd w:id="186"/>
      <w:bookmarkStart w:id="187" w:name="_Toc184314472"/>
      <w:bookmarkEnd w:id="187"/>
      <w:bookmarkStart w:id="188" w:name="_Toc184313262"/>
      <w:bookmarkEnd w:id="188"/>
      <w:bookmarkStart w:id="189" w:name="_Toc184313310"/>
      <w:bookmarkEnd w:id="189"/>
      <w:bookmarkStart w:id="190" w:name="_Toc184308080"/>
      <w:bookmarkEnd w:id="190"/>
      <w:bookmarkStart w:id="191" w:name="_Toc184308064"/>
      <w:bookmarkEnd w:id="191"/>
      <w:bookmarkStart w:id="192" w:name="_Toc184314410"/>
      <w:bookmarkEnd w:id="192"/>
      <w:bookmarkStart w:id="193" w:name="_Toc184310286"/>
      <w:bookmarkEnd w:id="193"/>
      <w:bookmarkStart w:id="194" w:name="_Toc184308068"/>
      <w:bookmarkEnd w:id="194"/>
      <w:bookmarkStart w:id="195" w:name="_Toc184314431"/>
      <w:bookmarkEnd w:id="195"/>
      <w:bookmarkStart w:id="196" w:name="_Toc184314444"/>
      <w:bookmarkEnd w:id="196"/>
      <w:bookmarkStart w:id="197" w:name="_Toc184313268"/>
      <w:bookmarkEnd w:id="197"/>
      <w:bookmarkStart w:id="198" w:name="_Toc184314474"/>
      <w:bookmarkEnd w:id="198"/>
      <w:bookmarkStart w:id="199" w:name="_Toc184310285"/>
      <w:bookmarkEnd w:id="199"/>
      <w:bookmarkStart w:id="200" w:name="_Toc184310324"/>
      <w:bookmarkEnd w:id="200"/>
      <w:bookmarkStart w:id="201" w:name="_Toc184314430"/>
      <w:bookmarkEnd w:id="201"/>
      <w:bookmarkStart w:id="202" w:name="_Toc184308077"/>
      <w:bookmarkEnd w:id="202"/>
      <w:bookmarkStart w:id="203" w:name="_Toc184312123"/>
      <w:bookmarkEnd w:id="203"/>
      <w:bookmarkStart w:id="204" w:name="_Toc184312094"/>
      <w:bookmarkEnd w:id="204"/>
      <w:bookmarkStart w:id="205" w:name="_Toc184312079"/>
      <w:bookmarkEnd w:id="205"/>
      <w:bookmarkStart w:id="206" w:name="_Toc184308057"/>
      <w:bookmarkEnd w:id="206"/>
      <w:bookmarkStart w:id="207" w:name="_Toc184308085"/>
      <w:bookmarkEnd w:id="207"/>
      <w:bookmarkStart w:id="208" w:name="_Toc184314475"/>
      <w:bookmarkEnd w:id="208"/>
      <w:bookmarkStart w:id="209" w:name="_Toc184313275"/>
      <w:bookmarkEnd w:id="209"/>
      <w:bookmarkStart w:id="210" w:name="_Toc184312124"/>
      <w:bookmarkEnd w:id="210"/>
      <w:bookmarkStart w:id="211" w:name="_Toc184314446"/>
      <w:bookmarkEnd w:id="211"/>
      <w:bookmarkStart w:id="212" w:name="_Toc184312115"/>
      <w:bookmarkEnd w:id="212"/>
      <w:bookmarkStart w:id="213" w:name="_Toc184314450"/>
      <w:bookmarkEnd w:id="213"/>
      <w:bookmarkStart w:id="214" w:name="_Toc184308063"/>
      <w:bookmarkEnd w:id="214"/>
      <w:bookmarkStart w:id="215" w:name="_Toc184308083"/>
      <w:bookmarkEnd w:id="215"/>
      <w:bookmarkStart w:id="216" w:name="_Toc184308102"/>
      <w:bookmarkEnd w:id="216"/>
      <w:bookmarkStart w:id="217" w:name="_Toc184313307"/>
      <w:bookmarkEnd w:id="217"/>
      <w:bookmarkStart w:id="218" w:name="_Toc184313246"/>
      <w:bookmarkEnd w:id="218"/>
      <w:bookmarkStart w:id="219" w:name="_Toc184308104"/>
      <w:bookmarkEnd w:id="219"/>
      <w:bookmarkStart w:id="220" w:name="_Toc184308107"/>
      <w:bookmarkEnd w:id="220"/>
      <w:bookmarkStart w:id="221" w:name="_Toc184308039"/>
      <w:bookmarkEnd w:id="221"/>
      <w:bookmarkStart w:id="222" w:name="_Toc184312120"/>
      <w:bookmarkEnd w:id="222"/>
      <w:bookmarkStart w:id="223" w:name="_Toc184314470"/>
      <w:bookmarkEnd w:id="223"/>
      <w:bookmarkStart w:id="224" w:name="_Toc184314414"/>
      <w:bookmarkEnd w:id="224"/>
      <w:bookmarkStart w:id="225" w:name="_Toc184313264"/>
      <w:bookmarkEnd w:id="225"/>
      <w:bookmarkStart w:id="226" w:name="_Toc184310309"/>
      <w:bookmarkEnd w:id="226"/>
      <w:bookmarkStart w:id="227" w:name="_Toc184308073"/>
      <w:bookmarkEnd w:id="227"/>
      <w:bookmarkStart w:id="228" w:name="_Toc184308084"/>
      <w:bookmarkEnd w:id="228"/>
      <w:bookmarkStart w:id="229" w:name="_Toc184314473"/>
      <w:bookmarkEnd w:id="229"/>
      <w:bookmarkStart w:id="230" w:name="_Toc184310334"/>
      <w:bookmarkEnd w:id="230"/>
      <w:bookmarkStart w:id="231" w:name="_Toc184314418"/>
      <w:bookmarkEnd w:id="231"/>
      <w:bookmarkStart w:id="232" w:name="_Toc184310315"/>
      <w:bookmarkEnd w:id="232"/>
      <w:bookmarkStart w:id="233" w:name="_Toc184310339"/>
      <w:bookmarkEnd w:id="233"/>
      <w:bookmarkStart w:id="234" w:name="_Toc184312089"/>
      <w:bookmarkEnd w:id="234"/>
      <w:bookmarkStart w:id="235" w:name="_Toc184313303"/>
      <w:bookmarkEnd w:id="235"/>
      <w:bookmarkStart w:id="236" w:name="_Toc184310307"/>
      <w:bookmarkEnd w:id="236"/>
      <w:bookmarkStart w:id="237" w:name="_Toc184312129"/>
      <w:bookmarkEnd w:id="237"/>
      <w:bookmarkStart w:id="238" w:name="_Toc184310298"/>
      <w:bookmarkEnd w:id="238"/>
      <w:bookmarkStart w:id="239" w:name="_Toc184310299"/>
      <w:bookmarkEnd w:id="239"/>
      <w:bookmarkStart w:id="240" w:name="_Toc184314411"/>
      <w:bookmarkEnd w:id="240"/>
      <w:bookmarkStart w:id="241" w:name="_Toc184313296"/>
      <w:bookmarkEnd w:id="241"/>
      <w:bookmarkStart w:id="242" w:name="_Toc184308082"/>
      <w:bookmarkEnd w:id="242"/>
      <w:bookmarkStart w:id="243" w:name="_Toc184312073"/>
      <w:bookmarkEnd w:id="243"/>
      <w:bookmarkStart w:id="244" w:name="_Toc184310311"/>
      <w:bookmarkEnd w:id="244"/>
      <w:bookmarkStart w:id="245" w:name="_Toc184310341"/>
      <w:bookmarkEnd w:id="245"/>
      <w:bookmarkStart w:id="246" w:name="_Toc184313295"/>
      <w:bookmarkEnd w:id="246"/>
      <w:bookmarkStart w:id="247" w:name="_Toc184308042"/>
      <w:bookmarkEnd w:id="247"/>
      <w:bookmarkStart w:id="248" w:name="_Toc184314447"/>
      <w:bookmarkEnd w:id="248"/>
      <w:bookmarkStart w:id="249" w:name="_Toc184313293"/>
      <w:bookmarkEnd w:id="249"/>
      <w:bookmarkStart w:id="250" w:name="_Toc184313250"/>
      <w:bookmarkEnd w:id="250"/>
      <w:bookmarkStart w:id="251" w:name="_Toc184310274"/>
      <w:bookmarkEnd w:id="251"/>
      <w:bookmarkStart w:id="252" w:name="_Toc184313282"/>
      <w:bookmarkEnd w:id="252"/>
      <w:bookmarkStart w:id="253" w:name="_Toc184310328"/>
      <w:bookmarkEnd w:id="253"/>
      <w:bookmarkStart w:id="254" w:name="_Toc184312086"/>
      <w:bookmarkEnd w:id="254"/>
      <w:bookmarkStart w:id="255" w:name="_Toc184314479"/>
      <w:bookmarkEnd w:id="255"/>
      <w:bookmarkStart w:id="256" w:name="_Toc184308046"/>
      <w:bookmarkEnd w:id="256"/>
      <w:bookmarkStart w:id="257" w:name="_Toc184314448"/>
      <w:bookmarkEnd w:id="257"/>
      <w:bookmarkStart w:id="258" w:name="_Toc184312122"/>
      <w:bookmarkEnd w:id="258"/>
      <w:bookmarkStart w:id="259" w:name="_Toc184313254"/>
      <w:bookmarkEnd w:id="259"/>
      <w:bookmarkStart w:id="260" w:name="_Toc184308105"/>
      <w:bookmarkEnd w:id="260"/>
      <w:bookmarkStart w:id="261" w:name="_Toc184308054"/>
      <w:bookmarkEnd w:id="261"/>
      <w:bookmarkStart w:id="262" w:name="_Toc184310326"/>
      <w:bookmarkEnd w:id="262"/>
      <w:bookmarkStart w:id="263" w:name="_Toc184308098"/>
      <w:bookmarkEnd w:id="263"/>
      <w:bookmarkStart w:id="264" w:name="_Toc184314459"/>
      <w:bookmarkEnd w:id="264"/>
      <w:bookmarkStart w:id="265" w:name="_Toc184314467"/>
      <w:bookmarkEnd w:id="265"/>
      <w:bookmarkStart w:id="266" w:name="_Toc184312101"/>
      <w:bookmarkEnd w:id="266"/>
      <w:bookmarkStart w:id="267" w:name="_Toc184312072"/>
      <w:bookmarkEnd w:id="267"/>
      <w:bookmarkStart w:id="268" w:name="_Toc184314471"/>
      <w:bookmarkEnd w:id="268"/>
      <w:bookmarkStart w:id="269" w:name="_Toc184308052"/>
      <w:bookmarkEnd w:id="269"/>
      <w:bookmarkStart w:id="270" w:name="_Toc184308076"/>
      <w:bookmarkEnd w:id="270"/>
      <w:bookmarkStart w:id="271" w:name="_Toc184310273"/>
      <w:bookmarkEnd w:id="271"/>
      <w:bookmarkStart w:id="272" w:name="_Toc184310272"/>
      <w:bookmarkEnd w:id="272"/>
      <w:bookmarkStart w:id="273" w:name="_Toc184310327"/>
      <w:bookmarkEnd w:id="273"/>
      <w:bookmarkStart w:id="274" w:name="_Toc184314432"/>
      <w:bookmarkEnd w:id="274"/>
      <w:bookmarkStart w:id="275" w:name="_Toc184312084"/>
      <w:bookmarkEnd w:id="275"/>
      <w:bookmarkStart w:id="276" w:name="_Toc184312107"/>
      <w:bookmarkEnd w:id="276"/>
      <w:bookmarkStart w:id="277" w:name="_Toc184312093"/>
      <w:bookmarkEnd w:id="277"/>
      <w:bookmarkStart w:id="278" w:name="_Toc184310301"/>
      <w:bookmarkEnd w:id="278"/>
      <w:bookmarkStart w:id="279" w:name="_Toc184312087"/>
      <w:bookmarkEnd w:id="279"/>
      <w:bookmarkStart w:id="280" w:name="_Toc184310282"/>
      <w:bookmarkEnd w:id="280"/>
      <w:bookmarkStart w:id="281" w:name="_Toc184313238"/>
      <w:bookmarkEnd w:id="281"/>
      <w:bookmarkStart w:id="282" w:name="_Toc184313255"/>
      <w:bookmarkEnd w:id="282"/>
      <w:bookmarkStart w:id="283" w:name="_Toc184308047"/>
      <w:bookmarkEnd w:id="283"/>
      <w:bookmarkStart w:id="284" w:name="_Toc184313263"/>
      <w:bookmarkEnd w:id="284"/>
      <w:bookmarkStart w:id="285" w:name="_Toc184314435"/>
      <w:bookmarkEnd w:id="285"/>
      <w:bookmarkStart w:id="286" w:name="_Toc184314464"/>
      <w:bookmarkEnd w:id="286"/>
      <w:bookmarkStart w:id="287" w:name="_Toc184308060"/>
      <w:bookmarkEnd w:id="287"/>
      <w:bookmarkStart w:id="288" w:name="_Toc184310313"/>
      <w:bookmarkEnd w:id="288"/>
      <w:bookmarkStart w:id="289" w:name="_Toc184308075"/>
      <w:bookmarkEnd w:id="289"/>
      <w:bookmarkStart w:id="290" w:name="_Toc184308072"/>
      <w:bookmarkEnd w:id="290"/>
      <w:bookmarkStart w:id="291" w:name="_Toc184312080"/>
      <w:bookmarkEnd w:id="291"/>
      <w:bookmarkStart w:id="292" w:name="_Toc184313257"/>
      <w:bookmarkEnd w:id="292"/>
      <w:bookmarkStart w:id="293" w:name="_Toc184313309"/>
      <w:bookmarkEnd w:id="293"/>
      <w:bookmarkStart w:id="294" w:name="_Toc184313276"/>
      <w:bookmarkEnd w:id="294"/>
      <w:bookmarkStart w:id="295" w:name="_Toc184312098"/>
      <w:bookmarkEnd w:id="295"/>
      <w:bookmarkStart w:id="296" w:name="_Toc184313265"/>
      <w:bookmarkEnd w:id="296"/>
      <w:bookmarkStart w:id="297" w:name="_Toc184312082"/>
      <w:bookmarkEnd w:id="297"/>
      <w:bookmarkStart w:id="298" w:name="_Toc184308058"/>
      <w:bookmarkEnd w:id="298"/>
      <w:bookmarkStart w:id="299" w:name="_Toc184314429"/>
      <w:bookmarkEnd w:id="299"/>
      <w:bookmarkStart w:id="300" w:name="_Toc184310332"/>
      <w:bookmarkEnd w:id="300"/>
      <w:bookmarkStart w:id="301" w:name="_Toc184312077"/>
      <w:bookmarkEnd w:id="301"/>
      <w:bookmarkStart w:id="302" w:name="_Toc184308043"/>
      <w:bookmarkEnd w:id="302"/>
      <w:bookmarkStart w:id="303" w:name="_Toc184310317"/>
      <w:bookmarkEnd w:id="303"/>
      <w:bookmarkStart w:id="304" w:name="_Toc184314413"/>
      <w:bookmarkEnd w:id="304"/>
      <w:bookmarkStart w:id="305" w:name="_Toc184314425"/>
      <w:bookmarkEnd w:id="305"/>
      <w:bookmarkStart w:id="306" w:name="_Toc184312103"/>
      <w:bookmarkEnd w:id="306"/>
      <w:bookmarkStart w:id="307" w:name="_Toc184312139"/>
      <w:bookmarkEnd w:id="307"/>
      <w:bookmarkStart w:id="308" w:name="_Toc184308103"/>
      <w:bookmarkEnd w:id="308"/>
      <w:bookmarkStart w:id="309" w:name="_Toc184312111"/>
      <w:bookmarkEnd w:id="309"/>
      <w:bookmarkStart w:id="310" w:name="_Toc184312132"/>
      <w:bookmarkEnd w:id="310"/>
      <w:bookmarkStart w:id="311" w:name="_Toc184308045"/>
      <w:bookmarkEnd w:id="311"/>
      <w:bookmarkStart w:id="312" w:name="_Toc184312116"/>
      <w:bookmarkEnd w:id="312"/>
      <w:bookmarkStart w:id="313" w:name="_Toc184308106"/>
      <w:bookmarkEnd w:id="313"/>
      <w:bookmarkStart w:id="314" w:name="_Toc184310277"/>
      <w:bookmarkEnd w:id="314"/>
      <w:bookmarkStart w:id="315" w:name="_Toc184312069"/>
      <w:bookmarkEnd w:id="315"/>
      <w:bookmarkStart w:id="316" w:name="_Toc184310304"/>
      <w:bookmarkEnd w:id="316"/>
      <w:bookmarkStart w:id="317" w:name="_Toc184308059"/>
      <w:bookmarkEnd w:id="317"/>
      <w:bookmarkStart w:id="318" w:name="_Toc184313269"/>
      <w:bookmarkEnd w:id="318"/>
      <w:bookmarkStart w:id="319" w:name="_Toc184310322"/>
      <w:bookmarkEnd w:id="319"/>
      <w:bookmarkStart w:id="320" w:name="_Toc184308062"/>
      <w:bookmarkEnd w:id="320"/>
      <w:bookmarkStart w:id="321" w:name="_Toc184310302"/>
      <w:bookmarkEnd w:id="321"/>
      <w:bookmarkStart w:id="322" w:name="_Toc184314426"/>
      <w:bookmarkEnd w:id="322"/>
      <w:bookmarkStart w:id="323" w:name="_Toc184308050"/>
      <w:bookmarkEnd w:id="323"/>
      <w:bookmarkStart w:id="324" w:name="_Toc184312125"/>
      <w:bookmarkEnd w:id="324"/>
      <w:bookmarkStart w:id="325" w:name="_Toc184314460"/>
      <w:bookmarkEnd w:id="325"/>
      <w:bookmarkStart w:id="326" w:name="_Toc184308091"/>
      <w:bookmarkEnd w:id="326"/>
      <w:bookmarkStart w:id="327" w:name="_Toc184314417"/>
      <w:bookmarkEnd w:id="327"/>
      <w:bookmarkStart w:id="328" w:name="_Toc184308037"/>
      <w:bookmarkEnd w:id="328"/>
      <w:bookmarkStart w:id="329" w:name="_Toc184314423"/>
      <w:bookmarkEnd w:id="329"/>
      <w:bookmarkStart w:id="330" w:name="_Toc184313300"/>
      <w:bookmarkEnd w:id="330"/>
      <w:bookmarkStart w:id="331" w:name="_Toc184310342"/>
      <w:bookmarkEnd w:id="331"/>
      <w:bookmarkStart w:id="332" w:name="_Toc184308071"/>
      <w:bookmarkEnd w:id="332"/>
      <w:bookmarkStart w:id="333" w:name="_Toc184310288"/>
      <w:bookmarkEnd w:id="333"/>
      <w:bookmarkStart w:id="334" w:name="_Toc184312096"/>
      <w:bookmarkEnd w:id="334"/>
      <w:bookmarkStart w:id="335" w:name="_Toc184308040"/>
      <w:bookmarkEnd w:id="335"/>
      <w:bookmarkStart w:id="336" w:name="_Toc184313304"/>
      <w:bookmarkEnd w:id="336"/>
      <w:bookmarkStart w:id="337" w:name="_Toc184314453"/>
      <w:bookmarkEnd w:id="337"/>
      <w:bookmarkStart w:id="338" w:name="_Toc184310287"/>
      <w:bookmarkEnd w:id="338"/>
      <w:bookmarkStart w:id="339" w:name="_Toc184313281"/>
      <w:bookmarkEnd w:id="339"/>
      <w:bookmarkStart w:id="340" w:name="_Toc184312105"/>
      <w:bookmarkEnd w:id="340"/>
      <w:bookmarkStart w:id="341" w:name="_Toc184314456"/>
      <w:bookmarkEnd w:id="341"/>
      <w:bookmarkStart w:id="342" w:name="_Toc184310321"/>
      <w:bookmarkEnd w:id="342"/>
      <w:bookmarkStart w:id="343" w:name="_Toc184310289"/>
      <w:bookmarkEnd w:id="343"/>
      <w:bookmarkStart w:id="344" w:name="_Toc184313243"/>
      <w:bookmarkEnd w:id="344"/>
      <w:bookmarkStart w:id="345" w:name="_Toc184308095"/>
      <w:bookmarkEnd w:id="345"/>
      <w:bookmarkStart w:id="346" w:name="_Toc184308048"/>
      <w:bookmarkEnd w:id="346"/>
      <w:bookmarkStart w:id="347" w:name="_Toc184308108"/>
      <w:bookmarkEnd w:id="347"/>
      <w:bookmarkStart w:id="348" w:name="_Toc184312095"/>
      <w:bookmarkEnd w:id="348"/>
      <w:bookmarkStart w:id="349" w:name="_Toc184310291"/>
      <w:bookmarkEnd w:id="349"/>
      <w:bookmarkStart w:id="350" w:name="_Toc184313242"/>
      <w:bookmarkEnd w:id="350"/>
      <w:bookmarkStart w:id="351" w:name="_Toc184310343"/>
      <w:bookmarkEnd w:id="351"/>
      <w:bookmarkStart w:id="352" w:name="_Toc184313277"/>
      <w:bookmarkEnd w:id="352"/>
      <w:bookmarkStart w:id="353" w:name="_Toc184312130"/>
      <w:bookmarkEnd w:id="353"/>
      <w:bookmarkStart w:id="354" w:name="_Toc184310333"/>
      <w:bookmarkEnd w:id="354"/>
      <w:bookmarkStart w:id="355" w:name="_Toc184314419"/>
      <w:bookmarkEnd w:id="355"/>
      <w:bookmarkStart w:id="356" w:name="_Toc184313278"/>
      <w:bookmarkEnd w:id="356"/>
      <w:bookmarkStart w:id="357" w:name="_Toc184312110"/>
      <w:bookmarkEnd w:id="357"/>
      <w:bookmarkStart w:id="358" w:name="_Toc184312102"/>
      <w:bookmarkEnd w:id="358"/>
      <w:bookmarkStart w:id="359" w:name="_Toc184308036"/>
      <w:bookmarkEnd w:id="359"/>
      <w:bookmarkStart w:id="360" w:name="_Toc184310305"/>
      <w:bookmarkEnd w:id="360"/>
      <w:bookmarkStart w:id="361" w:name="_Toc184310275"/>
      <w:bookmarkEnd w:id="361"/>
      <w:bookmarkStart w:id="362" w:name="_Toc184313259"/>
      <w:bookmarkEnd w:id="362"/>
      <w:bookmarkStart w:id="363" w:name="_Toc184308099"/>
      <w:bookmarkEnd w:id="363"/>
      <w:bookmarkStart w:id="364" w:name="_Toc184310335"/>
      <w:bookmarkEnd w:id="364"/>
      <w:bookmarkStart w:id="365" w:name="_Toc184310318"/>
      <w:bookmarkEnd w:id="365"/>
      <w:bookmarkStart w:id="366" w:name="_Toc184308069"/>
      <w:bookmarkEnd w:id="366"/>
      <w:bookmarkStart w:id="367" w:name="_Toc184312083"/>
      <w:bookmarkEnd w:id="367"/>
      <w:bookmarkStart w:id="368" w:name="_Toc184312092"/>
      <w:bookmarkEnd w:id="368"/>
      <w:bookmarkStart w:id="369" w:name="_Toc184310338"/>
      <w:bookmarkEnd w:id="369"/>
      <w:bookmarkStart w:id="370" w:name="_Toc184308049"/>
      <w:bookmarkEnd w:id="370"/>
      <w:bookmarkStart w:id="371" w:name="_Toc184312099"/>
      <w:bookmarkEnd w:id="371"/>
      <w:bookmarkStart w:id="372" w:name="_Toc184314466"/>
      <w:bookmarkEnd w:id="372"/>
      <w:bookmarkStart w:id="373" w:name="_Toc184314439"/>
      <w:bookmarkEnd w:id="373"/>
      <w:bookmarkStart w:id="374" w:name="_Toc184313266"/>
      <w:bookmarkEnd w:id="374"/>
      <w:bookmarkStart w:id="375" w:name="_Toc184314433"/>
      <w:bookmarkEnd w:id="375"/>
      <w:bookmarkStart w:id="376" w:name="_Toc184312104"/>
      <w:bookmarkEnd w:id="376"/>
      <w:bookmarkStart w:id="377" w:name="_Toc184308087"/>
      <w:bookmarkEnd w:id="377"/>
      <w:bookmarkStart w:id="378" w:name="_Toc184310297"/>
      <w:bookmarkEnd w:id="378"/>
      <w:bookmarkStart w:id="379" w:name="_Toc184312114"/>
      <w:bookmarkEnd w:id="379"/>
      <w:bookmarkStart w:id="380" w:name="_Toc184314455"/>
      <w:bookmarkEnd w:id="380"/>
      <w:bookmarkStart w:id="381" w:name="_Toc184312133"/>
      <w:bookmarkEnd w:id="381"/>
      <w:bookmarkStart w:id="382" w:name="_Toc184312119"/>
      <w:bookmarkEnd w:id="382"/>
      <w:bookmarkStart w:id="383" w:name="_Toc184312108"/>
      <w:bookmarkEnd w:id="383"/>
      <w:bookmarkStart w:id="384" w:name="_Toc184312134"/>
      <w:bookmarkEnd w:id="384"/>
      <w:bookmarkStart w:id="385" w:name="_Toc184312097"/>
      <w:bookmarkEnd w:id="385"/>
      <w:bookmarkStart w:id="386" w:name="_Toc184314468"/>
      <w:bookmarkEnd w:id="386"/>
      <w:bookmarkStart w:id="387" w:name="_Toc184310344"/>
      <w:bookmarkEnd w:id="387"/>
      <w:bookmarkStart w:id="388" w:name="_Toc184314449"/>
      <w:bookmarkEnd w:id="388"/>
      <w:bookmarkStart w:id="389" w:name="_Toc184312121"/>
      <w:bookmarkEnd w:id="389"/>
      <w:bookmarkStart w:id="390" w:name="_Toc184314469"/>
      <w:bookmarkEnd w:id="390"/>
      <w:bookmarkStart w:id="391" w:name="_Toc184310284"/>
      <w:bookmarkEnd w:id="391"/>
      <w:bookmarkStart w:id="392" w:name="_Toc184310320"/>
      <w:bookmarkEnd w:id="392"/>
      <w:bookmarkStart w:id="393" w:name="_Toc184313273"/>
      <w:bookmarkEnd w:id="393"/>
      <w:bookmarkStart w:id="394" w:name="_Toc184314420"/>
      <w:bookmarkEnd w:id="394"/>
      <w:bookmarkStart w:id="395" w:name="_Toc184308100"/>
      <w:bookmarkEnd w:id="395"/>
      <w:bookmarkStart w:id="396" w:name="_Toc184312091"/>
      <w:bookmarkEnd w:id="396"/>
      <w:bookmarkStart w:id="397" w:name="_Toc184313284"/>
      <w:bookmarkEnd w:id="397"/>
      <w:bookmarkStart w:id="398" w:name="_Toc184314427"/>
      <w:bookmarkEnd w:id="398"/>
      <w:bookmarkStart w:id="399" w:name="_Toc184308061"/>
      <w:bookmarkEnd w:id="399"/>
      <w:bookmarkStart w:id="400" w:name="_Toc184310278"/>
      <w:bookmarkEnd w:id="400"/>
      <w:bookmarkStart w:id="401" w:name="_Toc184314441"/>
      <w:bookmarkEnd w:id="401"/>
      <w:bookmarkStart w:id="402" w:name="_Toc184313251"/>
      <w:bookmarkEnd w:id="402"/>
      <w:bookmarkStart w:id="403" w:name="_Toc184313258"/>
      <w:bookmarkEnd w:id="403"/>
      <w:bookmarkStart w:id="404" w:name="_Toc184314482"/>
      <w:bookmarkEnd w:id="404"/>
      <w:bookmarkStart w:id="405" w:name="_Toc184314436"/>
      <w:bookmarkEnd w:id="405"/>
      <w:bookmarkStart w:id="406" w:name="_Toc184310303"/>
      <w:bookmarkEnd w:id="406"/>
      <w:bookmarkStart w:id="407" w:name="_Toc184313267"/>
      <w:bookmarkEnd w:id="407"/>
      <w:bookmarkStart w:id="408" w:name="_Toc184308094"/>
      <w:bookmarkEnd w:id="408"/>
      <w:bookmarkStart w:id="409" w:name="_Toc184314438"/>
      <w:bookmarkEnd w:id="409"/>
      <w:bookmarkStart w:id="410" w:name="_Toc184314445"/>
      <w:bookmarkEnd w:id="410"/>
      <w:bookmarkStart w:id="411" w:name="_Toc184312106"/>
      <w:bookmarkEnd w:id="411"/>
      <w:bookmarkStart w:id="412" w:name="_Toc184314462"/>
      <w:bookmarkEnd w:id="412"/>
      <w:bookmarkStart w:id="413" w:name="_Toc184314461"/>
      <w:bookmarkEnd w:id="413"/>
      <w:bookmarkStart w:id="414" w:name="_Toc184314421"/>
      <w:bookmarkEnd w:id="414"/>
      <w:bookmarkStart w:id="415" w:name="_Toc184310308"/>
      <w:bookmarkEnd w:id="415"/>
      <w:bookmarkStart w:id="416" w:name="_Toc184310292"/>
      <w:bookmarkEnd w:id="416"/>
      <w:bookmarkStart w:id="417" w:name="_Toc184313285"/>
      <w:bookmarkEnd w:id="417"/>
      <w:bookmarkStart w:id="418" w:name="_Toc184313301"/>
      <w:bookmarkEnd w:id="418"/>
      <w:bookmarkStart w:id="419" w:name="_Toc184312112"/>
      <w:bookmarkEnd w:id="419"/>
      <w:bookmarkStart w:id="420" w:name="_Toc184314452"/>
      <w:bookmarkEnd w:id="420"/>
      <w:bookmarkStart w:id="421" w:name="_Toc184313270"/>
      <w:bookmarkEnd w:id="421"/>
      <w:bookmarkStart w:id="422" w:name="_Toc184314437"/>
      <w:bookmarkEnd w:id="422"/>
      <w:bookmarkStart w:id="423" w:name="_Toc184313249"/>
      <w:bookmarkEnd w:id="423"/>
      <w:bookmarkStart w:id="424" w:name="_Toc184313297"/>
      <w:bookmarkEnd w:id="424"/>
      <w:bookmarkStart w:id="425" w:name="_Toc184312081"/>
      <w:bookmarkEnd w:id="425"/>
      <w:bookmarkStart w:id="426" w:name="_Toc184313261"/>
      <w:bookmarkEnd w:id="426"/>
      <w:bookmarkStart w:id="427" w:name="_Toc184310276"/>
      <w:bookmarkEnd w:id="427"/>
      <w:bookmarkStart w:id="428" w:name="_Toc184308093"/>
      <w:bookmarkEnd w:id="428"/>
      <w:bookmarkStart w:id="429" w:name="_Toc184313280"/>
      <w:bookmarkEnd w:id="429"/>
      <w:bookmarkStart w:id="430" w:name="_Toc184314434"/>
      <w:bookmarkEnd w:id="430"/>
      <w:bookmarkStart w:id="431" w:name="_Toc184310279"/>
      <w:bookmarkEnd w:id="431"/>
      <w:bookmarkStart w:id="432" w:name="_Toc184313239"/>
      <w:bookmarkEnd w:id="432"/>
      <w:bookmarkStart w:id="433" w:name="_Toc184313299"/>
      <w:bookmarkEnd w:id="433"/>
      <w:bookmarkStart w:id="434" w:name="_Toc184313302"/>
      <w:bookmarkEnd w:id="434"/>
      <w:r>
        <w:rPr>
          <w:rFonts w:hint="eastAsia" w:ascii="宋体" w:hAnsi="宋体" w:eastAsia="宋体" w:cs="宋体"/>
          <w:b/>
          <w:color w:val="auto"/>
          <w:sz w:val="36"/>
          <w:szCs w:val="36"/>
          <w:highlight w:val="none"/>
        </w:rPr>
        <w:t>评标办法</w:t>
      </w:r>
      <w:bookmarkEnd w:id="69"/>
    </w:p>
    <w:p w14:paraId="491777C9">
      <w:pPr>
        <w:snapToGrid w:val="0"/>
        <w:spacing w:line="360" w:lineRule="auto"/>
        <w:jc w:val="center"/>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评标办法前附表</w:t>
      </w:r>
    </w:p>
    <w:tbl>
      <w:tblPr>
        <w:tblStyle w:val="63"/>
        <w:tblW w:w="9358"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1251"/>
        <w:gridCol w:w="5385"/>
        <w:gridCol w:w="882"/>
        <w:gridCol w:w="1085"/>
      </w:tblGrid>
      <w:tr w14:paraId="520B36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755" w:type="dxa"/>
            <w:tcBorders>
              <w:tl2br w:val="nil"/>
              <w:tr2bl w:val="nil"/>
            </w:tcBorders>
            <w:vAlign w:val="center"/>
          </w:tcPr>
          <w:p w14:paraId="01FC68AE">
            <w:pPr>
              <w:keepNext w:val="0"/>
              <w:keepLines w:val="0"/>
              <w:pageBreakBefore w:val="0"/>
              <w:suppressLineNumbers w:val="0"/>
              <w:kinsoku/>
              <w:wordWrap/>
              <w:overflowPunct/>
              <w:topLinePunct w:val="0"/>
              <w:autoSpaceDE/>
              <w:autoSpaceDN/>
              <w:bidi w:val="0"/>
              <w:adjustRightInd w:val="0"/>
              <w:snapToGrid w:val="0"/>
              <w:spacing w:before="2" w:beforeAutospacing="0" w:after="2" w:afterAutospacing="0" w:line="240" w:lineRule="auto"/>
              <w:ind w:left="21" w:leftChars="10" w:right="57"/>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251" w:type="dxa"/>
            <w:tcBorders>
              <w:tl2br w:val="nil"/>
              <w:tr2bl w:val="nil"/>
            </w:tcBorders>
            <w:shd w:val="clear" w:color="auto" w:fill="auto"/>
            <w:vAlign w:val="center"/>
          </w:tcPr>
          <w:p w14:paraId="6889EE01">
            <w:pPr>
              <w:keepNext w:val="0"/>
              <w:keepLines w:val="0"/>
              <w:pageBreakBefore w:val="0"/>
              <w:suppressLineNumbers w:val="0"/>
              <w:kinsoku/>
              <w:wordWrap/>
              <w:overflowPunct/>
              <w:topLinePunct w:val="0"/>
              <w:autoSpaceDE/>
              <w:autoSpaceDN/>
              <w:bidi w:val="0"/>
              <w:adjustRightInd w:val="0"/>
              <w:snapToGrid w:val="0"/>
              <w:spacing w:before="2" w:beforeAutospacing="0" w:after="2" w:afterAutospacing="0" w:line="240" w:lineRule="auto"/>
              <w:ind w:left="21" w:leftChars="10" w:right="57"/>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评标标准相应的商务技术资料目录*</w:t>
            </w:r>
          </w:p>
        </w:tc>
        <w:tc>
          <w:tcPr>
            <w:tcW w:w="5385" w:type="dxa"/>
            <w:tcBorders>
              <w:tl2br w:val="nil"/>
              <w:tr2bl w:val="nil"/>
            </w:tcBorders>
            <w:vAlign w:val="center"/>
          </w:tcPr>
          <w:p w14:paraId="3F68B5F4">
            <w:pPr>
              <w:keepNext w:val="0"/>
              <w:keepLines w:val="0"/>
              <w:pageBreakBefore w:val="0"/>
              <w:suppressLineNumbers w:val="0"/>
              <w:kinsoku/>
              <w:wordWrap/>
              <w:overflowPunct/>
              <w:topLinePunct w:val="0"/>
              <w:autoSpaceDE/>
              <w:autoSpaceDN/>
              <w:bidi w:val="0"/>
              <w:adjustRightInd w:val="0"/>
              <w:snapToGrid w:val="0"/>
              <w:spacing w:before="2" w:beforeAutospacing="0" w:after="2" w:afterAutospacing="0" w:line="240" w:lineRule="auto"/>
              <w:ind w:left="21" w:leftChars="10" w:right="57"/>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评标标准</w:t>
            </w:r>
          </w:p>
        </w:tc>
        <w:tc>
          <w:tcPr>
            <w:tcW w:w="882" w:type="dxa"/>
            <w:tcBorders>
              <w:tl2br w:val="nil"/>
              <w:tr2bl w:val="nil"/>
            </w:tcBorders>
            <w:vAlign w:val="center"/>
          </w:tcPr>
          <w:p w14:paraId="0A044E53">
            <w:pPr>
              <w:keepNext w:val="0"/>
              <w:keepLines w:val="0"/>
              <w:pageBreakBefore w:val="0"/>
              <w:suppressLineNumbers w:val="0"/>
              <w:kinsoku/>
              <w:wordWrap/>
              <w:overflowPunct/>
              <w:topLinePunct w:val="0"/>
              <w:autoSpaceDE/>
              <w:autoSpaceDN/>
              <w:bidi w:val="0"/>
              <w:adjustRightInd w:val="0"/>
              <w:snapToGrid w:val="0"/>
              <w:spacing w:before="2" w:beforeAutospacing="0" w:after="2" w:afterAutospacing="0" w:line="240" w:lineRule="auto"/>
              <w:ind w:left="21" w:leftChars="10" w:right="57"/>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权重</w:t>
            </w:r>
          </w:p>
        </w:tc>
        <w:tc>
          <w:tcPr>
            <w:tcW w:w="1085" w:type="dxa"/>
            <w:tcBorders>
              <w:tl2br w:val="nil"/>
              <w:tr2bl w:val="nil"/>
            </w:tcBorders>
            <w:vAlign w:val="center"/>
          </w:tcPr>
          <w:p w14:paraId="14DF4696">
            <w:pPr>
              <w:keepNext w:val="0"/>
              <w:keepLines w:val="0"/>
              <w:pageBreakBefore w:val="0"/>
              <w:suppressLineNumbers w:val="0"/>
              <w:kinsoku/>
              <w:wordWrap/>
              <w:overflowPunct/>
              <w:topLinePunct w:val="0"/>
              <w:autoSpaceDE/>
              <w:autoSpaceDN/>
              <w:bidi w:val="0"/>
              <w:adjustRightInd w:val="0"/>
              <w:snapToGrid w:val="0"/>
              <w:spacing w:before="2" w:beforeAutospacing="0" w:after="2" w:afterAutospacing="0" w:line="240" w:lineRule="auto"/>
              <w:ind w:left="21" w:leftChars="10" w:right="57"/>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主观分/客观分属性</w:t>
            </w:r>
          </w:p>
        </w:tc>
      </w:tr>
      <w:tr w14:paraId="3687A2E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trPr>
        <w:tc>
          <w:tcPr>
            <w:tcW w:w="755" w:type="dxa"/>
            <w:tcBorders>
              <w:tl2br w:val="nil"/>
              <w:tr2bl w:val="nil"/>
            </w:tcBorders>
            <w:vAlign w:val="center"/>
          </w:tcPr>
          <w:p w14:paraId="5C62F947">
            <w:pPr>
              <w:keepNext w:val="0"/>
              <w:keepLines w:val="0"/>
              <w:pageBreakBefore w:val="0"/>
              <w:suppressLineNumbers w:val="0"/>
              <w:kinsoku/>
              <w:wordWrap/>
              <w:overflowPunct/>
              <w:topLinePunct w:val="0"/>
              <w:autoSpaceDE/>
              <w:autoSpaceDN/>
              <w:bidi w:val="0"/>
              <w:adjustRightInd w:val="0"/>
              <w:snapToGrid w:val="0"/>
              <w:spacing w:before="2" w:beforeAutospacing="0" w:after="2" w:afterAutospacing="0" w:line="360" w:lineRule="auto"/>
              <w:ind w:left="21" w:leftChars="10" w:right="57"/>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51" w:type="dxa"/>
            <w:tcBorders>
              <w:tl2br w:val="nil"/>
              <w:tr2bl w:val="nil"/>
            </w:tcBorders>
            <w:shd w:val="clear" w:color="auto" w:fill="auto"/>
            <w:vAlign w:val="center"/>
          </w:tcPr>
          <w:p w14:paraId="3D3E8AB6">
            <w:pPr>
              <w:pStyle w:val="344"/>
              <w:keepNext w:val="0"/>
              <w:keepLines w:val="0"/>
              <w:pageBreakBefore w:val="0"/>
              <w:suppressLineNumbers w:val="0"/>
              <w:kinsoku/>
              <w:wordWrap/>
              <w:overflowPunct/>
              <w:topLinePunct w:val="0"/>
              <w:autoSpaceDE/>
              <w:autoSpaceDN/>
              <w:bidi w:val="0"/>
              <w:adjustRightInd w:val="0"/>
              <w:spacing w:before="2" w:beforeAutospacing="0" w:after="2" w:afterAutospacing="0" w:line="360" w:lineRule="auto"/>
              <w:ind w:left="21" w:leftChars="10" w:right="57"/>
              <w:jc w:val="center"/>
              <w:textAlignment w:val="auto"/>
              <w:outlineLvl w:val="0"/>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业绩</w:t>
            </w:r>
          </w:p>
        </w:tc>
        <w:tc>
          <w:tcPr>
            <w:tcW w:w="5385" w:type="dxa"/>
            <w:tcBorders>
              <w:tl2br w:val="nil"/>
              <w:tr2bl w:val="nil"/>
            </w:tcBorders>
            <w:vAlign w:val="center"/>
          </w:tcPr>
          <w:p w14:paraId="41F07ADC">
            <w:pPr>
              <w:pStyle w:val="344"/>
              <w:keepNext w:val="0"/>
              <w:keepLines w:val="0"/>
              <w:pageBreakBefore w:val="0"/>
              <w:suppressLineNumbers w:val="0"/>
              <w:kinsoku/>
              <w:wordWrap/>
              <w:overflowPunct/>
              <w:topLinePunct w:val="0"/>
              <w:autoSpaceDE/>
              <w:autoSpaceDN/>
              <w:bidi w:val="0"/>
              <w:adjustRightInd w:val="0"/>
              <w:spacing w:before="2" w:beforeAutospacing="0" w:after="2" w:afterAutospacing="0" w:line="360" w:lineRule="auto"/>
              <w:ind w:left="21" w:leftChars="10" w:right="57"/>
              <w:textAlignment w:val="auto"/>
              <w:outlineLvl w:val="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投标人自20</w:t>
            </w:r>
            <w:r>
              <w:rPr>
                <w:rFonts w:hint="eastAsia" w:ascii="宋体" w:hAnsi="宋体" w:eastAsia="宋体" w:cs="宋体"/>
                <w:color w:val="auto"/>
                <w:spacing w:val="6"/>
                <w:sz w:val="21"/>
                <w:szCs w:val="21"/>
                <w:highlight w:val="none"/>
                <w:lang w:val="en-US" w:eastAsia="zh-CN"/>
              </w:rPr>
              <w:t>2</w:t>
            </w:r>
            <w:r>
              <w:rPr>
                <w:rFonts w:hint="eastAsia" w:ascii="宋体" w:hAnsi="宋体" w:eastAsia="宋体" w:cs="宋体"/>
                <w:color w:val="auto"/>
                <w:spacing w:val="6"/>
                <w:sz w:val="21"/>
                <w:szCs w:val="21"/>
                <w:highlight w:val="none"/>
                <w:lang w:eastAsia="zh-CN"/>
                <w:woUserID w:val="1"/>
              </w:rPr>
              <w:t>2</w:t>
            </w:r>
            <w:r>
              <w:rPr>
                <w:rFonts w:hint="eastAsia" w:ascii="宋体" w:hAnsi="宋体" w:eastAsia="宋体" w:cs="宋体"/>
                <w:color w:val="auto"/>
                <w:spacing w:val="6"/>
                <w:sz w:val="21"/>
                <w:szCs w:val="21"/>
                <w:highlight w:val="none"/>
              </w:rPr>
              <w:t>年1月1日以来</w:t>
            </w:r>
            <w:r>
              <w:rPr>
                <w:rFonts w:hint="eastAsia" w:ascii="宋体" w:hAnsi="宋体" w:cs="宋体"/>
                <w:color w:val="auto"/>
                <w:spacing w:val="6"/>
                <w:sz w:val="21"/>
                <w:szCs w:val="21"/>
                <w:highlight w:val="none"/>
                <w:lang w:eastAsia="zh-CN"/>
              </w:rPr>
              <w:t>（</w:t>
            </w:r>
            <w:r>
              <w:rPr>
                <w:rFonts w:hint="eastAsia" w:ascii="宋体" w:hAnsi="宋体" w:cs="宋体"/>
                <w:color w:val="auto"/>
                <w:spacing w:val="6"/>
                <w:sz w:val="21"/>
                <w:szCs w:val="21"/>
                <w:highlight w:val="none"/>
                <w:lang w:val="en-US" w:eastAsia="zh-CN"/>
              </w:rPr>
              <w:t>以合同签订时间为准</w:t>
            </w:r>
            <w:r>
              <w:rPr>
                <w:rFonts w:hint="eastAsia" w:ascii="宋体" w:hAnsi="宋体" w:cs="宋体"/>
                <w:color w:val="auto"/>
                <w:spacing w:val="6"/>
                <w:sz w:val="21"/>
                <w:szCs w:val="21"/>
                <w:highlight w:val="none"/>
                <w:lang w:eastAsia="zh-CN"/>
              </w:rPr>
              <w:t>）</w:t>
            </w:r>
            <w:r>
              <w:rPr>
                <w:rFonts w:hint="eastAsia" w:ascii="宋体" w:hAnsi="宋体" w:eastAsia="宋体" w:cs="宋体"/>
                <w:color w:val="auto"/>
                <w:spacing w:val="6"/>
                <w:sz w:val="21"/>
                <w:szCs w:val="21"/>
                <w:highlight w:val="none"/>
              </w:rPr>
              <w:t>类似</w:t>
            </w:r>
            <w:r>
              <w:rPr>
                <w:rFonts w:hint="eastAsia" w:ascii="宋体" w:hAnsi="宋体" w:eastAsia="宋体" w:cs="宋体"/>
                <w:color w:val="auto"/>
                <w:spacing w:val="6"/>
                <w:sz w:val="21"/>
                <w:szCs w:val="21"/>
                <w:highlight w:val="none"/>
                <w:lang w:val="en-US" w:eastAsia="zh-CN"/>
              </w:rPr>
              <w:t>系统</w:t>
            </w:r>
            <w:r>
              <w:rPr>
                <w:rFonts w:hint="eastAsia" w:ascii="宋体" w:hAnsi="宋体" w:eastAsia="宋体" w:cs="宋体"/>
                <w:color w:val="auto"/>
                <w:spacing w:val="6"/>
                <w:sz w:val="21"/>
                <w:szCs w:val="21"/>
                <w:highlight w:val="none"/>
                <w:lang w:eastAsia="zh-CN"/>
              </w:rPr>
              <w:t>平台</w:t>
            </w:r>
            <w:r>
              <w:rPr>
                <w:rFonts w:hint="eastAsia" w:ascii="宋体" w:hAnsi="宋体" w:eastAsia="宋体" w:cs="宋体"/>
                <w:color w:val="auto"/>
                <w:spacing w:val="6"/>
                <w:sz w:val="21"/>
                <w:szCs w:val="21"/>
                <w:highlight w:val="none"/>
                <w:lang w:val="en-US" w:eastAsia="zh-CN"/>
              </w:rPr>
              <w:t>建设</w:t>
            </w:r>
            <w:r>
              <w:rPr>
                <w:rFonts w:hint="eastAsia" w:ascii="宋体" w:hAnsi="宋体" w:eastAsia="宋体" w:cs="宋体"/>
                <w:color w:val="auto"/>
                <w:spacing w:val="6"/>
                <w:sz w:val="21"/>
                <w:szCs w:val="21"/>
                <w:highlight w:val="none"/>
              </w:rPr>
              <w:t>项目业绩，每个有效</w:t>
            </w:r>
            <w:r>
              <w:rPr>
                <w:rFonts w:hint="eastAsia" w:ascii="宋体" w:hAnsi="宋体" w:eastAsia="宋体" w:cs="宋体"/>
                <w:color w:val="auto"/>
                <w:spacing w:val="6"/>
                <w:sz w:val="21"/>
                <w:szCs w:val="21"/>
                <w:highlight w:val="none"/>
                <w:lang w:val="en-US" w:eastAsia="zh-CN"/>
              </w:rPr>
              <w:t>合同</w:t>
            </w:r>
            <w:r>
              <w:rPr>
                <w:rFonts w:hint="eastAsia" w:ascii="宋体" w:hAnsi="宋体" w:eastAsia="宋体" w:cs="宋体"/>
                <w:color w:val="auto"/>
                <w:spacing w:val="6"/>
                <w:sz w:val="21"/>
                <w:szCs w:val="21"/>
                <w:highlight w:val="none"/>
              </w:rPr>
              <w:t>得</w:t>
            </w:r>
            <w:r>
              <w:rPr>
                <w:rFonts w:hint="eastAsia" w:ascii="宋体" w:hAnsi="宋体" w:eastAsia="宋体" w:cs="宋体"/>
                <w:color w:val="auto"/>
                <w:spacing w:val="6"/>
                <w:sz w:val="21"/>
                <w:szCs w:val="21"/>
                <w:highlight w:val="none"/>
                <w:woUserID w:val="1"/>
              </w:rPr>
              <w:t>1</w:t>
            </w:r>
            <w:r>
              <w:rPr>
                <w:rFonts w:hint="eastAsia" w:ascii="宋体" w:hAnsi="宋体" w:eastAsia="宋体" w:cs="宋体"/>
                <w:color w:val="auto"/>
                <w:spacing w:val="6"/>
                <w:sz w:val="21"/>
                <w:szCs w:val="21"/>
                <w:highlight w:val="none"/>
              </w:rPr>
              <w:t>分，最高得</w:t>
            </w:r>
            <w:r>
              <w:rPr>
                <w:rFonts w:hint="eastAsia" w:ascii="宋体" w:hAnsi="宋体" w:eastAsia="宋体" w:cs="宋体"/>
                <w:color w:val="auto"/>
                <w:spacing w:val="6"/>
                <w:sz w:val="21"/>
                <w:szCs w:val="21"/>
                <w:highlight w:val="none"/>
                <w:lang w:val="en-US" w:eastAsia="zh-CN"/>
              </w:rPr>
              <w:t>1</w:t>
            </w:r>
            <w:r>
              <w:rPr>
                <w:rFonts w:hint="eastAsia" w:ascii="宋体" w:hAnsi="宋体" w:eastAsia="宋体" w:cs="宋体"/>
                <w:color w:val="auto"/>
                <w:spacing w:val="6"/>
                <w:sz w:val="21"/>
                <w:szCs w:val="21"/>
                <w:highlight w:val="none"/>
              </w:rPr>
              <w:t>分；</w:t>
            </w:r>
            <w:r>
              <w:rPr>
                <w:rFonts w:hint="eastAsia" w:ascii="宋体" w:hAnsi="宋体" w:eastAsia="宋体" w:cs="宋体"/>
                <w:b/>
                <w:bCs/>
                <w:color w:val="auto"/>
                <w:spacing w:val="6"/>
                <w:sz w:val="21"/>
                <w:szCs w:val="21"/>
                <w:highlight w:val="none"/>
                <w:lang w:val="en-US" w:eastAsia="zh-CN"/>
              </w:rPr>
              <w:t>需</w:t>
            </w:r>
            <w:r>
              <w:rPr>
                <w:rFonts w:hint="eastAsia" w:ascii="宋体" w:hAnsi="宋体" w:eastAsia="宋体" w:cs="宋体"/>
                <w:b/>
                <w:bCs/>
                <w:color w:val="auto"/>
                <w:spacing w:val="6"/>
                <w:sz w:val="21"/>
                <w:szCs w:val="21"/>
                <w:highlight w:val="none"/>
                <w:lang w:val="zh-TW" w:eastAsia="zh-CN"/>
              </w:rPr>
              <w:t>提供</w:t>
            </w:r>
            <w:r>
              <w:rPr>
                <w:rFonts w:hint="eastAsia" w:ascii="宋体" w:hAnsi="宋体" w:eastAsia="宋体" w:cs="宋体"/>
                <w:b/>
                <w:bCs/>
                <w:color w:val="auto"/>
                <w:spacing w:val="6"/>
                <w:sz w:val="21"/>
                <w:szCs w:val="21"/>
                <w:highlight w:val="none"/>
                <w:lang w:val="en-US" w:eastAsia="zh-CN"/>
              </w:rPr>
              <w:t>清晰的</w:t>
            </w:r>
            <w:r>
              <w:rPr>
                <w:rFonts w:hint="eastAsia" w:ascii="宋体" w:hAnsi="宋体" w:eastAsia="宋体" w:cs="宋体"/>
                <w:b/>
                <w:bCs/>
                <w:color w:val="auto"/>
                <w:spacing w:val="6"/>
                <w:sz w:val="21"/>
                <w:szCs w:val="21"/>
                <w:highlight w:val="none"/>
                <w:lang w:val="zh-TW" w:eastAsia="zh-CN"/>
              </w:rPr>
              <w:t>合同扫描件</w:t>
            </w:r>
            <w:r>
              <w:rPr>
                <w:rFonts w:hint="eastAsia" w:ascii="宋体" w:hAnsi="宋体" w:eastAsia="宋体" w:cs="宋体"/>
                <w:b/>
                <w:bCs/>
                <w:color w:val="auto"/>
                <w:spacing w:val="6"/>
                <w:sz w:val="21"/>
                <w:szCs w:val="21"/>
                <w:highlight w:val="none"/>
                <w:lang w:val="en-US" w:eastAsia="zh-CN"/>
              </w:rPr>
              <w:t>(首页、盖章尾页及含评审因素的关键页)</w:t>
            </w:r>
            <w:r>
              <w:rPr>
                <w:rFonts w:hint="eastAsia" w:ascii="宋体" w:hAnsi="宋体" w:eastAsia="宋体" w:cs="宋体"/>
                <w:b/>
                <w:bCs/>
                <w:color w:val="auto"/>
                <w:spacing w:val="6"/>
                <w:sz w:val="21"/>
                <w:szCs w:val="21"/>
                <w:highlight w:val="none"/>
                <w:lang w:val="zh-TW" w:eastAsia="zh-CN"/>
              </w:rPr>
              <w:t>，</w:t>
            </w:r>
            <w:r>
              <w:rPr>
                <w:rFonts w:hint="eastAsia" w:ascii="宋体" w:hAnsi="宋体" w:eastAsia="宋体" w:cs="宋体"/>
                <w:b/>
                <w:bCs/>
                <w:color w:val="auto"/>
                <w:spacing w:val="6"/>
                <w:sz w:val="21"/>
                <w:szCs w:val="21"/>
                <w:highlight w:val="none"/>
              </w:rPr>
              <w:t>不提供或不符合要求不得分。</w:t>
            </w:r>
          </w:p>
        </w:tc>
        <w:tc>
          <w:tcPr>
            <w:tcW w:w="882" w:type="dxa"/>
            <w:tcBorders>
              <w:tl2br w:val="nil"/>
              <w:tr2bl w:val="nil"/>
            </w:tcBorders>
            <w:vAlign w:val="center"/>
          </w:tcPr>
          <w:p w14:paraId="3E87AA22">
            <w:pPr>
              <w:pStyle w:val="344"/>
              <w:keepNext w:val="0"/>
              <w:keepLines w:val="0"/>
              <w:pageBreakBefore w:val="0"/>
              <w:suppressLineNumbers w:val="0"/>
              <w:kinsoku/>
              <w:wordWrap/>
              <w:overflowPunct/>
              <w:topLinePunct w:val="0"/>
              <w:autoSpaceDE/>
              <w:autoSpaceDN/>
              <w:bidi w:val="0"/>
              <w:adjustRightInd w:val="0"/>
              <w:spacing w:before="2" w:beforeAutospacing="0" w:after="2" w:afterAutospacing="0" w:line="360" w:lineRule="auto"/>
              <w:ind w:left="21" w:leftChars="10" w:right="57"/>
              <w:jc w:val="center"/>
              <w:textAlignment w:val="auto"/>
              <w:outlineLvl w:val="0"/>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pacing w:val="6"/>
                <w:sz w:val="21"/>
                <w:szCs w:val="21"/>
                <w:highlight w:val="none"/>
                <w:lang w:val="en-US" w:eastAsia="zh-CN"/>
              </w:rPr>
              <w:t>1</w:t>
            </w:r>
          </w:p>
        </w:tc>
        <w:tc>
          <w:tcPr>
            <w:tcW w:w="1085" w:type="dxa"/>
            <w:tcBorders>
              <w:tl2br w:val="nil"/>
              <w:tr2bl w:val="nil"/>
            </w:tcBorders>
            <w:vAlign w:val="center"/>
          </w:tcPr>
          <w:p w14:paraId="66D2A104">
            <w:pPr>
              <w:pStyle w:val="344"/>
              <w:keepNext w:val="0"/>
              <w:keepLines w:val="0"/>
              <w:pageBreakBefore w:val="0"/>
              <w:suppressLineNumbers w:val="0"/>
              <w:kinsoku/>
              <w:wordWrap/>
              <w:overflowPunct/>
              <w:topLinePunct w:val="0"/>
              <w:autoSpaceDE/>
              <w:autoSpaceDN/>
              <w:bidi w:val="0"/>
              <w:adjustRightInd w:val="0"/>
              <w:spacing w:before="2" w:beforeAutospacing="0" w:after="2" w:afterAutospacing="0" w:line="360" w:lineRule="auto"/>
              <w:ind w:left="21" w:leftChars="10" w:right="57"/>
              <w:jc w:val="center"/>
              <w:textAlignment w:val="auto"/>
              <w:outlineLvl w:val="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客观分</w:t>
            </w:r>
          </w:p>
        </w:tc>
      </w:tr>
      <w:tr w14:paraId="4C6B55D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trPr>
        <w:tc>
          <w:tcPr>
            <w:tcW w:w="755" w:type="dxa"/>
            <w:tcBorders>
              <w:tl2br w:val="nil"/>
              <w:tr2bl w:val="nil"/>
            </w:tcBorders>
            <w:vAlign w:val="center"/>
          </w:tcPr>
          <w:p w14:paraId="4515E5D2">
            <w:pPr>
              <w:keepNext w:val="0"/>
              <w:keepLines w:val="0"/>
              <w:pageBreakBefore w:val="0"/>
              <w:suppressLineNumbers w:val="0"/>
              <w:kinsoku/>
              <w:wordWrap/>
              <w:overflowPunct/>
              <w:topLinePunct w:val="0"/>
              <w:autoSpaceDE/>
              <w:autoSpaceDN/>
              <w:bidi w:val="0"/>
              <w:adjustRightInd w:val="0"/>
              <w:snapToGrid w:val="0"/>
              <w:spacing w:before="2" w:beforeAutospacing="0" w:after="2" w:afterAutospacing="0" w:line="360" w:lineRule="auto"/>
              <w:ind w:left="21" w:leftChars="10" w:right="57"/>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251" w:type="dxa"/>
            <w:tcBorders>
              <w:tl2br w:val="nil"/>
              <w:tr2bl w:val="nil"/>
            </w:tcBorders>
            <w:shd w:val="clear" w:color="auto" w:fill="auto"/>
            <w:vAlign w:val="center"/>
          </w:tcPr>
          <w:p w14:paraId="0A2EF17C">
            <w:pPr>
              <w:pStyle w:val="344"/>
              <w:keepNext w:val="0"/>
              <w:keepLines w:val="0"/>
              <w:pageBreakBefore w:val="0"/>
              <w:suppressLineNumbers w:val="0"/>
              <w:kinsoku/>
              <w:wordWrap/>
              <w:overflowPunct/>
              <w:topLinePunct w:val="0"/>
              <w:autoSpaceDE/>
              <w:autoSpaceDN/>
              <w:bidi w:val="0"/>
              <w:adjustRightInd w:val="0"/>
              <w:spacing w:before="2" w:beforeAutospacing="0" w:after="2" w:afterAutospacing="0" w:line="360" w:lineRule="auto"/>
              <w:ind w:left="21" w:leftChars="10" w:right="57"/>
              <w:jc w:val="center"/>
              <w:textAlignment w:val="auto"/>
              <w:outlineLvl w:val="0"/>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体系证书</w:t>
            </w:r>
          </w:p>
        </w:tc>
        <w:tc>
          <w:tcPr>
            <w:tcW w:w="5385" w:type="dxa"/>
            <w:tcBorders>
              <w:tl2br w:val="nil"/>
              <w:tr2bl w:val="nil"/>
            </w:tcBorders>
            <w:vAlign w:val="center"/>
          </w:tcPr>
          <w:p w14:paraId="10E50382">
            <w:pPr>
              <w:pStyle w:val="344"/>
              <w:keepNext w:val="0"/>
              <w:keepLines w:val="0"/>
              <w:pageBreakBefore w:val="0"/>
              <w:suppressLineNumbers w:val="0"/>
              <w:kinsoku/>
              <w:wordWrap/>
              <w:overflowPunct/>
              <w:topLinePunct w:val="0"/>
              <w:autoSpaceDE/>
              <w:autoSpaceDN/>
              <w:bidi w:val="0"/>
              <w:adjustRightInd w:val="0"/>
              <w:spacing w:before="2" w:beforeAutospacing="0" w:after="2" w:afterAutospacing="0" w:line="360" w:lineRule="auto"/>
              <w:ind w:left="21" w:leftChars="10" w:right="57"/>
              <w:textAlignment w:val="auto"/>
              <w:outlineLvl w:val="0"/>
              <w:rPr>
                <w:rFonts w:hint="eastAsia" w:ascii="宋体" w:hAnsi="宋体" w:eastAsia="宋体" w:cs="宋体"/>
                <w:color w:val="auto"/>
                <w:spacing w:val="6"/>
                <w:sz w:val="21"/>
                <w:szCs w:val="21"/>
                <w:highlight w:val="none"/>
              </w:rPr>
            </w:pPr>
            <w:r>
              <w:rPr>
                <w:rFonts w:hint="eastAsia" w:ascii="宋体" w:hAnsi="宋体" w:eastAsia="宋体" w:cs="宋体"/>
                <w:color w:val="auto"/>
                <w:sz w:val="21"/>
                <w:szCs w:val="21"/>
                <w:highlight w:val="none"/>
                <w:lang w:val="en-US" w:eastAsia="zh-CN"/>
              </w:rPr>
              <w:t>投标人具有有效期内的ISO9001质量管理体系认证证书(认证范围：类似计算机应用软件开发、信息系统集成及服务等)、ISO20000信息技术服务管理体系证书（认证范围：类似计算机应用软件开发、计算机软硬件运维服务等）、ISO27001信息安全管理体系认证证书</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认证范围：类似计算机信息系统集成、计算机应用软件开发及相关运维服务等)</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一个证书得1分，满分3分。</w:t>
            </w:r>
            <w:r>
              <w:rPr>
                <w:rFonts w:hint="eastAsia" w:ascii="宋体" w:hAnsi="宋体" w:eastAsia="宋体" w:cs="宋体"/>
                <w:b/>
                <w:bCs/>
                <w:color w:val="auto"/>
                <w:spacing w:val="6"/>
                <w:sz w:val="21"/>
                <w:szCs w:val="21"/>
                <w:highlight w:val="none"/>
                <w:lang w:val="en-US" w:eastAsia="zh-CN"/>
              </w:rPr>
              <w:t>（提供有效的证书扫描件和全国认证认可信息公共服务平台http://cx.cnca.cn/网站查询的认证证书信息网页截图，不提供或证明材料不完整的不得分）</w:t>
            </w:r>
          </w:p>
        </w:tc>
        <w:tc>
          <w:tcPr>
            <w:tcW w:w="882" w:type="dxa"/>
            <w:tcBorders>
              <w:tl2br w:val="nil"/>
              <w:tr2bl w:val="nil"/>
            </w:tcBorders>
            <w:vAlign w:val="center"/>
          </w:tcPr>
          <w:p w14:paraId="4AEF24D1">
            <w:pPr>
              <w:pStyle w:val="344"/>
              <w:keepNext w:val="0"/>
              <w:keepLines w:val="0"/>
              <w:pageBreakBefore w:val="0"/>
              <w:suppressLineNumbers w:val="0"/>
              <w:kinsoku/>
              <w:wordWrap/>
              <w:overflowPunct/>
              <w:topLinePunct w:val="0"/>
              <w:autoSpaceDE/>
              <w:autoSpaceDN/>
              <w:bidi w:val="0"/>
              <w:adjustRightInd w:val="0"/>
              <w:spacing w:before="2" w:beforeAutospacing="0" w:after="2" w:afterAutospacing="0" w:line="360" w:lineRule="auto"/>
              <w:ind w:left="21" w:leftChars="10" w:right="57"/>
              <w:jc w:val="center"/>
              <w:textAlignment w:val="auto"/>
              <w:outlineLvl w:val="0"/>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3</w:t>
            </w:r>
          </w:p>
        </w:tc>
        <w:tc>
          <w:tcPr>
            <w:tcW w:w="1085" w:type="dxa"/>
            <w:tcBorders>
              <w:tl2br w:val="nil"/>
              <w:tr2bl w:val="nil"/>
            </w:tcBorders>
            <w:vAlign w:val="center"/>
          </w:tcPr>
          <w:p w14:paraId="597D91A0">
            <w:pPr>
              <w:pStyle w:val="344"/>
              <w:keepNext w:val="0"/>
              <w:keepLines w:val="0"/>
              <w:pageBreakBefore w:val="0"/>
              <w:suppressLineNumbers w:val="0"/>
              <w:kinsoku/>
              <w:wordWrap/>
              <w:overflowPunct/>
              <w:topLinePunct w:val="0"/>
              <w:autoSpaceDE/>
              <w:autoSpaceDN/>
              <w:bidi w:val="0"/>
              <w:adjustRightInd w:val="0"/>
              <w:spacing w:before="2" w:beforeAutospacing="0" w:after="2" w:afterAutospacing="0" w:line="360" w:lineRule="auto"/>
              <w:ind w:left="21" w:leftChars="10" w:right="57"/>
              <w:jc w:val="center"/>
              <w:textAlignment w:val="auto"/>
              <w:outlineLvl w:val="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客观分</w:t>
            </w:r>
          </w:p>
        </w:tc>
      </w:tr>
      <w:tr w14:paraId="60CC4F2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755" w:type="dxa"/>
            <w:tcBorders>
              <w:tl2br w:val="nil"/>
              <w:tr2bl w:val="nil"/>
            </w:tcBorders>
            <w:vAlign w:val="center"/>
          </w:tcPr>
          <w:p w14:paraId="167A50C3">
            <w:pPr>
              <w:keepNext w:val="0"/>
              <w:keepLines w:val="0"/>
              <w:pageBreakBefore w:val="0"/>
              <w:suppressLineNumbers w:val="0"/>
              <w:kinsoku/>
              <w:wordWrap/>
              <w:overflowPunct/>
              <w:topLinePunct w:val="0"/>
              <w:autoSpaceDE/>
              <w:autoSpaceDN/>
              <w:bidi w:val="0"/>
              <w:adjustRightInd w:val="0"/>
              <w:snapToGrid w:val="0"/>
              <w:spacing w:before="2" w:beforeAutospacing="0" w:after="2" w:afterAutospacing="0" w:line="360" w:lineRule="auto"/>
              <w:ind w:left="21" w:leftChars="10" w:right="57"/>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251" w:type="dxa"/>
            <w:tcBorders>
              <w:tl2br w:val="nil"/>
              <w:tr2bl w:val="nil"/>
            </w:tcBorders>
            <w:shd w:val="clear" w:color="auto" w:fill="auto"/>
            <w:vAlign w:val="center"/>
          </w:tcPr>
          <w:p w14:paraId="5A47D6B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highlight w:val="none"/>
                <w:lang w:val="en-US" w:eastAsia="zh-CN" w:bidi="ar-SA"/>
                <w:woUserID w:val="2"/>
              </w:rPr>
            </w:pPr>
            <w:r>
              <w:rPr>
                <w:rFonts w:hint="eastAsia" w:ascii="宋体" w:hAnsi="宋体" w:eastAsia="宋体" w:cs="宋体"/>
                <w:i w:val="0"/>
                <w:iCs w:val="0"/>
                <w:color w:val="auto"/>
                <w:kern w:val="0"/>
                <w:sz w:val="21"/>
                <w:szCs w:val="21"/>
                <w:highlight w:val="none"/>
                <w:lang w:val="en-US" w:eastAsia="zh-CN" w:bidi="ar"/>
                <w:woUserID w:val="1"/>
              </w:rPr>
              <w:t>项目理解</w:t>
            </w:r>
          </w:p>
        </w:tc>
        <w:tc>
          <w:tcPr>
            <w:tcW w:w="5385" w:type="dxa"/>
            <w:tcBorders>
              <w:tl2br w:val="nil"/>
              <w:tr2bl w:val="nil"/>
            </w:tcBorders>
            <w:shd w:val="clear" w:color="auto" w:fill="auto"/>
            <w:vAlign w:val="center"/>
          </w:tcPr>
          <w:p w14:paraId="19881879">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2"/>
                <w:sz w:val="21"/>
                <w:szCs w:val="21"/>
                <w:highlight w:val="none"/>
                <w:lang w:val="en-US" w:eastAsia="zh-CN" w:bidi="ar-SA"/>
                <w:woUserID w:val="2"/>
              </w:rPr>
            </w:pPr>
            <w:r>
              <w:rPr>
                <w:rFonts w:hint="eastAsia" w:ascii="宋体" w:hAnsi="宋体" w:eastAsia="宋体" w:cs="宋体"/>
                <w:i w:val="0"/>
                <w:iCs w:val="0"/>
                <w:color w:val="auto"/>
                <w:kern w:val="0"/>
                <w:sz w:val="21"/>
                <w:szCs w:val="21"/>
                <w:highlight w:val="none"/>
                <w:lang w:val="en-US" w:eastAsia="zh-CN" w:bidi="ar"/>
                <w:woUserID w:val="2"/>
              </w:rPr>
              <w:t>根据投标人提供的项目背景、项目现状、项目目标的阐述，以及对项目需求理解分析情况进行综合评定，对描述的完整性、可行性进行综合评分；（评分范围：3,2,1,0）</w:t>
            </w:r>
          </w:p>
        </w:tc>
        <w:tc>
          <w:tcPr>
            <w:tcW w:w="882" w:type="dxa"/>
            <w:tcBorders>
              <w:tl2br w:val="nil"/>
              <w:tr2bl w:val="nil"/>
            </w:tcBorders>
            <w:shd w:val="clear" w:color="auto" w:fill="auto"/>
            <w:vAlign w:val="center"/>
          </w:tcPr>
          <w:p w14:paraId="44E1EF9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highlight w:val="none"/>
                <w:lang w:val="en-US" w:eastAsia="zh-CN" w:bidi="ar-SA"/>
                <w:woUserID w:val="2"/>
              </w:rPr>
            </w:pPr>
            <w:r>
              <w:rPr>
                <w:rFonts w:hint="eastAsia" w:ascii="宋体" w:hAnsi="宋体" w:eastAsia="宋体" w:cs="宋体"/>
                <w:i w:val="0"/>
                <w:iCs w:val="0"/>
                <w:color w:val="auto"/>
                <w:kern w:val="0"/>
                <w:sz w:val="21"/>
                <w:szCs w:val="21"/>
                <w:highlight w:val="none"/>
                <w:lang w:val="en-US" w:eastAsia="zh-CN" w:bidi="ar"/>
                <w:woUserID w:val="1"/>
              </w:rPr>
              <w:t>3</w:t>
            </w:r>
          </w:p>
        </w:tc>
        <w:tc>
          <w:tcPr>
            <w:tcW w:w="1085" w:type="dxa"/>
            <w:tcBorders>
              <w:tl2br w:val="nil"/>
              <w:tr2bl w:val="nil"/>
            </w:tcBorders>
            <w:shd w:val="clear" w:color="auto" w:fill="auto"/>
            <w:vAlign w:val="center"/>
          </w:tcPr>
          <w:p w14:paraId="1C70072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highlight w:val="none"/>
                <w:lang w:val="en-US" w:eastAsia="zh-CN" w:bidi="ar-SA"/>
                <w:woUserID w:val="2"/>
              </w:rPr>
            </w:pPr>
            <w:r>
              <w:rPr>
                <w:rFonts w:hint="eastAsia" w:ascii="宋体" w:hAnsi="宋体" w:eastAsia="宋体" w:cs="宋体"/>
                <w:i w:val="0"/>
                <w:iCs w:val="0"/>
                <w:color w:val="auto"/>
                <w:kern w:val="0"/>
                <w:sz w:val="21"/>
                <w:szCs w:val="21"/>
                <w:highlight w:val="none"/>
                <w:lang w:val="en-US" w:eastAsia="zh-CN" w:bidi="ar"/>
                <w:woUserID w:val="1"/>
              </w:rPr>
              <w:t>主观分</w:t>
            </w:r>
          </w:p>
        </w:tc>
      </w:tr>
      <w:tr w14:paraId="5D99110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755" w:type="dxa"/>
            <w:tcBorders>
              <w:tl2br w:val="nil"/>
              <w:tr2bl w:val="nil"/>
            </w:tcBorders>
            <w:vAlign w:val="center"/>
          </w:tcPr>
          <w:p w14:paraId="6E879F89">
            <w:pPr>
              <w:keepNext w:val="0"/>
              <w:keepLines w:val="0"/>
              <w:pageBreakBefore w:val="0"/>
              <w:suppressLineNumbers w:val="0"/>
              <w:kinsoku/>
              <w:wordWrap/>
              <w:overflowPunct/>
              <w:topLinePunct w:val="0"/>
              <w:autoSpaceDE/>
              <w:autoSpaceDN/>
              <w:bidi w:val="0"/>
              <w:adjustRightInd w:val="0"/>
              <w:snapToGrid w:val="0"/>
              <w:spacing w:before="2" w:beforeAutospacing="0" w:after="2" w:afterAutospacing="0" w:line="360" w:lineRule="auto"/>
              <w:ind w:left="21" w:leftChars="10" w:right="57"/>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251" w:type="dxa"/>
            <w:tcBorders>
              <w:tl2br w:val="nil"/>
              <w:tr2bl w:val="nil"/>
            </w:tcBorders>
            <w:shd w:val="clear" w:color="auto" w:fill="auto"/>
            <w:vAlign w:val="center"/>
          </w:tcPr>
          <w:p w14:paraId="2442E35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highlight w:val="none"/>
                <w:lang w:val="en-US" w:eastAsia="zh-CN" w:bidi="ar-SA"/>
                <w:woUserID w:val="2"/>
              </w:rPr>
            </w:pPr>
            <w:r>
              <w:rPr>
                <w:rFonts w:hint="eastAsia" w:ascii="宋体" w:hAnsi="宋体" w:eastAsia="宋体" w:cs="宋体"/>
                <w:i w:val="0"/>
                <w:iCs w:val="0"/>
                <w:color w:val="auto"/>
                <w:kern w:val="0"/>
                <w:sz w:val="21"/>
                <w:szCs w:val="21"/>
                <w:highlight w:val="none"/>
                <w:lang w:val="en-US" w:eastAsia="zh-CN" w:bidi="ar"/>
                <w:woUserID w:val="2"/>
              </w:rPr>
              <w:t>项目总体方案</w:t>
            </w:r>
          </w:p>
        </w:tc>
        <w:tc>
          <w:tcPr>
            <w:tcW w:w="5385" w:type="dxa"/>
            <w:tcBorders>
              <w:tl2br w:val="nil"/>
              <w:tr2bl w:val="nil"/>
            </w:tcBorders>
            <w:shd w:val="clear" w:color="auto" w:fill="auto"/>
            <w:vAlign w:val="center"/>
          </w:tcPr>
          <w:p w14:paraId="7FF3F771">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2"/>
                <w:sz w:val="21"/>
                <w:szCs w:val="21"/>
                <w:highlight w:val="none"/>
                <w:lang w:val="en-US" w:eastAsia="zh-CN" w:bidi="ar-SA"/>
                <w:woUserID w:val="2"/>
              </w:rPr>
            </w:pPr>
            <w:r>
              <w:rPr>
                <w:rFonts w:hint="eastAsia" w:ascii="宋体" w:hAnsi="宋体" w:eastAsia="宋体" w:cs="宋体"/>
                <w:i w:val="0"/>
                <w:iCs w:val="0"/>
                <w:color w:val="auto"/>
                <w:kern w:val="0"/>
                <w:sz w:val="21"/>
                <w:szCs w:val="21"/>
                <w:highlight w:val="none"/>
                <w:lang w:val="en-US" w:eastAsia="zh-CN" w:bidi="ar"/>
                <w:woUserID w:val="2"/>
              </w:rPr>
              <w:t>根据投标人提供的项目建设原则、总体架构设计、项目技术路线进行综合评定，对描述的完整性、可行性进行综合评分；（评分范围：3,2,1,0）</w:t>
            </w:r>
          </w:p>
        </w:tc>
        <w:tc>
          <w:tcPr>
            <w:tcW w:w="882" w:type="dxa"/>
            <w:tcBorders>
              <w:tl2br w:val="nil"/>
              <w:tr2bl w:val="nil"/>
            </w:tcBorders>
            <w:shd w:val="clear" w:color="auto" w:fill="auto"/>
            <w:vAlign w:val="center"/>
          </w:tcPr>
          <w:p w14:paraId="3266A46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highlight w:val="none"/>
                <w:lang w:val="en-US" w:eastAsia="zh-CN" w:bidi="ar-SA"/>
                <w:woUserID w:val="2"/>
              </w:rPr>
            </w:pPr>
            <w:r>
              <w:rPr>
                <w:rFonts w:hint="eastAsia" w:ascii="宋体" w:hAnsi="宋体" w:eastAsia="宋体" w:cs="宋体"/>
                <w:i w:val="0"/>
                <w:iCs w:val="0"/>
                <w:color w:val="auto"/>
                <w:kern w:val="0"/>
                <w:sz w:val="21"/>
                <w:szCs w:val="21"/>
                <w:highlight w:val="none"/>
                <w:lang w:val="en-US" w:eastAsia="zh-CN" w:bidi="ar"/>
                <w:woUserID w:val="2"/>
              </w:rPr>
              <w:t>3</w:t>
            </w:r>
          </w:p>
        </w:tc>
        <w:tc>
          <w:tcPr>
            <w:tcW w:w="1085" w:type="dxa"/>
            <w:tcBorders>
              <w:tl2br w:val="nil"/>
              <w:tr2bl w:val="nil"/>
            </w:tcBorders>
            <w:shd w:val="clear" w:color="auto" w:fill="auto"/>
            <w:vAlign w:val="center"/>
          </w:tcPr>
          <w:p w14:paraId="3BD2AFF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highlight w:val="none"/>
                <w:lang w:val="en-US" w:eastAsia="zh-CN" w:bidi="ar-SA"/>
                <w:woUserID w:val="2"/>
              </w:rPr>
            </w:pPr>
            <w:r>
              <w:rPr>
                <w:rFonts w:hint="eastAsia" w:ascii="宋体" w:hAnsi="宋体" w:eastAsia="宋体" w:cs="宋体"/>
                <w:i w:val="0"/>
                <w:iCs w:val="0"/>
                <w:color w:val="auto"/>
                <w:kern w:val="0"/>
                <w:sz w:val="21"/>
                <w:szCs w:val="21"/>
                <w:highlight w:val="none"/>
                <w:lang w:val="en-US" w:eastAsia="zh-CN" w:bidi="ar"/>
                <w:woUserID w:val="2"/>
              </w:rPr>
              <w:t>主观分</w:t>
            </w:r>
          </w:p>
        </w:tc>
      </w:tr>
      <w:tr w14:paraId="3962F6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755" w:type="dxa"/>
            <w:tcBorders>
              <w:tl2br w:val="nil"/>
              <w:tr2bl w:val="nil"/>
            </w:tcBorders>
            <w:vAlign w:val="center"/>
          </w:tcPr>
          <w:p w14:paraId="3C5C3517">
            <w:pPr>
              <w:keepNext w:val="0"/>
              <w:keepLines w:val="0"/>
              <w:pageBreakBefore w:val="0"/>
              <w:suppressLineNumbers w:val="0"/>
              <w:kinsoku/>
              <w:wordWrap/>
              <w:overflowPunct/>
              <w:topLinePunct w:val="0"/>
              <w:autoSpaceDE/>
              <w:autoSpaceDN/>
              <w:bidi w:val="0"/>
              <w:adjustRightInd w:val="0"/>
              <w:snapToGrid w:val="0"/>
              <w:spacing w:before="2" w:beforeAutospacing="0" w:after="2" w:afterAutospacing="0" w:line="360" w:lineRule="auto"/>
              <w:ind w:left="21" w:leftChars="10" w:right="57"/>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251" w:type="dxa"/>
            <w:vMerge w:val="restart"/>
            <w:tcBorders>
              <w:tl2br w:val="nil"/>
              <w:tr2bl w:val="nil"/>
            </w:tcBorders>
            <w:shd w:val="clear" w:color="auto" w:fill="auto"/>
            <w:vAlign w:val="center"/>
          </w:tcPr>
          <w:p w14:paraId="7A2F3DE8">
            <w:pPr>
              <w:pStyle w:val="344"/>
              <w:keepNext w:val="0"/>
              <w:keepLines w:val="0"/>
              <w:pageBreakBefore w:val="0"/>
              <w:suppressLineNumbers w:val="0"/>
              <w:kinsoku/>
              <w:wordWrap/>
              <w:overflowPunct/>
              <w:topLinePunct w:val="0"/>
              <w:autoSpaceDE/>
              <w:autoSpaceDN/>
              <w:bidi w:val="0"/>
              <w:adjustRightInd w:val="0"/>
              <w:spacing w:before="2" w:beforeAutospacing="0" w:after="2" w:afterAutospacing="0" w:line="360" w:lineRule="auto"/>
              <w:ind w:left="21" w:leftChars="10" w:right="57"/>
              <w:jc w:val="center"/>
              <w:textAlignment w:val="auto"/>
              <w:outlineLvl w:val="0"/>
              <w:rPr>
                <w:rFonts w:hint="eastAsia" w:ascii="宋体" w:hAnsi="宋体" w:eastAsia="宋体" w:cs="宋体"/>
                <w:color w:val="auto"/>
                <w:spacing w:val="6"/>
                <w:sz w:val="21"/>
                <w:szCs w:val="21"/>
                <w:highlight w:val="none"/>
                <w:lang w:val="en-US" w:eastAsia="zh-CN"/>
                <w:woUserID w:val="1"/>
              </w:rPr>
            </w:pPr>
            <w:r>
              <w:rPr>
                <w:rFonts w:hint="eastAsia" w:ascii="宋体" w:hAnsi="宋体" w:eastAsia="宋体" w:cs="宋体"/>
                <w:color w:val="auto"/>
                <w:spacing w:val="6"/>
                <w:sz w:val="21"/>
                <w:szCs w:val="21"/>
                <w:highlight w:val="none"/>
                <w:lang w:val="en-US" w:eastAsia="zh-CN"/>
                <w:woUserID w:val="1"/>
              </w:rPr>
              <w:t>功能设计方案</w:t>
            </w:r>
          </w:p>
        </w:tc>
        <w:tc>
          <w:tcPr>
            <w:tcW w:w="5385" w:type="dxa"/>
            <w:tcBorders>
              <w:tl2br w:val="nil"/>
              <w:tr2bl w:val="nil"/>
            </w:tcBorders>
            <w:shd w:val="clear" w:color="auto" w:fill="auto"/>
            <w:vAlign w:val="center"/>
          </w:tcPr>
          <w:p w14:paraId="1B4BF693">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2"/>
                <w:sz w:val="21"/>
                <w:szCs w:val="21"/>
                <w:highlight w:val="none"/>
                <w:lang w:val="en-US" w:eastAsia="zh-CN" w:bidi="ar-SA"/>
                <w:woUserID w:val="2"/>
              </w:rPr>
            </w:pPr>
            <w:r>
              <w:rPr>
                <w:rFonts w:hint="eastAsia" w:ascii="宋体" w:hAnsi="宋体" w:eastAsia="宋体" w:cs="宋体"/>
                <w:i w:val="0"/>
                <w:iCs w:val="0"/>
                <w:color w:val="auto"/>
                <w:kern w:val="0"/>
                <w:sz w:val="21"/>
                <w:szCs w:val="21"/>
                <w:highlight w:val="none"/>
                <w:lang w:val="en-US" w:eastAsia="zh-CN" w:bidi="ar"/>
                <w:woUserID w:val="1"/>
              </w:rPr>
              <w:t>根据投标人提供的政策归集方案进行综合评定，包括政策归集中心、政策原文库等内容，对描述的完整性、可行性进行综合评分；（评分范围：2,1,0）</w:t>
            </w:r>
          </w:p>
        </w:tc>
        <w:tc>
          <w:tcPr>
            <w:tcW w:w="882" w:type="dxa"/>
            <w:tcBorders>
              <w:tl2br w:val="nil"/>
              <w:tr2bl w:val="nil"/>
            </w:tcBorders>
            <w:shd w:val="clear" w:color="auto" w:fill="auto"/>
            <w:vAlign w:val="center"/>
          </w:tcPr>
          <w:p w14:paraId="564C925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highlight w:val="none"/>
                <w:lang w:val="en-US" w:eastAsia="zh-CN" w:bidi="ar-SA"/>
                <w:woUserID w:val="2"/>
              </w:rPr>
            </w:pPr>
            <w:r>
              <w:rPr>
                <w:rFonts w:hint="eastAsia" w:ascii="宋体" w:hAnsi="宋体" w:cs="宋体"/>
                <w:i w:val="0"/>
                <w:iCs w:val="0"/>
                <w:color w:val="auto"/>
                <w:kern w:val="2"/>
                <w:sz w:val="21"/>
                <w:szCs w:val="21"/>
                <w:highlight w:val="none"/>
                <w:lang w:val="en-US" w:eastAsia="zh-CN" w:bidi="ar-SA"/>
                <w:woUserID w:val="2"/>
              </w:rPr>
              <w:t>2</w:t>
            </w:r>
          </w:p>
        </w:tc>
        <w:tc>
          <w:tcPr>
            <w:tcW w:w="1085" w:type="dxa"/>
            <w:tcBorders>
              <w:tl2br w:val="nil"/>
              <w:tr2bl w:val="nil"/>
            </w:tcBorders>
            <w:shd w:val="clear" w:color="auto" w:fill="auto"/>
            <w:vAlign w:val="center"/>
          </w:tcPr>
          <w:p w14:paraId="4AC4D42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highlight w:val="none"/>
                <w:lang w:val="en-US" w:eastAsia="zh-CN" w:bidi="ar-SA"/>
                <w:woUserID w:val="2"/>
              </w:rPr>
            </w:pPr>
            <w:r>
              <w:rPr>
                <w:rFonts w:hint="eastAsia" w:ascii="宋体" w:hAnsi="宋体" w:eastAsia="宋体" w:cs="宋体"/>
                <w:i w:val="0"/>
                <w:iCs w:val="0"/>
                <w:color w:val="auto"/>
                <w:kern w:val="0"/>
                <w:sz w:val="21"/>
                <w:szCs w:val="21"/>
                <w:highlight w:val="none"/>
                <w:lang w:val="en-US" w:eastAsia="zh-CN" w:bidi="ar"/>
                <w:woUserID w:val="2"/>
              </w:rPr>
              <w:t>主观分</w:t>
            </w:r>
          </w:p>
        </w:tc>
      </w:tr>
      <w:tr w14:paraId="1E93C5B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755" w:type="dxa"/>
            <w:tcBorders>
              <w:tl2br w:val="nil"/>
              <w:tr2bl w:val="nil"/>
            </w:tcBorders>
            <w:vAlign w:val="center"/>
          </w:tcPr>
          <w:p w14:paraId="48DAAF83">
            <w:pPr>
              <w:keepNext w:val="0"/>
              <w:keepLines w:val="0"/>
              <w:pageBreakBefore w:val="0"/>
              <w:suppressLineNumbers w:val="0"/>
              <w:kinsoku/>
              <w:wordWrap/>
              <w:overflowPunct/>
              <w:topLinePunct w:val="0"/>
              <w:autoSpaceDE/>
              <w:autoSpaceDN/>
              <w:bidi w:val="0"/>
              <w:adjustRightInd w:val="0"/>
              <w:snapToGrid w:val="0"/>
              <w:spacing w:before="2" w:beforeAutospacing="0" w:after="2" w:afterAutospacing="0" w:line="360" w:lineRule="auto"/>
              <w:ind w:left="21" w:leftChars="10" w:right="57"/>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1251" w:type="dxa"/>
            <w:vMerge w:val="continue"/>
            <w:tcBorders>
              <w:tl2br w:val="nil"/>
              <w:tr2bl w:val="nil"/>
            </w:tcBorders>
            <w:shd w:val="clear" w:color="auto" w:fill="auto"/>
            <w:vAlign w:val="center"/>
          </w:tcPr>
          <w:p w14:paraId="6DC13680">
            <w:pPr>
              <w:pStyle w:val="344"/>
              <w:keepNext w:val="0"/>
              <w:keepLines w:val="0"/>
              <w:pageBreakBefore w:val="0"/>
              <w:suppressLineNumbers w:val="0"/>
              <w:kinsoku/>
              <w:wordWrap/>
              <w:overflowPunct/>
              <w:topLinePunct w:val="0"/>
              <w:autoSpaceDE/>
              <w:autoSpaceDN/>
              <w:bidi w:val="0"/>
              <w:adjustRightInd w:val="0"/>
              <w:spacing w:before="2" w:beforeAutospacing="0" w:after="2" w:afterAutospacing="0" w:line="360" w:lineRule="auto"/>
              <w:ind w:left="21" w:leftChars="10" w:right="57"/>
              <w:jc w:val="center"/>
              <w:textAlignment w:val="auto"/>
              <w:outlineLvl w:val="0"/>
              <w:rPr>
                <w:rFonts w:hint="eastAsia" w:ascii="宋体" w:hAnsi="宋体" w:eastAsia="宋体" w:cs="宋体"/>
                <w:color w:val="auto"/>
                <w:spacing w:val="6"/>
                <w:sz w:val="21"/>
                <w:szCs w:val="21"/>
                <w:highlight w:val="none"/>
                <w:lang w:val="en-US" w:eastAsia="zh-CN"/>
              </w:rPr>
            </w:pPr>
          </w:p>
        </w:tc>
        <w:tc>
          <w:tcPr>
            <w:tcW w:w="5385" w:type="dxa"/>
            <w:tcBorders>
              <w:tl2br w:val="nil"/>
              <w:tr2bl w:val="nil"/>
            </w:tcBorders>
            <w:shd w:val="clear" w:color="auto" w:fill="auto"/>
            <w:vAlign w:val="center"/>
          </w:tcPr>
          <w:p w14:paraId="30943496">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2"/>
                <w:sz w:val="21"/>
                <w:szCs w:val="21"/>
                <w:highlight w:val="none"/>
                <w:lang w:val="en-US" w:eastAsia="zh-CN" w:bidi="ar-SA"/>
                <w:woUserID w:val="2"/>
              </w:rPr>
            </w:pPr>
            <w:r>
              <w:rPr>
                <w:rFonts w:hint="eastAsia" w:ascii="宋体" w:hAnsi="宋体" w:eastAsia="宋体" w:cs="宋体"/>
                <w:i w:val="0"/>
                <w:iCs w:val="0"/>
                <w:color w:val="auto"/>
                <w:kern w:val="0"/>
                <w:sz w:val="21"/>
                <w:szCs w:val="21"/>
                <w:highlight w:val="none"/>
                <w:lang w:val="en-US" w:eastAsia="zh-CN" w:bidi="ar"/>
                <w:woUserID w:val="2"/>
              </w:rPr>
              <w:t>根据投标人提供的政策解读方案进行综合评定，包括政策解读中心、政策匹配中心等内容，对描述的完整性、可行性进行综合评分；（评分范围：2,1,0）</w:t>
            </w:r>
          </w:p>
        </w:tc>
        <w:tc>
          <w:tcPr>
            <w:tcW w:w="882" w:type="dxa"/>
            <w:tcBorders>
              <w:tl2br w:val="nil"/>
              <w:tr2bl w:val="nil"/>
            </w:tcBorders>
            <w:shd w:val="clear" w:color="auto" w:fill="auto"/>
            <w:vAlign w:val="center"/>
          </w:tcPr>
          <w:p w14:paraId="5DC48A6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highlight w:val="none"/>
                <w:lang w:val="en-US" w:eastAsia="zh-CN" w:bidi="ar-SA"/>
                <w:woUserID w:val="2"/>
              </w:rPr>
            </w:pPr>
            <w:r>
              <w:rPr>
                <w:rFonts w:hint="eastAsia" w:ascii="宋体" w:hAnsi="宋体" w:cs="宋体"/>
                <w:i w:val="0"/>
                <w:iCs w:val="0"/>
                <w:color w:val="auto"/>
                <w:kern w:val="0"/>
                <w:sz w:val="21"/>
                <w:szCs w:val="21"/>
                <w:highlight w:val="none"/>
                <w:lang w:val="en-US" w:eastAsia="zh-CN" w:bidi="ar"/>
                <w:woUserID w:val="2"/>
              </w:rPr>
              <w:t>2</w:t>
            </w:r>
          </w:p>
        </w:tc>
        <w:tc>
          <w:tcPr>
            <w:tcW w:w="1085" w:type="dxa"/>
            <w:tcBorders>
              <w:tl2br w:val="nil"/>
              <w:tr2bl w:val="nil"/>
            </w:tcBorders>
            <w:shd w:val="clear" w:color="auto" w:fill="auto"/>
            <w:vAlign w:val="center"/>
          </w:tcPr>
          <w:p w14:paraId="7B71412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highlight w:val="none"/>
                <w:lang w:val="en-US" w:eastAsia="zh-CN" w:bidi="ar-SA"/>
                <w:woUserID w:val="2"/>
              </w:rPr>
            </w:pPr>
            <w:r>
              <w:rPr>
                <w:rFonts w:hint="eastAsia" w:ascii="宋体" w:hAnsi="宋体" w:eastAsia="宋体" w:cs="宋体"/>
                <w:i w:val="0"/>
                <w:iCs w:val="0"/>
                <w:color w:val="auto"/>
                <w:kern w:val="0"/>
                <w:sz w:val="21"/>
                <w:szCs w:val="21"/>
                <w:highlight w:val="none"/>
                <w:lang w:val="en-US" w:eastAsia="zh-CN" w:bidi="ar"/>
                <w:woUserID w:val="2"/>
              </w:rPr>
              <w:t>主观分</w:t>
            </w:r>
          </w:p>
        </w:tc>
      </w:tr>
      <w:tr w14:paraId="52F7CB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755" w:type="dxa"/>
            <w:tcBorders>
              <w:tl2br w:val="nil"/>
              <w:tr2bl w:val="nil"/>
            </w:tcBorders>
            <w:vAlign w:val="center"/>
          </w:tcPr>
          <w:p w14:paraId="0189170F">
            <w:pPr>
              <w:keepNext w:val="0"/>
              <w:keepLines w:val="0"/>
              <w:pageBreakBefore w:val="0"/>
              <w:suppressLineNumbers w:val="0"/>
              <w:kinsoku/>
              <w:wordWrap/>
              <w:overflowPunct/>
              <w:topLinePunct w:val="0"/>
              <w:autoSpaceDE/>
              <w:autoSpaceDN/>
              <w:bidi w:val="0"/>
              <w:adjustRightInd w:val="0"/>
              <w:snapToGrid w:val="0"/>
              <w:spacing w:before="2" w:beforeAutospacing="0" w:after="2" w:afterAutospacing="0" w:line="360" w:lineRule="auto"/>
              <w:ind w:left="21" w:leftChars="10" w:right="57"/>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1251" w:type="dxa"/>
            <w:vMerge w:val="continue"/>
            <w:tcBorders>
              <w:tl2br w:val="nil"/>
              <w:tr2bl w:val="nil"/>
            </w:tcBorders>
            <w:shd w:val="clear" w:color="auto" w:fill="auto"/>
            <w:vAlign w:val="center"/>
          </w:tcPr>
          <w:p w14:paraId="32028839">
            <w:pPr>
              <w:pStyle w:val="344"/>
              <w:keepNext w:val="0"/>
              <w:keepLines w:val="0"/>
              <w:pageBreakBefore w:val="0"/>
              <w:suppressLineNumbers w:val="0"/>
              <w:kinsoku/>
              <w:wordWrap/>
              <w:overflowPunct/>
              <w:topLinePunct w:val="0"/>
              <w:autoSpaceDE/>
              <w:autoSpaceDN/>
              <w:bidi w:val="0"/>
              <w:adjustRightInd w:val="0"/>
              <w:spacing w:before="2" w:beforeAutospacing="0" w:after="2" w:afterAutospacing="0" w:line="360" w:lineRule="auto"/>
              <w:ind w:left="21" w:leftChars="10" w:right="57"/>
              <w:jc w:val="center"/>
              <w:textAlignment w:val="auto"/>
              <w:outlineLvl w:val="0"/>
              <w:rPr>
                <w:rFonts w:hint="eastAsia" w:ascii="宋体" w:hAnsi="宋体" w:eastAsia="宋体" w:cs="宋体"/>
                <w:color w:val="auto"/>
                <w:spacing w:val="6"/>
                <w:sz w:val="21"/>
                <w:szCs w:val="21"/>
                <w:highlight w:val="none"/>
                <w:lang w:val="en-US" w:eastAsia="zh-CN"/>
              </w:rPr>
            </w:pPr>
          </w:p>
        </w:tc>
        <w:tc>
          <w:tcPr>
            <w:tcW w:w="5385" w:type="dxa"/>
            <w:tcBorders>
              <w:tl2br w:val="nil"/>
              <w:tr2bl w:val="nil"/>
            </w:tcBorders>
            <w:shd w:val="clear" w:color="auto" w:fill="auto"/>
            <w:vAlign w:val="center"/>
          </w:tcPr>
          <w:p w14:paraId="0FC0B1A2">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2"/>
                <w:sz w:val="21"/>
                <w:szCs w:val="21"/>
                <w:highlight w:val="none"/>
                <w:lang w:val="en-US" w:eastAsia="zh-CN" w:bidi="ar-SA"/>
                <w:woUserID w:val="2"/>
              </w:rPr>
            </w:pPr>
            <w:r>
              <w:rPr>
                <w:rFonts w:hint="eastAsia" w:ascii="宋体" w:hAnsi="宋体" w:eastAsia="宋体" w:cs="宋体"/>
                <w:i w:val="0"/>
                <w:iCs w:val="0"/>
                <w:color w:val="auto"/>
                <w:kern w:val="0"/>
                <w:sz w:val="21"/>
                <w:szCs w:val="21"/>
                <w:highlight w:val="none"/>
                <w:lang w:val="en-US" w:eastAsia="zh-CN" w:bidi="ar"/>
                <w:woUserID w:val="2"/>
              </w:rPr>
              <w:t>根据投标人提供的政策推送方案进行综合评定，包括推送对象库、推送管理、推送渠道对接等内容，对描述的完整性、可行性进行综合评分；（评分范围：2,1,0）</w:t>
            </w:r>
          </w:p>
        </w:tc>
        <w:tc>
          <w:tcPr>
            <w:tcW w:w="882" w:type="dxa"/>
            <w:tcBorders>
              <w:tl2br w:val="nil"/>
              <w:tr2bl w:val="nil"/>
            </w:tcBorders>
            <w:shd w:val="clear" w:color="auto" w:fill="auto"/>
            <w:vAlign w:val="center"/>
          </w:tcPr>
          <w:p w14:paraId="7AE6248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highlight w:val="none"/>
                <w:lang w:val="en-US" w:eastAsia="zh-CN" w:bidi="ar-SA"/>
                <w:woUserID w:val="2"/>
              </w:rPr>
            </w:pPr>
            <w:r>
              <w:rPr>
                <w:rFonts w:hint="eastAsia" w:ascii="宋体" w:hAnsi="宋体" w:cs="宋体"/>
                <w:i w:val="0"/>
                <w:iCs w:val="0"/>
                <w:color w:val="auto"/>
                <w:kern w:val="0"/>
                <w:sz w:val="21"/>
                <w:szCs w:val="21"/>
                <w:highlight w:val="none"/>
                <w:lang w:val="en-US" w:eastAsia="zh-CN" w:bidi="ar"/>
                <w:woUserID w:val="2"/>
              </w:rPr>
              <w:t>2</w:t>
            </w:r>
          </w:p>
        </w:tc>
        <w:tc>
          <w:tcPr>
            <w:tcW w:w="1085" w:type="dxa"/>
            <w:tcBorders>
              <w:tl2br w:val="nil"/>
              <w:tr2bl w:val="nil"/>
            </w:tcBorders>
            <w:shd w:val="clear" w:color="auto" w:fill="auto"/>
            <w:vAlign w:val="center"/>
          </w:tcPr>
          <w:p w14:paraId="5B09F0E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highlight w:val="none"/>
                <w:lang w:val="en-US" w:eastAsia="zh-CN" w:bidi="ar-SA"/>
                <w:woUserID w:val="2"/>
              </w:rPr>
            </w:pPr>
            <w:r>
              <w:rPr>
                <w:rFonts w:hint="eastAsia" w:ascii="宋体" w:hAnsi="宋体" w:eastAsia="宋体" w:cs="宋体"/>
                <w:i w:val="0"/>
                <w:iCs w:val="0"/>
                <w:color w:val="auto"/>
                <w:kern w:val="0"/>
                <w:sz w:val="21"/>
                <w:szCs w:val="21"/>
                <w:highlight w:val="none"/>
                <w:lang w:val="en-US" w:eastAsia="zh-CN" w:bidi="ar"/>
                <w:woUserID w:val="2"/>
              </w:rPr>
              <w:t>主观分</w:t>
            </w:r>
          </w:p>
        </w:tc>
      </w:tr>
      <w:tr w14:paraId="6F8DD8B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755" w:type="dxa"/>
            <w:tcBorders>
              <w:tl2br w:val="nil"/>
              <w:tr2bl w:val="nil"/>
            </w:tcBorders>
            <w:vAlign w:val="center"/>
          </w:tcPr>
          <w:p w14:paraId="556B7F4B">
            <w:pPr>
              <w:keepNext w:val="0"/>
              <w:keepLines w:val="0"/>
              <w:pageBreakBefore w:val="0"/>
              <w:suppressLineNumbers w:val="0"/>
              <w:kinsoku/>
              <w:wordWrap/>
              <w:overflowPunct/>
              <w:topLinePunct w:val="0"/>
              <w:autoSpaceDE/>
              <w:autoSpaceDN/>
              <w:bidi w:val="0"/>
              <w:adjustRightInd w:val="0"/>
              <w:snapToGrid w:val="0"/>
              <w:spacing w:before="2" w:beforeAutospacing="0" w:after="2" w:afterAutospacing="0" w:line="360" w:lineRule="auto"/>
              <w:ind w:left="21" w:leftChars="10" w:right="57"/>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1251" w:type="dxa"/>
            <w:vMerge w:val="continue"/>
            <w:tcBorders>
              <w:tl2br w:val="nil"/>
              <w:tr2bl w:val="nil"/>
            </w:tcBorders>
            <w:shd w:val="clear" w:color="auto" w:fill="auto"/>
            <w:vAlign w:val="center"/>
          </w:tcPr>
          <w:p w14:paraId="502AE8C0">
            <w:pPr>
              <w:pStyle w:val="344"/>
              <w:keepNext w:val="0"/>
              <w:keepLines w:val="0"/>
              <w:pageBreakBefore w:val="0"/>
              <w:suppressLineNumbers w:val="0"/>
              <w:kinsoku/>
              <w:wordWrap/>
              <w:overflowPunct/>
              <w:topLinePunct w:val="0"/>
              <w:autoSpaceDE/>
              <w:autoSpaceDN/>
              <w:bidi w:val="0"/>
              <w:adjustRightInd w:val="0"/>
              <w:spacing w:before="2" w:beforeAutospacing="0" w:after="2" w:afterAutospacing="0" w:line="360" w:lineRule="auto"/>
              <w:ind w:left="21" w:leftChars="10" w:right="57"/>
              <w:jc w:val="center"/>
              <w:textAlignment w:val="auto"/>
              <w:outlineLvl w:val="0"/>
              <w:rPr>
                <w:rFonts w:hint="eastAsia" w:ascii="宋体" w:hAnsi="宋体" w:eastAsia="宋体" w:cs="宋体"/>
                <w:color w:val="auto"/>
                <w:spacing w:val="6"/>
                <w:sz w:val="21"/>
                <w:szCs w:val="21"/>
                <w:highlight w:val="none"/>
                <w:lang w:val="en-US" w:eastAsia="zh-CN"/>
              </w:rPr>
            </w:pPr>
          </w:p>
        </w:tc>
        <w:tc>
          <w:tcPr>
            <w:tcW w:w="5385" w:type="dxa"/>
            <w:tcBorders>
              <w:tl2br w:val="nil"/>
              <w:tr2bl w:val="nil"/>
            </w:tcBorders>
            <w:shd w:val="clear" w:color="auto" w:fill="auto"/>
            <w:vAlign w:val="center"/>
          </w:tcPr>
          <w:p w14:paraId="5FA7AE17">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2"/>
                <w:sz w:val="21"/>
                <w:szCs w:val="21"/>
                <w:highlight w:val="none"/>
                <w:lang w:val="en-US" w:eastAsia="zh-CN" w:bidi="ar-SA"/>
                <w:woUserID w:val="2"/>
              </w:rPr>
            </w:pPr>
            <w:r>
              <w:rPr>
                <w:rFonts w:hint="eastAsia" w:ascii="宋体" w:hAnsi="宋体" w:eastAsia="宋体" w:cs="宋体"/>
                <w:i w:val="0"/>
                <w:iCs w:val="0"/>
                <w:color w:val="auto"/>
                <w:kern w:val="0"/>
                <w:sz w:val="21"/>
                <w:szCs w:val="21"/>
                <w:highlight w:val="none"/>
                <w:lang w:val="en-US" w:eastAsia="zh-CN" w:bidi="ar"/>
                <w:woUserID w:val="2"/>
              </w:rPr>
              <w:t>根据投标人提供的政策评价方案进行综合评定，包括企业政策评价、政策评价分析等内容，对描述的完整性、可行性进行综合评分；（评分范围：2,1,0）</w:t>
            </w:r>
          </w:p>
        </w:tc>
        <w:tc>
          <w:tcPr>
            <w:tcW w:w="882" w:type="dxa"/>
            <w:tcBorders>
              <w:tl2br w:val="nil"/>
              <w:tr2bl w:val="nil"/>
            </w:tcBorders>
            <w:shd w:val="clear" w:color="auto" w:fill="auto"/>
            <w:vAlign w:val="center"/>
          </w:tcPr>
          <w:p w14:paraId="5EF343F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highlight w:val="none"/>
                <w:lang w:val="en-US" w:eastAsia="zh-CN" w:bidi="ar-SA"/>
                <w:woUserID w:val="2"/>
              </w:rPr>
            </w:pPr>
            <w:r>
              <w:rPr>
                <w:rFonts w:hint="eastAsia" w:ascii="宋体" w:hAnsi="宋体" w:cs="宋体"/>
                <w:i w:val="0"/>
                <w:iCs w:val="0"/>
                <w:color w:val="auto"/>
                <w:kern w:val="0"/>
                <w:sz w:val="21"/>
                <w:szCs w:val="21"/>
                <w:highlight w:val="none"/>
                <w:lang w:val="en-US" w:eastAsia="zh-CN" w:bidi="ar"/>
                <w:woUserID w:val="2"/>
              </w:rPr>
              <w:t>2</w:t>
            </w:r>
          </w:p>
        </w:tc>
        <w:tc>
          <w:tcPr>
            <w:tcW w:w="1085" w:type="dxa"/>
            <w:tcBorders>
              <w:tl2br w:val="nil"/>
              <w:tr2bl w:val="nil"/>
            </w:tcBorders>
            <w:shd w:val="clear" w:color="auto" w:fill="auto"/>
            <w:vAlign w:val="center"/>
          </w:tcPr>
          <w:p w14:paraId="7C00B37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highlight w:val="none"/>
                <w:lang w:val="en-US" w:eastAsia="zh-CN" w:bidi="ar-SA"/>
                <w:woUserID w:val="2"/>
              </w:rPr>
            </w:pPr>
            <w:r>
              <w:rPr>
                <w:rFonts w:hint="eastAsia" w:ascii="宋体" w:hAnsi="宋体" w:eastAsia="宋体" w:cs="宋体"/>
                <w:i w:val="0"/>
                <w:iCs w:val="0"/>
                <w:color w:val="auto"/>
                <w:kern w:val="0"/>
                <w:sz w:val="21"/>
                <w:szCs w:val="21"/>
                <w:highlight w:val="none"/>
                <w:lang w:val="en-US" w:eastAsia="zh-CN" w:bidi="ar"/>
                <w:woUserID w:val="2"/>
              </w:rPr>
              <w:t>主观分</w:t>
            </w:r>
          </w:p>
        </w:tc>
      </w:tr>
      <w:tr w14:paraId="657735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755" w:type="dxa"/>
            <w:tcBorders>
              <w:tl2br w:val="nil"/>
              <w:tr2bl w:val="nil"/>
            </w:tcBorders>
            <w:vAlign w:val="center"/>
          </w:tcPr>
          <w:p w14:paraId="0BFD56D0">
            <w:pPr>
              <w:keepNext w:val="0"/>
              <w:keepLines w:val="0"/>
              <w:pageBreakBefore w:val="0"/>
              <w:suppressLineNumbers w:val="0"/>
              <w:kinsoku/>
              <w:wordWrap/>
              <w:overflowPunct/>
              <w:topLinePunct w:val="0"/>
              <w:autoSpaceDE/>
              <w:autoSpaceDN/>
              <w:bidi w:val="0"/>
              <w:adjustRightInd w:val="0"/>
              <w:snapToGrid w:val="0"/>
              <w:spacing w:before="2" w:beforeAutospacing="0" w:after="2" w:afterAutospacing="0" w:line="360" w:lineRule="auto"/>
              <w:ind w:left="21" w:leftChars="10" w:right="57"/>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1251" w:type="dxa"/>
            <w:vMerge w:val="continue"/>
            <w:tcBorders>
              <w:tl2br w:val="nil"/>
              <w:tr2bl w:val="nil"/>
            </w:tcBorders>
            <w:shd w:val="clear" w:color="auto" w:fill="auto"/>
            <w:vAlign w:val="center"/>
          </w:tcPr>
          <w:p w14:paraId="380BE754">
            <w:pPr>
              <w:pStyle w:val="344"/>
              <w:keepNext w:val="0"/>
              <w:keepLines w:val="0"/>
              <w:pageBreakBefore w:val="0"/>
              <w:suppressLineNumbers w:val="0"/>
              <w:kinsoku/>
              <w:wordWrap/>
              <w:overflowPunct/>
              <w:topLinePunct w:val="0"/>
              <w:autoSpaceDE/>
              <w:autoSpaceDN/>
              <w:bidi w:val="0"/>
              <w:adjustRightInd w:val="0"/>
              <w:spacing w:before="2" w:beforeAutospacing="0" w:after="2" w:afterAutospacing="0" w:line="360" w:lineRule="auto"/>
              <w:ind w:left="21" w:leftChars="10" w:right="57"/>
              <w:jc w:val="center"/>
              <w:textAlignment w:val="auto"/>
              <w:outlineLvl w:val="0"/>
              <w:rPr>
                <w:rFonts w:hint="eastAsia" w:ascii="宋体" w:hAnsi="宋体" w:eastAsia="宋体" w:cs="宋体"/>
                <w:color w:val="auto"/>
                <w:spacing w:val="6"/>
                <w:sz w:val="21"/>
                <w:szCs w:val="21"/>
                <w:highlight w:val="none"/>
                <w:lang w:val="en-US" w:eastAsia="zh-CN"/>
              </w:rPr>
            </w:pPr>
          </w:p>
        </w:tc>
        <w:tc>
          <w:tcPr>
            <w:tcW w:w="5385" w:type="dxa"/>
            <w:tcBorders>
              <w:tl2br w:val="nil"/>
              <w:tr2bl w:val="nil"/>
            </w:tcBorders>
            <w:shd w:val="clear" w:color="auto" w:fill="auto"/>
            <w:vAlign w:val="center"/>
          </w:tcPr>
          <w:p w14:paraId="35F49B08">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2"/>
                <w:sz w:val="21"/>
                <w:szCs w:val="21"/>
                <w:highlight w:val="none"/>
                <w:lang w:val="en-US" w:eastAsia="zh-CN" w:bidi="ar-SA"/>
                <w:woUserID w:val="2"/>
              </w:rPr>
            </w:pPr>
            <w:r>
              <w:rPr>
                <w:rFonts w:hint="eastAsia" w:ascii="宋体" w:hAnsi="宋体" w:eastAsia="宋体" w:cs="宋体"/>
                <w:i w:val="0"/>
                <w:iCs w:val="0"/>
                <w:color w:val="auto"/>
                <w:kern w:val="0"/>
                <w:sz w:val="21"/>
                <w:szCs w:val="21"/>
                <w:highlight w:val="none"/>
                <w:lang w:val="en-US" w:eastAsia="zh-CN" w:bidi="ar"/>
                <w:woUserID w:val="2"/>
              </w:rPr>
              <w:t>根据投标人提供的辅助工具方案进行综合评定，包括政策瞭望台、政策沙盘、辅助决策、政策书、AI政策评价报告，对描述的完整性、可行性进行综合评分；（评分范围：2,1,0）</w:t>
            </w:r>
          </w:p>
        </w:tc>
        <w:tc>
          <w:tcPr>
            <w:tcW w:w="882" w:type="dxa"/>
            <w:tcBorders>
              <w:tl2br w:val="nil"/>
              <w:tr2bl w:val="nil"/>
            </w:tcBorders>
            <w:shd w:val="clear" w:color="auto" w:fill="auto"/>
            <w:vAlign w:val="center"/>
          </w:tcPr>
          <w:p w14:paraId="4D297F3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highlight w:val="none"/>
                <w:lang w:val="en-US" w:eastAsia="zh-CN" w:bidi="ar-SA"/>
                <w:woUserID w:val="2"/>
              </w:rPr>
            </w:pPr>
            <w:r>
              <w:rPr>
                <w:rFonts w:hint="eastAsia" w:ascii="宋体" w:hAnsi="宋体" w:cs="宋体"/>
                <w:i w:val="0"/>
                <w:iCs w:val="0"/>
                <w:color w:val="auto"/>
                <w:kern w:val="0"/>
                <w:sz w:val="21"/>
                <w:szCs w:val="21"/>
                <w:highlight w:val="none"/>
                <w:lang w:val="en-US" w:eastAsia="zh-CN" w:bidi="ar"/>
                <w:woUserID w:val="2"/>
              </w:rPr>
              <w:t>2</w:t>
            </w:r>
          </w:p>
        </w:tc>
        <w:tc>
          <w:tcPr>
            <w:tcW w:w="1085" w:type="dxa"/>
            <w:tcBorders>
              <w:tl2br w:val="nil"/>
              <w:tr2bl w:val="nil"/>
            </w:tcBorders>
            <w:shd w:val="clear" w:color="auto" w:fill="auto"/>
            <w:vAlign w:val="center"/>
          </w:tcPr>
          <w:p w14:paraId="7168C65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highlight w:val="none"/>
                <w:lang w:val="en-US" w:eastAsia="zh-CN" w:bidi="ar-SA"/>
                <w:woUserID w:val="2"/>
              </w:rPr>
            </w:pPr>
            <w:r>
              <w:rPr>
                <w:rFonts w:hint="eastAsia" w:ascii="宋体" w:hAnsi="宋体" w:eastAsia="宋体" w:cs="宋体"/>
                <w:i w:val="0"/>
                <w:iCs w:val="0"/>
                <w:color w:val="auto"/>
                <w:kern w:val="0"/>
                <w:sz w:val="21"/>
                <w:szCs w:val="21"/>
                <w:highlight w:val="none"/>
                <w:lang w:val="en-US" w:eastAsia="zh-CN" w:bidi="ar"/>
                <w:woUserID w:val="2"/>
              </w:rPr>
              <w:t>主观分</w:t>
            </w:r>
          </w:p>
        </w:tc>
      </w:tr>
      <w:tr w14:paraId="6FCE5B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755" w:type="dxa"/>
            <w:tcBorders>
              <w:tl2br w:val="nil"/>
              <w:tr2bl w:val="nil"/>
            </w:tcBorders>
            <w:vAlign w:val="center"/>
          </w:tcPr>
          <w:p w14:paraId="45F1B12E">
            <w:pPr>
              <w:keepNext w:val="0"/>
              <w:keepLines w:val="0"/>
              <w:pageBreakBefore w:val="0"/>
              <w:suppressLineNumbers w:val="0"/>
              <w:kinsoku/>
              <w:wordWrap/>
              <w:overflowPunct/>
              <w:topLinePunct w:val="0"/>
              <w:autoSpaceDE/>
              <w:autoSpaceDN/>
              <w:bidi w:val="0"/>
              <w:adjustRightInd w:val="0"/>
              <w:snapToGrid w:val="0"/>
              <w:spacing w:before="2" w:beforeAutospacing="0" w:after="2" w:afterAutospacing="0" w:line="360" w:lineRule="auto"/>
              <w:ind w:left="21" w:leftChars="0" w:right="57" w:firstLine="0" w:firstLineChars="0"/>
              <w:jc w:val="center"/>
              <w:textAlignment w:val="auto"/>
              <w:rPr>
                <w:rFonts w:hint="eastAsia" w:ascii="宋体" w:hAnsi="宋体" w:eastAsia="宋体" w:cs="宋体"/>
                <w:color w:val="auto"/>
                <w:sz w:val="21"/>
                <w:szCs w:val="21"/>
                <w:highlight w:val="none"/>
                <w:lang w:eastAsia="zh-CN"/>
                <w:woUserID w:val="1"/>
              </w:rPr>
            </w:pPr>
            <w:r>
              <w:rPr>
                <w:rFonts w:hint="eastAsia" w:ascii="宋体" w:hAnsi="宋体" w:eastAsia="宋体" w:cs="宋体"/>
                <w:color w:val="auto"/>
                <w:sz w:val="21"/>
                <w:szCs w:val="21"/>
                <w:highlight w:val="none"/>
                <w:lang w:eastAsia="zh-CN"/>
                <w:woUserID w:val="1"/>
              </w:rPr>
              <w:t>10</w:t>
            </w:r>
          </w:p>
        </w:tc>
        <w:tc>
          <w:tcPr>
            <w:tcW w:w="1251" w:type="dxa"/>
            <w:vMerge w:val="continue"/>
            <w:tcBorders>
              <w:tl2br w:val="nil"/>
              <w:tr2bl w:val="nil"/>
            </w:tcBorders>
            <w:shd w:val="clear" w:color="auto" w:fill="auto"/>
            <w:vAlign w:val="center"/>
          </w:tcPr>
          <w:p w14:paraId="7EDB6E13">
            <w:pPr>
              <w:pStyle w:val="344"/>
              <w:keepNext w:val="0"/>
              <w:keepLines w:val="0"/>
              <w:pageBreakBefore w:val="0"/>
              <w:suppressLineNumbers w:val="0"/>
              <w:kinsoku/>
              <w:wordWrap/>
              <w:overflowPunct/>
              <w:topLinePunct w:val="0"/>
              <w:autoSpaceDE/>
              <w:autoSpaceDN/>
              <w:bidi w:val="0"/>
              <w:adjustRightInd w:val="0"/>
              <w:spacing w:before="2" w:beforeAutospacing="0" w:after="2" w:afterAutospacing="0" w:line="360" w:lineRule="auto"/>
              <w:ind w:left="21" w:leftChars="0" w:right="57" w:firstLine="0" w:firstLineChars="0"/>
              <w:jc w:val="center"/>
              <w:textAlignment w:val="auto"/>
              <w:outlineLvl w:val="0"/>
              <w:rPr>
                <w:rFonts w:hint="eastAsia" w:ascii="宋体" w:hAnsi="宋体" w:eastAsia="宋体" w:cs="宋体"/>
                <w:color w:val="auto"/>
                <w:spacing w:val="6"/>
                <w:sz w:val="21"/>
                <w:szCs w:val="21"/>
                <w:highlight w:val="none"/>
                <w:lang w:val="en-US" w:eastAsia="zh-CN"/>
              </w:rPr>
            </w:pPr>
          </w:p>
        </w:tc>
        <w:tc>
          <w:tcPr>
            <w:tcW w:w="5385" w:type="dxa"/>
            <w:tcBorders>
              <w:tl2br w:val="nil"/>
              <w:tr2bl w:val="nil"/>
            </w:tcBorders>
            <w:shd w:val="clear" w:color="auto" w:fill="auto"/>
            <w:vAlign w:val="center"/>
          </w:tcPr>
          <w:p w14:paraId="540BD27D">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2"/>
                <w:sz w:val="21"/>
                <w:szCs w:val="21"/>
                <w:highlight w:val="none"/>
                <w:lang w:val="en-US" w:eastAsia="zh-CN" w:bidi="ar-SA"/>
                <w:woUserID w:val="2"/>
              </w:rPr>
            </w:pPr>
            <w:r>
              <w:rPr>
                <w:rFonts w:hint="eastAsia" w:ascii="宋体" w:hAnsi="宋体" w:eastAsia="宋体" w:cs="宋体"/>
                <w:i w:val="0"/>
                <w:iCs w:val="0"/>
                <w:color w:val="auto"/>
                <w:kern w:val="0"/>
                <w:sz w:val="21"/>
                <w:szCs w:val="21"/>
                <w:highlight w:val="none"/>
                <w:lang w:val="en-US" w:eastAsia="zh-CN" w:bidi="ar"/>
                <w:woUserID w:val="2"/>
              </w:rPr>
              <w:t>根据投标人提供的感知中心方案进行综合评定，包括首页、政策推荐、工具箱、企业用户中心，对描述的完整性、可行性进行综合评分；（评分范围：2,1,0）</w:t>
            </w:r>
          </w:p>
        </w:tc>
        <w:tc>
          <w:tcPr>
            <w:tcW w:w="882" w:type="dxa"/>
            <w:tcBorders>
              <w:tl2br w:val="nil"/>
              <w:tr2bl w:val="nil"/>
            </w:tcBorders>
            <w:shd w:val="clear" w:color="auto" w:fill="auto"/>
            <w:vAlign w:val="center"/>
          </w:tcPr>
          <w:p w14:paraId="26E09E0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highlight w:val="none"/>
                <w:lang w:val="en-US" w:eastAsia="zh-CN" w:bidi="ar-SA"/>
                <w:woUserID w:val="2"/>
              </w:rPr>
            </w:pPr>
            <w:r>
              <w:rPr>
                <w:rFonts w:hint="eastAsia" w:ascii="宋体" w:hAnsi="宋体" w:cs="宋体"/>
                <w:i w:val="0"/>
                <w:iCs w:val="0"/>
                <w:color w:val="auto"/>
                <w:kern w:val="0"/>
                <w:sz w:val="21"/>
                <w:szCs w:val="21"/>
                <w:highlight w:val="none"/>
                <w:lang w:val="en-US" w:eastAsia="zh-CN" w:bidi="ar"/>
                <w:woUserID w:val="2"/>
              </w:rPr>
              <w:t>2</w:t>
            </w:r>
          </w:p>
        </w:tc>
        <w:tc>
          <w:tcPr>
            <w:tcW w:w="1085" w:type="dxa"/>
            <w:tcBorders>
              <w:tl2br w:val="nil"/>
              <w:tr2bl w:val="nil"/>
            </w:tcBorders>
            <w:shd w:val="clear" w:color="auto" w:fill="auto"/>
            <w:vAlign w:val="center"/>
          </w:tcPr>
          <w:p w14:paraId="19A44C05">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i w:val="0"/>
                <w:iCs w:val="0"/>
                <w:color w:val="auto"/>
                <w:kern w:val="2"/>
                <w:sz w:val="21"/>
                <w:szCs w:val="21"/>
                <w:highlight w:val="none"/>
                <w:lang w:val="en-US" w:eastAsia="zh-CN" w:bidi="ar-SA"/>
                <w:woUserID w:val="2"/>
              </w:rPr>
            </w:pPr>
            <w:r>
              <w:rPr>
                <w:rFonts w:hint="eastAsia" w:ascii="宋体" w:hAnsi="宋体" w:eastAsia="宋体" w:cs="宋体"/>
                <w:i w:val="0"/>
                <w:iCs w:val="0"/>
                <w:color w:val="auto"/>
                <w:kern w:val="0"/>
                <w:sz w:val="21"/>
                <w:szCs w:val="21"/>
                <w:highlight w:val="none"/>
                <w:lang w:val="en-US" w:eastAsia="zh-CN" w:bidi="ar"/>
                <w:woUserID w:val="2"/>
              </w:rPr>
              <w:t>主观分</w:t>
            </w:r>
          </w:p>
        </w:tc>
      </w:tr>
      <w:tr w14:paraId="13CBC55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755" w:type="dxa"/>
            <w:tcBorders>
              <w:tl2br w:val="nil"/>
              <w:tr2bl w:val="nil"/>
            </w:tcBorders>
            <w:vAlign w:val="center"/>
          </w:tcPr>
          <w:p w14:paraId="595355B8">
            <w:pPr>
              <w:keepNext w:val="0"/>
              <w:keepLines w:val="0"/>
              <w:pageBreakBefore w:val="0"/>
              <w:suppressLineNumbers w:val="0"/>
              <w:kinsoku/>
              <w:wordWrap/>
              <w:overflowPunct/>
              <w:topLinePunct w:val="0"/>
              <w:autoSpaceDE/>
              <w:autoSpaceDN/>
              <w:bidi w:val="0"/>
              <w:adjustRightInd w:val="0"/>
              <w:snapToGrid w:val="0"/>
              <w:spacing w:before="2" w:beforeAutospacing="0" w:after="2" w:afterAutospacing="0" w:line="360" w:lineRule="auto"/>
              <w:ind w:left="21" w:leftChars="0" w:right="57" w:firstLine="0" w:firstLineChars="0"/>
              <w:jc w:val="center"/>
              <w:textAlignment w:val="auto"/>
              <w:rPr>
                <w:rFonts w:hint="eastAsia" w:ascii="宋体" w:hAnsi="宋体" w:eastAsia="宋体" w:cs="宋体"/>
                <w:color w:val="auto"/>
                <w:sz w:val="21"/>
                <w:szCs w:val="21"/>
                <w:highlight w:val="none"/>
                <w:lang w:eastAsia="zh-CN"/>
                <w:woUserID w:val="1"/>
              </w:rPr>
            </w:pPr>
            <w:r>
              <w:rPr>
                <w:rFonts w:hint="eastAsia" w:ascii="宋体" w:hAnsi="宋体" w:eastAsia="宋体" w:cs="宋体"/>
                <w:color w:val="auto"/>
                <w:sz w:val="21"/>
                <w:szCs w:val="21"/>
                <w:highlight w:val="none"/>
                <w:lang w:eastAsia="zh-CN"/>
                <w:woUserID w:val="1"/>
              </w:rPr>
              <w:t>11</w:t>
            </w:r>
          </w:p>
        </w:tc>
        <w:tc>
          <w:tcPr>
            <w:tcW w:w="1251" w:type="dxa"/>
            <w:vMerge w:val="continue"/>
            <w:tcBorders>
              <w:tl2br w:val="nil"/>
              <w:tr2bl w:val="nil"/>
            </w:tcBorders>
            <w:shd w:val="clear" w:color="auto" w:fill="auto"/>
            <w:vAlign w:val="center"/>
          </w:tcPr>
          <w:p w14:paraId="027AA4A0">
            <w:pPr>
              <w:pStyle w:val="344"/>
              <w:keepNext w:val="0"/>
              <w:keepLines w:val="0"/>
              <w:pageBreakBefore w:val="0"/>
              <w:suppressLineNumbers w:val="0"/>
              <w:kinsoku/>
              <w:wordWrap/>
              <w:overflowPunct/>
              <w:topLinePunct w:val="0"/>
              <w:autoSpaceDE/>
              <w:autoSpaceDN/>
              <w:bidi w:val="0"/>
              <w:adjustRightInd w:val="0"/>
              <w:spacing w:before="2" w:beforeAutospacing="0" w:after="2" w:afterAutospacing="0" w:line="360" w:lineRule="auto"/>
              <w:ind w:left="21" w:leftChars="0" w:right="57" w:firstLine="0" w:firstLineChars="0"/>
              <w:jc w:val="center"/>
              <w:textAlignment w:val="auto"/>
              <w:outlineLvl w:val="0"/>
              <w:rPr>
                <w:rFonts w:hint="eastAsia" w:ascii="宋体" w:hAnsi="宋体" w:eastAsia="宋体" w:cs="宋体"/>
                <w:color w:val="auto"/>
                <w:spacing w:val="6"/>
                <w:sz w:val="21"/>
                <w:szCs w:val="21"/>
                <w:highlight w:val="none"/>
                <w:lang w:val="en-US" w:eastAsia="zh-CN"/>
              </w:rPr>
            </w:pPr>
          </w:p>
        </w:tc>
        <w:tc>
          <w:tcPr>
            <w:tcW w:w="5385" w:type="dxa"/>
            <w:tcBorders>
              <w:tl2br w:val="nil"/>
              <w:tr2bl w:val="nil"/>
            </w:tcBorders>
            <w:shd w:val="clear" w:color="auto" w:fill="auto"/>
            <w:vAlign w:val="center"/>
          </w:tcPr>
          <w:p w14:paraId="5CE6F844">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2"/>
                <w:sz w:val="21"/>
                <w:szCs w:val="21"/>
                <w:highlight w:val="none"/>
                <w:lang w:val="en-US" w:eastAsia="zh-CN" w:bidi="ar-SA"/>
                <w:woUserID w:val="2"/>
              </w:rPr>
            </w:pPr>
            <w:r>
              <w:rPr>
                <w:rFonts w:hint="eastAsia" w:ascii="宋体" w:hAnsi="宋体" w:eastAsia="宋体" w:cs="宋体"/>
                <w:i w:val="0"/>
                <w:iCs w:val="0"/>
                <w:color w:val="auto"/>
                <w:kern w:val="0"/>
                <w:sz w:val="21"/>
                <w:szCs w:val="21"/>
                <w:highlight w:val="none"/>
                <w:lang w:val="en-US" w:eastAsia="zh-CN" w:bidi="ar"/>
                <w:woUserID w:val="2"/>
              </w:rPr>
              <w:t>根据投标人提供的其他建设内容方案进行综合评定，包括数据集成服务、系统对接集成、大模型支撑体系、系统设置，对描述的完整性、可行性进行综合评分；（评分范围：2,1,0）</w:t>
            </w:r>
          </w:p>
        </w:tc>
        <w:tc>
          <w:tcPr>
            <w:tcW w:w="882" w:type="dxa"/>
            <w:tcBorders>
              <w:tl2br w:val="nil"/>
              <w:tr2bl w:val="nil"/>
            </w:tcBorders>
            <w:shd w:val="clear" w:color="auto" w:fill="auto"/>
            <w:vAlign w:val="center"/>
          </w:tcPr>
          <w:p w14:paraId="7EB8A7D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highlight w:val="none"/>
                <w:lang w:val="en-US" w:eastAsia="zh-CN" w:bidi="ar-SA"/>
                <w:woUserID w:val="2"/>
              </w:rPr>
            </w:pPr>
            <w:r>
              <w:rPr>
                <w:rFonts w:hint="eastAsia" w:ascii="宋体" w:hAnsi="宋体" w:cs="宋体"/>
                <w:i w:val="0"/>
                <w:iCs w:val="0"/>
                <w:color w:val="auto"/>
                <w:kern w:val="0"/>
                <w:sz w:val="21"/>
                <w:szCs w:val="21"/>
                <w:highlight w:val="none"/>
                <w:lang w:val="en-US" w:eastAsia="zh-CN" w:bidi="ar"/>
                <w:woUserID w:val="2"/>
              </w:rPr>
              <w:t>2</w:t>
            </w:r>
          </w:p>
        </w:tc>
        <w:tc>
          <w:tcPr>
            <w:tcW w:w="1085" w:type="dxa"/>
            <w:tcBorders>
              <w:tl2br w:val="nil"/>
              <w:tr2bl w:val="nil"/>
            </w:tcBorders>
            <w:shd w:val="clear" w:color="auto" w:fill="auto"/>
            <w:vAlign w:val="center"/>
          </w:tcPr>
          <w:p w14:paraId="1F917216">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i w:val="0"/>
                <w:iCs w:val="0"/>
                <w:color w:val="auto"/>
                <w:kern w:val="2"/>
                <w:sz w:val="21"/>
                <w:szCs w:val="21"/>
                <w:highlight w:val="none"/>
                <w:lang w:val="en-US" w:eastAsia="zh-CN" w:bidi="ar-SA"/>
                <w:woUserID w:val="2"/>
              </w:rPr>
            </w:pPr>
            <w:r>
              <w:rPr>
                <w:rFonts w:hint="eastAsia" w:ascii="宋体" w:hAnsi="宋体" w:eastAsia="宋体" w:cs="宋体"/>
                <w:i w:val="0"/>
                <w:iCs w:val="0"/>
                <w:color w:val="auto"/>
                <w:kern w:val="0"/>
                <w:sz w:val="21"/>
                <w:szCs w:val="21"/>
                <w:highlight w:val="none"/>
                <w:lang w:val="en-US" w:eastAsia="zh-CN" w:bidi="ar"/>
                <w:woUserID w:val="2"/>
              </w:rPr>
              <w:t>主观分</w:t>
            </w:r>
          </w:p>
        </w:tc>
      </w:tr>
      <w:tr w14:paraId="272E84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55" w:type="dxa"/>
            <w:tcBorders>
              <w:tl2br w:val="nil"/>
              <w:tr2bl w:val="nil"/>
            </w:tcBorders>
            <w:vAlign w:val="center"/>
          </w:tcPr>
          <w:p w14:paraId="633D1EA8">
            <w:pPr>
              <w:keepNext w:val="0"/>
              <w:keepLines w:val="0"/>
              <w:pageBreakBefore w:val="0"/>
              <w:suppressLineNumbers w:val="0"/>
              <w:kinsoku/>
              <w:wordWrap/>
              <w:overflowPunct/>
              <w:topLinePunct w:val="0"/>
              <w:autoSpaceDE/>
              <w:autoSpaceDN/>
              <w:bidi w:val="0"/>
              <w:adjustRightInd w:val="0"/>
              <w:snapToGrid w:val="0"/>
              <w:spacing w:before="2" w:beforeAutospacing="0" w:after="2" w:afterAutospacing="0" w:line="360" w:lineRule="auto"/>
              <w:ind w:left="21" w:leftChars="10" w:right="57"/>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woUserID w:val="1"/>
              </w:rPr>
              <w:t>12</w:t>
            </w:r>
          </w:p>
        </w:tc>
        <w:tc>
          <w:tcPr>
            <w:tcW w:w="1251" w:type="dxa"/>
            <w:vMerge w:val="restart"/>
            <w:tcBorders>
              <w:tl2br w:val="nil"/>
              <w:tr2bl w:val="nil"/>
            </w:tcBorders>
            <w:shd w:val="clear" w:color="auto" w:fill="auto"/>
            <w:vAlign w:val="center"/>
          </w:tcPr>
          <w:p w14:paraId="2CBF0FCB">
            <w:pPr>
              <w:pStyle w:val="344"/>
              <w:keepNext w:val="0"/>
              <w:keepLines w:val="0"/>
              <w:pageBreakBefore w:val="0"/>
              <w:suppressLineNumbers w:val="0"/>
              <w:kinsoku/>
              <w:wordWrap/>
              <w:overflowPunct/>
              <w:topLinePunct w:val="0"/>
              <w:autoSpaceDE/>
              <w:autoSpaceDN/>
              <w:bidi w:val="0"/>
              <w:adjustRightInd w:val="0"/>
              <w:spacing w:before="2" w:beforeAutospacing="0" w:after="2" w:afterAutospacing="0" w:line="360" w:lineRule="auto"/>
              <w:ind w:left="21" w:leftChars="10" w:right="57"/>
              <w:jc w:val="center"/>
              <w:textAlignment w:val="auto"/>
              <w:outlineLvl w:val="0"/>
              <w:rPr>
                <w:rFonts w:hint="eastAsia" w:ascii="宋体" w:hAnsi="宋体" w:eastAsia="宋体" w:cs="宋体"/>
                <w:color w:val="auto"/>
                <w:spacing w:val="6"/>
                <w:sz w:val="21"/>
                <w:szCs w:val="21"/>
                <w:highlight w:val="none"/>
                <w:lang w:val="en-US" w:eastAsia="zh-CN"/>
              </w:rPr>
            </w:pPr>
          </w:p>
          <w:p w14:paraId="4E97B217">
            <w:pPr>
              <w:keepNext w:val="0"/>
              <w:keepLines w:val="0"/>
              <w:suppressLineNumbers w:val="0"/>
              <w:bidi w:val="0"/>
              <w:spacing w:before="0" w:beforeAutospacing="0" w:after="0" w:afterAutospacing="0"/>
              <w:ind w:left="0" w:right="0"/>
              <w:rPr>
                <w:rFonts w:hint="eastAsia" w:ascii="宋体" w:hAnsi="宋体" w:eastAsia="宋体" w:cs="宋体"/>
                <w:color w:val="auto"/>
                <w:sz w:val="21"/>
                <w:szCs w:val="21"/>
                <w:highlight w:val="none"/>
                <w:lang w:val="en-US" w:eastAsia="zh-CN"/>
              </w:rPr>
            </w:pPr>
          </w:p>
          <w:p w14:paraId="5B07EC8F">
            <w:pPr>
              <w:keepNext w:val="0"/>
              <w:keepLines w:val="0"/>
              <w:suppressLineNumbers w:val="0"/>
              <w:bidi w:val="0"/>
              <w:spacing w:before="0" w:beforeAutospacing="0" w:after="0" w:afterAutospacing="0"/>
              <w:ind w:left="0" w:right="0"/>
              <w:rPr>
                <w:rFonts w:hint="eastAsia" w:ascii="宋体" w:hAnsi="宋体" w:eastAsia="宋体" w:cs="宋体"/>
                <w:color w:val="auto"/>
                <w:sz w:val="21"/>
                <w:szCs w:val="21"/>
                <w:highlight w:val="none"/>
                <w:lang w:val="en-US" w:eastAsia="zh-CN"/>
              </w:rPr>
            </w:pPr>
          </w:p>
          <w:p w14:paraId="60401358">
            <w:pPr>
              <w:pStyle w:val="516"/>
              <w:keepNext w:val="0"/>
              <w:keepLines w:val="0"/>
              <w:pageBreakBefore w:val="0"/>
              <w:suppressLineNumbers w:val="0"/>
              <w:kinsoku/>
              <w:overflowPunct/>
              <w:topLinePunct w:val="0"/>
              <w:bidi w:val="0"/>
              <w:adjustRightInd w:val="0"/>
              <w:snapToGrid w:val="0"/>
              <w:spacing w:before="0" w:beforeAutospacing="0" w:after="0" w:afterAutospacing="0" w:line="336"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服务团队</w:t>
            </w:r>
          </w:p>
        </w:tc>
        <w:tc>
          <w:tcPr>
            <w:tcW w:w="5385" w:type="dxa"/>
            <w:tcBorders>
              <w:tl2br w:val="nil"/>
              <w:tr2bl w:val="nil"/>
            </w:tcBorders>
            <w:shd w:val="clear" w:color="auto" w:fill="auto"/>
            <w:vAlign w:val="center"/>
          </w:tcPr>
          <w:p w14:paraId="23FEF9CB">
            <w:pPr>
              <w:pStyle w:val="516"/>
              <w:keepNext w:val="0"/>
              <w:keepLines w:val="0"/>
              <w:pageBreakBefore w:val="0"/>
              <w:suppressLineNumbers w:val="0"/>
              <w:kinsoku/>
              <w:overflowPunct/>
              <w:topLinePunct w:val="0"/>
              <w:bidi w:val="0"/>
              <w:adjustRightInd w:val="0"/>
              <w:snapToGrid w:val="0"/>
              <w:spacing w:before="0" w:beforeAutospacing="0" w:after="0" w:afterAutospacing="0" w:line="336"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（1）投标人拟派项目经理具有</w:t>
            </w:r>
            <w:r>
              <w:rPr>
                <w:rFonts w:hint="eastAsia" w:ascii="宋体" w:hAnsi="宋体" w:eastAsia="宋体" w:cs="宋体"/>
                <w:color w:val="auto"/>
                <w:sz w:val="21"/>
                <w:szCs w:val="21"/>
                <w:highlight w:val="none"/>
                <w:lang w:eastAsia="zh-CN"/>
                <w:woUserID w:val="1"/>
              </w:rPr>
              <w:t>计算机等与本项目履约相关专业硕士及以上学历并具有人社部门颁发的高级工程师（信息技术相关专业）的得3分，其他不得分。</w:t>
            </w:r>
          </w:p>
          <w:p w14:paraId="374FDA77">
            <w:pPr>
              <w:pStyle w:val="516"/>
              <w:keepNext w:val="0"/>
              <w:keepLines w:val="0"/>
              <w:pageBreakBefore w:val="0"/>
              <w:suppressLineNumbers w:val="0"/>
              <w:kinsoku/>
              <w:overflowPunct/>
              <w:topLinePunct w:val="0"/>
              <w:bidi w:val="0"/>
              <w:adjustRightInd w:val="0"/>
              <w:snapToGrid w:val="0"/>
              <w:spacing w:before="0" w:beforeAutospacing="0" w:after="0" w:afterAutospacing="0" w:line="336"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（注：响应文件中提供相关人员的证书扫描件及近三个月</w:t>
            </w:r>
            <w:r>
              <w:rPr>
                <w:rFonts w:hint="eastAsia" w:ascii="宋体" w:hAnsi="宋体" w:eastAsia="宋体" w:cs="宋体"/>
                <w:color w:val="auto"/>
                <w:sz w:val="21"/>
                <w:szCs w:val="21"/>
                <w:highlight w:val="none"/>
                <w:lang w:val="en-US" w:eastAsia="zh-CN"/>
              </w:rPr>
              <w:t>中任意一个月</w:t>
            </w:r>
            <w:r>
              <w:rPr>
                <w:rFonts w:hint="eastAsia" w:ascii="宋体" w:hAnsi="宋体" w:eastAsia="宋体" w:cs="宋体"/>
                <w:color w:val="auto"/>
                <w:sz w:val="21"/>
                <w:szCs w:val="21"/>
                <w:highlight w:val="none"/>
                <w:lang w:eastAsia="zh-CN"/>
              </w:rPr>
              <w:t>的社保缴纳证明扫描件，未提供资质证书和社保缴纳证明不得分。）</w:t>
            </w:r>
          </w:p>
        </w:tc>
        <w:tc>
          <w:tcPr>
            <w:tcW w:w="882" w:type="dxa"/>
            <w:tcBorders>
              <w:tl2br w:val="nil"/>
              <w:tr2bl w:val="nil"/>
            </w:tcBorders>
            <w:shd w:val="clear" w:color="auto" w:fill="auto"/>
            <w:vAlign w:val="center"/>
          </w:tcPr>
          <w:p w14:paraId="7ADD5DB5">
            <w:pPr>
              <w:pStyle w:val="516"/>
              <w:keepNext w:val="0"/>
              <w:keepLines w:val="0"/>
              <w:pageBreakBefore w:val="0"/>
              <w:suppressLineNumbers w:val="0"/>
              <w:kinsoku/>
              <w:overflowPunct/>
              <w:topLinePunct w:val="0"/>
              <w:bidi w:val="0"/>
              <w:adjustRightInd w:val="0"/>
              <w:snapToGrid w:val="0"/>
              <w:spacing w:before="0" w:beforeAutospacing="0" w:after="0" w:afterAutospacing="0" w:line="336"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085" w:type="dxa"/>
            <w:tcBorders>
              <w:tl2br w:val="nil"/>
              <w:tr2bl w:val="nil"/>
            </w:tcBorders>
            <w:shd w:val="clear" w:color="auto" w:fill="auto"/>
            <w:vAlign w:val="center"/>
          </w:tcPr>
          <w:p w14:paraId="5B623D28">
            <w:pPr>
              <w:pStyle w:val="516"/>
              <w:keepNext w:val="0"/>
              <w:keepLines w:val="0"/>
              <w:pageBreakBefore w:val="0"/>
              <w:suppressLineNumbers w:val="0"/>
              <w:kinsoku/>
              <w:overflowPunct/>
              <w:topLinePunct w:val="0"/>
              <w:bidi w:val="0"/>
              <w:adjustRightInd w:val="0"/>
              <w:snapToGrid w:val="0"/>
              <w:spacing w:before="0" w:beforeAutospacing="0" w:after="0" w:afterAutospacing="0" w:line="336"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客观分</w:t>
            </w:r>
          </w:p>
        </w:tc>
      </w:tr>
      <w:tr w14:paraId="5B1DD0A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55" w:type="dxa"/>
            <w:tcBorders>
              <w:tl2br w:val="nil"/>
              <w:tr2bl w:val="nil"/>
            </w:tcBorders>
            <w:vAlign w:val="center"/>
          </w:tcPr>
          <w:p w14:paraId="405233F7">
            <w:pPr>
              <w:keepNext w:val="0"/>
              <w:keepLines w:val="0"/>
              <w:pageBreakBefore w:val="0"/>
              <w:suppressLineNumbers w:val="0"/>
              <w:kinsoku/>
              <w:wordWrap/>
              <w:overflowPunct/>
              <w:topLinePunct w:val="0"/>
              <w:autoSpaceDE/>
              <w:autoSpaceDN/>
              <w:bidi w:val="0"/>
              <w:adjustRightInd w:val="0"/>
              <w:snapToGrid w:val="0"/>
              <w:spacing w:before="2" w:beforeAutospacing="0" w:after="2" w:afterAutospacing="0" w:line="360" w:lineRule="auto"/>
              <w:ind w:left="21" w:leftChars="10" w:right="57"/>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woUserID w:val="1"/>
              </w:rPr>
              <w:t>3</w:t>
            </w:r>
          </w:p>
        </w:tc>
        <w:tc>
          <w:tcPr>
            <w:tcW w:w="1251" w:type="dxa"/>
            <w:vMerge w:val="continue"/>
            <w:tcBorders>
              <w:tl2br w:val="nil"/>
              <w:tr2bl w:val="nil"/>
            </w:tcBorders>
            <w:shd w:val="clear" w:color="auto" w:fill="auto"/>
            <w:vAlign w:val="center"/>
          </w:tcPr>
          <w:p w14:paraId="58FCC528">
            <w:pPr>
              <w:pStyle w:val="344"/>
              <w:keepNext w:val="0"/>
              <w:keepLines w:val="0"/>
              <w:pageBreakBefore w:val="0"/>
              <w:suppressLineNumbers w:val="0"/>
              <w:kinsoku/>
              <w:wordWrap/>
              <w:overflowPunct/>
              <w:topLinePunct w:val="0"/>
              <w:autoSpaceDE/>
              <w:autoSpaceDN/>
              <w:bidi w:val="0"/>
              <w:adjustRightInd w:val="0"/>
              <w:spacing w:before="2" w:beforeAutospacing="0" w:after="2" w:afterAutospacing="0" w:line="360" w:lineRule="auto"/>
              <w:ind w:left="21" w:leftChars="10" w:right="57"/>
              <w:jc w:val="center"/>
              <w:textAlignment w:val="auto"/>
              <w:outlineLvl w:val="0"/>
              <w:rPr>
                <w:rFonts w:hint="eastAsia" w:ascii="宋体" w:hAnsi="宋体" w:eastAsia="宋体" w:cs="宋体"/>
                <w:color w:val="auto"/>
                <w:spacing w:val="6"/>
                <w:sz w:val="21"/>
                <w:szCs w:val="21"/>
                <w:highlight w:val="none"/>
                <w:lang w:val="en-US" w:eastAsia="zh-CN"/>
              </w:rPr>
            </w:pPr>
          </w:p>
        </w:tc>
        <w:tc>
          <w:tcPr>
            <w:tcW w:w="5385" w:type="dxa"/>
            <w:tcBorders>
              <w:tl2br w:val="nil"/>
              <w:tr2bl w:val="nil"/>
            </w:tcBorders>
            <w:shd w:val="clear" w:color="auto" w:fill="auto"/>
            <w:vAlign w:val="center"/>
          </w:tcPr>
          <w:p w14:paraId="78BCE5ED">
            <w:pPr>
              <w:pStyle w:val="516"/>
              <w:keepNext w:val="0"/>
              <w:keepLines w:val="0"/>
              <w:pageBreakBefore w:val="0"/>
              <w:suppressLineNumbers w:val="0"/>
              <w:kinsoku/>
              <w:overflowPunct/>
              <w:topLinePunct w:val="0"/>
              <w:bidi w:val="0"/>
              <w:adjustRightInd w:val="0"/>
              <w:snapToGrid w:val="0"/>
              <w:spacing w:before="0" w:beforeAutospacing="0" w:after="0" w:afterAutospacing="0" w:line="336" w:lineRule="auto"/>
              <w:ind w:left="0" w:leftChars="0" w:right="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（2）投标人拟派项目技术负责人具有</w:t>
            </w:r>
            <w:r>
              <w:rPr>
                <w:rFonts w:hint="eastAsia" w:ascii="宋体" w:hAnsi="宋体" w:eastAsia="宋体" w:cs="宋体"/>
                <w:color w:val="auto"/>
                <w:sz w:val="21"/>
                <w:szCs w:val="21"/>
                <w:highlight w:val="none"/>
                <w:lang w:eastAsia="zh-CN"/>
                <w:woUserID w:val="1"/>
              </w:rPr>
              <w:t>系统架构设计师（高级）</w:t>
            </w:r>
            <w:r>
              <w:rPr>
                <w:rFonts w:hint="eastAsia" w:ascii="宋体" w:hAnsi="宋体" w:eastAsia="宋体" w:cs="宋体"/>
                <w:color w:val="auto"/>
                <w:sz w:val="21"/>
                <w:szCs w:val="21"/>
                <w:highlight w:val="none"/>
                <w:lang w:eastAsia="zh-CN"/>
              </w:rPr>
              <w:t>和软件设计师</w:t>
            </w:r>
            <w:r>
              <w:rPr>
                <w:rFonts w:hint="eastAsia" w:ascii="宋体" w:hAnsi="宋体" w:eastAsia="宋体" w:cs="宋体"/>
                <w:color w:val="auto"/>
                <w:sz w:val="21"/>
                <w:szCs w:val="21"/>
                <w:highlight w:val="none"/>
                <w:lang w:eastAsia="zh-CN"/>
                <w:woUserID w:val="1"/>
              </w:rPr>
              <w:t>（中级）</w:t>
            </w:r>
            <w:r>
              <w:rPr>
                <w:rFonts w:hint="eastAsia" w:ascii="宋体" w:hAnsi="宋体" w:eastAsia="宋体" w:cs="宋体"/>
                <w:color w:val="auto"/>
                <w:sz w:val="21"/>
                <w:szCs w:val="21"/>
                <w:highlight w:val="none"/>
                <w:lang w:eastAsia="zh-CN"/>
              </w:rPr>
              <w:t>证书，每提供一个得</w:t>
            </w:r>
            <w:r>
              <w:rPr>
                <w:rFonts w:hint="eastAsia" w:ascii="宋体" w:hAnsi="宋体" w:eastAsia="宋体" w:cs="宋体"/>
                <w:color w:val="auto"/>
                <w:sz w:val="21"/>
                <w:szCs w:val="21"/>
                <w:highlight w:val="none"/>
                <w:lang w:eastAsia="zh-CN"/>
                <w:woUserID w:val="1"/>
              </w:rPr>
              <w:t>2</w:t>
            </w:r>
            <w:r>
              <w:rPr>
                <w:rFonts w:hint="eastAsia" w:ascii="宋体" w:hAnsi="宋体" w:eastAsia="宋体" w:cs="宋体"/>
                <w:color w:val="auto"/>
                <w:sz w:val="21"/>
                <w:szCs w:val="21"/>
                <w:highlight w:val="none"/>
                <w:lang w:eastAsia="zh-CN"/>
              </w:rPr>
              <w:t>分，最多得</w:t>
            </w:r>
            <w:r>
              <w:rPr>
                <w:rFonts w:hint="eastAsia" w:ascii="宋体" w:hAnsi="宋体" w:eastAsia="宋体" w:cs="宋体"/>
                <w:color w:val="auto"/>
                <w:sz w:val="21"/>
                <w:szCs w:val="21"/>
                <w:highlight w:val="none"/>
                <w:lang w:eastAsia="zh-CN"/>
                <w:woUserID w:val="1"/>
              </w:rPr>
              <w:t>4</w:t>
            </w:r>
            <w:r>
              <w:rPr>
                <w:rFonts w:hint="eastAsia" w:ascii="宋体" w:hAnsi="宋体" w:eastAsia="宋体" w:cs="宋体"/>
                <w:color w:val="auto"/>
                <w:sz w:val="21"/>
                <w:szCs w:val="21"/>
                <w:highlight w:val="none"/>
                <w:lang w:eastAsia="zh-CN"/>
              </w:rPr>
              <w:t>分；</w:t>
            </w:r>
          </w:p>
          <w:p w14:paraId="2F98886A">
            <w:pPr>
              <w:pStyle w:val="516"/>
              <w:keepNext w:val="0"/>
              <w:keepLines w:val="0"/>
              <w:pageBreakBefore w:val="0"/>
              <w:suppressLineNumbers w:val="0"/>
              <w:kinsoku/>
              <w:overflowPunct/>
              <w:topLinePunct w:val="0"/>
              <w:bidi w:val="0"/>
              <w:adjustRightInd w:val="0"/>
              <w:snapToGrid w:val="0"/>
              <w:spacing w:before="0" w:beforeAutospacing="0" w:after="0" w:afterAutospacing="0" w:line="336"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（注：响应文件中提供相关人员的证书扫描件及近三个月</w:t>
            </w:r>
            <w:r>
              <w:rPr>
                <w:rFonts w:hint="eastAsia" w:ascii="宋体" w:hAnsi="宋体" w:eastAsia="宋体" w:cs="宋体"/>
                <w:color w:val="auto"/>
                <w:sz w:val="21"/>
                <w:szCs w:val="21"/>
                <w:highlight w:val="none"/>
                <w:lang w:val="en-US" w:eastAsia="zh-CN"/>
              </w:rPr>
              <w:t>中任意一个月</w:t>
            </w:r>
            <w:r>
              <w:rPr>
                <w:rFonts w:hint="eastAsia" w:ascii="宋体" w:hAnsi="宋体" w:eastAsia="宋体" w:cs="宋体"/>
                <w:color w:val="auto"/>
                <w:sz w:val="21"/>
                <w:szCs w:val="21"/>
                <w:highlight w:val="none"/>
                <w:lang w:eastAsia="zh-CN"/>
              </w:rPr>
              <w:t>的社保缴纳证明扫描件，未提供资质证书和社保缴纳证明不得分。）</w:t>
            </w:r>
          </w:p>
        </w:tc>
        <w:tc>
          <w:tcPr>
            <w:tcW w:w="882" w:type="dxa"/>
            <w:tcBorders>
              <w:tl2br w:val="nil"/>
              <w:tr2bl w:val="nil"/>
            </w:tcBorders>
            <w:shd w:val="clear" w:color="auto" w:fill="auto"/>
            <w:vAlign w:val="center"/>
          </w:tcPr>
          <w:p w14:paraId="0BB4685B">
            <w:pPr>
              <w:pStyle w:val="516"/>
              <w:keepNext w:val="0"/>
              <w:keepLines w:val="0"/>
              <w:pageBreakBefore w:val="0"/>
              <w:suppressLineNumbers w:val="0"/>
              <w:kinsoku/>
              <w:overflowPunct/>
              <w:topLinePunct w:val="0"/>
              <w:bidi w:val="0"/>
              <w:adjustRightInd w:val="0"/>
              <w:snapToGrid w:val="0"/>
              <w:spacing w:before="0" w:beforeAutospacing="0" w:after="0" w:afterAutospacing="0" w:line="336"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woUserID w:val="1"/>
              </w:rPr>
              <w:t>4</w:t>
            </w:r>
          </w:p>
        </w:tc>
        <w:tc>
          <w:tcPr>
            <w:tcW w:w="1085" w:type="dxa"/>
            <w:tcBorders>
              <w:tl2br w:val="nil"/>
              <w:tr2bl w:val="nil"/>
            </w:tcBorders>
            <w:shd w:val="clear" w:color="auto" w:fill="auto"/>
            <w:vAlign w:val="center"/>
          </w:tcPr>
          <w:p w14:paraId="706CD2B6">
            <w:pPr>
              <w:pStyle w:val="516"/>
              <w:keepNext w:val="0"/>
              <w:keepLines w:val="0"/>
              <w:pageBreakBefore w:val="0"/>
              <w:suppressLineNumbers w:val="0"/>
              <w:kinsoku/>
              <w:overflowPunct/>
              <w:topLinePunct w:val="0"/>
              <w:bidi w:val="0"/>
              <w:adjustRightInd w:val="0"/>
              <w:snapToGrid w:val="0"/>
              <w:spacing w:before="0" w:beforeAutospacing="0" w:after="0" w:afterAutospacing="0" w:line="336"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客观分</w:t>
            </w:r>
          </w:p>
        </w:tc>
      </w:tr>
      <w:tr w14:paraId="20994A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55" w:type="dxa"/>
            <w:tcBorders>
              <w:tl2br w:val="nil"/>
              <w:tr2bl w:val="nil"/>
            </w:tcBorders>
            <w:vAlign w:val="center"/>
          </w:tcPr>
          <w:p w14:paraId="4E8B8369">
            <w:pPr>
              <w:keepNext w:val="0"/>
              <w:keepLines w:val="0"/>
              <w:pageBreakBefore w:val="0"/>
              <w:suppressLineNumbers w:val="0"/>
              <w:kinsoku/>
              <w:wordWrap/>
              <w:overflowPunct/>
              <w:topLinePunct w:val="0"/>
              <w:autoSpaceDE/>
              <w:autoSpaceDN/>
              <w:bidi w:val="0"/>
              <w:adjustRightInd w:val="0"/>
              <w:snapToGrid w:val="0"/>
              <w:spacing w:before="2" w:beforeAutospacing="0" w:after="2" w:afterAutospacing="0" w:line="360" w:lineRule="auto"/>
              <w:ind w:left="21" w:leftChars="10" w:right="57"/>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woUserID w:val="1"/>
              </w:rPr>
              <w:t>4</w:t>
            </w:r>
          </w:p>
        </w:tc>
        <w:tc>
          <w:tcPr>
            <w:tcW w:w="1251" w:type="dxa"/>
            <w:vMerge w:val="continue"/>
            <w:tcBorders>
              <w:tl2br w:val="nil"/>
              <w:tr2bl w:val="nil"/>
            </w:tcBorders>
            <w:shd w:val="clear" w:color="auto" w:fill="auto"/>
            <w:vAlign w:val="center"/>
          </w:tcPr>
          <w:p w14:paraId="0A4CFB08">
            <w:pPr>
              <w:pStyle w:val="344"/>
              <w:keepNext w:val="0"/>
              <w:keepLines w:val="0"/>
              <w:pageBreakBefore w:val="0"/>
              <w:suppressLineNumbers w:val="0"/>
              <w:kinsoku/>
              <w:wordWrap/>
              <w:overflowPunct/>
              <w:topLinePunct w:val="0"/>
              <w:autoSpaceDE/>
              <w:autoSpaceDN/>
              <w:bidi w:val="0"/>
              <w:adjustRightInd w:val="0"/>
              <w:spacing w:before="2" w:beforeAutospacing="0" w:after="2" w:afterAutospacing="0" w:line="360" w:lineRule="auto"/>
              <w:ind w:left="21" w:leftChars="10" w:right="57"/>
              <w:jc w:val="center"/>
              <w:textAlignment w:val="auto"/>
              <w:outlineLvl w:val="0"/>
              <w:rPr>
                <w:rFonts w:hint="eastAsia" w:ascii="宋体" w:hAnsi="宋体" w:eastAsia="宋体" w:cs="宋体"/>
                <w:color w:val="auto"/>
                <w:spacing w:val="6"/>
                <w:sz w:val="21"/>
                <w:szCs w:val="21"/>
                <w:highlight w:val="none"/>
                <w:lang w:val="en-US" w:eastAsia="zh-CN"/>
              </w:rPr>
            </w:pPr>
          </w:p>
        </w:tc>
        <w:tc>
          <w:tcPr>
            <w:tcW w:w="5385" w:type="dxa"/>
            <w:tcBorders>
              <w:tl2br w:val="nil"/>
              <w:tr2bl w:val="nil"/>
            </w:tcBorders>
            <w:shd w:val="clear" w:color="auto" w:fill="auto"/>
            <w:vAlign w:val="center"/>
          </w:tcPr>
          <w:p w14:paraId="32D6EF23">
            <w:pPr>
              <w:pStyle w:val="516"/>
              <w:keepNext w:val="0"/>
              <w:keepLines w:val="0"/>
              <w:pageBreakBefore w:val="0"/>
              <w:numPr>
                <w:ilvl w:val="0"/>
                <w:numId w:val="0"/>
              </w:numPr>
              <w:suppressLineNumbers w:val="0"/>
              <w:kinsoku/>
              <w:overflowPunct/>
              <w:topLinePunct w:val="0"/>
              <w:bidi w:val="0"/>
              <w:adjustRightInd w:val="0"/>
              <w:snapToGrid w:val="0"/>
              <w:spacing w:before="0" w:beforeAutospacing="0" w:after="0" w:afterAutospacing="0" w:line="336" w:lineRule="auto"/>
              <w:ind w:left="0" w:leftChars="0" w:right="0" w:rightChars="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kern w:val="0"/>
                <w:sz w:val="21"/>
                <w:szCs w:val="21"/>
                <w:highlight w:val="none"/>
                <w:lang w:val="en-US" w:eastAsia="zh-CN" w:bidi="ar-SA"/>
              </w:rPr>
              <w:t>（3）</w:t>
            </w:r>
            <w:r>
              <w:rPr>
                <w:rFonts w:hint="eastAsia" w:ascii="宋体" w:hAnsi="宋体" w:eastAsia="宋体" w:cs="宋体"/>
                <w:color w:val="auto"/>
                <w:sz w:val="21"/>
                <w:szCs w:val="21"/>
                <w:highlight w:val="none"/>
                <w:lang w:eastAsia="zh-CN"/>
              </w:rPr>
              <w:t>其他团队成员（除项目经理和技术负责人外）</w:t>
            </w:r>
          </w:p>
          <w:p w14:paraId="2A378FD8">
            <w:pPr>
              <w:pStyle w:val="516"/>
              <w:keepNext w:val="0"/>
              <w:keepLines w:val="0"/>
              <w:pageBreakBefore w:val="0"/>
              <w:numPr>
                <w:ilvl w:val="0"/>
                <w:numId w:val="0"/>
              </w:numPr>
              <w:suppressLineNumbers w:val="0"/>
              <w:kinsoku/>
              <w:overflowPunct/>
              <w:topLinePunct w:val="0"/>
              <w:bidi w:val="0"/>
              <w:adjustRightInd w:val="0"/>
              <w:snapToGrid w:val="0"/>
              <w:spacing w:before="0" w:beforeAutospacing="0" w:after="0" w:afterAutospacing="0" w:line="336" w:lineRule="auto"/>
              <w:ind w:left="0" w:leftChars="0" w:right="0" w:rightChars="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kern w:val="0"/>
                <w:sz w:val="21"/>
                <w:szCs w:val="21"/>
                <w:highlight w:val="none"/>
                <w:lang w:val="en-US" w:eastAsia="zh-CN" w:bidi="ar-SA"/>
              </w:rPr>
              <w:t>1.</w:t>
            </w:r>
            <w:r>
              <w:rPr>
                <w:rFonts w:hint="eastAsia" w:ascii="宋体" w:hAnsi="宋体" w:eastAsia="宋体" w:cs="宋体"/>
                <w:color w:val="auto"/>
                <w:sz w:val="21"/>
                <w:szCs w:val="21"/>
                <w:highlight w:val="none"/>
                <w:lang w:eastAsia="zh-CN"/>
              </w:rPr>
              <w:t>需具有信息系统项目管理师</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高级</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woUserID w:val="1"/>
              </w:rPr>
              <w:t>证书、系统集成项目管理工程师</w:t>
            </w:r>
            <w:r>
              <w:rPr>
                <w:rFonts w:hint="eastAsia" w:ascii="宋体" w:hAnsi="宋体" w:cs="宋体"/>
                <w:color w:val="auto"/>
                <w:sz w:val="21"/>
                <w:szCs w:val="21"/>
                <w:highlight w:val="none"/>
                <w:lang w:eastAsia="zh-CN"/>
                <w:woUserID w:val="1"/>
              </w:rPr>
              <w:t>、</w:t>
            </w:r>
            <w:r>
              <w:rPr>
                <w:rFonts w:hint="eastAsia" w:ascii="宋体" w:hAnsi="宋体" w:eastAsia="宋体" w:cs="宋体"/>
                <w:color w:val="auto"/>
                <w:sz w:val="21"/>
                <w:szCs w:val="21"/>
                <w:highlight w:val="none"/>
                <w:lang w:eastAsia="zh-CN"/>
                <w:woUserID w:val="1"/>
              </w:rPr>
              <w:t>软件设计师、网络规划设计师（高级）证书</w:t>
            </w:r>
            <w:r>
              <w:rPr>
                <w:rFonts w:hint="eastAsia" w:ascii="宋体" w:hAnsi="宋体" w:eastAsia="宋体" w:cs="宋体"/>
                <w:color w:val="auto"/>
                <w:sz w:val="21"/>
                <w:szCs w:val="21"/>
                <w:highlight w:val="none"/>
                <w:lang w:eastAsia="zh-CN"/>
              </w:rPr>
              <w:t>，每提供一类证书得</w:t>
            </w:r>
            <w:r>
              <w:rPr>
                <w:rFonts w:hint="eastAsia" w:ascii="宋体" w:hAnsi="宋体" w:eastAsia="宋体" w:cs="宋体"/>
                <w:color w:val="auto"/>
                <w:sz w:val="21"/>
                <w:szCs w:val="21"/>
                <w:highlight w:val="none"/>
                <w:lang w:eastAsia="zh-CN"/>
                <w:woUserID w:val="1"/>
              </w:rPr>
              <w:t>2</w:t>
            </w:r>
            <w:r>
              <w:rPr>
                <w:rFonts w:hint="eastAsia" w:ascii="宋体" w:hAnsi="宋体" w:cs="宋体"/>
                <w:color w:val="auto"/>
                <w:sz w:val="21"/>
                <w:szCs w:val="21"/>
                <w:highlight w:val="none"/>
                <w:lang w:val="en-US" w:eastAsia="zh-CN"/>
                <w:woUserID w:val="1"/>
              </w:rPr>
              <w:t>.5</w:t>
            </w:r>
            <w:r>
              <w:rPr>
                <w:rFonts w:hint="eastAsia" w:ascii="宋体" w:hAnsi="宋体" w:eastAsia="宋体" w:cs="宋体"/>
                <w:color w:val="auto"/>
                <w:sz w:val="21"/>
                <w:szCs w:val="21"/>
                <w:highlight w:val="none"/>
                <w:lang w:eastAsia="zh-CN"/>
              </w:rPr>
              <w:t>分（一人多证或多人一证均为一次计分），最高得</w:t>
            </w:r>
            <w:r>
              <w:rPr>
                <w:rFonts w:hint="eastAsia" w:ascii="宋体" w:hAnsi="宋体" w:cs="宋体"/>
                <w:color w:val="auto"/>
                <w:sz w:val="21"/>
                <w:szCs w:val="21"/>
                <w:highlight w:val="none"/>
                <w:lang w:val="en-US" w:eastAsia="zh-CN"/>
                <w:woUserID w:val="1"/>
              </w:rPr>
              <w:t>10</w:t>
            </w:r>
            <w:r>
              <w:rPr>
                <w:rFonts w:hint="eastAsia" w:ascii="宋体" w:hAnsi="宋体" w:eastAsia="宋体" w:cs="宋体"/>
                <w:color w:val="auto"/>
                <w:sz w:val="21"/>
                <w:szCs w:val="21"/>
                <w:highlight w:val="none"/>
                <w:lang w:eastAsia="zh-CN"/>
              </w:rPr>
              <w:t>分。</w:t>
            </w:r>
            <w:r>
              <w:rPr>
                <w:rFonts w:hint="eastAsia" w:ascii="宋体" w:hAnsi="宋体" w:eastAsia="宋体" w:cs="宋体"/>
                <w:b/>
                <w:bCs/>
                <w:color w:val="auto"/>
                <w:sz w:val="21"/>
                <w:szCs w:val="21"/>
                <w:highlight w:val="none"/>
                <w:lang w:eastAsia="zh-CN"/>
              </w:rPr>
              <w:t>（响应文件中提供相关人员的证书扫描件及近三个月</w:t>
            </w:r>
            <w:r>
              <w:rPr>
                <w:rFonts w:hint="eastAsia" w:ascii="宋体" w:hAnsi="宋体" w:eastAsia="宋体" w:cs="宋体"/>
                <w:b/>
                <w:bCs/>
                <w:color w:val="auto"/>
                <w:sz w:val="21"/>
                <w:szCs w:val="21"/>
                <w:highlight w:val="none"/>
                <w:lang w:val="en-US" w:eastAsia="zh-CN"/>
              </w:rPr>
              <w:t>中任意一个月</w:t>
            </w:r>
            <w:r>
              <w:rPr>
                <w:rFonts w:hint="eastAsia" w:ascii="宋体" w:hAnsi="宋体" w:eastAsia="宋体" w:cs="宋体"/>
                <w:b/>
                <w:bCs/>
                <w:color w:val="auto"/>
                <w:sz w:val="21"/>
                <w:szCs w:val="21"/>
                <w:highlight w:val="none"/>
                <w:lang w:eastAsia="zh-CN"/>
              </w:rPr>
              <w:t>的社保缴纳证明扫描件，未提供资质证书和社保缴纳证明不得分。）</w:t>
            </w:r>
          </w:p>
          <w:p w14:paraId="35FB3DA8">
            <w:pPr>
              <w:pStyle w:val="516"/>
              <w:keepNext w:val="0"/>
              <w:keepLines w:val="0"/>
              <w:pageBreakBefore w:val="0"/>
              <w:numPr>
                <w:ilvl w:val="0"/>
                <w:numId w:val="0"/>
              </w:numPr>
              <w:suppressLineNumbers w:val="0"/>
              <w:kinsoku/>
              <w:overflowPunct/>
              <w:topLinePunct w:val="0"/>
              <w:bidi w:val="0"/>
              <w:adjustRightInd w:val="0"/>
              <w:snapToGrid w:val="0"/>
              <w:spacing w:before="0" w:beforeAutospacing="0" w:after="0" w:afterAutospacing="0" w:line="336" w:lineRule="auto"/>
              <w:ind w:left="0" w:leftChars="0" w:right="0" w:firstLine="0" w:firstLineChars="0"/>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color w:val="auto"/>
                <w:spacing w:val="-5"/>
                <w:kern w:val="0"/>
                <w:sz w:val="21"/>
                <w:szCs w:val="21"/>
                <w:highlight w:val="none"/>
                <w:lang w:val="en-US" w:eastAsia="zh-CN" w:bidi="ar-SA"/>
              </w:rPr>
              <w:t>2.</w:t>
            </w:r>
            <w:r>
              <w:rPr>
                <w:rFonts w:hint="eastAsia" w:ascii="宋体" w:hAnsi="宋体" w:eastAsia="宋体" w:cs="宋体"/>
                <w:color w:val="auto"/>
                <w:sz w:val="21"/>
                <w:szCs w:val="21"/>
                <w:highlight w:val="none"/>
                <w:lang w:eastAsia="zh-CN"/>
                <w:woUserID w:val="1"/>
              </w:rPr>
              <w:t>项目团队人员如参与过同类政策服务</w:t>
            </w:r>
            <w:r>
              <w:rPr>
                <w:rFonts w:hint="eastAsia" w:ascii="宋体" w:hAnsi="宋体" w:cs="宋体"/>
                <w:color w:val="auto"/>
                <w:sz w:val="21"/>
                <w:szCs w:val="21"/>
                <w:highlight w:val="none"/>
                <w:lang w:val="en-US" w:eastAsia="zh-CN"/>
                <w:woUserID w:val="1"/>
              </w:rPr>
              <w:t>平台</w:t>
            </w:r>
            <w:r>
              <w:rPr>
                <w:rFonts w:hint="eastAsia" w:ascii="宋体" w:hAnsi="宋体" w:eastAsia="宋体" w:cs="宋体"/>
                <w:color w:val="auto"/>
                <w:sz w:val="21"/>
                <w:szCs w:val="21"/>
                <w:highlight w:val="none"/>
                <w:lang w:eastAsia="zh-CN"/>
                <w:woUserID w:val="1"/>
              </w:rPr>
              <w:t>项目的，每人得0.5分，最高得2分，</w:t>
            </w:r>
            <w:r>
              <w:rPr>
                <w:rFonts w:hint="eastAsia" w:ascii="宋体" w:hAnsi="宋体" w:eastAsia="宋体" w:cs="宋体"/>
                <w:b/>
                <w:bCs/>
                <w:color w:val="auto"/>
                <w:sz w:val="21"/>
                <w:szCs w:val="21"/>
                <w:highlight w:val="none"/>
                <w:lang w:eastAsia="zh-CN"/>
                <w:woUserID w:val="1"/>
              </w:rPr>
              <w:t>需</w:t>
            </w:r>
            <w:r>
              <w:rPr>
                <w:rFonts w:hint="eastAsia" w:ascii="宋体" w:hAnsi="宋体" w:cs="宋体"/>
                <w:b/>
                <w:bCs/>
                <w:color w:val="auto"/>
                <w:sz w:val="21"/>
                <w:szCs w:val="21"/>
                <w:highlight w:val="none"/>
                <w:lang w:val="en-US" w:eastAsia="zh-CN"/>
                <w:woUserID w:val="1"/>
              </w:rPr>
              <w:t>合同或用户盖章的证明等</w:t>
            </w:r>
            <w:r>
              <w:rPr>
                <w:rFonts w:hint="eastAsia" w:ascii="宋体" w:hAnsi="宋体" w:eastAsia="宋体" w:cs="宋体"/>
                <w:b/>
                <w:bCs/>
                <w:color w:val="auto"/>
                <w:sz w:val="21"/>
                <w:szCs w:val="21"/>
                <w:highlight w:val="none"/>
                <w:lang w:eastAsia="zh-CN"/>
                <w:woUserID w:val="1"/>
              </w:rPr>
              <w:t>相关材料。</w:t>
            </w:r>
          </w:p>
        </w:tc>
        <w:tc>
          <w:tcPr>
            <w:tcW w:w="882" w:type="dxa"/>
            <w:tcBorders>
              <w:tl2br w:val="nil"/>
              <w:tr2bl w:val="nil"/>
            </w:tcBorders>
            <w:shd w:val="clear" w:color="auto" w:fill="auto"/>
            <w:vAlign w:val="center"/>
          </w:tcPr>
          <w:p w14:paraId="10194422">
            <w:pPr>
              <w:pStyle w:val="516"/>
              <w:keepNext w:val="0"/>
              <w:keepLines w:val="0"/>
              <w:pageBreakBefore w:val="0"/>
              <w:suppressLineNumbers w:val="0"/>
              <w:kinsoku/>
              <w:overflowPunct/>
              <w:topLinePunct w:val="0"/>
              <w:bidi w:val="0"/>
              <w:adjustRightInd w:val="0"/>
              <w:snapToGrid w:val="0"/>
              <w:spacing w:before="0" w:beforeAutospacing="0" w:after="0" w:afterAutospacing="0" w:line="336" w:lineRule="auto"/>
              <w:ind w:left="0" w:leftChars="0" w:right="0" w:firstLine="0" w:firstLineChars="0"/>
              <w:jc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color w:val="auto"/>
                <w:sz w:val="21"/>
                <w:szCs w:val="21"/>
                <w:highlight w:val="none"/>
                <w:lang w:val="en-US" w:eastAsia="zh-CN"/>
                <w:woUserID w:val="1"/>
              </w:rPr>
              <w:t>12</w:t>
            </w:r>
          </w:p>
        </w:tc>
        <w:tc>
          <w:tcPr>
            <w:tcW w:w="1085" w:type="dxa"/>
            <w:tcBorders>
              <w:tl2br w:val="nil"/>
              <w:tr2bl w:val="nil"/>
            </w:tcBorders>
            <w:shd w:val="clear" w:color="auto" w:fill="auto"/>
            <w:vAlign w:val="center"/>
          </w:tcPr>
          <w:p w14:paraId="1F5F465C">
            <w:pPr>
              <w:pStyle w:val="516"/>
              <w:keepNext w:val="0"/>
              <w:keepLines w:val="0"/>
              <w:pageBreakBefore w:val="0"/>
              <w:suppressLineNumbers w:val="0"/>
              <w:kinsoku/>
              <w:overflowPunct/>
              <w:topLinePunct w:val="0"/>
              <w:bidi w:val="0"/>
              <w:adjustRightInd w:val="0"/>
              <w:snapToGrid w:val="0"/>
              <w:spacing w:before="0" w:beforeAutospacing="0" w:after="0" w:afterAutospacing="0" w:line="336" w:lineRule="auto"/>
              <w:ind w:left="0" w:leftChars="0" w:right="0" w:firstLine="0" w:firstLineChars="0"/>
              <w:jc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eastAsia="zh-CN"/>
              </w:rPr>
              <w:t>客观分</w:t>
            </w:r>
          </w:p>
        </w:tc>
      </w:tr>
      <w:tr w14:paraId="70D4E3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5" w:type="dxa"/>
            <w:tcBorders>
              <w:tl2br w:val="nil"/>
              <w:tr2bl w:val="nil"/>
            </w:tcBorders>
            <w:vAlign w:val="center"/>
          </w:tcPr>
          <w:p w14:paraId="5568FE8E">
            <w:pPr>
              <w:keepNext w:val="0"/>
              <w:keepLines w:val="0"/>
              <w:pageBreakBefore w:val="0"/>
              <w:suppressLineNumbers w:val="0"/>
              <w:kinsoku/>
              <w:wordWrap/>
              <w:overflowPunct/>
              <w:topLinePunct w:val="0"/>
              <w:autoSpaceDE/>
              <w:autoSpaceDN/>
              <w:bidi w:val="0"/>
              <w:adjustRightInd w:val="0"/>
              <w:snapToGrid w:val="0"/>
              <w:spacing w:before="2" w:beforeAutospacing="0" w:after="2" w:afterAutospacing="0" w:line="360" w:lineRule="auto"/>
              <w:ind w:left="21" w:leftChars="10" w:right="57"/>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p>
        </w:tc>
        <w:tc>
          <w:tcPr>
            <w:tcW w:w="1251" w:type="dxa"/>
            <w:tcBorders>
              <w:tl2br w:val="nil"/>
              <w:tr2bl w:val="nil"/>
            </w:tcBorders>
            <w:shd w:val="clear" w:color="auto" w:fill="auto"/>
            <w:vAlign w:val="center"/>
          </w:tcPr>
          <w:p w14:paraId="23343B74">
            <w:pPr>
              <w:pStyle w:val="344"/>
              <w:keepNext w:val="0"/>
              <w:keepLines w:val="0"/>
              <w:pageBreakBefore w:val="0"/>
              <w:suppressLineNumbers w:val="0"/>
              <w:kinsoku/>
              <w:wordWrap/>
              <w:overflowPunct/>
              <w:topLinePunct w:val="0"/>
              <w:autoSpaceDE/>
              <w:autoSpaceDN/>
              <w:bidi w:val="0"/>
              <w:adjustRightInd w:val="0"/>
              <w:spacing w:before="2" w:beforeAutospacing="0" w:after="2" w:afterAutospacing="0" w:line="360" w:lineRule="auto"/>
              <w:ind w:left="21" w:leftChars="10" w:right="57"/>
              <w:jc w:val="center"/>
              <w:textAlignment w:val="auto"/>
              <w:outlineLvl w:val="0"/>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rPr>
              <w:t>项目实施方案</w:t>
            </w:r>
          </w:p>
        </w:tc>
        <w:tc>
          <w:tcPr>
            <w:tcW w:w="5385" w:type="dxa"/>
            <w:tcBorders>
              <w:tl2br w:val="nil"/>
              <w:tr2bl w:val="nil"/>
            </w:tcBorders>
            <w:vAlign w:val="center"/>
          </w:tcPr>
          <w:p w14:paraId="3A303B82">
            <w:pPr>
              <w:pStyle w:val="344"/>
              <w:keepNext w:val="0"/>
              <w:keepLines w:val="0"/>
              <w:pageBreakBefore w:val="0"/>
              <w:suppressLineNumbers w:val="0"/>
              <w:kinsoku/>
              <w:wordWrap/>
              <w:overflowPunct/>
              <w:topLinePunct w:val="0"/>
              <w:autoSpaceDE/>
              <w:autoSpaceDN/>
              <w:bidi w:val="0"/>
              <w:adjustRightInd w:val="0"/>
              <w:spacing w:before="2" w:beforeAutospacing="0" w:after="2" w:afterAutospacing="0" w:line="360" w:lineRule="auto"/>
              <w:ind w:left="21" w:leftChars="10" w:right="57"/>
              <w:textAlignment w:val="auto"/>
              <w:outlineLvl w:val="0"/>
              <w:rPr>
                <w:rFonts w:hint="eastAsia" w:ascii="宋体" w:hAnsi="宋体" w:eastAsia="宋体" w:cs="宋体"/>
                <w:b/>
                <w:bCs/>
                <w:color w:val="auto"/>
                <w:spacing w:val="6"/>
                <w:sz w:val="21"/>
                <w:szCs w:val="21"/>
                <w:highlight w:val="none"/>
              </w:rPr>
            </w:pPr>
            <w:r>
              <w:rPr>
                <w:rFonts w:hint="eastAsia" w:ascii="宋体" w:hAnsi="宋体" w:eastAsia="宋体" w:cs="宋体"/>
                <w:i w:val="0"/>
                <w:iCs w:val="0"/>
                <w:color w:val="auto"/>
                <w:kern w:val="0"/>
                <w:sz w:val="21"/>
                <w:szCs w:val="21"/>
                <w:highlight w:val="none"/>
                <w:lang w:val="en-US" w:eastAsia="zh-CN" w:bidi="ar"/>
                <w:woUserID w:val="1"/>
              </w:rPr>
              <w:t>根据投标人提供的</w:t>
            </w:r>
            <w:r>
              <w:rPr>
                <w:rFonts w:hint="eastAsia" w:ascii="宋体" w:hAnsi="宋体" w:cs="宋体"/>
                <w:color w:val="auto"/>
                <w:sz w:val="21"/>
                <w:szCs w:val="21"/>
                <w:highlight w:val="none"/>
                <w:lang w:val="en-US" w:eastAsia="zh-CN"/>
              </w:rPr>
              <w:t>实施规范</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组织架构、实施计划、实施保障措施、项目风险管理、项目安全保密</w:t>
            </w:r>
            <w:r>
              <w:rPr>
                <w:rFonts w:hint="eastAsia" w:ascii="宋体" w:hAnsi="宋体" w:eastAsia="宋体" w:cs="宋体"/>
                <w:i w:val="0"/>
                <w:iCs w:val="0"/>
                <w:color w:val="auto"/>
                <w:kern w:val="0"/>
                <w:sz w:val="21"/>
                <w:szCs w:val="21"/>
                <w:highlight w:val="none"/>
                <w:lang w:val="en-US" w:eastAsia="zh-CN" w:bidi="ar"/>
                <w:woUserID w:val="1"/>
              </w:rPr>
              <w:t>内容进行评价打分；（评分范围：4,3,2,1,0）</w:t>
            </w:r>
          </w:p>
        </w:tc>
        <w:tc>
          <w:tcPr>
            <w:tcW w:w="882" w:type="dxa"/>
            <w:tcBorders>
              <w:tl2br w:val="nil"/>
              <w:tr2bl w:val="nil"/>
            </w:tcBorders>
            <w:vAlign w:val="center"/>
          </w:tcPr>
          <w:p w14:paraId="76BA26AB">
            <w:pPr>
              <w:pStyle w:val="344"/>
              <w:keepNext w:val="0"/>
              <w:keepLines w:val="0"/>
              <w:pageBreakBefore w:val="0"/>
              <w:suppressLineNumbers w:val="0"/>
              <w:kinsoku/>
              <w:wordWrap/>
              <w:overflowPunct/>
              <w:topLinePunct w:val="0"/>
              <w:autoSpaceDE/>
              <w:autoSpaceDN/>
              <w:bidi w:val="0"/>
              <w:adjustRightInd w:val="0"/>
              <w:spacing w:before="2" w:beforeAutospacing="0" w:after="2" w:afterAutospacing="0" w:line="360" w:lineRule="auto"/>
              <w:ind w:left="21" w:leftChars="10" w:right="57"/>
              <w:jc w:val="center"/>
              <w:textAlignment w:val="auto"/>
              <w:outlineLvl w:val="0"/>
              <w:rPr>
                <w:rFonts w:hint="eastAsia" w:ascii="宋体" w:hAnsi="宋体" w:eastAsia="宋体" w:cs="宋体"/>
                <w:color w:val="auto"/>
                <w:spacing w:val="6"/>
                <w:sz w:val="21"/>
                <w:szCs w:val="21"/>
                <w:highlight w:val="none"/>
                <w:lang w:val="en-US" w:eastAsia="zh-CN"/>
              </w:rPr>
            </w:pPr>
            <w:r>
              <w:rPr>
                <w:rFonts w:hint="eastAsia" w:ascii="宋体" w:hAnsi="宋体" w:cs="宋体"/>
                <w:color w:val="auto"/>
                <w:spacing w:val="6"/>
                <w:sz w:val="21"/>
                <w:szCs w:val="21"/>
                <w:highlight w:val="none"/>
                <w:lang w:val="en-US" w:eastAsia="zh-CN"/>
              </w:rPr>
              <w:t>4</w:t>
            </w:r>
          </w:p>
        </w:tc>
        <w:tc>
          <w:tcPr>
            <w:tcW w:w="1085" w:type="dxa"/>
            <w:tcBorders>
              <w:tl2br w:val="nil"/>
              <w:tr2bl w:val="nil"/>
            </w:tcBorders>
            <w:vAlign w:val="center"/>
          </w:tcPr>
          <w:p w14:paraId="69CD4C4B">
            <w:pPr>
              <w:pStyle w:val="344"/>
              <w:keepNext w:val="0"/>
              <w:keepLines w:val="0"/>
              <w:pageBreakBefore w:val="0"/>
              <w:suppressLineNumbers w:val="0"/>
              <w:kinsoku/>
              <w:wordWrap/>
              <w:overflowPunct/>
              <w:topLinePunct w:val="0"/>
              <w:autoSpaceDE/>
              <w:autoSpaceDN/>
              <w:bidi w:val="0"/>
              <w:adjustRightInd w:val="0"/>
              <w:spacing w:before="2" w:beforeAutospacing="0" w:after="2" w:afterAutospacing="0" w:line="360" w:lineRule="auto"/>
              <w:ind w:left="21" w:leftChars="10" w:right="57"/>
              <w:jc w:val="center"/>
              <w:textAlignment w:val="auto"/>
              <w:outlineLvl w:val="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主观分</w:t>
            </w:r>
          </w:p>
        </w:tc>
      </w:tr>
      <w:tr w14:paraId="1C509D7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5" w:type="dxa"/>
            <w:tcBorders>
              <w:tl2br w:val="nil"/>
              <w:tr2bl w:val="nil"/>
            </w:tcBorders>
            <w:vAlign w:val="center"/>
          </w:tcPr>
          <w:p w14:paraId="6CF83ABB">
            <w:pPr>
              <w:keepNext w:val="0"/>
              <w:keepLines w:val="0"/>
              <w:pageBreakBefore w:val="0"/>
              <w:suppressLineNumbers w:val="0"/>
              <w:kinsoku/>
              <w:wordWrap/>
              <w:overflowPunct/>
              <w:topLinePunct w:val="0"/>
              <w:autoSpaceDE/>
              <w:autoSpaceDN/>
              <w:bidi w:val="0"/>
              <w:adjustRightInd w:val="0"/>
              <w:snapToGrid w:val="0"/>
              <w:spacing w:before="2" w:beforeAutospacing="0" w:after="2" w:afterAutospacing="0" w:line="360" w:lineRule="auto"/>
              <w:ind w:left="21" w:leftChars="0" w:right="57"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w:t>
            </w:r>
          </w:p>
        </w:tc>
        <w:tc>
          <w:tcPr>
            <w:tcW w:w="1251" w:type="dxa"/>
            <w:vMerge w:val="restart"/>
            <w:tcBorders>
              <w:tl2br w:val="nil"/>
              <w:tr2bl w:val="nil"/>
            </w:tcBorders>
            <w:shd w:val="clear" w:color="auto" w:fill="auto"/>
            <w:vAlign w:val="center"/>
          </w:tcPr>
          <w:p w14:paraId="3B4CB1C4">
            <w:pPr>
              <w:pStyle w:val="344"/>
              <w:keepNext w:val="0"/>
              <w:keepLines w:val="0"/>
              <w:pageBreakBefore w:val="0"/>
              <w:suppressLineNumbers w:val="0"/>
              <w:kinsoku/>
              <w:wordWrap/>
              <w:overflowPunct/>
              <w:topLinePunct w:val="0"/>
              <w:autoSpaceDE/>
              <w:autoSpaceDN/>
              <w:bidi w:val="0"/>
              <w:adjustRightInd w:val="0"/>
              <w:spacing w:before="2" w:beforeAutospacing="0" w:after="2" w:afterAutospacing="0" w:line="360" w:lineRule="auto"/>
              <w:ind w:left="21" w:leftChars="0" w:right="57" w:firstLine="0" w:firstLineChars="0"/>
              <w:jc w:val="center"/>
              <w:textAlignment w:val="auto"/>
              <w:outlineLvl w:val="0"/>
              <w:rPr>
                <w:rFonts w:hint="eastAsia" w:ascii="宋体" w:hAnsi="宋体" w:eastAsia="宋体" w:cs="宋体"/>
                <w:color w:val="auto"/>
                <w:spacing w:val="6"/>
                <w:sz w:val="21"/>
                <w:szCs w:val="21"/>
                <w:highlight w:val="none"/>
                <w:woUserID w:val="1"/>
              </w:rPr>
            </w:pPr>
            <w:r>
              <w:rPr>
                <w:rFonts w:hint="eastAsia" w:ascii="宋体" w:hAnsi="宋体" w:eastAsia="宋体" w:cs="宋体"/>
                <w:color w:val="auto"/>
                <w:spacing w:val="6"/>
                <w:sz w:val="21"/>
                <w:szCs w:val="21"/>
                <w:highlight w:val="none"/>
                <w:woUserID w:val="1"/>
              </w:rPr>
              <w:t>技术成熟度</w:t>
            </w:r>
          </w:p>
        </w:tc>
        <w:tc>
          <w:tcPr>
            <w:tcW w:w="5385" w:type="dxa"/>
            <w:tcBorders>
              <w:tl2br w:val="nil"/>
              <w:tr2bl w:val="nil"/>
            </w:tcBorders>
            <w:shd w:val="clear" w:color="auto" w:fill="auto"/>
            <w:vAlign w:val="center"/>
          </w:tcPr>
          <w:p w14:paraId="4A7DA7FB">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2"/>
                <w:sz w:val="21"/>
                <w:szCs w:val="21"/>
                <w:highlight w:val="none"/>
                <w:lang w:val="en-US" w:eastAsia="zh-CN" w:bidi="ar-SA"/>
                <w:woUserID w:val="2"/>
              </w:rPr>
            </w:pPr>
            <w:r>
              <w:rPr>
                <w:rFonts w:hint="eastAsia" w:ascii="宋体" w:hAnsi="宋体" w:eastAsia="宋体" w:cs="宋体"/>
                <w:i w:val="0"/>
                <w:iCs w:val="0"/>
                <w:color w:val="auto"/>
                <w:kern w:val="0"/>
                <w:sz w:val="21"/>
                <w:szCs w:val="21"/>
                <w:highlight w:val="none"/>
                <w:lang w:val="en-US" w:eastAsia="zh-CN" w:bidi="ar"/>
                <w:woUserID w:val="1"/>
              </w:rPr>
              <w:t>1.投标人具有“政策服务”类自主知识产权，每提供一个得</w:t>
            </w:r>
            <w:r>
              <w:rPr>
                <w:rFonts w:hint="eastAsia" w:ascii="宋体" w:hAnsi="宋体" w:cs="宋体"/>
                <w:i w:val="0"/>
                <w:iCs w:val="0"/>
                <w:color w:val="auto"/>
                <w:kern w:val="0"/>
                <w:sz w:val="21"/>
                <w:szCs w:val="21"/>
                <w:highlight w:val="none"/>
                <w:lang w:val="en-US" w:eastAsia="zh-CN" w:bidi="ar"/>
                <w:woUserID w:val="1"/>
              </w:rPr>
              <w:t>1</w:t>
            </w:r>
            <w:r>
              <w:rPr>
                <w:rFonts w:hint="eastAsia" w:ascii="宋体" w:hAnsi="宋体" w:eastAsia="宋体" w:cs="宋体"/>
                <w:i w:val="0"/>
                <w:iCs w:val="0"/>
                <w:color w:val="auto"/>
                <w:kern w:val="0"/>
                <w:sz w:val="21"/>
                <w:szCs w:val="21"/>
                <w:highlight w:val="none"/>
                <w:lang w:val="en-US" w:eastAsia="zh-CN" w:bidi="ar"/>
                <w:woUserID w:val="1"/>
              </w:rPr>
              <w:t>分，最高得</w:t>
            </w:r>
            <w:r>
              <w:rPr>
                <w:rFonts w:hint="eastAsia" w:ascii="宋体" w:hAnsi="宋体" w:cs="宋体"/>
                <w:i w:val="0"/>
                <w:iCs w:val="0"/>
                <w:color w:val="auto"/>
                <w:kern w:val="0"/>
                <w:sz w:val="21"/>
                <w:szCs w:val="21"/>
                <w:highlight w:val="none"/>
                <w:lang w:val="en-US" w:eastAsia="zh-CN" w:bidi="ar"/>
                <w:woUserID w:val="1"/>
              </w:rPr>
              <w:t>3</w:t>
            </w:r>
            <w:r>
              <w:rPr>
                <w:rFonts w:hint="eastAsia" w:ascii="宋体" w:hAnsi="宋体" w:eastAsia="宋体" w:cs="宋体"/>
                <w:i w:val="0"/>
                <w:iCs w:val="0"/>
                <w:color w:val="auto"/>
                <w:kern w:val="0"/>
                <w:sz w:val="21"/>
                <w:szCs w:val="21"/>
                <w:highlight w:val="none"/>
                <w:lang w:val="en-US" w:eastAsia="zh-CN" w:bidi="ar"/>
                <w:woUserID w:val="1"/>
              </w:rPr>
              <w:t>分。</w:t>
            </w:r>
            <w:r>
              <w:rPr>
                <w:rFonts w:hint="eastAsia" w:ascii="宋体" w:hAnsi="宋体" w:eastAsia="宋体" w:cs="宋体"/>
                <w:b/>
                <w:bCs/>
                <w:i w:val="0"/>
                <w:iCs w:val="0"/>
                <w:color w:val="auto"/>
                <w:kern w:val="0"/>
                <w:sz w:val="21"/>
                <w:szCs w:val="21"/>
                <w:highlight w:val="none"/>
                <w:lang w:val="en-US" w:eastAsia="zh-CN" w:bidi="ar"/>
                <w:woUserID w:val="1"/>
              </w:rPr>
              <w:t>(投标文件中提供由国家版权局颁发的“政策服务”</w:t>
            </w:r>
            <w:r>
              <w:rPr>
                <w:rFonts w:hint="eastAsia" w:ascii="宋体" w:hAnsi="宋体" w:cs="宋体"/>
                <w:b/>
                <w:bCs/>
                <w:i w:val="0"/>
                <w:iCs w:val="0"/>
                <w:color w:val="auto"/>
                <w:kern w:val="0"/>
                <w:sz w:val="21"/>
                <w:szCs w:val="21"/>
                <w:highlight w:val="none"/>
                <w:lang w:val="en-US" w:eastAsia="zh-CN" w:bidi="ar"/>
                <w:woUserID w:val="1"/>
              </w:rPr>
              <w:t>或</w:t>
            </w:r>
            <w:r>
              <w:rPr>
                <w:rFonts w:hint="eastAsia" w:ascii="宋体" w:hAnsi="宋体" w:eastAsia="宋体" w:cs="宋体"/>
                <w:b/>
                <w:bCs/>
                <w:i w:val="0"/>
                <w:iCs w:val="0"/>
                <w:color w:val="auto"/>
                <w:kern w:val="0"/>
                <w:sz w:val="21"/>
                <w:szCs w:val="21"/>
                <w:highlight w:val="none"/>
                <w:lang w:val="en-US" w:eastAsia="zh-CN" w:bidi="ar"/>
                <w:woUserID w:val="1"/>
              </w:rPr>
              <w:t>“政企互动”</w:t>
            </w:r>
            <w:r>
              <w:rPr>
                <w:rFonts w:hint="eastAsia" w:ascii="宋体" w:hAnsi="宋体" w:cs="宋体"/>
                <w:b/>
                <w:bCs/>
                <w:i w:val="0"/>
                <w:iCs w:val="0"/>
                <w:color w:val="auto"/>
                <w:kern w:val="0"/>
                <w:sz w:val="21"/>
                <w:szCs w:val="21"/>
                <w:highlight w:val="none"/>
                <w:lang w:val="en-US" w:eastAsia="zh-CN" w:bidi="ar"/>
                <w:woUserID w:val="1"/>
              </w:rPr>
              <w:t>或“政策兑现”</w:t>
            </w:r>
            <w:r>
              <w:rPr>
                <w:rFonts w:hint="eastAsia" w:ascii="宋体" w:hAnsi="宋体" w:eastAsia="宋体" w:cs="宋体"/>
                <w:i w:val="0"/>
                <w:iCs w:val="0"/>
                <w:color w:val="auto"/>
                <w:kern w:val="0"/>
                <w:sz w:val="21"/>
                <w:szCs w:val="21"/>
                <w:highlight w:val="none"/>
                <w:lang w:val="en-US" w:eastAsia="zh-CN" w:bidi="ar"/>
                <w:woUserID w:val="1"/>
              </w:rPr>
              <w:t>类</w:t>
            </w:r>
            <w:r>
              <w:rPr>
                <w:rFonts w:hint="eastAsia" w:ascii="宋体" w:hAnsi="宋体" w:eastAsia="宋体" w:cs="宋体"/>
                <w:b/>
                <w:bCs/>
                <w:i w:val="0"/>
                <w:iCs w:val="0"/>
                <w:color w:val="auto"/>
                <w:kern w:val="0"/>
                <w:sz w:val="21"/>
                <w:szCs w:val="21"/>
                <w:highlight w:val="none"/>
                <w:lang w:val="en-US" w:eastAsia="zh-CN" w:bidi="ar"/>
                <w:woUserID w:val="1"/>
              </w:rPr>
              <w:t>计算机软件著作权登记证书复印件并加盖公章，否则不予得分)</w:t>
            </w:r>
          </w:p>
        </w:tc>
        <w:tc>
          <w:tcPr>
            <w:tcW w:w="882" w:type="dxa"/>
            <w:tcBorders>
              <w:tl2br w:val="nil"/>
              <w:tr2bl w:val="nil"/>
            </w:tcBorders>
            <w:vAlign w:val="center"/>
          </w:tcPr>
          <w:p w14:paraId="703C0043">
            <w:pPr>
              <w:pStyle w:val="344"/>
              <w:keepNext w:val="0"/>
              <w:keepLines w:val="0"/>
              <w:pageBreakBefore w:val="0"/>
              <w:suppressLineNumbers w:val="0"/>
              <w:kinsoku/>
              <w:wordWrap/>
              <w:overflowPunct/>
              <w:topLinePunct w:val="0"/>
              <w:autoSpaceDE/>
              <w:autoSpaceDN/>
              <w:bidi w:val="0"/>
              <w:adjustRightInd w:val="0"/>
              <w:spacing w:before="2" w:beforeAutospacing="0" w:after="2" w:afterAutospacing="0" w:line="360" w:lineRule="auto"/>
              <w:ind w:left="21" w:leftChars="0" w:right="57" w:firstLine="0" w:firstLineChars="0"/>
              <w:jc w:val="center"/>
              <w:textAlignment w:val="auto"/>
              <w:outlineLvl w:val="0"/>
              <w:rPr>
                <w:rFonts w:hint="default" w:ascii="宋体" w:hAnsi="宋体" w:eastAsia="宋体" w:cs="宋体"/>
                <w:color w:val="auto"/>
                <w:spacing w:val="6"/>
                <w:sz w:val="21"/>
                <w:szCs w:val="21"/>
                <w:highlight w:val="none"/>
                <w:lang w:val="en-US" w:eastAsia="zh-CN"/>
                <w:woUserID w:val="1"/>
              </w:rPr>
            </w:pPr>
            <w:r>
              <w:rPr>
                <w:rFonts w:hint="eastAsia" w:ascii="宋体" w:hAnsi="宋体" w:cs="宋体"/>
                <w:color w:val="auto"/>
                <w:spacing w:val="6"/>
                <w:sz w:val="21"/>
                <w:szCs w:val="21"/>
                <w:highlight w:val="none"/>
                <w:lang w:val="en-US" w:eastAsia="zh-CN"/>
                <w:woUserID w:val="1"/>
              </w:rPr>
              <w:t>3</w:t>
            </w:r>
          </w:p>
        </w:tc>
        <w:tc>
          <w:tcPr>
            <w:tcW w:w="1085" w:type="dxa"/>
            <w:tcBorders>
              <w:tl2br w:val="nil"/>
              <w:tr2bl w:val="nil"/>
            </w:tcBorders>
            <w:vAlign w:val="center"/>
          </w:tcPr>
          <w:p w14:paraId="1FDA1522">
            <w:pPr>
              <w:pStyle w:val="344"/>
              <w:keepNext w:val="0"/>
              <w:keepLines w:val="0"/>
              <w:pageBreakBefore w:val="0"/>
              <w:suppressLineNumbers w:val="0"/>
              <w:kinsoku/>
              <w:wordWrap/>
              <w:overflowPunct/>
              <w:topLinePunct w:val="0"/>
              <w:autoSpaceDE/>
              <w:autoSpaceDN/>
              <w:bidi w:val="0"/>
              <w:adjustRightInd w:val="0"/>
              <w:spacing w:before="2" w:beforeAutospacing="0" w:after="2" w:afterAutospacing="0" w:line="360" w:lineRule="auto"/>
              <w:ind w:left="21" w:leftChars="0" w:right="57" w:firstLine="0" w:firstLineChars="0"/>
              <w:jc w:val="center"/>
              <w:textAlignment w:val="auto"/>
              <w:outlineLvl w:val="0"/>
              <w:rPr>
                <w:rFonts w:hint="eastAsia" w:ascii="宋体" w:hAnsi="宋体" w:eastAsia="宋体" w:cs="宋体"/>
                <w:color w:val="auto"/>
                <w:spacing w:val="6"/>
                <w:sz w:val="21"/>
                <w:szCs w:val="21"/>
                <w:highlight w:val="none"/>
                <w:woUserID w:val="1"/>
              </w:rPr>
            </w:pPr>
            <w:r>
              <w:rPr>
                <w:rFonts w:hint="eastAsia" w:ascii="宋体" w:hAnsi="宋体" w:eastAsia="宋体" w:cs="宋体"/>
                <w:color w:val="auto"/>
                <w:spacing w:val="6"/>
                <w:sz w:val="21"/>
                <w:szCs w:val="21"/>
                <w:highlight w:val="none"/>
                <w:woUserID w:val="1"/>
              </w:rPr>
              <w:t>客观分</w:t>
            </w:r>
          </w:p>
        </w:tc>
      </w:tr>
      <w:tr w14:paraId="731F4E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5" w:type="dxa"/>
            <w:tcBorders>
              <w:tl2br w:val="nil"/>
              <w:tr2bl w:val="nil"/>
            </w:tcBorders>
            <w:vAlign w:val="center"/>
          </w:tcPr>
          <w:p w14:paraId="69128333">
            <w:pPr>
              <w:keepNext w:val="0"/>
              <w:keepLines w:val="0"/>
              <w:pageBreakBefore w:val="0"/>
              <w:suppressLineNumbers w:val="0"/>
              <w:kinsoku/>
              <w:wordWrap/>
              <w:overflowPunct/>
              <w:topLinePunct w:val="0"/>
              <w:autoSpaceDE/>
              <w:autoSpaceDN/>
              <w:bidi w:val="0"/>
              <w:adjustRightInd w:val="0"/>
              <w:snapToGrid w:val="0"/>
              <w:spacing w:before="2" w:beforeAutospacing="0" w:after="2" w:afterAutospacing="0" w:line="360" w:lineRule="auto"/>
              <w:ind w:left="21" w:leftChars="0" w:right="57"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w:t>
            </w:r>
          </w:p>
        </w:tc>
        <w:tc>
          <w:tcPr>
            <w:tcW w:w="1251" w:type="dxa"/>
            <w:vMerge w:val="continue"/>
            <w:tcBorders>
              <w:tl2br w:val="nil"/>
              <w:tr2bl w:val="nil"/>
            </w:tcBorders>
            <w:shd w:val="clear" w:color="auto" w:fill="auto"/>
            <w:vAlign w:val="center"/>
          </w:tcPr>
          <w:p w14:paraId="23018724">
            <w:pPr>
              <w:pStyle w:val="344"/>
              <w:keepNext w:val="0"/>
              <w:keepLines w:val="0"/>
              <w:pageBreakBefore w:val="0"/>
              <w:suppressLineNumbers w:val="0"/>
              <w:kinsoku/>
              <w:wordWrap/>
              <w:overflowPunct/>
              <w:topLinePunct w:val="0"/>
              <w:autoSpaceDE/>
              <w:autoSpaceDN/>
              <w:bidi w:val="0"/>
              <w:adjustRightInd w:val="0"/>
              <w:spacing w:before="2" w:beforeAutospacing="0" w:after="2" w:afterAutospacing="0" w:line="360" w:lineRule="auto"/>
              <w:ind w:left="21" w:leftChars="0" w:right="57" w:firstLine="0" w:firstLineChars="0"/>
              <w:jc w:val="center"/>
              <w:textAlignment w:val="auto"/>
              <w:outlineLvl w:val="0"/>
              <w:rPr>
                <w:rFonts w:hint="eastAsia" w:ascii="宋体" w:hAnsi="宋体" w:eastAsia="宋体" w:cs="宋体"/>
                <w:color w:val="auto"/>
                <w:spacing w:val="6"/>
                <w:sz w:val="21"/>
                <w:szCs w:val="21"/>
                <w:highlight w:val="none"/>
              </w:rPr>
            </w:pPr>
          </w:p>
        </w:tc>
        <w:tc>
          <w:tcPr>
            <w:tcW w:w="5385" w:type="dxa"/>
            <w:tcBorders>
              <w:tl2br w:val="nil"/>
              <w:tr2bl w:val="nil"/>
            </w:tcBorders>
            <w:shd w:val="clear" w:color="auto" w:fill="auto"/>
            <w:vAlign w:val="center"/>
          </w:tcPr>
          <w:p w14:paraId="28C9F4CD">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2"/>
                <w:sz w:val="21"/>
                <w:szCs w:val="21"/>
                <w:highlight w:val="none"/>
                <w:lang w:val="en-US" w:eastAsia="zh-CN" w:bidi="ar-SA"/>
                <w:woUserID w:val="2"/>
              </w:rPr>
            </w:pPr>
            <w:r>
              <w:rPr>
                <w:rFonts w:hint="eastAsia" w:ascii="宋体" w:hAnsi="宋体" w:eastAsia="宋体" w:cs="宋体"/>
                <w:i w:val="0"/>
                <w:iCs w:val="0"/>
                <w:color w:val="auto"/>
                <w:kern w:val="0"/>
                <w:sz w:val="21"/>
                <w:szCs w:val="21"/>
                <w:highlight w:val="none"/>
                <w:lang w:val="en-US" w:eastAsia="zh-CN" w:bidi="ar"/>
                <w:woUserID w:val="2"/>
              </w:rPr>
              <w:t>2.投标人具有“数据清洗管理”</w:t>
            </w:r>
            <w:r>
              <w:rPr>
                <w:rFonts w:hint="eastAsia" w:ascii="宋体" w:hAnsi="宋体" w:cs="宋体"/>
                <w:i w:val="0"/>
                <w:iCs w:val="0"/>
                <w:color w:val="auto"/>
                <w:kern w:val="0"/>
                <w:sz w:val="21"/>
                <w:szCs w:val="21"/>
                <w:highlight w:val="none"/>
                <w:lang w:val="en-US" w:eastAsia="zh-CN" w:bidi="ar"/>
                <w:woUserID w:val="2"/>
              </w:rPr>
              <w:t>或</w:t>
            </w:r>
            <w:r>
              <w:rPr>
                <w:rFonts w:hint="eastAsia" w:ascii="宋体" w:hAnsi="宋体" w:eastAsia="宋体" w:cs="宋体"/>
                <w:i w:val="0"/>
                <w:iCs w:val="0"/>
                <w:color w:val="auto"/>
                <w:kern w:val="0"/>
                <w:sz w:val="21"/>
                <w:szCs w:val="21"/>
                <w:highlight w:val="none"/>
                <w:lang w:val="en-US" w:eastAsia="zh-CN" w:bidi="ar"/>
                <w:woUserID w:val="2"/>
              </w:rPr>
              <w:t>“数据接口共享”类自主知识产权，每提供一个得</w:t>
            </w:r>
            <w:r>
              <w:rPr>
                <w:rFonts w:hint="eastAsia" w:ascii="宋体" w:hAnsi="宋体" w:cs="宋体"/>
                <w:i w:val="0"/>
                <w:iCs w:val="0"/>
                <w:color w:val="auto"/>
                <w:kern w:val="0"/>
                <w:sz w:val="21"/>
                <w:szCs w:val="21"/>
                <w:highlight w:val="none"/>
                <w:lang w:val="en-US" w:eastAsia="zh-CN" w:bidi="ar"/>
                <w:woUserID w:val="2"/>
              </w:rPr>
              <w:t>1</w:t>
            </w:r>
            <w:r>
              <w:rPr>
                <w:rFonts w:hint="eastAsia" w:ascii="宋体" w:hAnsi="宋体" w:eastAsia="宋体" w:cs="宋体"/>
                <w:i w:val="0"/>
                <w:iCs w:val="0"/>
                <w:color w:val="auto"/>
                <w:kern w:val="0"/>
                <w:sz w:val="21"/>
                <w:szCs w:val="21"/>
                <w:highlight w:val="none"/>
                <w:lang w:val="en-US" w:eastAsia="zh-CN" w:bidi="ar"/>
                <w:woUserID w:val="2"/>
              </w:rPr>
              <w:t>分，最高得</w:t>
            </w:r>
            <w:r>
              <w:rPr>
                <w:rFonts w:hint="eastAsia" w:ascii="宋体" w:hAnsi="宋体" w:cs="宋体"/>
                <w:i w:val="0"/>
                <w:iCs w:val="0"/>
                <w:color w:val="auto"/>
                <w:kern w:val="0"/>
                <w:sz w:val="21"/>
                <w:szCs w:val="21"/>
                <w:highlight w:val="none"/>
                <w:lang w:val="en-US" w:eastAsia="zh-CN" w:bidi="ar"/>
                <w:woUserID w:val="2"/>
              </w:rPr>
              <w:t>2</w:t>
            </w:r>
            <w:r>
              <w:rPr>
                <w:rFonts w:hint="eastAsia" w:ascii="宋体" w:hAnsi="宋体" w:eastAsia="宋体" w:cs="宋体"/>
                <w:i w:val="0"/>
                <w:iCs w:val="0"/>
                <w:color w:val="auto"/>
                <w:kern w:val="0"/>
                <w:sz w:val="21"/>
                <w:szCs w:val="21"/>
                <w:highlight w:val="none"/>
                <w:lang w:val="en-US" w:eastAsia="zh-CN" w:bidi="ar"/>
                <w:woUserID w:val="2"/>
              </w:rPr>
              <w:t>分。</w:t>
            </w:r>
            <w:r>
              <w:rPr>
                <w:rFonts w:hint="eastAsia" w:ascii="宋体" w:hAnsi="宋体" w:eastAsia="宋体" w:cs="宋体"/>
                <w:b/>
                <w:bCs/>
                <w:i w:val="0"/>
                <w:iCs w:val="0"/>
                <w:color w:val="auto"/>
                <w:kern w:val="0"/>
                <w:sz w:val="21"/>
                <w:szCs w:val="21"/>
                <w:highlight w:val="none"/>
                <w:lang w:val="en-US" w:eastAsia="zh-CN" w:bidi="ar"/>
                <w:woUserID w:val="2"/>
              </w:rPr>
              <w:t>(投标文件中提供由国家版权局颁发的“数据清洗管理”</w:t>
            </w:r>
            <w:r>
              <w:rPr>
                <w:rFonts w:hint="eastAsia" w:ascii="宋体" w:hAnsi="宋体" w:cs="宋体"/>
                <w:b/>
                <w:bCs/>
                <w:i w:val="0"/>
                <w:iCs w:val="0"/>
                <w:color w:val="auto"/>
                <w:kern w:val="0"/>
                <w:sz w:val="21"/>
                <w:szCs w:val="21"/>
                <w:highlight w:val="none"/>
                <w:lang w:val="en-US" w:eastAsia="zh-CN" w:bidi="ar"/>
                <w:woUserID w:val="2"/>
              </w:rPr>
              <w:t>或</w:t>
            </w:r>
            <w:r>
              <w:rPr>
                <w:rFonts w:hint="eastAsia" w:ascii="宋体" w:hAnsi="宋体" w:eastAsia="宋体" w:cs="宋体"/>
                <w:b/>
                <w:bCs/>
                <w:i w:val="0"/>
                <w:iCs w:val="0"/>
                <w:color w:val="auto"/>
                <w:kern w:val="0"/>
                <w:sz w:val="21"/>
                <w:szCs w:val="21"/>
                <w:highlight w:val="none"/>
                <w:lang w:val="en-US" w:eastAsia="zh-CN" w:bidi="ar"/>
                <w:woUserID w:val="2"/>
              </w:rPr>
              <w:t>“数据接口共享”类计算机软件著作权登记证书复印件并加盖公章，否则不予得分)</w:t>
            </w:r>
          </w:p>
        </w:tc>
        <w:tc>
          <w:tcPr>
            <w:tcW w:w="882" w:type="dxa"/>
            <w:tcBorders>
              <w:tl2br w:val="nil"/>
              <w:tr2bl w:val="nil"/>
            </w:tcBorders>
            <w:vAlign w:val="center"/>
          </w:tcPr>
          <w:p w14:paraId="6AAF9897">
            <w:pPr>
              <w:pStyle w:val="344"/>
              <w:keepNext w:val="0"/>
              <w:keepLines w:val="0"/>
              <w:pageBreakBefore w:val="0"/>
              <w:suppressLineNumbers w:val="0"/>
              <w:kinsoku/>
              <w:wordWrap/>
              <w:overflowPunct/>
              <w:topLinePunct w:val="0"/>
              <w:autoSpaceDE/>
              <w:autoSpaceDN/>
              <w:bidi w:val="0"/>
              <w:adjustRightInd w:val="0"/>
              <w:spacing w:before="2" w:beforeAutospacing="0" w:after="2" w:afterAutospacing="0" w:line="360" w:lineRule="auto"/>
              <w:ind w:left="21" w:leftChars="0" w:right="57" w:firstLine="0" w:firstLineChars="0"/>
              <w:jc w:val="center"/>
              <w:textAlignment w:val="auto"/>
              <w:outlineLvl w:val="0"/>
              <w:rPr>
                <w:rFonts w:hint="default" w:ascii="宋体" w:hAnsi="宋体" w:eastAsia="宋体" w:cs="宋体"/>
                <w:color w:val="auto"/>
                <w:spacing w:val="6"/>
                <w:sz w:val="21"/>
                <w:szCs w:val="21"/>
                <w:highlight w:val="none"/>
                <w:lang w:val="en-US" w:eastAsia="zh-CN"/>
              </w:rPr>
            </w:pPr>
            <w:r>
              <w:rPr>
                <w:rFonts w:hint="eastAsia" w:ascii="宋体" w:hAnsi="宋体" w:cs="宋体"/>
                <w:color w:val="auto"/>
                <w:spacing w:val="6"/>
                <w:sz w:val="21"/>
                <w:szCs w:val="21"/>
                <w:highlight w:val="none"/>
                <w:lang w:val="en-US" w:eastAsia="zh-CN"/>
              </w:rPr>
              <w:t>2</w:t>
            </w:r>
          </w:p>
        </w:tc>
        <w:tc>
          <w:tcPr>
            <w:tcW w:w="1085" w:type="dxa"/>
            <w:tcBorders>
              <w:tl2br w:val="nil"/>
              <w:tr2bl w:val="nil"/>
            </w:tcBorders>
            <w:vAlign w:val="center"/>
          </w:tcPr>
          <w:p w14:paraId="22F44B26">
            <w:pPr>
              <w:pStyle w:val="344"/>
              <w:keepNext w:val="0"/>
              <w:keepLines w:val="0"/>
              <w:pageBreakBefore w:val="0"/>
              <w:suppressLineNumbers w:val="0"/>
              <w:kinsoku/>
              <w:wordWrap/>
              <w:overflowPunct/>
              <w:topLinePunct w:val="0"/>
              <w:autoSpaceDE/>
              <w:autoSpaceDN/>
              <w:bidi w:val="0"/>
              <w:adjustRightInd w:val="0"/>
              <w:spacing w:before="2" w:beforeAutospacing="0" w:after="2" w:afterAutospacing="0" w:line="360" w:lineRule="auto"/>
              <w:ind w:left="21" w:leftChars="0" w:right="57" w:firstLine="0" w:firstLineChars="0"/>
              <w:jc w:val="center"/>
              <w:textAlignment w:val="auto"/>
              <w:outlineLvl w:val="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woUserID w:val="1"/>
              </w:rPr>
              <w:t>客观分</w:t>
            </w:r>
          </w:p>
        </w:tc>
      </w:tr>
      <w:tr w14:paraId="5D1B83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755" w:type="dxa"/>
            <w:tcBorders>
              <w:tl2br w:val="nil"/>
              <w:tr2bl w:val="nil"/>
            </w:tcBorders>
            <w:vAlign w:val="center"/>
          </w:tcPr>
          <w:p w14:paraId="5EB3FB2A">
            <w:pPr>
              <w:keepNext w:val="0"/>
              <w:keepLines w:val="0"/>
              <w:pageBreakBefore w:val="0"/>
              <w:suppressLineNumbers w:val="0"/>
              <w:kinsoku/>
              <w:wordWrap/>
              <w:overflowPunct/>
              <w:topLinePunct w:val="0"/>
              <w:autoSpaceDE/>
              <w:autoSpaceDN/>
              <w:bidi w:val="0"/>
              <w:adjustRightInd w:val="0"/>
              <w:snapToGrid w:val="0"/>
              <w:spacing w:before="2" w:beforeAutospacing="0" w:after="2" w:afterAutospacing="0" w:line="360" w:lineRule="auto"/>
              <w:ind w:left="21" w:leftChars="10" w:right="57"/>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w:t>
            </w:r>
          </w:p>
        </w:tc>
        <w:tc>
          <w:tcPr>
            <w:tcW w:w="1251" w:type="dxa"/>
            <w:tcBorders>
              <w:tl2br w:val="nil"/>
              <w:tr2bl w:val="nil"/>
            </w:tcBorders>
            <w:shd w:val="clear" w:color="auto" w:fill="auto"/>
            <w:vAlign w:val="center"/>
          </w:tcPr>
          <w:p w14:paraId="7B0A3F9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highlight w:val="none"/>
                <w:lang w:val="en-US" w:eastAsia="zh-CN" w:bidi="ar-SA"/>
                <w:woUserID w:val="2"/>
              </w:rPr>
            </w:pPr>
            <w:r>
              <w:rPr>
                <w:rFonts w:hint="eastAsia" w:ascii="宋体" w:hAnsi="宋体" w:eastAsia="宋体" w:cs="宋体"/>
                <w:i w:val="0"/>
                <w:iCs w:val="0"/>
                <w:color w:val="auto"/>
                <w:kern w:val="0"/>
                <w:sz w:val="21"/>
                <w:szCs w:val="21"/>
                <w:highlight w:val="none"/>
                <w:lang w:val="en-US" w:eastAsia="zh-CN" w:bidi="ar"/>
                <w:woUserID w:val="1"/>
              </w:rPr>
              <w:t>培训方案</w:t>
            </w:r>
          </w:p>
        </w:tc>
        <w:tc>
          <w:tcPr>
            <w:tcW w:w="5385" w:type="dxa"/>
            <w:tcBorders>
              <w:tl2br w:val="nil"/>
              <w:tr2bl w:val="nil"/>
            </w:tcBorders>
            <w:shd w:val="clear" w:color="auto" w:fill="auto"/>
            <w:vAlign w:val="center"/>
          </w:tcPr>
          <w:p w14:paraId="2DAA158A">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2"/>
                <w:sz w:val="21"/>
                <w:szCs w:val="21"/>
                <w:highlight w:val="none"/>
                <w:lang w:val="en-US" w:eastAsia="zh-CN" w:bidi="ar-SA"/>
                <w:woUserID w:val="2"/>
              </w:rPr>
            </w:pPr>
            <w:r>
              <w:rPr>
                <w:rFonts w:hint="eastAsia" w:ascii="宋体" w:hAnsi="宋体" w:eastAsia="宋体" w:cs="宋体"/>
                <w:i w:val="0"/>
                <w:iCs w:val="0"/>
                <w:color w:val="auto"/>
                <w:kern w:val="0"/>
                <w:sz w:val="21"/>
                <w:szCs w:val="21"/>
                <w:highlight w:val="none"/>
                <w:lang w:val="en-US" w:eastAsia="zh-CN" w:bidi="ar"/>
                <w:woUserID w:val="2"/>
              </w:rPr>
              <w:t>根据投标人提供本项目执行周期内的技术培训服务方案进行打分，包括培训方式、地点、人数、时间等；（评分范围：</w:t>
            </w:r>
            <w:r>
              <w:rPr>
                <w:rFonts w:hint="eastAsia" w:ascii="宋体" w:hAnsi="宋体" w:cs="宋体"/>
                <w:i w:val="0"/>
                <w:iCs w:val="0"/>
                <w:color w:val="auto"/>
                <w:kern w:val="0"/>
                <w:sz w:val="21"/>
                <w:szCs w:val="21"/>
                <w:highlight w:val="none"/>
                <w:lang w:val="en-US" w:eastAsia="zh-CN" w:bidi="ar"/>
                <w:woUserID w:val="2"/>
              </w:rPr>
              <w:t>4</w:t>
            </w:r>
            <w:r>
              <w:rPr>
                <w:rFonts w:hint="eastAsia" w:ascii="宋体" w:hAnsi="宋体" w:eastAsia="宋体" w:cs="宋体"/>
                <w:i w:val="0"/>
                <w:iCs w:val="0"/>
                <w:color w:val="auto"/>
                <w:kern w:val="0"/>
                <w:sz w:val="21"/>
                <w:szCs w:val="21"/>
                <w:highlight w:val="none"/>
                <w:lang w:val="en-US" w:eastAsia="zh-CN" w:bidi="ar"/>
                <w:woUserID w:val="2"/>
              </w:rPr>
              <w:t>,3,2,1,0）</w:t>
            </w:r>
          </w:p>
        </w:tc>
        <w:tc>
          <w:tcPr>
            <w:tcW w:w="882" w:type="dxa"/>
            <w:tcBorders>
              <w:tl2br w:val="nil"/>
              <w:tr2bl w:val="nil"/>
            </w:tcBorders>
            <w:shd w:val="clear" w:color="auto" w:fill="auto"/>
            <w:vAlign w:val="center"/>
          </w:tcPr>
          <w:p w14:paraId="21699D6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highlight w:val="none"/>
                <w:lang w:val="en-US" w:eastAsia="zh-CN" w:bidi="ar-SA"/>
                <w:woUserID w:val="2"/>
              </w:rPr>
            </w:pPr>
            <w:r>
              <w:rPr>
                <w:rFonts w:hint="eastAsia" w:ascii="宋体" w:hAnsi="宋体" w:cs="宋体"/>
                <w:i w:val="0"/>
                <w:iCs w:val="0"/>
                <w:color w:val="auto"/>
                <w:kern w:val="0"/>
                <w:sz w:val="21"/>
                <w:szCs w:val="21"/>
                <w:highlight w:val="none"/>
                <w:lang w:val="en-US" w:eastAsia="zh-CN" w:bidi="ar"/>
                <w:woUserID w:val="1"/>
              </w:rPr>
              <w:t>4</w:t>
            </w:r>
          </w:p>
        </w:tc>
        <w:tc>
          <w:tcPr>
            <w:tcW w:w="1085" w:type="dxa"/>
            <w:tcBorders>
              <w:tl2br w:val="nil"/>
              <w:tr2bl w:val="nil"/>
            </w:tcBorders>
            <w:shd w:val="clear" w:color="auto" w:fill="auto"/>
            <w:vAlign w:val="center"/>
          </w:tcPr>
          <w:p w14:paraId="192ADD3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highlight w:val="none"/>
                <w:lang w:val="en-US" w:eastAsia="zh-CN" w:bidi="ar-SA"/>
                <w:woUserID w:val="2"/>
              </w:rPr>
            </w:pPr>
            <w:r>
              <w:rPr>
                <w:rFonts w:hint="eastAsia" w:ascii="宋体" w:hAnsi="宋体" w:eastAsia="宋体" w:cs="宋体"/>
                <w:i w:val="0"/>
                <w:iCs w:val="0"/>
                <w:color w:val="auto"/>
                <w:kern w:val="0"/>
                <w:sz w:val="21"/>
                <w:szCs w:val="21"/>
                <w:highlight w:val="none"/>
                <w:lang w:val="en-US" w:eastAsia="zh-CN" w:bidi="ar"/>
                <w:woUserID w:val="2"/>
              </w:rPr>
              <w:t>主观分</w:t>
            </w:r>
          </w:p>
        </w:tc>
      </w:tr>
      <w:tr w14:paraId="38ED22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5" w:type="dxa"/>
            <w:tcBorders>
              <w:tl2br w:val="nil"/>
              <w:tr2bl w:val="nil"/>
            </w:tcBorders>
            <w:vAlign w:val="center"/>
          </w:tcPr>
          <w:p w14:paraId="67E3B2B6">
            <w:pPr>
              <w:keepNext w:val="0"/>
              <w:keepLines w:val="0"/>
              <w:pageBreakBefore w:val="0"/>
              <w:suppressLineNumbers w:val="0"/>
              <w:kinsoku/>
              <w:wordWrap/>
              <w:overflowPunct/>
              <w:topLinePunct w:val="0"/>
              <w:autoSpaceDE/>
              <w:autoSpaceDN/>
              <w:bidi w:val="0"/>
              <w:adjustRightInd w:val="0"/>
              <w:snapToGrid w:val="0"/>
              <w:spacing w:before="2" w:beforeAutospacing="0" w:after="2" w:afterAutospacing="0" w:line="360" w:lineRule="auto"/>
              <w:ind w:left="21" w:leftChars="10" w:right="57"/>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w:t>
            </w:r>
          </w:p>
        </w:tc>
        <w:tc>
          <w:tcPr>
            <w:tcW w:w="1251" w:type="dxa"/>
            <w:tcBorders>
              <w:tl2br w:val="nil"/>
              <w:tr2bl w:val="nil"/>
            </w:tcBorders>
            <w:shd w:val="clear" w:color="auto" w:fill="auto"/>
            <w:vAlign w:val="center"/>
          </w:tcPr>
          <w:p w14:paraId="2EEA18B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highlight w:val="none"/>
                <w:lang w:val="en-US" w:eastAsia="zh-CN" w:bidi="ar-SA"/>
                <w:woUserID w:val="2"/>
              </w:rPr>
            </w:pPr>
            <w:r>
              <w:rPr>
                <w:rFonts w:hint="eastAsia" w:ascii="宋体" w:hAnsi="宋体" w:eastAsia="宋体" w:cs="宋体"/>
                <w:i w:val="0"/>
                <w:iCs w:val="0"/>
                <w:color w:val="auto"/>
                <w:kern w:val="0"/>
                <w:sz w:val="21"/>
                <w:szCs w:val="21"/>
                <w:highlight w:val="none"/>
                <w:lang w:val="en-US" w:eastAsia="zh-CN" w:bidi="ar"/>
                <w:woUserID w:val="2"/>
              </w:rPr>
              <w:t>系统测试、试运行方案</w:t>
            </w:r>
          </w:p>
        </w:tc>
        <w:tc>
          <w:tcPr>
            <w:tcW w:w="5385" w:type="dxa"/>
            <w:tcBorders>
              <w:tl2br w:val="nil"/>
              <w:tr2bl w:val="nil"/>
            </w:tcBorders>
            <w:shd w:val="clear" w:color="auto" w:fill="auto"/>
            <w:vAlign w:val="center"/>
          </w:tcPr>
          <w:p w14:paraId="7CF0ED5C">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2"/>
                <w:sz w:val="21"/>
                <w:szCs w:val="21"/>
                <w:highlight w:val="none"/>
                <w:lang w:val="en-US" w:eastAsia="zh-CN" w:bidi="ar-SA"/>
                <w:woUserID w:val="2"/>
              </w:rPr>
            </w:pPr>
            <w:r>
              <w:rPr>
                <w:rFonts w:hint="eastAsia" w:ascii="宋体" w:hAnsi="宋体" w:eastAsia="宋体" w:cs="宋体"/>
                <w:i w:val="0"/>
                <w:iCs w:val="0"/>
                <w:color w:val="auto"/>
                <w:kern w:val="0"/>
                <w:sz w:val="21"/>
                <w:szCs w:val="21"/>
                <w:highlight w:val="none"/>
                <w:lang w:val="en-US" w:eastAsia="zh-CN" w:bidi="ar"/>
                <w:woUserID w:val="2"/>
              </w:rPr>
              <w:t>根据投标人提供的针对本项目的系统测试、试运行方案的合理性和适应性进行打分；（评分范围：4,3,2,1,0）</w:t>
            </w:r>
          </w:p>
        </w:tc>
        <w:tc>
          <w:tcPr>
            <w:tcW w:w="882" w:type="dxa"/>
            <w:tcBorders>
              <w:tl2br w:val="nil"/>
              <w:tr2bl w:val="nil"/>
            </w:tcBorders>
            <w:shd w:val="clear" w:color="auto" w:fill="auto"/>
            <w:vAlign w:val="center"/>
          </w:tcPr>
          <w:p w14:paraId="2E4B7CC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highlight w:val="none"/>
                <w:lang w:val="en-US" w:eastAsia="zh-CN" w:bidi="ar-SA"/>
                <w:woUserID w:val="2"/>
              </w:rPr>
            </w:pPr>
            <w:r>
              <w:rPr>
                <w:rFonts w:hint="eastAsia" w:ascii="宋体" w:hAnsi="宋体" w:eastAsia="宋体" w:cs="宋体"/>
                <w:i w:val="0"/>
                <w:iCs w:val="0"/>
                <w:color w:val="auto"/>
                <w:kern w:val="0"/>
                <w:sz w:val="21"/>
                <w:szCs w:val="21"/>
                <w:highlight w:val="none"/>
                <w:lang w:val="en-US" w:eastAsia="zh-CN" w:bidi="ar"/>
                <w:woUserID w:val="2"/>
              </w:rPr>
              <w:t>4</w:t>
            </w:r>
          </w:p>
        </w:tc>
        <w:tc>
          <w:tcPr>
            <w:tcW w:w="1085" w:type="dxa"/>
            <w:tcBorders>
              <w:tl2br w:val="nil"/>
              <w:tr2bl w:val="nil"/>
            </w:tcBorders>
            <w:shd w:val="clear" w:color="auto" w:fill="auto"/>
            <w:vAlign w:val="center"/>
          </w:tcPr>
          <w:p w14:paraId="67234F1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highlight w:val="none"/>
                <w:lang w:val="en-US" w:eastAsia="zh-CN" w:bidi="ar-SA"/>
                <w:woUserID w:val="2"/>
              </w:rPr>
            </w:pPr>
            <w:r>
              <w:rPr>
                <w:rFonts w:hint="eastAsia" w:ascii="宋体" w:hAnsi="宋体" w:eastAsia="宋体" w:cs="宋体"/>
                <w:i w:val="0"/>
                <w:iCs w:val="0"/>
                <w:color w:val="auto"/>
                <w:kern w:val="0"/>
                <w:sz w:val="21"/>
                <w:szCs w:val="21"/>
                <w:highlight w:val="none"/>
                <w:lang w:val="en-US" w:eastAsia="zh-CN" w:bidi="ar"/>
                <w:woUserID w:val="2"/>
              </w:rPr>
              <w:t>主观分</w:t>
            </w:r>
          </w:p>
        </w:tc>
      </w:tr>
      <w:tr w14:paraId="01C74D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755" w:type="dxa"/>
            <w:tcBorders>
              <w:tl2br w:val="nil"/>
              <w:tr2bl w:val="nil"/>
            </w:tcBorders>
            <w:vAlign w:val="center"/>
          </w:tcPr>
          <w:p w14:paraId="2E50A1EF">
            <w:pPr>
              <w:keepNext w:val="0"/>
              <w:keepLines w:val="0"/>
              <w:pageBreakBefore w:val="0"/>
              <w:suppressLineNumbers w:val="0"/>
              <w:kinsoku/>
              <w:wordWrap/>
              <w:overflowPunct/>
              <w:topLinePunct w:val="0"/>
              <w:autoSpaceDE/>
              <w:autoSpaceDN/>
              <w:bidi w:val="0"/>
              <w:adjustRightInd w:val="0"/>
              <w:snapToGrid w:val="0"/>
              <w:spacing w:before="2" w:beforeAutospacing="0" w:after="2" w:afterAutospacing="0" w:line="360" w:lineRule="auto"/>
              <w:ind w:left="21" w:leftChars="10" w:right="57"/>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w:t>
            </w:r>
          </w:p>
        </w:tc>
        <w:tc>
          <w:tcPr>
            <w:tcW w:w="1251" w:type="dxa"/>
            <w:tcBorders>
              <w:tl2br w:val="nil"/>
              <w:tr2bl w:val="nil"/>
            </w:tcBorders>
            <w:shd w:val="clear" w:color="auto" w:fill="auto"/>
            <w:vAlign w:val="center"/>
          </w:tcPr>
          <w:p w14:paraId="487AC3A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highlight w:val="none"/>
                <w:lang w:val="en-US" w:eastAsia="zh-CN" w:bidi="ar-SA"/>
                <w:woUserID w:val="2"/>
              </w:rPr>
            </w:pPr>
            <w:r>
              <w:rPr>
                <w:rFonts w:hint="eastAsia" w:ascii="宋体" w:hAnsi="宋体" w:eastAsia="宋体" w:cs="宋体"/>
                <w:i w:val="0"/>
                <w:iCs w:val="0"/>
                <w:color w:val="auto"/>
                <w:kern w:val="0"/>
                <w:sz w:val="21"/>
                <w:szCs w:val="21"/>
                <w:highlight w:val="none"/>
                <w:lang w:val="en-US" w:eastAsia="zh-CN" w:bidi="ar"/>
                <w:woUserID w:val="2"/>
              </w:rPr>
              <w:t>售后服务方案</w:t>
            </w:r>
          </w:p>
        </w:tc>
        <w:tc>
          <w:tcPr>
            <w:tcW w:w="5385" w:type="dxa"/>
            <w:tcBorders>
              <w:tl2br w:val="nil"/>
              <w:tr2bl w:val="nil"/>
            </w:tcBorders>
            <w:shd w:val="clear" w:color="auto" w:fill="auto"/>
            <w:vAlign w:val="center"/>
          </w:tcPr>
          <w:p w14:paraId="34E4F33B">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2"/>
                <w:sz w:val="21"/>
                <w:szCs w:val="21"/>
                <w:highlight w:val="none"/>
                <w:lang w:val="en-US" w:eastAsia="zh-CN" w:bidi="ar-SA"/>
                <w:woUserID w:val="2"/>
              </w:rPr>
            </w:pPr>
            <w:r>
              <w:rPr>
                <w:rFonts w:hint="eastAsia" w:ascii="宋体" w:hAnsi="宋体" w:eastAsia="宋体" w:cs="宋体"/>
                <w:i w:val="0"/>
                <w:iCs w:val="0"/>
                <w:color w:val="auto"/>
                <w:kern w:val="0"/>
                <w:sz w:val="21"/>
                <w:szCs w:val="21"/>
                <w:highlight w:val="none"/>
                <w:lang w:val="en-US" w:eastAsia="zh-CN" w:bidi="ar"/>
                <w:woUserID w:val="2"/>
              </w:rPr>
              <w:t>根据投标人提供的方案中售后服务承诺、售后服务内容、响应时间、售后服务体系进行综合评分；（评分范围：</w:t>
            </w:r>
            <w:r>
              <w:rPr>
                <w:rFonts w:hint="eastAsia" w:ascii="宋体" w:hAnsi="宋体" w:cs="宋体"/>
                <w:i w:val="0"/>
                <w:iCs w:val="0"/>
                <w:color w:val="auto"/>
                <w:kern w:val="0"/>
                <w:sz w:val="21"/>
                <w:szCs w:val="21"/>
                <w:highlight w:val="none"/>
                <w:lang w:val="en-US" w:eastAsia="zh-CN" w:bidi="ar"/>
                <w:woUserID w:val="2"/>
              </w:rPr>
              <w:t>5，</w:t>
            </w:r>
            <w:r>
              <w:rPr>
                <w:rFonts w:hint="eastAsia" w:ascii="宋体" w:hAnsi="宋体" w:eastAsia="宋体" w:cs="宋体"/>
                <w:i w:val="0"/>
                <w:iCs w:val="0"/>
                <w:color w:val="auto"/>
                <w:kern w:val="0"/>
                <w:sz w:val="21"/>
                <w:szCs w:val="21"/>
                <w:highlight w:val="none"/>
                <w:lang w:val="en-US" w:eastAsia="zh-CN" w:bidi="ar"/>
                <w:woUserID w:val="2"/>
              </w:rPr>
              <w:t>4,3,2,1,0）</w:t>
            </w:r>
          </w:p>
        </w:tc>
        <w:tc>
          <w:tcPr>
            <w:tcW w:w="882" w:type="dxa"/>
            <w:tcBorders>
              <w:tl2br w:val="nil"/>
              <w:tr2bl w:val="nil"/>
            </w:tcBorders>
            <w:shd w:val="clear" w:color="auto" w:fill="auto"/>
            <w:vAlign w:val="center"/>
          </w:tcPr>
          <w:p w14:paraId="37242CC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highlight w:val="none"/>
                <w:lang w:val="en-US" w:eastAsia="zh-CN" w:bidi="ar-SA"/>
                <w:woUserID w:val="2"/>
              </w:rPr>
            </w:pPr>
            <w:r>
              <w:rPr>
                <w:rFonts w:hint="eastAsia" w:ascii="宋体" w:hAnsi="宋体" w:cs="宋体"/>
                <w:i w:val="0"/>
                <w:iCs w:val="0"/>
                <w:color w:val="auto"/>
                <w:kern w:val="0"/>
                <w:sz w:val="21"/>
                <w:szCs w:val="21"/>
                <w:highlight w:val="none"/>
                <w:lang w:val="en-US" w:eastAsia="zh-CN" w:bidi="ar"/>
                <w:woUserID w:val="2"/>
              </w:rPr>
              <w:t>5</w:t>
            </w:r>
          </w:p>
        </w:tc>
        <w:tc>
          <w:tcPr>
            <w:tcW w:w="1085" w:type="dxa"/>
            <w:tcBorders>
              <w:tl2br w:val="nil"/>
              <w:tr2bl w:val="nil"/>
            </w:tcBorders>
            <w:shd w:val="clear" w:color="auto" w:fill="auto"/>
            <w:vAlign w:val="center"/>
          </w:tcPr>
          <w:p w14:paraId="3D5E372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highlight w:val="none"/>
                <w:lang w:val="en-US" w:eastAsia="zh-CN" w:bidi="ar-SA"/>
                <w:woUserID w:val="2"/>
              </w:rPr>
            </w:pPr>
            <w:r>
              <w:rPr>
                <w:rFonts w:hint="eastAsia" w:ascii="宋体" w:hAnsi="宋体" w:eastAsia="宋体" w:cs="宋体"/>
                <w:i w:val="0"/>
                <w:iCs w:val="0"/>
                <w:color w:val="auto"/>
                <w:kern w:val="0"/>
                <w:sz w:val="21"/>
                <w:szCs w:val="21"/>
                <w:highlight w:val="none"/>
                <w:lang w:val="en-US" w:eastAsia="zh-CN" w:bidi="ar"/>
                <w:woUserID w:val="2"/>
              </w:rPr>
              <w:t>主观分</w:t>
            </w:r>
          </w:p>
        </w:tc>
      </w:tr>
      <w:tr w14:paraId="65C181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755" w:type="dxa"/>
            <w:tcBorders>
              <w:tl2br w:val="nil"/>
              <w:tr2bl w:val="nil"/>
            </w:tcBorders>
            <w:vAlign w:val="center"/>
          </w:tcPr>
          <w:p w14:paraId="34CD06CF">
            <w:pPr>
              <w:keepNext w:val="0"/>
              <w:keepLines w:val="0"/>
              <w:pageBreakBefore w:val="0"/>
              <w:suppressLineNumbers w:val="0"/>
              <w:kinsoku/>
              <w:wordWrap/>
              <w:overflowPunct/>
              <w:topLinePunct w:val="0"/>
              <w:autoSpaceDE/>
              <w:autoSpaceDN/>
              <w:bidi w:val="0"/>
              <w:adjustRightInd w:val="0"/>
              <w:snapToGrid w:val="0"/>
              <w:spacing w:before="2" w:beforeAutospacing="0" w:after="2" w:afterAutospacing="0" w:line="360" w:lineRule="auto"/>
              <w:ind w:left="21" w:leftChars="10" w:right="57"/>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w:t>
            </w:r>
          </w:p>
        </w:tc>
        <w:tc>
          <w:tcPr>
            <w:tcW w:w="1251" w:type="dxa"/>
            <w:tcBorders>
              <w:tl2br w:val="nil"/>
              <w:tr2bl w:val="nil"/>
            </w:tcBorders>
            <w:shd w:val="clear" w:color="auto" w:fill="auto"/>
            <w:vAlign w:val="center"/>
          </w:tcPr>
          <w:p w14:paraId="0F387EA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highlight w:val="none"/>
                <w:lang w:val="en-US" w:eastAsia="zh-CN" w:bidi="ar-SA"/>
                <w:woUserID w:val="2"/>
              </w:rPr>
            </w:pPr>
            <w:r>
              <w:rPr>
                <w:rFonts w:hint="eastAsia" w:ascii="宋体" w:hAnsi="宋体" w:eastAsia="宋体" w:cs="宋体"/>
                <w:i w:val="0"/>
                <w:iCs w:val="0"/>
                <w:color w:val="auto"/>
                <w:kern w:val="0"/>
                <w:sz w:val="21"/>
                <w:szCs w:val="21"/>
                <w:highlight w:val="none"/>
                <w:lang w:val="en-US" w:eastAsia="zh-CN" w:bidi="ar"/>
                <w:woUserID w:val="2"/>
              </w:rPr>
              <w:t>突发情况及应对措施方案</w:t>
            </w:r>
          </w:p>
        </w:tc>
        <w:tc>
          <w:tcPr>
            <w:tcW w:w="5385" w:type="dxa"/>
            <w:tcBorders>
              <w:tl2br w:val="nil"/>
              <w:tr2bl w:val="nil"/>
            </w:tcBorders>
            <w:shd w:val="clear" w:color="auto" w:fill="auto"/>
            <w:vAlign w:val="center"/>
          </w:tcPr>
          <w:p w14:paraId="0A89DD77">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2"/>
                <w:sz w:val="21"/>
                <w:szCs w:val="21"/>
                <w:highlight w:val="none"/>
                <w:lang w:val="zh-CN" w:eastAsia="zh-CN" w:bidi="ar-SA"/>
                <w:woUserID w:val="2"/>
              </w:rPr>
            </w:pPr>
            <w:r>
              <w:rPr>
                <w:rFonts w:hint="eastAsia" w:ascii="宋体" w:hAnsi="宋体" w:eastAsia="宋体" w:cs="宋体"/>
                <w:i w:val="0"/>
                <w:iCs w:val="0"/>
                <w:color w:val="auto"/>
                <w:kern w:val="0"/>
                <w:sz w:val="21"/>
                <w:szCs w:val="21"/>
                <w:highlight w:val="none"/>
                <w:lang w:val="en-US" w:eastAsia="zh-CN" w:bidi="ar"/>
                <w:woUserID w:val="2"/>
              </w:rPr>
              <w:t>根据投标人提供的对项目运行中出现的突发情况进行分析的合理性及提出应对措施方案的全面性进行打分；（评分范围：4,3,2,1,0）</w:t>
            </w:r>
          </w:p>
        </w:tc>
        <w:tc>
          <w:tcPr>
            <w:tcW w:w="882" w:type="dxa"/>
            <w:tcBorders>
              <w:tl2br w:val="nil"/>
              <w:tr2bl w:val="nil"/>
            </w:tcBorders>
            <w:shd w:val="clear" w:color="auto" w:fill="auto"/>
            <w:vAlign w:val="center"/>
          </w:tcPr>
          <w:p w14:paraId="73EB097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highlight w:val="none"/>
                <w:lang w:val="en-US" w:eastAsia="zh-CN" w:bidi="ar-SA"/>
                <w:woUserID w:val="2"/>
              </w:rPr>
            </w:pPr>
            <w:r>
              <w:rPr>
                <w:rFonts w:hint="eastAsia" w:ascii="宋体" w:hAnsi="宋体" w:eastAsia="宋体" w:cs="宋体"/>
                <w:i w:val="0"/>
                <w:iCs w:val="0"/>
                <w:color w:val="auto"/>
                <w:kern w:val="0"/>
                <w:sz w:val="21"/>
                <w:szCs w:val="21"/>
                <w:highlight w:val="none"/>
                <w:lang w:val="en-US" w:eastAsia="zh-CN" w:bidi="ar"/>
                <w:woUserID w:val="2"/>
              </w:rPr>
              <w:t>4</w:t>
            </w:r>
          </w:p>
        </w:tc>
        <w:tc>
          <w:tcPr>
            <w:tcW w:w="1085" w:type="dxa"/>
            <w:tcBorders>
              <w:tl2br w:val="nil"/>
              <w:tr2bl w:val="nil"/>
            </w:tcBorders>
            <w:shd w:val="clear" w:color="auto" w:fill="auto"/>
            <w:vAlign w:val="center"/>
          </w:tcPr>
          <w:p w14:paraId="3CAEE51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highlight w:val="none"/>
                <w:lang w:val="en-US" w:eastAsia="zh-CN" w:bidi="ar-SA"/>
                <w:woUserID w:val="2"/>
              </w:rPr>
            </w:pPr>
            <w:r>
              <w:rPr>
                <w:rFonts w:hint="eastAsia" w:ascii="宋体" w:hAnsi="宋体" w:eastAsia="宋体" w:cs="宋体"/>
                <w:i w:val="0"/>
                <w:iCs w:val="0"/>
                <w:color w:val="auto"/>
                <w:kern w:val="0"/>
                <w:sz w:val="21"/>
                <w:szCs w:val="21"/>
                <w:highlight w:val="none"/>
                <w:lang w:val="en-US" w:eastAsia="zh-CN" w:bidi="ar"/>
                <w:woUserID w:val="2"/>
              </w:rPr>
              <w:t>主观分</w:t>
            </w:r>
          </w:p>
        </w:tc>
      </w:tr>
      <w:tr w14:paraId="29E1051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755" w:type="dxa"/>
            <w:tcBorders>
              <w:tl2br w:val="nil"/>
              <w:tr2bl w:val="nil"/>
            </w:tcBorders>
            <w:vAlign w:val="center"/>
          </w:tcPr>
          <w:p w14:paraId="35844E62">
            <w:pPr>
              <w:keepNext w:val="0"/>
              <w:keepLines w:val="0"/>
              <w:pageBreakBefore w:val="0"/>
              <w:suppressLineNumbers w:val="0"/>
              <w:kinsoku/>
              <w:wordWrap/>
              <w:overflowPunct/>
              <w:topLinePunct w:val="0"/>
              <w:autoSpaceDE/>
              <w:autoSpaceDN/>
              <w:bidi w:val="0"/>
              <w:adjustRightInd w:val="0"/>
              <w:snapToGrid w:val="0"/>
              <w:spacing w:before="2" w:beforeAutospacing="0" w:after="2" w:afterAutospacing="0" w:line="360" w:lineRule="auto"/>
              <w:ind w:left="21" w:leftChars="10" w:right="57"/>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22</w:t>
            </w:r>
          </w:p>
        </w:tc>
        <w:tc>
          <w:tcPr>
            <w:tcW w:w="1251" w:type="dxa"/>
            <w:tcBorders>
              <w:tl2br w:val="nil"/>
              <w:tr2bl w:val="nil"/>
            </w:tcBorders>
            <w:shd w:val="clear" w:color="auto" w:fill="auto"/>
            <w:vAlign w:val="center"/>
          </w:tcPr>
          <w:p w14:paraId="5D2C03CB">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highlight w:val="none"/>
                <w:lang w:val="en-US" w:eastAsia="zh-CN" w:bidi="ar"/>
                <w:woUserID w:val="2"/>
              </w:rPr>
            </w:pPr>
            <w:r>
              <w:rPr>
                <w:rFonts w:hint="eastAsia" w:ascii="宋体" w:hAnsi="宋体" w:cs="宋体"/>
                <w:i w:val="0"/>
                <w:iCs w:val="0"/>
                <w:color w:val="auto"/>
                <w:kern w:val="0"/>
                <w:sz w:val="21"/>
                <w:szCs w:val="21"/>
                <w:highlight w:val="none"/>
                <w:lang w:val="en-US" w:eastAsia="zh-CN" w:bidi="ar"/>
                <w:woUserID w:val="2"/>
              </w:rPr>
              <w:t>支持保障</w:t>
            </w:r>
          </w:p>
        </w:tc>
        <w:tc>
          <w:tcPr>
            <w:tcW w:w="5385" w:type="dxa"/>
            <w:tcBorders>
              <w:tl2br w:val="nil"/>
              <w:tr2bl w:val="nil"/>
            </w:tcBorders>
            <w:shd w:val="clear" w:color="auto" w:fill="auto"/>
            <w:vAlign w:val="center"/>
          </w:tcPr>
          <w:p w14:paraId="0783683D">
            <w:pPr>
              <w:keepNext w:val="0"/>
              <w:keepLines w:val="0"/>
              <w:widowControl/>
              <w:suppressLineNumbers w:val="0"/>
              <w:spacing w:before="0" w:beforeAutospacing="0" w:after="0" w:afterAutospacing="0"/>
              <w:ind w:left="0" w:leftChars="0" w:right="0" w:rightChars="0"/>
              <w:jc w:val="both"/>
              <w:textAlignment w:val="center"/>
              <w:rPr>
                <w:rFonts w:hint="default" w:ascii="宋体" w:hAnsi="宋体" w:eastAsia="宋体" w:cs="宋体"/>
                <w:i w:val="0"/>
                <w:iCs w:val="0"/>
                <w:color w:val="auto"/>
                <w:kern w:val="0"/>
                <w:sz w:val="21"/>
                <w:szCs w:val="21"/>
                <w:highlight w:val="none"/>
                <w:lang w:val="en-US" w:eastAsia="zh-CN" w:bidi="ar"/>
                <w:woUserID w:val="2"/>
              </w:rPr>
            </w:pPr>
            <w:r>
              <w:rPr>
                <w:rFonts w:hint="eastAsia" w:ascii="宋体" w:hAnsi="宋体" w:cs="宋体"/>
                <w:i w:val="0"/>
                <w:iCs w:val="0"/>
                <w:color w:val="auto"/>
                <w:kern w:val="2"/>
                <w:sz w:val="21"/>
                <w:szCs w:val="21"/>
                <w:highlight w:val="none"/>
                <w:lang w:val="en-US" w:eastAsia="zh-CN" w:bidi="ar-SA"/>
                <w:woUserID w:val="0"/>
              </w:rPr>
              <w:t>投标人承诺</w:t>
            </w:r>
            <w:r>
              <w:rPr>
                <w:rFonts w:hint="eastAsia" w:ascii="宋体" w:hAnsi="宋体" w:eastAsia="宋体" w:cs="宋体"/>
                <w:i w:val="0"/>
                <w:iCs w:val="0"/>
                <w:color w:val="auto"/>
                <w:kern w:val="2"/>
                <w:sz w:val="21"/>
                <w:szCs w:val="21"/>
                <w:highlight w:val="none"/>
                <w:lang w:val="en-US" w:eastAsia="zh-CN" w:bidi="ar-SA"/>
                <w:woUserID w:val="0"/>
              </w:rPr>
              <w:t>在建设和质保期内的</w:t>
            </w:r>
            <w:r>
              <w:rPr>
                <w:rFonts w:hint="eastAsia" w:ascii="宋体" w:hAnsi="宋体" w:cs="宋体"/>
                <w:i w:val="0"/>
                <w:iCs w:val="0"/>
                <w:color w:val="auto"/>
                <w:kern w:val="2"/>
                <w:sz w:val="21"/>
                <w:szCs w:val="21"/>
                <w:highlight w:val="none"/>
                <w:lang w:val="en-US" w:eastAsia="zh-CN" w:bidi="ar-SA"/>
                <w:woUserID w:val="0"/>
              </w:rPr>
              <w:t>重要会议、活动期间</w:t>
            </w:r>
            <w:r>
              <w:rPr>
                <w:rFonts w:hint="eastAsia" w:ascii="宋体" w:hAnsi="宋体" w:cs="宋体"/>
                <w:i w:val="0"/>
                <w:iCs w:val="0"/>
                <w:color w:val="auto"/>
                <w:kern w:val="0"/>
                <w:sz w:val="21"/>
                <w:szCs w:val="21"/>
                <w:highlight w:val="none"/>
                <w:lang w:val="en-US" w:eastAsia="zh-CN" w:bidi="ar"/>
                <w:woUserID w:val="2"/>
              </w:rPr>
              <w:t>，提供人员保障，驻点支持人员不少于2人。承诺的得3分，否则不得分（提供承诺函，加盖公章）</w:t>
            </w:r>
          </w:p>
        </w:tc>
        <w:tc>
          <w:tcPr>
            <w:tcW w:w="882" w:type="dxa"/>
            <w:tcBorders>
              <w:tl2br w:val="nil"/>
              <w:tr2bl w:val="nil"/>
            </w:tcBorders>
            <w:shd w:val="clear" w:color="auto" w:fill="auto"/>
            <w:vAlign w:val="center"/>
          </w:tcPr>
          <w:p w14:paraId="2809F649">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highlight w:val="none"/>
                <w:lang w:val="en-US" w:eastAsia="zh-CN" w:bidi="ar"/>
                <w:woUserID w:val="2"/>
              </w:rPr>
            </w:pPr>
            <w:r>
              <w:rPr>
                <w:rFonts w:hint="eastAsia" w:ascii="宋体" w:hAnsi="宋体" w:cs="宋体"/>
                <w:i w:val="0"/>
                <w:iCs w:val="0"/>
                <w:color w:val="auto"/>
                <w:kern w:val="0"/>
                <w:sz w:val="21"/>
                <w:szCs w:val="21"/>
                <w:highlight w:val="none"/>
                <w:lang w:val="en-US" w:eastAsia="zh-CN" w:bidi="ar"/>
                <w:woUserID w:val="2"/>
              </w:rPr>
              <w:t>3</w:t>
            </w:r>
          </w:p>
        </w:tc>
        <w:tc>
          <w:tcPr>
            <w:tcW w:w="1085" w:type="dxa"/>
            <w:tcBorders>
              <w:tl2br w:val="nil"/>
              <w:tr2bl w:val="nil"/>
            </w:tcBorders>
            <w:shd w:val="clear" w:color="auto" w:fill="auto"/>
            <w:vAlign w:val="center"/>
          </w:tcPr>
          <w:p w14:paraId="4557CFC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lang w:val="en-US" w:eastAsia="zh-CN" w:bidi="ar"/>
                <w:woUserID w:val="2"/>
              </w:rPr>
            </w:pPr>
            <w:r>
              <w:rPr>
                <w:rFonts w:hint="eastAsia" w:ascii="宋体" w:hAnsi="宋体" w:eastAsia="宋体" w:cs="宋体"/>
                <w:color w:val="auto"/>
                <w:spacing w:val="6"/>
                <w:sz w:val="21"/>
                <w:szCs w:val="21"/>
                <w:highlight w:val="none"/>
                <w:woUserID w:val="1"/>
              </w:rPr>
              <w:t>客观分</w:t>
            </w:r>
          </w:p>
        </w:tc>
      </w:tr>
      <w:tr w14:paraId="1B3FF88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755" w:type="dxa"/>
            <w:vMerge w:val="restart"/>
            <w:tcBorders>
              <w:tl2br w:val="nil"/>
              <w:tr2bl w:val="nil"/>
            </w:tcBorders>
            <w:vAlign w:val="center"/>
          </w:tcPr>
          <w:p w14:paraId="02F16C43">
            <w:pPr>
              <w:keepNext w:val="0"/>
              <w:keepLines w:val="0"/>
              <w:pageBreakBefore w:val="0"/>
              <w:suppressLineNumbers w:val="0"/>
              <w:kinsoku/>
              <w:wordWrap/>
              <w:overflowPunct/>
              <w:topLinePunct w:val="0"/>
              <w:autoSpaceDE/>
              <w:autoSpaceDN/>
              <w:bidi w:val="0"/>
              <w:adjustRightInd w:val="0"/>
              <w:snapToGrid w:val="0"/>
              <w:spacing w:before="2" w:beforeAutospacing="0" w:after="2" w:afterAutospacing="0" w:line="360" w:lineRule="auto"/>
              <w:ind w:left="21" w:leftChars="0" w:right="57"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3</w:t>
            </w:r>
          </w:p>
        </w:tc>
        <w:tc>
          <w:tcPr>
            <w:tcW w:w="1251" w:type="dxa"/>
            <w:tcBorders>
              <w:tl2br w:val="nil"/>
              <w:tr2bl w:val="nil"/>
            </w:tcBorders>
            <w:shd w:val="clear" w:color="auto" w:fill="auto"/>
            <w:vAlign w:val="center"/>
          </w:tcPr>
          <w:p w14:paraId="78C43AD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highlight w:val="none"/>
                <w:lang w:val="en-US" w:eastAsia="zh-CN" w:bidi="ar-SA"/>
                <w:woUserID w:val="2"/>
              </w:rPr>
            </w:pPr>
            <w:r>
              <w:rPr>
                <w:rFonts w:hint="eastAsia" w:ascii="宋体" w:hAnsi="宋体" w:eastAsia="宋体" w:cs="宋体"/>
                <w:i w:val="0"/>
                <w:iCs w:val="0"/>
                <w:color w:val="auto"/>
                <w:kern w:val="0"/>
                <w:sz w:val="21"/>
                <w:szCs w:val="21"/>
                <w:highlight w:val="none"/>
                <w:lang w:val="en-US" w:eastAsia="zh-CN" w:bidi="ar"/>
                <w:woUserID w:val="2"/>
              </w:rPr>
              <w:t>承诺</w:t>
            </w:r>
          </w:p>
        </w:tc>
        <w:tc>
          <w:tcPr>
            <w:tcW w:w="5385" w:type="dxa"/>
            <w:tcBorders>
              <w:tl2br w:val="nil"/>
              <w:tr2bl w:val="nil"/>
            </w:tcBorders>
            <w:shd w:val="clear" w:color="auto" w:fill="auto"/>
            <w:vAlign w:val="center"/>
          </w:tcPr>
          <w:p w14:paraId="64D831FE">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2"/>
                <w:sz w:val="21"/>
                <w:szCs w:val="21"/>
                <w:highlight w:val="none"/>
                <w:lang w:val="en-US" w:eastAsia="zh-CN" w:bidi="ar-SA"/>
                <w:woUserID w:val="2"/>
              </w:rPr>
            </w:pPr>
            <w:r>
              <w:rPr>
                <w:rFonts w:hint="eastAsia" w:ascii="宋体" w:hAnsi="宋体" w:eastAsia="宋体" w:cs="宋体"/>
                <w:i w:val="0"/>
                <w:iCs w:val="0"/>
                <w:color w:val="auto"/>
                <w:kern w:val="0"/>
                <w:sz w:val="21"/>
                <w:szCs w:val="21"/>
                <w:highlight w:val="none"/>
                <w:lang w:val="en-US" w:eastAsia="zh-CN" w:bidi="ar"/>
                <w:woUserID w:val="2"/>
              </w:rPr>
              <w:t>投标人需承诺本项目满足“网络安全等级保护测评”三级要求，并通过商用密码应用安全性测评、第三方软件测评、信创测评。承诺的得3分，不承诺不得分。</w:t>
            </w:r>
            <w:r>
              <w:rPr>
                <w:rFonts w:hint="eastAsia" w:ascii="宋体" w:hAnsi="宋体" w:eastAsia="宋体" w:cs="宋体"/>
                <w:b/>
                <w:bCs/>
                <w:i w:val="0"/>
                <w:iCs w:val="0"/>
                <w:color w:val="auto"/>
                <w:kern w:val="0"/>
                <w:sz w:val="21"/>
                <w:szCs w:val="21"/>
                <w:highlight w:val="none"/>
                <w:lang w:val="en-US" w:eastAsia="zh-CN" w:bidi="ar"/>
                <w:woUserID w:val="2"/>
              </w:rPr>
              <w:t>（提供承诺函，加盖电子章，格式自拟）</w:t>
            </w:r>
          </w:p>
        </w:tc>
        <w:tc>
          <w:tcPr>
            <w:tcW w:w="882" w:type="dxa"/>
            <w:tcBorders>
              <w:tl2br w:val="nil"/>
              <w:tr2bl w:val="nil"/>
            </w:tcBorders>
            <w:shd w:val="clear" w:color="auto" w:fill="auto"/>
            <w:vAlign w:val="center"/>
          </w:tcPr>
          <w:p w14:paraId="6366C37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highlight w:val="none"/>
                <w:lang w:val="en-US" w:eastAsia="zh-CN" w:bidi="ar-SA"/>
                <w:woUserID w:val="2"/>
              </w:rPr>
            </w:pPr>
            <w:r>
              <w:rPr>
                <w:rFonts w:hint="eastAsia" w:ascii="宋体" w:hAnsi="宋体" w:eastAsia="宋体" w:cs="宋体"/>
                <w:i w:val="0"/>
                <w:iCs w:val="0"/>
                <w:color w:val="auto"/>
                <w:kern w:val="0"/>
                <w:sz w:val="21"/>
                <w:szCs w:val="21"/>
                <w:highlight w:val="none"/>
                <w:lang w:val="en-US" w:eastAsia="zh-CN" w:bidi="ar"/>
                <w:woUserID w:val="2"/>
              </w:rPr>
              <w:t>3</w:t>
            </w:r>
          </w:p>
        </w:tc>
        <w:tc>
          <w:tcPr>
            <w:tcW w:w="1085" w:type="dxa"/>
            <w:tcBorders>
              <w:tl2br w:val="nil"/>
              <w:tr2bl w:val="nil"/>
            </w:tcBorders>
            <w:shd w:val="clear" w:color="auto" w:fill="auto"/>
            <w:vAlign w:val="center"/>
          </w:tcPr>
          <w:p w14:paraId="2FD782E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highlight w:val="none"/>
                <w:lang w:val="en-US" w:eastAsia="zh-CN" w:bidi="ar-SA"/>
                <w:woUserID w:val="2"/>
              </w:rPr>
            </w:pPr>
            <w:r>
              <w:rPr>
                <w:rFonts w:hint="eastAsia" w:ascii="宋体" w:hAnsi="宋体" w:eastAsia="宋体" w:cs="宋体"/>
                <w:i w:val="0"/>
                <w:iCs w:val="0"/>
                <w:color w:val="auto"/>
                <w:kern w:val="0"/>
                <w:sz w:val="21"/>
                <w:szCs w:val="21"/>
                <w:highlight w:val="none"/>
                <w:lang w:val="en-US" w:eastAsia="zh-CN" w:bidi="ar"/>
                <w:woUserID w:val="2"/>
              </w:rPr>
              <w:t>客观分</w:t>
            </w:r>
          </w:p>
        </w:tc>
      </w:tr>
      <w:tr w14:paraId="229A3BB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755" w:type="dxa"/>
            <w:vMerge w:val="restart"/>
            <w:tcBorders>
              <w:tl2br w:val="nil"/>
              <w:tr2bl w:val="nil"/>
            </w:tcBorders>
            <w:vAlign w:val="center"/>
          </w:tcPr>
          <w:p w14:paraId="420AE774">
            <w:pPr>
              <w:keepNext w:val="0"/>
              <w:keepLines w:val="0"/>
              <w:pageBreakBefore w:val="0"/>
              <w:suppressLineNumbers w:val="0"/>
              <w:kinsoku/>
              <w:wordWrap/>
              <w:overflowPunct/>
              <w:topLinePunct w:val="0"/>
              <w:autoSpaceDE/>
              <w:autoSpaceDN/>
              <w:bidi w:val="0"/>
              <w:adjustRightInd w:val="0"/>
              <w:snapToGrid w:val="0"/>
              <w:spacing w:before="2" w:beforeAutospacing="0" w:after="2" w:afterAutospacing="0" w:line="360" w:lineRule="auto"/>
              <w:ind w:left="21" w:leftChars="10" w:right="57"/>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4</w:t>
            </w:r>
          </w:p>
        </w:tc>
        <w:tc>
          <w:tcPr>
            <w:tcW w:w="1251" w:type="dxa"/>
            <w:tcBorders>
              <w:tl2br w:val="nil"/>
              <w:tr2bl w:val="nil"/>
            </w:tcBorders>
            <w:shd w:val="clear" w:color="auto" w:fill="auto"/>
            <w:vAlign w:val="center"/>
          </w:tcPr>
          <w:p w14:paraId="1016DD0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highlight w:val="none"/>
                <w:lang w:val="en-US" w:eastAsia="zh-CN" w:bidi="ar"/>
                <w:woUserID w:val="2"/>
              </w:rPr>
            </w:pPr>
            <w:r>
              <w:rPr>
                <w:rFonts w:hint="eastAsia" w:ascii="宋体" w:hAnsi="宋体" w:eastAsia="宋体" w:cs="宋体"/>
                <w:b/>
                <w:bCs/>
                <w:color w:val="auto"/>
                <w:sz w:val="21"/>
                <w:szCs w:val="21"/>
                <w:highlight w:val="none"/>
                <w:lang w:eastAsia="zh-CN"/>
              </w:rPr>
              <w:t>演示</w:t>
            </w:r>
          </w:p>
        </w:tc>
        <w:tc>
          <w:tcPr>
            <w:tcW w:w="5385" w:type="dxa"/>
            <w:tcBorders>
              <w:tl2br w:val="nil"/>
              <w:tr2bl w:val="nil"/>
            </w:tcBorders>
            <w:shd w:val="clear" w:color="auto" w:fill="auto"/>
            <w:vAlign w:val="center"/>
          </w:tcPr>
          <w:p w14:paraId="55A51600">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0"/>
                <w:sz w:val="21"/>
                <w:szCs w:val="21"/>
                <w:highlight w:val="none"/>
                <w:lang w:val="en-US" w:eastAsia="zh-CN" w:bidi="ar"/>
                <w:woUserID w:val="2"/>
              </w:rPr>
            </w:pPr>
            <w:r>
              <w:rPr>
                <w:rFonts w:hint="eastAsia" w:ascii="宋体" w:hAnsi="宋体" w:eastAsia="宋体" w:cs="宋体"/>
                <w:b/>
                <w:bCs/>
                <w:color w:val="auto"/>
                <w:kern w:val="0"/>
                <w:sz w:val="21"/>
                <w:szCs w:val="21"/>
                <w:highlight w:val="none"/>
                <w:lang w:bidi="ar"/>
              </w:rPr>
              <w:t>根据采购文件“第三部分 采购需求 ”中的演示要求进行演示：所有演示均要求为可运行的软件系统</w:t>
            </w:r>
            <w:r>
              <w:rPr>
                <w:rFonts w:hint="eastAsia" w:ascii="宋体" w:hAnsi="宋体" w:cs="宋体"/>
                <w:b/>
                <w:bCs/>
                <w:color w:val="auto"/>
                <w:kern w:val="0"/>
                <w:sz w:val="21"/>
                <w:szCs w:val="21"/>
                <w:highlight w:val="none"/>
                <w:lang w:val="en-US" w:eastAsia="zh-CN" w:bidi="ar"/>
              </w:rPr>
              <w:t>或D</w:t>
            </w:r>
            <w:r>
              <w:rPr>
                <w:rFonts w:hint="default" w:ascii="宋体" w:hAnsi="宋体" w:cs="宋体"/>
                <w:b/>
                <w:bCs/>
                <w:color w:val="auto"/>
                <w:kern w:val="0"/>
                <w:sz w:val="21"/>
                <w:szCs w:val="21"/>
                <w:highlight w:val="none"/>
                <w:lang w:val="en-US" w:eastAsia="zh-CN" w:bidi="ar"/>
              </w:rPr>
              <w:t>emo</w:t>
            </w:r>
            <w:r>
              <w:rPr>
                <w:rFonts w:hint="eastAsia" w:ascii="宋体" w:hAnsi="宋体" w:cs="宋体"/>
                <w:b/>
                <w:bCs/>
                <w:color w:val="auto"/>
                <w:kern w:val="0"/>
                <w:sz w:val="21"/>
                <w:szCs w:val="21"/>
                <w:highlight w:val="none"/>
                <w:lang w:val="en-US" w:eastAsia="zh-CN" w:bidi="ar"/>
              </w:rPr>
              <w:t>演示</w:t>
            </w:r>
            <w:r>
              <w:rPr>
                <w:rFonts w:hint="eastAsia" w:ascii="宋体" w:hAnsi="宋体" w:eastAsia="宋体" w:cs="宋体"/>
                <w:b/>
                <w:bCs/>
                <w:color w:val="auto"/>
                <w:kern w:val="0"/>
                <w:sz w:val="21"/>
                <w:szCs w:val="21"/>
                <w:highlight w:val="none"/>
                <w:lang w:bidi="ar"/>
              </w:rPr>
              <w:t>，如果采用非可运行的软件系统（如PPT、图片等形式）演示的或全部没有演示</w:t>
            </w:r>
            <w:r>
              <w:rPr>
                <w:rFonts w:hint="eastAsia" w:ascii="宋体" w:hAnsi="宋体" w:eastAsia="宋体" w:cs="宋体"/>
                <w:b/>
                <w:bCs/>
                <w:color w:val="auto"/>
                <w:kern w:val="0"/>
                <w:sz w:val="21"/>
                <w:szCs w:val="21"/>
                <w:highlight w:val="none"/>
                <w:lang w:eastAsia="zh-CN" w:bidi="ar"/>
              </w:rPr>
              <w:t>或演示内容与本项目无关的均不得分</w:t>
            </w:r>
            <w:r>
              <w:rPr>
                <w:rFonts w:hint="eastAsia" w:ascii="宋体" w:hAnsi="宋体" w:eastAsia="宋体" w:cs="宋体"/>
                <w:b/>
                <w:bCs/>
                <w:color w:val="auto"/>
                <w:kern w:val="0"/>
                <w:sz w:val="21"/>
                <w:szCs w:val="21"/>
                <w:highlight w:val="none"/>
                <w:lang w:bidi="ar"/>
              </w:rPr>
              <w:t>。演示时间不超过</w:t>
            </w:r>
            <w:r>
              <w:rPr>
                <w:rFonts w:hint="eastAsia" w:ascii="宋体" w:hAnsi="宋体" w:eastAsia="宋体" w:cs="宋体"/>
                <w:b/>
                <w:bCs/>
                <w:color w:val="auto"/>
                <w:kern w:val="0"/>
                <w:sz w:val="21"/>
                <w:szCs w:val="21"/>
                <w:highlight w:val="none"/>
                <w:lang w:val="en-US" w:eastAsia="zh-CN" w:bidi="ar"/>
              </w:rPr>
              <w:t>1</w:t>
            </w:r>
            <w:r>
              <w:rPr>
                <w:rFonts w:hint="default" w:ascii="宋体" w:hAnsi="宋体" w:cs="宋体"/>
                <w:b/>
                <w:bCs/>
                <w:color w:val="auto"/>
                <w:kern w:val="0"/>
                <w:sz w:val="21"/>
                <w:szCs w:val="21"/>
                <w:highlight w:val="none"/>
                <w:lang w:eastAsia="zh-CN" w:bidi="ar"/>
              </w:rPr>
              <w:t>5</w:t>
            </w:r>
            <w:r>
              <w:rPr>
                <w:rFonts w:hint="eastAsia" w:ascii="宋体" w:hAnsi="宋体" w:eastAsia="宋体" w:cs="宋体"/>
                <w:b/>
                <w:bCs/>
                <w:color w:val="auto"/>
                <w:kern w:val="0"/>
                <w:sz w:val="21"/>
                <w:szCs w:val="21"/>
                <w:highlight w:val="none"/>
                <w:lang w:bidi="ar"/>
              </w:rPr>
              <w:t>分钟。演示次序以投标文件解密时间先后次序为准。</w:t>
            </w:r>
          </w:p>
        </w:tc>
        <w:tc>
          <w:tcPr>
            <w:tcW w:w="882" w:type="dxa"/>
            <w:tcBorders>
              <w:tl2br w:val="nil"/>
              <w:tr2bl w:val="nil"/>
            </w:tcBorders>
            <w:shd w:val="clear" w:color="auto" w:fill="auto"/>
            <w:vAlign w:val="center"/>
          </w:tcPr>
          <w:p w14:paraId="709810C6">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highlight w:val="none"/>
                <w:lang w:val="en-US" w:eastAsia="zh-CN" w:bidi="ar"/>
                <w:woUserID w:val="2"/>
              </w:rPr>
            </w:pPr>
            <w:r>
              <w:rPr>
                <w:rFonts w:hint="eastAsia" w:ascii="宋体" w:hAnsi="宋体" w:cs="宋体"/>
                <w:i w:val="0"/>
                <w:iCs w:val="0"/>
                <w:color w:val="auto"/>
                <w:kern w:val="0"/>
                <w:sz w:val="21"/>
                <w:szCs w:val="21"/>
                <w:highlight w:val="none"/>
                <w:lang w:val="en-US" w:eastAsia="zh-CN" w:bidi="ar"/>
                <w:woUserID w:val="2"/>
              </w:rPr>
              <w:t>/</w:t>
            </w:r>
          </w:p>
        </w:tc>
        <w:tc>
          <w:tcPr>
            <w:tcW w:w="1085" w:type="dxa"/>
            <w:tcBorders>
              <w:tl2br w:val="nil"/>
              <w:tr2bl w:val="nil"/>
            </w:tcBorders>
            <w:shd w:val="clear" w:color="auto" w:fill="auto"/>
            <w:vAlign w:val="center"/>
          </w:tcPr>
          <w:p w14:paraId="5C724E84">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highlight w:val="none"/>
                <w:lang w:val="en-US" w:eastAsia="zh-CN" w:bidi="ar"/>
                <w:woUserID w:val="2"/>
              </w:rPr>
            </w:pPr>
            <w:r>
              <w:rPr>
                <w:rFonts w:hint="eastAsia" w:ascii="宋体" w:hAnsi="宋体" w:cs="宋体"/>
                <w:i w:val="0"/>
                <w:iCs w:val="0"/>
                <w:color w:val="auto"/>
                <w:kern w:val="0"/>
                <w:sz w:val="21"/>
                <w:szCs w:val="21"/>
                <w:highlight w:val="none"/>
                <w:lang w:val="en-US" w:eastAsia="zh-CN" w:bidi="ar"/>
                <w:woUserID w:val="2"/>
              </w:rPr>
              <w:t>/</w:t>
            </w:r>
          </w:p>
        </w:tc>
      </w:tr>
      <w:tr w14:paraId="2BC18FC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755" w:type="dxa"/>
            <w:vMerge w:val="continue"/>
            <w:tcBorders>
              <w:tl2br w:val="nil"/>
              <w:tr2bl w:val="nil"/>
            </w:tcBorders>
            <w:vAlign w:val="center"/>
          </w:tcPr>
          <w:p w14:paraId="0DAC8310">
            <w:pPr>
              <w:keepNext w:val="0"/>
              <w:keepLines w:val="0"/>
              <w:pageBreakBefore w:val="0"/>
              <w:suppressLineNumbers w:val="0"/>
              <w:kinsoku/>
              <w:wordWrap/>
              <w:overflowPunct/>
              <w:topLinePunct w:val="0"/>
              <w:autoSpaceDE/>
              <w:autoSpaceDN/>
              <w:bidi w:val="0"/>
              <w:adjustRightInd w:val="0"/>
              <w:snapToGrid w:val="0"/>
              <w:spacing w:before="2" w:beforeAutospacing="0" w:after="2" w:afterAutospacing="0" w:line="360" w:lineRule="auto"/>
              <w:ind w:left="21" w:leftChars="10" w:right="57"/>
              <w:jc w:val="center"/>
              <w:textAlignment w:val="auto"/>
              <w:rPr>
                <w:rFonts w:hint="eastAsia" w:ascii="宋体" w:hAnsi="宋体" w:eastAsia="宋体" w:cs="宋体"/>
                <w:color w:val="auto"/>
                <w:sz w:val="21"/>
                <w:szCs w:val="21"/>
                <w:highlight w:val="none"/>
                <w:lang w:val="en-US" w:eastAsia="zh-CN"/>
              </w:rPr>
            </w:pPr>
          </w:p>
        </w:tc>
        <w:tc>
          <w:tcPr>
            <w:tcW w:w="1251" w:type="dxa"/>
            <w:vMerge w:val="restart"/>
            <w:tcBorders>
              <w:tl2br w:val="nil"/>
              <w:tr2bl w:val="nil"/>
            </w:tcBorders>
            <w:shd w:val="clear" w:color="auto" w:fill="auto"/>
            <w:vAlign w:val="center"/>
          </w:tcPr>
          <w:p w14:paraId="74B4518A">
            <w:pPr>
              <w:pStyle w:val="516"/>
              <w:keepNext w:val="0"/>
              <w:keepLines w:val="0"/>
              <w:pageBreakBefore w:val="0"/>
              <w:suppressLineNumbers w:val="0"/>
              <w:kinsoku/>
              <w:overflowPunct/>
              <w:topLinePunct w:val="0"/>
              <w:bidi w:val="0"/>
              <w:adjustRightInd w:val="0"/>
              <w:snapToGrid w:val="0"/>
              <w:spacing w:before="0" w:beforeAutospacing="0" w:after="0" w:afterAutospacing="0" w:line="336" w:lineRule="auto"/>
              <w:ind w:left="0" w:right="0" w:firstLine="0" w:firstLineChars="0"/>
              <w:jc w:val="center"/>
              <w:rPr>
                <w:rFonts w:hint="eastAsia" w:ascii="宋体" w:hAnsi="宋体" w:eastAsia="宋体" w:cs="宋体"/>
                <w:i w:val="0"/>
                <w:iCs w:val="0"/>
                <w:caps w:val="0"/>
                <w:color w:val="auto"/>
                <w:spacing w:val="-5"/>
                <w:sz w:val="21"/>
                <w:szCs w:val="21"/>
                <w:highlight w:val="none"/>
                <w:lang w:val="en-US" w:eastAsia="zh-CN"/>
              </w:rPr>
            </w:pPr>
            <w:r>
              <w:rPr>
                <w:rFonts w:hint="eastAsia" w:ascii="宋体" w:hAnsi="宋体" w:eastAsia="宋体" w:cs="宋体"/>
                <w:i w:val="0"/>
                <w:iCs w:val="0"/>
                <w:caps w:val="0"/>
                <w:color w:val="auto"/>
                <w:spacing w:val="-5"/>
                <w:sz w:val="21"/>
                <w:szCs w:val="21"/>
                <w:highlight w:val="none"/>
                <w:lang w:val="en-US" w:eastAsia="zh-CN"/>
              </w:rPr>
              <w:t>政策归集</w:t>
            </w:r>
          </w:p>
        </w:tc>
        <w:tc>
          <w:tcPr>
            <w:tcW w:w="5385" w:type="dxa"/>
            <w:tcBorders>
              <w:tl2br w:val="nil"/>
              <w:tr2bl w:val="nil"/>
            </w:tcBorders>
            <w:shd w:val="clear" w:color="auto" w:fill="auto"/>
            <w:vAlign w:val="center"/>
          </w:tcPr>
          <w:p w14:paraId="3E346A60">
            <w:pPr>
              <w:keepNext w:val="0"/>
              <w:keepLines w:val="0"/>
              <w:widowControl/>
              <w:suppressLineNumbers w:val="0"/>
              <w:spacing w:before="0" w:beforeAutospacing="0" w:after="0" w:afterAutospacing="0"/>
              <w:ind w:left="0" w:leftChars="0" w:right="0" w:rightChars="0" w:firstLine="210" w:firstLineChars="100"/>
              <w:jc w:val="both"/>
              <w:textAlignment w:val="center"/>
              <w:rPr>
                <w:rFonts w:hint="eastAsia" w:ascii="宋体" w:hAnsi="宋体" w:eastAsia="宋体" w:cs="宋体"/>
                <w:i w:val="0"/>
                <w:iCs w:val="0"/>
                <w:color w:val="auto"/>
                <w:kern w:val="2"/>
                <w:sz w:val="21"/>
                <w:szCs w:val="21"/>
                <w:highlight w:val="none"/>
                <w:lang w:val="en-US" w:eastAsia="zh-CN" w:bidi="ar-SA"/>
                <w:woUserID w:val="2"/>
              </w:rPr>
            </w:pPr>
            <w:r>
              <w:rPr>
                <w:rFonts w:hint="eastAsia" w:ascii="宋体" w:hAnsi="宋体" w:eastAsia="宋体" w:cs="宋体"/>
                <w:i w:val="0"/>
                <w:iCs w:val="0"/>
                <w:color w:val="auto"/>
                <w:kern w:val="0"/>
                <w:sz w:val="21"/>
                <w:szCs w:val="21"/>
                <w:highlight w:val="none"/>
                <w:lang w:val="en-US" w:eastAsia="zh-CN" w:bidi="ar"/>
                <w:woUserID w:val="1"/>
              </w:rPr>
              <w:t>1.政策归集中心可对本部门存量、新增政策进行列表展示、文件上传导入、政策发布，同时支持政策编辑更新与移除</w:t>
            </w:r>
            <w:r>
              <w:rPr>
                <w:rFonts w:hint="eastAsia" w:ascii="宋体" w:hAnsi="宋体" w:cs="宋体"/>
                <w:i w:val="0"/>
                <w:iCs w:val="0"/>
                <w:color w:val="auto"/>
                <w:kern w:val="0"/>
                <w:sz w:val="21"/>
                <w:szCs w:val="21"/>
                <w:highlight w:val="none"/>
                <w:lang w:val="en-US" w:eastAsia="zh-CN" w:bidi="ar"/>
                <w:woUserID w:val="1"/>
              </w:rPr>
              <w:t>。</w:t>
            </w:r>
            <w:r>
              <w:rPr>
                <w:rFonts w:hint="eastAsia" w:ascii="宋体" w:hAnsi="宋体" w:eastAsia="宋体" w:cs="宋体"/>
                <w:i w:val="0"/>
                <w:iCs w:val="0"/>
                <w:color w:val="auto"/>
                <w:kern w:val="0"/>
                <w:sz w:val="21"/>
                <w:szCs w:val="21"/>
                <w:highlight w:val="none"/>
                <w:lang w:val="en-US" w:eastAsia="zh-CN" w:bidi="ar"/>
                <w:woUserID w:val="1"/>
              </w:rPr>
              <w:br w:type="textWrapping"/>
            </w:r>
            <w:r>
              <w:rPr>
                <w:rFonts w:hint="eastAsia" w:ascii="宋体" w:hAnsi="宋体" w:eastAsia="宋体" w:cs="宋体"/>
                <w:i w:val="0"/>
                <w:iCs w:val="0"/>
                <w:color w:val="auto"/>
                <w:kern w:val="0"/>
                <w:sz w:val="21"/>
                <w:szCs w:val="21"/>
                <w:highlight w:val="none"/>
                <w:lang w:val="en-US" w:eastAsia="zh-CN" w:bidi="ar"/>
                <w:woUserID w:val="1"/>
              </w:rPr>
              <w:t>功能能实现的得1分，不能实现的不得分。</w:t>
            </w:r>
          </w:p>
        </w:tc>
        <w:tc>
          <w:tcPr>
            <w:tcW w:w="882" w:type="dxa"/>
            <w:tcBorders>
              <w:tl2br w:val="nil"/>
              <w:tr2bl w:val="nil"/>
            </w:tcBorders>
            <w:shd w:val="clear" w:color="auto" w:fill="auto"/>
            <w:vAlign w:val="center"/>
          </w:tcPr>
          <w:p w14:paraId="0E23181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lang w:val="en-US" w:eastAsia="zh-CN" w:bidi="ar"/>
              </w:rPr>
              <w:t>1</w:t>
            </w:r>
          </w:p>
        </w:tc>
        <w:tc>
          <w:tcPr>
            <w:tcW w:w="1085" w:type="dxa"/>
            <w:vMerge w:val="restart"/>
            <w:tcBorders>
              <w:tl2br w:val="nil"/>
              <w:tr2bl w:val="nil"/>
            </w:tcBorders>
            <w:shd w:val="clear" w:color="auto" w:fill="auto"/>
            <w:vAlign w:val="center"/>
          </w:tcPr>
          <w:p w14:paraId="125370A8">
            <w:pPr>
              <w:pStyle w:val="516"/>
              <w:keepNext w:val="0"/>
              <w:keepLines w:val="0"/>
              <w:pageBreakBefore w:val="0"/>
              <w:suppressLineNumbers w:val="0"/>
              <w:kinsoku/>
              <w:overflowPunct/>
              <w:topLinePunct w:val="0"/>
              <w:bidi w:val="0"/>
              <w:adjustRightInd w:val="0"/>
              <w:snapToGrid w:val="0"/>
              <w:spacing w:before="0" w:beforeAutospacing="0" w:after="0" w:afterAutospacing="0" w:line="336"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客观分</w:t>
            </w:r>
          </w:p>
        </w:tc>
      </w:tr>
      <w:tr w14:paraId="44619B4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755" w:type="dxa"/>
            <w:vMerge w:val="continue"/>
            <w:tcBorders>
              <w:tl2br w:val="nil"/>
              <w:tr2bl w:val="nil"/>
            </w:tcBorders>
            <w:vAlign w:val="center"/>
          </w:tcPr>
          <w:p w14:paraId="7E253E74">
            <w:pPr>
              <w:keepNext w:val="0"/>
              <w:keepLines w:val="0"/>
              <w:pageBreakBefore w:val="0"/>
              <w:suppressLineNumbers w:val="0"/>
              <w:kinsoku/>
              <w:wordWrap/>
              <w:overflowPunct/>
              <w:topLinePunct w:val="0"/>
              <w:autoSpaceDE/>
              <w:autoSpaceDN/>
              <w:bidi w:val="0"/>
              <w:adjustRightInd w:val="0"/>
              <w:snapToGrid w:val="0"/>
              <w:spacing w:before="2" w:beforeAutospacing="0" w:after="2" w:afterAutospacing="0" w:line="360" w:lineRule="auto"/>
              <w:ind w:left="21" w:leftChars="10" w:right="57"/>
              <w:jc w:val="center"/>
              <w:textAlignment w:val="auto"/>
              <w:rPr>
                <w:rFonts w:hint="eastAsia" w:ascii="宋体" w:hAnsi="宋体" w:eastAsia="宋体" w:cs="宋体"/>
                <w:color w:val="auto"/>
                <w:sz w:val="21"/>
                <w:szCs w:val="21"/>
                <w:highlight w:val="none"/>
                <w:lang w:val="en-US" w:eastAsia="zh-CN"/>
              </w:rPr>
            </w:pPr>
          </w:p>
        </w:tc>
        <w:tc>
          <w:tcPr>
            <w:tcW w:w="1251" w:type="dxa"/>
            <w:vMerge w:val="continue"/>
            <w:tcBorders>
              <w:tl2br w:val="nil"/>
              <w:tr2bl w:val="nil"/>
            </w:tcBorders>
            <w:shd w:val="clear" w:color="auto" w:fill="auto"/>
            <w:vAlign w:val="center"/>
          </w:tcPr>
          <w:p w14:paraId="38DB0EDC">
            <w:pPr>
              <w:pStyle w:val="516"/>
              <w:keepNext w:val="0"/>
              <w:keepLines w:val="0"/>
              <w:pageBreakBefore w:val="0"/>
              <w:suppressLineNumbers w:val="0"/>
              <w:kinsoku/>
              <w:overflowPunct/>
              <w:topLinePunct w:val="0"/>
              <w:bidi w:val="0"/>
              <w:adjustRightInd w:val="0"/>
              <w:snapToGrid w:val="0"/>
              <w:spacing w:before="0" w:beforeAutospacing="0" w:after="0" w:afterAutospacing="0" w:line="336" w:lineRule="auto"/>
              <w:ind w:left="0" w:right="0" w:firstLine="0" w:firstLineChars="0"/>
              <w:rPr>
                <w:rFonts w:hint="eastAsia" w:ascii="宋体" w:hAnsi="宋体" w:eastAsia="宋体" w:cs="宋体"/>
                <w:i w:val="0"/>
                <w:iCs w:val="0"/>
                <w:caps w:val="0"/>
                <w:color w:val="auto"/>
                <w:spacing w:val="-5"/>
                <w:sz w:val="21"/>
                <w:szCs w:val="21"/>
                <w:highlight w:val="none"/>
              </w:rPr>
            </w:pPr>
          </w:p>
        </w:tc>
        <w:tc>
          <w:tcPr>
            <w:tcW w:w="5385" w:type="dxa"/>
            <w:tcBorders>
              <w:tl2br w:val="nil"/>
              <w:tr2bl w:val="nil"/>
            </w:tcBorders>
            <w:shd w:val="clear" w:color="auto" w:fill="auto"/>
            <w:vAlign w:val="center"/>
          </w:tcPr>
          <w:p w14:paraId="347B0C61">
            <w:pPr>
              <w:keepNext w:val="0"/>
              <w:keepLines w:val="0"/>
              <w:widowControl/>
              <w:suppressLineNumbers w:val="0"/>
              <w:spacing w:before="0" w:beforeAutospacing="0" w:after="0" w:afterAutospacing="0"/>
              <w:ind w:left="0" w:leftChars="0" w:right="0" w:rightChars="0" w:firstLine="210" w:firstLineChars="100"/>
              <w:jc w:val="both"/>
              <w:textAlignment w:val="center"/>
              <w:rPr>
                <w:rFonts w:hint="eastAsia" w:ascii="宋体" w:hAnsi="宋体" w:eastAsia="宋体" w:cs="宋体"/>
                <w:i w:val="0"/>
                <w:iCs w:val="0"/>
                <w:color w:val="auto"/>
                <w:kern w:val="2"/>
                <w:sz w:val="21"/>
                <w:szCs w:val="21"/>
                <w:highlight w:val="none"/>
                <w:lang w:val="en-US" w:eastAsia="zh-CN" w:bidi="ar-SA"/>
                <w:woUserID w:val="2"/>
              </w:rPr>
            </w:pPr>
            <w:r>
              <w:rPr>
                <w:rFonts w:hint="eastAsia" w:ascii="宋体" w:hAnsi="宋体" w:eastAsia="宋体" w:cs="宋体"/>
                <w:i w:val="0"/>
                <w:iCs w:val="0"/>
                <w:color w:val="auto"/>
                <w:kern w:val="0"/>
                <w:sz w:val="21"/>
                <w:szCs w:val="21"/>
                <w:highlight w:val="none"/>
                <w:lang w:val="en-US" w:eastAsia="zh-CN" w:bidi="ar"/>
                <w:woUserID w:val="2"/>
              </w:rPr>
              <w:t>2.政策原文库支持按多维度标签或名称检索筛选政策，以列表呈现政策基本信息，并可查看含核心要素的政策详情及在线预览原文。</w:t>
            </w:r>
            <w:r>
              <w:rPr>
                <w:rFonts w:hint="eastAsia" w:ascii="宋体" w:hAnsi="宋体" w:eastAsia="宋体" w:cs="宋体"/>
                <w:i w:val="0"/>
                <w:iCs w:val="0"/>
                <w:color w:val="auto"/>
                <w:kern w:val="0"/>
                <w:sz w:val="21"/>
                <w:szCs w:val="21"/>
                <w:highlight w:val="none"/>
                <w:lang w:val="en-US" w:eastAsia="zh-CN" w:bidi="ar"/>
                <w:woUserID w:val="2"/>
              </w:rPr>
              <w:br w:type="textWrapping"/>
            </w:r>
            <w:r>
              <w:rPr>
                <w:rFonts w:hint="eastAsia" w:ascii="宋体" w:hAnsi="宋体" w:eastAsia="宋体" w:cs="宋体"/>
                <w:i w:val="0"/>
                <w:iCs w:val="0"/>
                <w:color w:val="auto"/>
                <w:kern w:val="0"/>
                <w:sz w:val="21"/>
                <w:szCs w:val="21"/>
                <w:highlight w:val="none"/>
                <w:lang w:val="en-US" w:eastAsia="zh-CN" w:bidi="ar"/>
                <w:woUserID w:val="2"/>
              </w:rPr>
              <w:t>功能能实现的得1分，不能实现的不得分。</w:t>
            </w:r>
          </w:p>
        </w:tc>
        <w:tc>
          <w:tcPr>
            <w:tcW w:w="882" w:type="dxa"/>
            <w:tcBorders>
              <w:tl2br w:val="nil"/>
              <w:tr2bl w:val="nil"/>
            </w:tcBorders>
            <w:shd w:val="clear" w:color="auto" w:fill="auto"/>
            <w:vAlign w:val="center"/>
          </w:tcPr>
          <w:p w14:paraId="4E9E1E5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lang w:val="en-US" w:eastAsia="zh-CN" w:bidi="ar"/>
              </w:rPr>
              <w:t>1</w:t>
            </w:r>
          </w:p>
        </w:tc>
        <w:tc>
          <w:tcPr>
            <w:tcW w:w="1085" w:type="dxa"/>
            <w:vMerge w:val="continue"/>
            <w:tcBorders>
              <w:tl2br w:val="nil"/>
              <w:tr2bl w:val="nil"/>
            </w:tcBorders>
            <w:shd w:val="clear" w:color="auto" w:fill="auto"/>
            <w:vAlign w:val="center"/>
          </w:tcPr>
          <w:p w14:paraId="07D436B4">
            <w:pPr>
              <w:pStyle w:val="516"/>
              <w:keepNext w:val="0"/>
              <w:keepLines w:val="0"/>
              <w:pageBreakBefore w:val="0"/>
              <w:suppressLineNumbers w:val="0"/>
              <w:kinsoku/>
              <w:overflowPunct/>
              <w:topLinePunct w:val="0"/>
              <w:bidi w:val="0"/>
              <w:adjustRightInd w:val="0"/>
              <w:snapToGrid w:val="0"/>
              <w:spacing w:before="0" w:beforeAutospacing="0" w:after="0" w:afterAutospacing="0" w:line="336" w:lineRule="auto"/>
              <w:ind w:left="0" w:leftChars="0" w:right="0" w:firstLine="0" w:firstLineChars="0"/>
              <w:jc w:val="center"/>
              <w:rPr>
                <w:rFonts w:hint="eastAsia" w:ascii="宋体" w:hAnsi="宋体" w:eastAsia="宋体" w:cs="宋体"/>
                <w:color w:val="auto"/>
                <w:sz w:val="21"/>
                <w:szCs w:val="21"/>
                <w:highlight w:val="none"/>
                <w:lang w:val="en-US" w:eastAsia="zh-CN"/>
              </w:rPr>
            </w:pPr>
          </w:p>
        </w:tc>
      </w:tr>
      <w:tr w14:paraId="3942E9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755" w:type="dxa"/>
            <w:vMerge w:val="continue"/>
            <w:tcBorders>
              <w:tl2br w:val="nil"/>
              <w:tr2bl w:val="nil"/>
            </w:tcBorders>
            <w:vAlign w:val="center"/>
          </w:tcPr>
          <w:p w14:paraId="7CD175A6">
            <w:pPr>
              <w:keepNext w:val="0"/>
              <w:keepLines w:val="0"/>
              <w:pageBreakBefore w:val="0"/>
              <w:suppressLineNumbers w:val="0"/>
              <w:kinsoku/>
              <w:wordWrap/>
              <w:overflowPunct/>
              <w:topLinePunct w:val="0"/>
              <w:autoSpaceDE/>
              <w:autoSpaceDN/>
              <w:bidi w:val="0"/>
              <w:adjustRightInd w:val="0"/>
              <w:snapToGrid w:val="0"/>
              <w:spacing w:before="2" w:beforeAutospacing="0" w:after="2" w:afterAutospacing="0" w:line="360" w:lineRule="auto"/>
              <w:ind w:left="21" w:leftChars="0" w:right="57" w:firstLine="0" w:firstLineChars="0"/>
              <w:jc w:val="center"/>
              <w:textAlignment w:val="auto"/>
              <w:rPr>
                <w:rFonts w:hint="eastAsia" w:ascii="宋体" w:hAnsi="宋体" w:eastAsia="宋体" w:cs="宋体"/>
                <w:color w:val="auto"/>
                <w:sz w:val="21"/>
                <w:szCs w:val="21"/>
                <w:highlight w:val="none"/>
                <w:lang w:val="en-US" w:eastAsia="zh-CN"/>
              </w:rPr>
            </w:pPr>
          </w:p>
        </w:tc>
        <w:tc>
          <w:tcPr>
            <w:tcW w:w="1251" w:type="dxa"/>
            <w:vMerge w:val="restart"/>
            <w:tcBorders>
              <w:tl2br w:val="nil"/>
              <w:tr2bl w:val="nil"/>
            </w:tcBorders>
            <w:shd w:val="clear" w:color="auto" w:fill="auto"/>
            <w:vAlign w:val="center"/>
          </w:tcPr>
          <w:p w14:paraId="518EC524">
            <w:pPr>
              <w:pStyle w:val="516"/>
              <w:keepNext w:val="0"/>
              <w:keepLines w:val="0"/>
              <w:pageBreakBefore w:val="0"/>
              <w:suppressLineNumbers w:val="0"/>
              <w:kinsoku/>
              <w:overflowPunct/>
              <w:topLinePunct w:val="0"/>
              <w:bidi w:val="0"/>
              <w:adjustRightInd w:val="0"/>
              <w:snapToGrid w:val="0"/>
              <w:spacing w:before="0" w:beforeAutospacing="0" w:after="0" w:afterAutospacing="0" w:line="336" w:lineRule="auto"/>
              <w:ind w:left="0" w:leftChars="0" w:right="0" w:firstLine="0" w:firstLineChars="0"/>
              <w:jc w:val="center"/>
              <w:rPr>
                <w:rFonts w:hint="eastAsia" w:ascii="宋体" w:hAnsi="宋体" w:eastAsia="宋体" w:cs="宋体"/>
                <w:i w:val="0"/>
                <w:iCs w:val="0"/>
                <w:caps w:val="0"/>
                <w:color w:val="auto"/>
                <w:spacing w:val="-5"/>
                <w:sz w:val="21"/>
                <w:szCs w:val="21"/>
                <w:highlight w:val="none"/>
                <w:lang w:val="en-US" w:eastAsia="zh-CN"/>
              </w:rPr>
            </w:pPr>
            <w:r>
              <w:rPr>
                <w:rFonts w:hint="eastAsia" w:ascii="宋体" w:hAnsi="宋体" w:eastAsia="宋体" w:cs="宋体"/>
                <w:i w:val="0"/>
                <w:iCs w:val="0"/>
                <w:caps w:val="0"/>
                <w:color w:val="auto"/>
                <w:spacing w:val="-5"/>
                <w:sz w:val="21"/>
                <w:szCs w:val="21"/>
                <w:highlight w:val="none"/>
                <w:lang w:val="en-US" w:eastAsia="zh-CN"/>
              </w:rPr>
              <w:t>政策解读</w:t>
            </w:r>
          </w:p>
        </w:tc>
        <w:tc>
          <w:tcPr>
            <w:tcW w:w="5385" w:type="dxa"/>
            <w:tcBorders>
              <w:tl2br w:val="nil"/>
              <w:tr2bl w:val="nil"/>
            </w:tcBorders>
            <w:shd w:val="clear" w:color="auto" w:fill="auto"/>
            <w:vAlign w:val="center"/>
          </w:tcPr>
          <w:p w14:paraId="012DF36F">
            <w:pPr>
              <w:keepNext w:val="0"/>
              <w:keepLines w:val="0"/>
              <w:widowControl/>
              <w:suppressLineNumbers w:val="0"/>
              <w:spacing w:before="0" w:beforeAutospacing="0" w:after="0" w:afterAutospacing="0"/>
              <w:ind w:left="0" w:leftChars="0" w:right="0" w:rightChars="0" w:firstLine="210" w:firstLineChars="100"/>
              <w:jc w:val="both"/>
              <w:textAlignment w:val="center"/>
              <w:rPr>
                <w:rFonts w:hint="eastAsia" w:ascii="宋体" w:hAnsi="宋体" w:eastAsia="宋体" w:cs="宋体"/>
                <w:i w:val="0"/>
                <w:iCs w:val="0"/>
                <w:color w:val="auto"/>
                <w:kern w:val="2"/>
                <w:sz w:val="21"/>
                <w:szCs w:val="21"/>
                <w:highlight w:val="none"/>
                <w:lang w:val="en-US" w:eastAsia="zh-CN" w:bidi="ar-SA"/>
                <w:woUserID w:val="2"/>
              </w:rPr>
            </w:pPr>
            <w:r>
              <w:rPr>
                <w:rFonts w:hint="eastAsia" w:ascii="宋体" w:hAnsi="宋体" w:eastAsia="宋体" w:cs="宋体"/>
                <w:i w:val="0"/>
                <w:iCs w:val="0"/>
                <w:color w:val="auto"/>
                <w:kern w:val="0"/>
                <w:sz w:val="21"/>
                <w:szCs w:val="21"/>
                <w:highlight w:val="none"/>
                <w:lang w:val="en-US" w:eastAsia="zh-CN" w:bidi="ar"/>
                <w:woUserID w:val="2"/>
              </w:rPr>
              <w:t>政策解读</w:t>
            </w:r>
            <w:r>
              <w:rPr>
                <w:rFonts w:hint="eastAsia" w:ascii="宋体" w:hAnsi="宋体" w:cs="宋体"/>
                <w:i w:val="0"/>
                <w:iCs w:val="0"/>
                <w:color w:val="auto"/>
                <w:kern w:val="0"/>
                <w:sz w:val="21"/>
                <w:szCs w:val="21"/>
                <w:highlight w:val="none"/>
                <w:lang w:val="en-US" w:eastAsia="zh-CN" w:bidi="ar"/>
                <w:woUserID w:val="2"/>
              </w:rPr>
              <w:t>中心：</w:t>
            </w:r>
            <w:r>
              <w:rPr>
                <w:rFonts w:hint="eastAsia" w:ascii="宋体" w:hAnsi="宋体" w:eastAsia="宋体" w:cs="宋体"/>
                <w:i w:val="0"/>
                <w:iCs w:val="0"/>
                <w:color w:val="auto"/>
                <w:kern w:val="0"/>
                <w:sz w:val="21"/>
                <w:szCs w:val="21"/>
                <w:highlight w:val="none"/>
                <w:lang w:val="en-US" w:eastAsia="zh-CN" w:bidi="ar"/>
                <w:woUserID w:val="2"/>
              </w:rPr>
              <w:br w:type="textWrapping"/>
            </w:r>
            <w:r>
              <w:rPr>
                <w:rFonts w:hint="eastAsia" w:ascii="宋体" w:hAnsi="宋体" w:eastAsia="宋体" w:cs="宋体"/>
                <w:i w:val="0"/>
                <w:iCs w:val="0"/>
                <w:color w:val="auto"/>
                <w:kern w:val="0"/>
                <w:sz w:val="21"/>
                <w:szCs w:val="21"/>
                <w:highlight w:val="none"/>
                <w:lang w:val="en-US" w:eastAsia="zh-CN" w:bidi="ar"/>
                <w:woUserID w:val="2"/>
              </w:rPr>
              <w:t>1．AI政策解读</w:t>
            </w:r>
            <w:r>
              <w:rPr>
                <w:rFonts w:hint="eastAsia" w:ascii="宋体" w:hAnsi="宋体" w:eastAsia="宋体" w:cs="宋体"/>
                <w:i w:val="0"/>
                <w:iCs w:val="0"/>
                <w:color w:val="auto"/>
                <w:kern w:val="0"/>
                <w:sz w:val="21"/>
                <w:szCs w:val="21"/>
                <w:highlight w:val="none"/>
                <w:lang w:val="en-US" w:eastAsia="zh-CN" w:bidi="ar"/>
                <w:woUserID w:val="2"/>
              </w:rPr>
              <w:br w:type="textWrapping"/>
            </w:r>
            <w:r>
              <w:rPr>
                <w:rFonts w:hint="eastAsia" w:ascii="宋体" w:hAnsi="宋体" w:eastAsia="宋体" w:cs="宋体"/>
                <w:i w:val="0"/>
                <w:iCs w:val="0"/>
                <w:color w:val="auto"/>
                <w:kern w:val="0"/>
                <w:sz w:val="21"/>
                <w:szCs w:val="21"/>
                <w:highlight w:val="none"/>
                <w:lang w:val="en-US" w:eastAsia="zh-CN" w:bidi="ar"/>
                <w:woUserID w:val="2"/>
              </w:rPr>
              <w:t>通过 OCR 识别提取政策原文并规整格式。建立政策知识库，依托人工智能大模型技术，拆解政策关键标签，结合项目特征库经多轮推理、校验、人工修正生成标准化项目，同时对多格式获批名单进行解析、识别与映射，输出结构化名单信息。</w:t>
            </w:r>
            <w:r>
              <w:rPr>
                <w:rFonts w:hint="eastAsia" w:ascii="宋体" w:hAnsi="宋体" w:eastAsia="宋体" w:cs="宋体"/>
                <w:i w:val="0"/>
                <w:iCs w:val="0"/>
                <w:color w:val="auto"/>
                <w:kern w:val="0"/>
                <w:sz w:val="21"/>
                <w:szCs w:val="21"/>
                <w:highlight w:val="none"/>
                <w:lang w:val="en-US" w:eastAsia="zh-CN" w:bidi="ar"/>
                <w:woUserID w:val="2"/>
              </w:rPr>
              <w:br w:type="textWrapping"/>
            </w:r>
            <w:r>
              <w:rPr>
                <w:rFonts w:hint="eastAsia" w:ascii="宋体" w:hAnsi="宋体" w:eastAsia="宋体" w:cs="宋体"/>
                <w:i w:val="0"/>
                <w:iCs w:val="0"/>
                <w:color w:val="auto"/>
                <w:kern w:val="0"/>
                <w:sz w:val="21"/>
                <w:szCs w:val="21"/>
                <w:highlight w:val="none"/>
                <w:lang w:val="en-US" w:eastAsia="zh-CN" w:bidi="ar"/>
                <w:woUserID w:val="2"/>
              </w:rPr>
              <w:t>功能能实现的得1分，不能实现的不得分。</w:t>
            </w:r>
          </w:p>
        </w:tc>
        <w:tc>
          <w:tcPr>
            <w:tcW w:w="882" w:type="dxa"/>
            <w:tcBorders>
              <w:tl2br w:val="nil"/>
              <w:tr2bl w:val="nil"/>
            </w:tcBorders>
            <w:shd w:val="clear" w:color="auto" w:fill="auto"/>
            <w:vAlign w:val="center"/>
          </w:tcPr>
          <w:p w14:paraId="73E6680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lang w:val="en-US" w:eastAsia="zh-CN" w:bidi="ar"/>
              </w:rPr>
              <w:t>1</w:t>
            </w:r>
          </w:p>
        </w:tc>
        <w:tc>
          <w:tcPr>
            <w:tcW w:w="1085" w:type="dxa"/>
            <w:vMerge w:val="continue"/>
            <w:tcBorders>
              <w:tl2br w:val="nil"/>
              <w:tr2bl w:val="nil"/>
            </w:tcBorders>
            <w:shd w:val="clear" w:color="auto" w:fill="auto"/>
            <w:vAlign w:val="center"/>
          </w:tcPr>
          <w:p w14:paraId="7AFD31C3">
            <w:pPr>
              <w:pStyle w:val="516"/>
              <w:keepNext w:val="0"/>
              <w:keepLines w:val="0"/>
              <w:pageBreakBefore w:val="0"/>
              <w:suppressLineNumbers w:val="0"/>
              <w:kinsoku/>
              <w:overflowPunct/>
              <w:topLinePunct w:val="0"/>
              <w:bidi w:val="0"/>
              <w:adjustRightInd w:val="0"/>
              <w:snapToGrid w:val="0"/>
              <w:spacing w:before="0" w:beforeAutospacing="0" w:after="0" w:afterAutospacing="0" w:line="336" w:lineRule="auto"/>
              <w:ind w:left="0" w:leftChars="0" w:right="0" w:firstLine="0" w:firstLineChars="0"/>
              <w:jc w:val="center"/>
              <w:rPr>
                <w:rFonts w:hint="eastAsia" w:ascii="宋体" w:hAnsi="宋体" w:eastAsia="宋体" w:cs="宋体"/>
                <w:color w:val="auto"/>
                <w:sz w:val="21"/>
                <w:szCs w:val="21"/>
                <w:highlight w:val="none"/>
                <w:lang w:val="en-US" w:eastAsia="zh-CN"/>
              </w:rPr>
            </w:pPr>
          </w:p>
        </w:tc>
      </w:tr>
      <w:tr w14:paraId="54A485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755" w:type="dxa"/>
            <w:vMerge w:val="continue"/>
            <w:tcBorders>
              <w:tl2br w:val="nil"/>
              <w:tr2bl w:val="nil"/>
            </w:tcBorders>
            <w:vAlign w:val="center"/>
          </w:tcPr>
          <w:p w14:paraId="440BA5C8">
            <w:pPr>
              <w:keepNext w:val="0"/>
              <w:keepLines w:val="0"/>
              <w:pageBreakBefore w:val="0"/>
              <w:suppressLineNumbers w:val="0"/>
              <w:kinsoku/>
              <w:wordWrap/>
              <w:overflowPunct/>
              <w:topLinePunct w:val="0"/>
              <w:autoSpaceDE/>
              <w:autoSpaceDN/>
              <w:bidi w:val="0"/>
              <w:adjustRightInd w:val="0"/>
              <w:snapToGrid w:val="0"/>
              <w:spacing w:before="2" w:beforeAutospacing="0" w:after="2" w:afterAutospacing="0" w:line="360" w:lineRule="auto"/>
              <w:ind w:left="21" w:leftChars="0" w:right="57" w:firstLine="0" w:firstLineChars="0"/>
              <w:jc w:val="center"/>
              <w:textAlignment w:val="auto"/>
              <w:rPr>
                <w:rFonts w:hint="eastAsia" w:ascii="宋体" w:hAnsi="宋体" w:eastAsia="宋体" w:cs="宋体"/>
                <w:color w:val="auto"/>
                <w:sz w:val="21"/>
                <w:szCs w:val="21"/>
                <w:highlight w:val="none"/>
                <w:lang w:val="en-US" w:eastAsia="zh-CN"/>
              </w:rPr>
            </w:pPr>
          </w:p>
        </w:tc>
        <w:tc>
          <w:tcPr>
            <w:tcW w:w="1251" w:type="dxa"/>
            <w:vMerge w:val="continue"/>
            <w:tcBorders>
              <w:tl2br w:val="nil"/>
              <w:tr2bl w:val="nil"/>
            </w:tcBorders>
            <w:shd w:val="clear" w:color="auto" w:fill="auto"/>
            <w:vAlign w:val="center"/>
          </w:tcPr>
          <w:p w14:paraId="08DAA80A">
            <w:pPr>
              <w:pStyle w:val="516"/>
              <w:keepNext w:val="0"/>
              <w:keepLines w:val="0"/>
              <w:pageBreakBefore w:val="0"/>
              <w:suppressLineNumbers w:val="0"/>
              <w:kinsoku/>
              <w:overflowPunct/>
              <w:topLinePunct w:val="0"/>
              <w:bidi w:val="0"/>
              <w:adjustRightInd w:val="0"/>
              <w:snapToGrid w:val="0"/>
              <w:spacing w:before="0" w:beforeAutospacing="0" w:after="0" w:afterAutospacing="0" w:line="336" w:lineRule="auto"/>
              <w:ind w:left="0" w:leftChars="0" w:right="0" w:firstLine="0" w:firstLineChars="0"/>
              <w:rPr>
                <w:rFonts w:hint="eastAsia" w:ascii="宋体" w:hAnsi="宋体" w:eastAsia="宋体" w:cs="宋体"/>
                <w:i w:val="0"/>
                <w:iCs w:val="0"/>
                <w:caps w:val="0"/>
                <w:color w:val="auto"/>
                <w:spacing w:val="-5"/>
                <w:sz w:val="21"/>
                <w:szCs w:val="21"/>
                <w:highlight w:val="none"/>
              </w:rPr>
            </w:pPr>
          </w:p>
        </w:tc>
        <w:tc>
          <w:tcPr>
            <w:tcW w:w="5385" w:type="dxa"/>
            <w:tcBorders>
              <w:tl2br w:val="nil"/>
              <w:tr2bl w:val="nil"/>
            </w:tcBorders>
            <w:shd w:val="clear" w:color="auto" w:fill="auto"/>
            <w:vAlign w:val="center"/>
          </w:tcPr>
          <w:p w14:paraId="69A6FA9C">
            <w:pPr>
              <w:keepNext w:val="0"/>
              <w:keepLines w:val="0"/>
              <w:widowControl/>
              <w:suppressLineNumbers w:val="0"/>
              <w:spacing w:before="0" w:beforeAutospacing="0" w:after="0" w:afterAutospacing="0"/>
              <w:ind w:left="0" w:leftChars="0" w:right="0" w:rightChars="0" w:firstLine="210" w:firstLineChars="100"/>
              <w:jc w:val="both"/>
              <w:textAlignment w:val="center"/>
              <w:rPr>
                <w:rFonts w:hint="eastAsia" w:ascii="宋体" w:hAnsi="宋体" w:eastAsia="宋体" w:cs="宋体"/>
                <w:i w:val="0"/>
                <w:iCs w:val="0"/>
                <w:color w:val="auto"/>
                <w:kern w:val="2"/>
                <w:sz w:val="21"/>
                <w:szCs w:val="21"/>
                <w:highlight w:val="none"/>
                <w:lang w:val="en-US" w:eastAsia="zh-CN" w:bidi="ar-SA"/>
                <w:woUserID w:val="2"/>
              </w:rPr>
            </w:pPr>
            <w:r>
              <w:rPr>
                <w:rFonts w:hint="eastAsia" w:ascii="宋体" w:hAnsi="宋体" w:eastAsia="宋体" w:cs="宋体"/>
                <w:i w:val="0"/>
                <w:iCs w:val="0"/>
                <w:color w:val="auto"/>
                <w:kern w:val="0"/>
                <w:sz w:val="21"/>
                <w:szCs w:val="21"/>
                <w:highlight w:val="none"/>
                <w:lang w:val="en-US" w:eastAsia="zh-CN" w:bidi="ar"/>
                <w:woUserID w:val="2"/>
              </w:rPr>
              <w:t>2．审核入库</w:t>
            </w:r>
            <w:r>
              <w:rPr>
                <w:rFonts w:hint="eastAsia" w:ascii="宋体" w:hAnsi="宋体" w:eastAsia="宋体" w:cs="宋体"/>
                <w:i w:val="0"/>
                <w:iCs w:val="0"/>
                <w:color w:val="auto"/>
                <w:kern w:val="0"/>
                <w:sz w:val="21"/>
                <w:szCs w:val="21"/>
                <w:highlight w:val="none"/>
                <w:lang w:val="en-US" w:eastAsia="zh-CN" w:bidi="ar"/>
                <w:woUserID w:val="2"/>
              </w:rPr>
              <w:br w:type="textWrapping"/>
            </w:r>
            <w:r>
              <w:rPr>
                <w:rFonts w:hint="eastAsia" w:ascii="宋体" w:hAnsi="宋体" w:eastAsia="宋体" w:cs="宋体"/>
                <w:i w:val="0"/>
                <w:iCs w:val="0"/>
                <w:color w:val="auto"/>
                <w:kern w:val="0"/>
                <w:sz w:val="21"/>
                <w:szCs w:val="21"/>
                <w:highlight w:val="none"/>
                <w:lang w:val="en-US" w:eastAsia="zh-CN" w:bidi="ar"/>
                <w:woUserID w:val="2"/>
              </w:rPr>
              <w:t>根据AI大模型拆解的内容，进行审核确认，确认无误后可发布至系统政策数据库。</w:t>
            </w:r>
            <w:r>
              <w:rPr>
                <w:rFonts w:hint="eastAsia" w:ascii="宋体" w:hAnsi="宋体" w:eastAsia="宋体" w:cs="宋体"/>
                <w:i w:val="0"/>
                <w:iCs w:val="0"/>
                <w:color w:val="auto"/>
                <w:kern w:val="0"/>
                <w:sz w:val="21"/>
                <w:szCs w:val="21"/>
                <w:highlight w:val="none"/>
                <w:lang w:val="en-US" w:eastAsia="zh-CN" w:bidi="ar"/>
                <w:woUserID w:val="2"/>
              </w:rPr>
              <w:br w:type="textWrapping"/>
            </w:r>
            <w:r>
              <w:rPr>
                <w:rFonts w:hint="eastAsia" w:ascii="宋体" w:hAnsi="宋体" w:eastAsia="宋体" w:cs="宋体"/>
                <w:i w:val="0"/>
                <w:iCs w:val="0"/>
                <w:color w:val="auto"/>
                <w:kern w:val="0"/>
                <w:sz w:val="21"/>
                <w:szCs w:val="21"/>
                <w:highlight w:val="none"/>
                <w:lang w:val="en-US" w:eastAsia="zh-CN" w:bidi="ar"/>
                <w:woUserID w:val="2"/>
              </w:rPr>
              <w:t>功能能实现的得1分，不能实现的不得分。</w:t>
            </w:r>
          </w:p>
        </w:tc>
        <w:tc>
          <w:tcPr>
            <w:tcW w:w="882" w:type="dxa"/>
            <w:tcBorders>
              <w:tl2br w:val="nil"/>
              <w:tr2bl w:val="nil"/>
            </w:tcBorders>
            <w:shd w:val="clear" w:color="auto" w:fill="auto"/>
            <w:vAlign w:val="center"/>
          </w:tcPr>
          <w:p w14:paraId="26D807E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lang w:val="en-US" w:eastAsia="zh-CN" w:bidi="ar"/>
              </w:rPr>
              <w:t>1</w:t>
            </w:r>
          </w:p>
        </w:tc>
        <w:tc>
          <w:tcPr>
            <w:tcW w:w="1085" w:type="dxa"/>
            <w:vMerge w:val="continue"/>
            <w:tcBorders>
              <w:tl2br w:val="nil"/>
              <w:tr2bl w:val="nil"/>
            </w:tcBorders>
            <w:shd w:val="clear" w:color="auto" w:fill="auto"/>
            <w:vAlign w:val="center"/>
          </w:tcPr>
          <w:p w14:paraId="42F4A9DC">
            <w:pPr>
              <w:pStyle w:val="516"/>
              <w:keepNext w:val="0"/>
              <w:keepLines w:val="0"/>
              <w:pageBreakBefore w:val="0"/>
              <w:suppressLineNumbers w:val="0"/>
              <w:kinsoku/>
              <w:overflowPunct/>
              <w:topLinePunct w:val="0"/>
              <w:bidi w:val="0"/>
              <w:adjustRightInd w:val="0"/>
              <w:snapToGrid w:val="0"/>
              <w:spacing w:before="0" w:beforeAutospacing="0" w:after="0" w:afterAutospacing="0" w:line="336" w:lineRule="auto"/>
              <w:ind w:left="0" w:leftChars="0" w:right="0" w:firstLine="0" w:firstLineChars="0"/>
              <w:jc w:val="center"/>
              <w:rPr>
                <w:rFonts w:hint="eastAsia" w:ascii="宋体" w:hAnsi="宋体" w:eastAsia="宋体" w:cs="宋体"/>
                <w:color w:val="auto"/>
                <w:sz w:val="21"/>
                <w:szCs w:val="21"/>
                <w:highlight w:val="none"/>
                <w:lang w:val="en-US" w:eastAsia="zh-CN"/>
              </w:rPr>
            </w:pPr>
          </w:p>
        </w:tc>
      </w:tr>
      <w:tr w14:paraId="3F2F91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755" w:type="dxa"/>
            <w:vMerge w:val="continue"/>
            <w:tcBorders>
              <w:tl2br w:val="nil"/>
              <w:tr2bl w:val="nil"/>
            </w:tcBorders>
            <w:vAlign w:val="center"/>
          </w:tcPr>
          <w:p w14:paraId="46B58297">
            <w:pPr>
              <w:keepNext w:val="0"/>
              <w:keepLines w:val="0"/>
              <w:pageBreakBefore w:val="0"/>
              <w:suppressLineNumbers w:val="0"/>
              <w:kinsoku/>
              <w:wordWrap/>
              <w:overflowPunct/>
              <w:topLinePunct w:val="0"/>
              <w:autoSpaceDE/>
              <w:autoSpaceDN/>
              <w:bidi w:val="0"/>
              <w:adjustRightInd w:val="0"/>
              <w:snapToGrid w:val="0"/>
              <w:spacing w:before="2" w:beforeAutospacing="0" w:after="2" w:afterAutospacing="0" w:line="360" w:lineRule="auto"/>
              <w:ind w:left="21" w:leftChars="0" w:right="57" w:firstLine="0" w:firstLineChars="0"/>
              <w:jc w:val="center"/>
              <w:textAlignment w:val="auto"/>
              <w:rPr>
                <w:rFonts w:hint="eastAsia" w:ascii="宋体" w:hAnsi="宋体" w:eastAsia="宋体" w:cs="宋体"/>
                <w:color w:val="auto"/>
                <w:sz w:val="21"/>
                <w:szCs w:val="21"/>
                <w:highlight w:val="none"/>
                <w:lang w:val="en-US" w:eastAsia="zh-CN"/>
              </w:rPr>
            </w:pPr>
          </w:p>
        </w:tc>
        <w:tc>
          <w:tcPr>
            <w:tcW w:w="1251" w:type="dxa"/>
            <w:vMerge w:val="continue"/>
            <w:tcBorders>
              <w:tl2br w:val="nil"/>
              <w:tr2bl w:val="nil"/>
            </w:tcBorders>
            <w:shd w:val="clear" w:color="auto" w:fill="auto"/>
            <w:vAlign w:val="center"/>
          </w:tcPr>
          <w:p w14:paraId="7D689B82">
            <w:pPr>
              <w:pStyle w:val="516"/>
              <w:keepNext w:val="0"/>
              <w:keepLines w:val="0"/>
              <w:pageBreakBefore w:val="0"/>
              <w:suppressLineNumbers w:val="0"/>
              <w:kinsoku/>
              <w:overflowPunct/>
              <w:topLinePunct w:val="0"/>
              <w:bidi w:val="0"/>
              <w:adjustRightInd w:val="0"/>
              <w:snapToGrid w:val="0"/>
              <w:spacing w:before="0" w:beforeAutospacing="0" w:after="0" w:afterAutospacing="0" w:line="336" w:lineRule="auto"/>
              <w:ind w:left="0" w:leftChars="0" w:right="0" w:firstLine="0" w:firstLineChars="0"/>
              <w:rPr>
                <w:rFonts w:hint="eastAsia" w:ascii="宋体" w:hAnsi="宋体" w:eastAsia="宋体" w:cs="宋体"/>
                <w:i w:val="0"/>
                <w:iCs w:val="0"/>
                <w:caps w:val="0"/>
                <w:color w:val="auto"/>
                <w:spacing w:val="-5"/>
                <w:sz w:val="21"/>
                <w:szCs w:val="21"/>
                <w:highlight w:val="none"/>
              </w:rPr>
            </w:pPr>
          </w:p>
        </w:tc>
        <w:tc>
          <w:tcPr>
            <w:tcW w:w="5385" w:type="dxa"/>
            <w:tcBorders>
              <w:tl2br w:val="nil"/>
              <w:tr2bl w:val="nil"/>
            </w:tcBorders>
            <w:shd w:val="clear" w:color="auto" w:fill="auto"/>
            <w:vAlign w:val="center"/>
          </w:tcPr>
          <w:p w14:paraId="6E286ABB">
            <w:pPr>
              <w:keepNext w:val="0"/>
              <w:keepLines w:val="0"/>
              <w:widowControl/>
              <w:suppressLineNumbers w:val="0"/>
              <w:spacing w:before="0" w:beforeAutospacing="0" w:after="0" w:afterAutospacing="0"/>
              <w:ind w:left="0" w:leftChars="0" w:right="0" w:rightChars="0" w:firstLine="210" w:firstLineChars="100"/>
              <w:jc w:val="both"/>
              <w:textAlignment w:val="center"/>
              <w:rPr>
                <w:rFonts w:hint="eastAsia" w:ascii="宋体" w:hAnsi="宋体" w:eastAsia="宋体" w:cs="宋体"/>
                <w:i w:val="0"/>
                <w:iCs w:val="0"/>
                <w:color w:val="auto"/>
                <w:kern w:val="2"/>
                <w:sz w:val="21"/>
                <w:szCs w:val="21"/>
                <w:highlight w:val="none"/>
                <w:lang w:val="en-US" w:eastAsia="zh-CN" w:bidi="ar-SA"/>
                <w:woUserID w:val="2"/>
              </w:rPr>
            </w:pPr>
            <w:r>
              <w:rPr>
                <w:rFonts w:hint="eastAsia" w:ascii="宋体" w:hAnsi="宋体" w:eastAsia="宋体" w:cs="宋体"/>
                <w:i w:val="0"/>
                <w:iCs w:val="0"/>
                <w:color w:val="auto"/>
                <w:kern w:val="0"/>
                <w:sz w:val="21"/>
                <w:szCs w:val="21"/>
                <w:highlight w:val="none"/>
                <w:lang w:val="en-US" w:eastAsia="zh-CN" w:bidi="ar"/>
                <w:woUserID w:val="2"/>
              </w:rPr>
              <w:t>3．政策检索中心</w:t>
            </w:r>
            <w:r>
              <w:rPr>
                <w:rFonts w:hint="eastAsia" w:ascii="宋体" w:hAnsi="宋体" w:eastAsia="宋体" w:cs="宋体"/>
                <w:i w:val="0"/>
                <w:iCs w:val="0"/>
                <w:color w:val="auto"/>
                <w:kern w:val="0"/>
                <w:sz w:val="21"/>
                <w:szCs w:val="21"/>
                <w:highlight w:val="none"/>
                <w:lang w:val="en-US" w:eastAsia="zh-CN" w:bidi="ar"/>
                <w:woUserID w:val="2"/>
              </w:rPr>
              <w:br w:type="textWrapping"/>
            </w:r>
            <w:r>
              <w:rPr>
                <w:rFonts w:hint="eastAsia" w:ascii="宋体" w:hAnsi="宋体" w:eastAsia="宋体" w:cs="宋体"/>
                <w:i w:val="0"/>
                <w:iCs w:val="0"/>
                <w:color w:val="auto"/>
                <w:kern w:val="0"/>
                <w:sz w:val="21"/>
                <w:szCs w:val="21"/>
                <w:highlight w:val="none"/>
                <w:lang w:val="en-US" w:eastAsia="zh-CN" w:bidi="ar"/>
                <w:woUserID w:val="2"/>
              </w:rPr>
              <w:t>支持多维度筛选与关键词检索政策项目，如支持通过对省市政策标题、类型、层级、所属地区、解构用户、匹配状态等标签进行筛选，快速检索政策，同时支持通过搜索项目名称等，进行目标政策的快速锚定，点击可查看项目详情</w:t>
            </w:r>
            <w:r>
              <w:rPr>
                <w:rFonts w:hint="eastAsia" w:ascii="宋体" w:hAnsi="宋体" w:cs="宋体"/>
                <w:i w:val="0"/>
                <w:iCs w:val="0"/>
                <w:color w:val="auto"/>
                <w:kern w:val="0"/>
                <w:sz w:val="21"/>
                <w:szCs w:val="21"/>
                <w:highlight w:val="none"/>
                <w:lang w:val="en-US" w:eastAsia="zh-CN" w:bidi="ar"/>
                <w:woUserID w:val="2"/>
              </w:rPr>
              <w:t>。</w:t>
            </w:r>
            <w:r>
              <w:rPr>
                <w:rFonts w:hint="eastAsia" w:ascii="宋体" w:hAnsi="宋体" w:eastAsia="宋体" w:cs="宋体"/>
                <w:i w:val="0"/>
                <w:iCs w:val="0"/>
                <w:color w:val="auto"/>
                <w:kern w:val="0"/>
                <w:sz w:val="21"/>
                <w:szCs w:val="21"/>
                <w:highlight w:val="none"/>
                <w:lang w:val="en-US" w:eastAsia="zh-CN" w:bidi="ar"/>
                <w:woUserID w:val="2"/>
              </w:rPr>
              <w:br w:type="textWrapping"/>
            </w:r>
            <w:r>
              <w:rPr>
                <w:rFonts w:hint="eastAsia" w:ascii="宋体" w:hAnsi="宋体" w:eastAsia="宋体" w:cs="宋体"/>
                <w:i w:val="0"/>
                <w:iCs w:val="0"/>
                <w:color w:val="auto"/>
                <w:kern w:val="0"/>
                <w:sz w:val="21"/>
                <w:szCs w:val="21"/>
                <w:highlight w:val="none"/>
                <w:lang w:val="en-US" w:eastAsia="zh-CN" w:bidi="ar"/>
                <w:woUserID w:val="2"/>
              </w:rPr>
              <w:t>功能能实现的得1分，不能实现的不得分。</w:t>
            </w:r>
          </w:p>
        </w:tc>
        <w:tc>
          <w:tcPr>
            <w:tcW w:w="882" w:type="dxa"/>
            <w:tcBorders>
              <w:tl2br w:val="nil"/>
              <w:tr2bl w:val="nil"/>
            </w:tcBorders>
            <w:shd w:val="clear" w:color="auto" w:fill="auto"/>
            <w:vAlign w:val="center"/>
          </w:tcPr>
          <w:p w14:paraId="1A08CE7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lang w:val="en-US" w:eastAsia="zh-CN" w:bidi="ar"/>
              </w:rPr>
              <w:t>1</w:t>
            </w:r>
          </w:p>
        </w:tc>
        <w:tc>
          <w:tcPr>
            <w:tcW w:w="1085" w:type="dxa"/>
            <w:vMerge w:val="continue"/>
            <w:tcBorders>
              <w:tl2br w:val="nil"/>
              <w:tr2bl w:val="nil"/>
            </w:tcBorders>
            <w:shd w:val="clear" w:color="auto" w:fill="auto"/>
            <w:vAlign w:val="center"/>
          </w:tcPr>
          <w:p w14:paraId="36F4F8D1">
            <w:pPr>
              <w:pStyle w:val="516"/>
              <w:keepNext w:val="0"/>
              <w:keepLines w:val="0"/>
              <w:pageBreakBefore w:val="0"/>
              <w:suppressLineNumbers w:val="0"/>
              <w:kinsoku/>
              <w:overflowPunct/>
              <w:topLinePunct w:val="0"/>
              <w:bidi w:val="0"/>
              <w:adjustRightInd w:val="0"/>
              <w:snapToGrid w:val="0"/>
              <w:spacing w:before="0" w:beforeAutospacing="0" w:after="0" w:afterAutospacing="0" w:line="336" w:lineRule="auto"/>
              <w:ind w:left="0" w:leftChars="0" w:right="0" w:firstLine="0" w:firstLineChars="0"/>
              <w:jc w:val="center"/>
              <w:rPr>
                <w:rFonts w:hint="eastAsia" w:ascii="宋体" w:hAnsi="宋体" w:eastAsia="宋体" w:cs="宋体"/>
                <w:color w:val="auto"/>
                <w:sz w:val="21"/>
                <w:szCs w:val="21"/>
                <w:highlight w:val="none"/>
                <w:lang w:val="en-US" w:eastAsia="zh-CN"/>
              </w:rPr>
            </w:pPr>
          </w:p>
        </w:tc>
      </w:tr>
      <w:tr w14:paraId="504B07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755" w:type="dxa"/>
            <w:vMerge w:val="continue"/>
            <w:tcBorders>
              <w:tl2br w:val="nil"/>
              <w:tr2bl w:val="nil"/>
            </w:tcBorders>
            <w:vAlign w:val="center"/>
          </w:tcPr>
          <w:p w14:paraId="6EE9927C">
            <w:pPr>
              <w:keepNext w:val="0"/>
              <w:keepLines w:val="0"/>
              <w:pageBreakBefore w:val="0"/>
              <w:suppressLineNumbers w:val="0"/>
              <w:kinsoku/>
              <w:wordWrap/>
              <w:overflowPunct/>
              <w:topLinePunct w:val="0"/>
              <w:autoSpaceDE/>
              <w:autoSpaceDN/>
              <w:bidi w:val="0"/>
              <w:adjustRightInd w:val="0"/>
              <w:snapToGrid w:val="0"/>
              <w:spacing w:before="2" w:beforeAutospacing="0" w:after="2" w:afterAutospacing="0" w:line="360" w:lineRule="auto"/>
              <w:ind w:left="21" w:leftChars="0" w:right="57" w:firstLine="0" w:firstLineChars="0"/>
              <w:jc w:val="center"/>
              <w:textAlignment w:val="auto"/>
              <w:rPr>
                <w:rFonts w:hint="eastAsia" w:ascii="宋体" w:hAnsi="宋体" w:eastAsia="宋体" w:cs="宋体"/>
                <w:color w:val="auto"/>
                <w:sz w:val="21"/>
                <w:szCs w:val="21"/>
                <w:highlight w:val="none"/>
                <w:lang w:val="en-US" w:eastAsia="zh-CN"/>
              </w:rPr>
            </w:pPr>
          </w:p>
        </w:tc>
        <w:tc>
          <w:tcPr>
            <w:tcW w:w="1251" w:type="dxa"/>
            <w:vMerge w:val="continue"/>
            <w:tcBorders>
              <w:tl2br w:val="nil"/>
              <w:tr2bl w:val="nil"/>
            </w:tcBorders>
            <w:shd w:val="clear" w:color="auto" w:fill="auto"/>
            <w:vAlign w:val="center"/>
          </w:tcPr>
          <w:p w14:paraId="3E39C9AB">
            <w:pPr>
              <w:pStyle w:val="516"/>
              <w:keepNext w:val="0"/>
              <w:keepLines w:val="0"/>
              <w:pageBreakBefore w:val="0"/>
              <w:suppressLineNumbers w:val="0"/>
              <w:kinsoku/>
              <w:overflowPunct/>
              <w:topLinePunct w:val="0"/>
              <w:bidi w:val="0"/>
              <w:adjustRightInd w:val="0"/>
              <w:snapToGrid w:val="0"/>
              <w:spacing w:before="0" w:beforeAutospacing="0" w:after="0" w:afterAutospacing="0" w:line="336" w:lineRule="auto"/>
              <w:ind w:left="0" w:leftChars="0" w:right="0" w:firstLine="0" w:firstLineChars="0"/>
              <w:rPr>
                <w:rFonts w:hint="eastAsia" w:ascii="宋体" w:hAnsi="宋体" w:eastAsia="宋体" w:cs="宋体"/>
                <w:i w:val="0"/>
                <w:iCs w:val="0"/>
                <w:caps w:val="0"/>
                <w:color w:val="auto"/>
                <w:spacing w:val="-5"/>
                <w:sz w:val="21"/>
                <w:szCs w:val="21"/>
                <w:highlight w:val="none"/>
              </w:rPr>
            </w:pPr>
          </w:p>
        </w:tc>
        <w:tc>
          <w:tcPr>
            <w:tcW w:w="5385" w:type="dxa"/>
            <w:tcBorders>
              <w:tl2br w:val="nil"/>
              <w:tr2bl w:val="nil"/>
            </w:tcBorders>
            <w:shd w:val="clear" w:color="auto" w:fill="auto"/>
            <w:vAlign w:val="center"/>
          </w:tcPr>
          <w:p w14:paraId="78F5C339">
            <w:pPr>
              <w:keepNext w:val="0"/>
              <w:keepLines w:val="0"/>
              <w:widowControl/>
              <w:suppressLineNumbers w:val="0"/>
              <w:spacing w:before="0" w:beforeAutospacing="0" w:after="0" w:afterAutospacing="0"/>
              <w:ind w:left="0" w:leftChars="0" w:right="0" w:rightChars="0" w:firstLine="210" w:firstLineChars="100"/>
              <w:jc w:val="both"/>
              <w:textAlignment w:val="center"/>
              <w:rPr>
                <w:rFonts w:hint="eastAsia" w:ascii="宋体" w:hAnsi="宋体" w:eastAsia="宋体" w:cs="宋体"/>
                <w:i w:val="0"/>
                <w:iCs w:val="0"/>
                <w:color w:val="auto"/>
                <w:kern w:val="2"/>
                <w:sz w:val="21"/>
                <w:szCs w:val="21"/>
                <w:highlight w:val="none"/>
                <w:lang w:val="en-US" w:eastAsia="zh-CN" w:bidi="ar-SA"/>
                <w:woUserID w:val="2"/>
              </w:rPr>
            </w:pPr>
            <w:r>
              <w:rPr>
                <w:rFonts w:hint="eastAsia" w:ascii="宋体" w:hAnsi="宋体" w:eastAsia="宋体" w:cs="宋体"/>
                <w:i w:val="0"/>
                <w:iCs w:val="0"/>
                <w:color w:val="auto"/>
                <w:kern w:val="0"/>
                <w:sz w:val="21"/>
                <w:szCs w:val="21"/>
                <w:highlight w:val="none"/>
                <w:lang w:val="en-US" w:eastAsia="zh-CN" w:bidi="ar"/>
                <w:woUserID w:val="2"/>
              </w:rPr>
              <w:t>政策匹配中心</w:t>
            </w:r>
            <w:r>
              <w:rPr>
                <w:rFonts w:hint="eastAsia" w:ascii="宋体" w:hAnsi="宋体" w:eastAsia="宋体" w:cs="宋体"/>
                <w:i w:val="0"/>
                <w:iCs w:val="0"/>
                <w:color w:val="auto"/>
                <w:kern w:val="0"/>
                <w:sz w:val="21"/>
                <w:szCs w:val="21"/>
                <w:highlight w:val="none"/>
                <w:lang w:val="en-US" w:eastAsia="zh-CN" w:bidi="ar"/>
                <w:woUserID w:val="2"/>
              </w:rPr>
              <w:br w:type="textWrapping"/>
            </w:r>
            <w:r>
              <w:rPr>
                <w:rFonts w:hint="eastAsia" w:ascii="宋体" w:hAnsi="宋体" w:eastAsia="宋体" w:cs="宋体"/>
                <w:i w:val="0"/>
                <w:iCs w:val="0"/>
                <w:color w:val="auto"/>
                <w:kern w:val="0"/>
                <w:sz w:val="21"/>
                <w:szCs w:val="21"/>
                <w:highlight w:val="none"/>
                <w:lang w:val="en-US" w:eastAsia="zh-CN" w:bidi="ar"/>
                <w:woUserID w:val="2"/>
              </w:rPr>
              <w:t>1.政策找企业</w:t>
            </w:r>
            <w:r>
              <w:rPr>
                <w:rFonts w:hint="eastAsia" w:ascii="宋体" w:hAnsi="宋体" w:eastAsia="宋体" w:cs="宋体"/>
                <w:i w:val="0"/>
                <w:iCs w:val="0"/>
                <w:color w:val="auto"/>
                <w:kern w:val="0"/>
                <w:sz w:val="21"/>
                <w:szCs w:val="21"/>
                <w:highlight w:val="none"/>
                <w:lang w:val="en-US" w:eastAsia="zh-CN" w:bidi="ar"/>
                <w:woUserID w:val="2"/>
              </w:rPr>
              <w:br w:type="textWrapping"/>
            </w:r>
            <w:r>
              <w:rPr>
                <w:rFonts w:hint="eastAsia" w:ascii="宋体" w:hAnsi="宋体" w:eastAsia="宋体" w:cs="宋体"/>
                <w:i w:val="0"/>
                <w:iCs w:val="0"/>
                <w:color w:val="auto"/>
                <w:kern w:val="0"/>
                <w:sz w:val="21"/>
                <w:szCs w:val="21"/>
                <w:highlight w:val="none"/>
                <w:lang w:val="en-US" w:eastAsia="zh-CN" w:bidi="ar"/>
                <w:woUserID w:val="2"/>
              </w:rPr>
              <w:t>通过政策维度检索查看政策匹配到的企业清单。提供多维度政策检索功能，支持通过关键词、政策标题、政策类型等条件筛选目标政策。点击可查看政策详情，包括原文、政策简报、匹配企业清单等。</w:t>
            </w:r>
            <w:r>
              <w:rPr>
                <w:rFonts w:hint="eastAsia" w:ascii="宋体" w:hAnsi="宋体" w:eastAsia="宋体" w:cs="宋体"/>
                <w:i w:val="0"/>
                <w:iCs w:val="0"/>
                <w:color w:val="auto"/>
                <w:kern w:val="0"/>
                <w:sz w:val="21"/>
                <w:szCs w:val="21"/>
                <w:highlight w:val="none"/>
                <w:lang w:val="en-US" w:eastAsia="zh-CN" w:bidi="ar"/>
                <w:woUserID w:val="2"/>
              </w:rPr>
              <w:br w:type="textWrapping"/>
            </w:r>
            <w:r>
              <w:rPr>
                <w:rFonts w:hint="eastAsia" w:ascii="宋体" w:hAnsi="宋体" w:eastAsia="宋体" w:cs="宋体"/>
                <w:i w:val="0"/>
                <w:iCs w:val="0"/>
                <w:color w:val="auto"/>
                <w:kern w:val="0"/>
                <w:sz w:val="21"/>
                <w:szCs w:val="21"/>
                <w:highlight w:val="none"/>
                <w:lang w:val="en-US" w:eastAsia="zh-CN" w:bidi="ar"/>
                <w:woUserID w:val="2"/>
              </w:rPr>
              <w:t>功能能实现的得1分，不能实现的不得分。</w:t>
            </w:r>
          </w:p>
        </w:tc>
        <w:tc>
          <w:tcPr>
            <w:tcW w:w="882" w:type="dxa"/>
            <w:tcBorders>
              <w:tl2br w:val="nil"/>
              <w:tr2bl w:val="nil"/>
            </w:tcBorders>
            <w:shd w:val="clear" w:color="auto" w:fill="auto"/>
            <w:vAlign w:val="center"/>
          </w:tcPr>
          <w:p w14:paraId="5E3B4C5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lang w:val="en-US" w:eastAsia="zh-CN" w:bidi="ar"/>
              </w:rPr>
              <w:t>1</w:t>
            </w:r>
          </w:p>
        </w:tc>
        <w:tc>
          <w:tcPr>
            <w:tcW w:w="1085" w:type="dxa"/>
            <w:vMerge w:val="continue"/>
            <w:tcBorders>
              <w:tl2br w:val="nil"/>
              <w:tr2bl w:val="nil"/>
            </w:tcBorders>
            <w:shd w:val="clear" w:color="auto" w:fill="auto"/>
            <w:vAlign w:val="center"/>
          </w:tcPr>
          <w:p w14:paraId="371F5208">
            <w:pPr>
              <w:pStyle w:val="516"/>
              <w:keepNext w:val="0"/>
              <w:keepLines w:val="0"/>
              <w:pageBreakBefore w:val="0"/>
              <w:suppressLineNumbers w:val="0"/>
              <w:kinsoku/>
              <w:overflowPunct/>
              <w:topLinePunct w:val="0"/>
              <w:bidi w:val="0"/>
              <w:adjustRightInd w:val="0"/>
              <w:snapToGrid w:val="0"/>
              <w:spacing w:before="0" w:beforeAutospacing="0" w:after="0" w:afterAutospacing="0" w:line="336" w:lineRule="auto"/>
              <w:ind w:left="0" w:leftChars="0" w:right="0" w:firstLine="0" w:firstLineChars="0"/>
              <w:jc w:val="center"/>
              <w:rPr>
                <w:rFonts w:hint="eastAsia" w:ascii="宋体" w:hAnsi="宋体" w:eastAsia="宋体" w:cs="宋体"/>
                <w:color w:val="auto"/>
                <w:sz w:val="21"/>
                <w:szCs w:val="21"/>
                <w:highlight w:val="none"/>
                <w:lang w:val="en-US" w:eastAsia="zh-CN"/>
              </w:rPr>
            </w:pPr>
          </w:p>
        </w:tc>
      </w:tr>
      <w:tr w14:paraId="21D6D5A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755" w:type="dxa"/>
            <w:vMerge w:val="continue"/>
            <w:tcBorders>
              <w:tl2br w:val="nil"/>
              <w:tr2bl w:val="nil"/>
            </w:tcBorders>
            <w:vAlign w:val="center"/>
          </w:tcPr>
          <w:p w14:paraId="10B1524C">
            <w:pPr>
              <w:keepNext w:val="0"/>
              <w:keepLines w:val="0"/>
              <w:pageBreakBefore w:val="0"/>
              <w:suppressLineNumbers w:val="0"/>
              <w:kinsoku/>
              <w:wordWrap/>
              <w:overflowPunct/>
              <w:topLinePunct w:val="0"/>
              <w:autoSpaceDE/>
              <w:autoSpaceDN/>
              <w:bidi w:val="0"/>
              <w:adjustRightInd w:val="0"/>
              <w:snapToGrid w:val="0"/>
              <w:spacing w:before="2" w:beforeAutospacing="0" w:after="2" w:afterAutospacing="0" w:line="360" w:lineRule="auto"/>
              <w:ind w:left="21" w:leftChars="0" w:right="57" w:firstLine="0" w:firstLineChars="0"/>
              <w:jc w:val="center"/>
              <w:textAlignment w:val="auto"/>
              <w:rPr>
                <w:rFonts w:hint="eastAsia" w:ascii="宋体" w:hAnsi="宋体" w:eastAsia="宋体" w:cs="宋体"/>
                <w:color w:val="auto"/>
                <w:sz w:val="21"/>
                <w:szCs w:val="21"/>
                <w:highlight w:val="none"/>
                <w:lang w:val="en-US" w:eastAsia="zh-CN"/>
              </w:rPr>
            </w:pPr>
          </w:p>
        </w:tc>
        <w:tc>
          <w:tcPr>
            <w:tcW w:w="1251" w:type="dxa"/>
            <w:vMerge w:val="continue"/>
            <w:tcBorders>
              <w:tl2br w:val="nil"/>
              <w:tr2bl w:val="nil"/>
            </w:tcBorders>
            <w:shd w:val="clear" w:color="auto" w:fill="auto"/>
            <w:vAlign w:val="center"/>
          </w:tcPr>
          <w:p w14:paraId="30CC7C56">
            <w:pPr>
              <w:pStyle w:val="516"/>
              <w:keepNext w:val="0"/>
              <w:keepLines w:val="0"/>
              <w:pageBreakBefore w:val="0"/>
              <w:suppressLineNumbers w:val="0"/>
              <w:kinsoku/>
              <w:overflowPunct/>
              <w:topLinePunct w:val="0"/>
              <w:bidi w:val="0"/>
              <w:adjustRightInd w:val="0"/>
              <w:snapToGrid w:val="0"/>
              <w:spacing w:before="0" w:beforeAutospacing="0" w:after="0" w:afterAutospacing="0" w:line="336" w:lineRule="auto"/>
              <w:ind w:left="0" w:leftChars="0" w:right="0" w:firstLine="0" w:firstLineChars="0"/>
              <w:rPr>
                <w:rFonts w:hint="eastAsia" w:ascii="宋体" w:hAnsi="宋体" w:eastAsia="宋体" w:cs="宋体"/>
                <w:i w:val="0"/>
                <w:iCs w:val="0"/>
                <w:caps w:val="0"/>
                <w:color w:val="auto"/>
                <w:spacing w:val="-5"/>
                <w:sz w:val="21"/>
                <w:szCs w:val="21"/>
                <w:highlight w:val="none"/>
              </w:rPr>
            </w:pPr>
          </w:p>
        </w:tc>
        <w:tc>
          <w:tcPr>
            <w:tcW w:w="5385" w:type="dxa"/>
            <w:tcBorders>
              <w:tl2br w:val="nil"/>
              <w:tr2bl w:val="nil"/>
            </w:tcBorders>
            <w:shd w:val="clear" w:color="auto" w:fill="auto"/>
            <w:vAlign w:val="center"/>
          </w:tcPr>
          <w:p w14:paraId="27E73D3A">
            <w:pPr>
              <w:keepNext w:val="0"/>
              <w:keepLines w:val="0"/>
              <w:widowControl/>
              <w:suppressLineNumbers w:val="0"/>
              <w:spacing w:before="0" w:beforeAutospacing="0" w:after="0" w:afterAutospacing="0"/>
              <w:ind w:left="0" w:leftChars="0" w:right="0" w:rightChars="0" w:firstLine="210" w:firstLineChars="100"/>
              <w:jc w:val="both"/>
              <w:textAlignment w:val="center"/>
              <w:rPr>
                <w:rFonts w:hint="eastAsia" w:ascii="宋体" w:hAnsi="宋体" w:eastAsia="宋体" w:cs="宋体"/>
                <w:i w:val="0"/>
                <w:iCs w:val="0"/>
                <w:color w:val="auto"/>
                <w:kern w:val="2"/>
                <w:sz w:val="21"/>
                <w:szCs w:val="21"/>
                <w:highlight w:val="none"/>
                <w:lang w:val="en-US" w:eastAsia="zh-CN" w:bidi="ar-SA"/>
                <w:woUserID w:val="2"/>
              </w:rPr>
            </w:pPr>
            <w:r>
              <w:rPr>
                <w:rFonts w:hint="eastAsia" w:ascii="宋体" w:hAnsi="宋体" w:eastAsia="宋体" w:cs="宋体"/>
                <w:i w:val="0"/>
                <w:iCs w:val="0"/>
                <w:color w:val="auto"/>
                <w:kern w:val="0"/>
                <w:sz w:val="21"/>
                <w:szCs w:val="21"/>
                <w:highlight w:val="none"/>
                <w:lang w:val="en-US" w:eastAsia="zh-CN" w:bidi="ar"/>
                <w:woUserID w:val="2"/>
              </w:rPr>
              <w:t>2.企业找政策</w:t>
            </w:r>
            <w:r>
              <w:rPr>
                <w:rFonts w:hint="eastAsia" w:ascii="宋体" w:hAnsi="宋体" w:eastAsia="宋体" w:cs="宋体"/>
                <w:i w:val="0"/>
                <w:iCs w:val="0"/>
                <w:color w:val="auto"/>
                <w:kern w:val="0"/>
                <w:sz w:val="21"/>
                <w:szCs w:val="21"/>
                <w:highlight w:val="none"/>
                <w:lang w:val="en-US" w:eastAsia="zh-CN" w:bidi="ar"/>
                <w:woUserID w:val="2"/>
              </w:rPr>
              <w:br w:type="textWrapping"/>
            </w:r>
            <w:r>
              <w:rPr>
                <w:rFonts w:hint="eastAsia" w:ascii="宋体" w:hAnsi="宋体" w:eastAsia="宋体" w:cs="宋体"/>
                <w:i w:val="0"/>
                <w:iCs w:val="0"/>
                <w:color w:val="auto"/>
                <w:kern w:val="0"/>
                <w:sz w:val="21"/>
                <w:szCs w:val="21"/>
                <w:highlight w:val="none"/>
                <w:lang w:val="en-US" w:eastAsia="zh-CN" w:bidi="ar"/>
                <w:woUserID w:val="2"/>
              </w:rPr>
              <w:t>通过企业维度检索查看当前企业匹配到的政策清单。提供多维度的企业搜索筛选功能，支持按行业类别、地域分布、等条件组合筛选。点击可查看政策详情，包括匹配政策清单、培育规划引导、企业奖补画像、企业全景画像等</w:t>
            </w:r>
            <w:r>
              <w:rPr>
                <w:rFonts w:hint="eastAsia" w:ascii="宋体" w:hAnsi="宋体" w:cs="宋体"/>
                <w:i w:val="0"/>
                <w:iCs w:val="0"/>
                <w:color w:val="auto"/>
                <w:kern w:val="0"/>
                <w:sz w:val="21"/>
                <w:szCs w:val="21"/>
                <w:highlight w:val="none"/>
                <w:lang w:val="en-US" w:eastAsia="zh-CN" w:bidi="ar"/>
                <w:woUserID w:val="2"/>
              </w:rPr>
              <w:t>。</w:t>
            </w:r>
            <w:r>
              <w:rPr>
                <w:rFonts w:hint="eastAsia" w:ascii="宋体" w:hAnsi="宋体" w:eastAsia="宋体" w:cs="宋体"/>
                <w:i w:val="0"/>
                <w:iCs w:val="0"/>
                <w:color w:val="auto"/>
                <w:kern w:val="0"/>
                <w:sz w:val="21"/>
                <w:szCs w:val="21"/>
                <w:highlight w:val="none"/>
                <w:lang w:val="en-US" w:eastAsia="zh-CN" w:bidi="ar"/>
                <w:woUserID w:val="2"/>
              </w:rPr>
              <w:br w:type="textWrapping"/>
            </w:r>
            <w:r>
              <w:rPr>
                <w:rFonts w:hint="eastAsia" w:ascii="宋体" w:hAnsi="宋体" w:eastAsia="宋体" w:cs="宋体"/>
                <w:i w:val="0"/>
                <w:iCs w:val="0"/>
                <w:color w:val="auto"/>
                <w:kern w:val="0"/>
                <w:sz w:val="21"/>
                <w:szCs w:val="21"/>
                <w:highlight w:val="none"/>
                <w:lang w:val="en-US" w:eastAsia="zh-CN" w:bidi="ar"/>
                <w:woUserID w:val="2"/>
              </w:rPr>
              <w:t>功能能实现的得1分，不能实现的不得分。</w:t>
            </w:r>
          </w:p>
        </w:tc>
        <w:tc>
          <w:tcPr>
            <w:tcW w:w="882" w:type="dxa"/>
            <w:tcBorders>
              <w:tl2br w:val="nil"/>
              <w:tr2bl w:val="nil"/>
            </w:tcBorders>
            <w:shd w:val="clear" w:color="auto" w:fill="auto"/>
            <w:vAlign w:val="center"/>
          </w:tcPr>
          <w:p w14:paraId="264C62F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lang w:val="en-US" w:eastAsia="zh-CN" w:bidi="ar"/>
              </w:rPr>
              <w:t>1</w:t>
            </w:r>
          </w:p>
        </w:tc>
        <w:tc>
          <w:tcPr>
            <w:tcW w:w="1085" w:type="dxa"/>
            <w:vMerge w:val="continue"/>
            <w:tcBorders>
              <w:tl2br w:val="nil"/>
              <w:tr2bl w:val="nil"/>
            </w:tcBorders>
            <w:shd w:val="clear" w:color="auto" w:fill="auto"/>
            <w:vAlign w:val="center"/>
          </w:tcPr>
          <w:p w14:paraId="736F902B">
            <w:pPr>
              <w:pStyle w:val="516"/>
              <w:keepNext w:val="0"/>
              <w:keepLines w:val="0"/>
              <w:pageBreakBefore w:val="0"/>
              <w:suppressLineNumbers w:val="0"/>
              <w:kinsoku/>
              <w:overflowPunct/>
              <w:topLinePunct w:val="0"/>
              <w:bidi w:val="0"/>
              <w:adjustRightInd w:val="0"/>
              <w:snapToGrid w:val="0"/>
              <w:spacing w:before="0" w:beforeAutospacing="0" w:after="0" w:afterAutospacing="0" w:line="336" w:lineRule="auto"/>
              <w:ind w:left="0" w:leftChars="0" w:right="0" w:firstLine="0" w:firstLineChars="0"/>
              <w:jc w:val="center"/>
              <w:rPr>
                <w:rFonts w:hint="eastAsia" w:ascii="宋体" w:hAnsi="宋体" w:eastAsia="宋体" w:cs="宋体"/>
                <w:color w:val="auto"/>
                <w:sz w:val="21"/>
                <w:szCs w:val="21"/>
                <w:highlight w:val="none"/>
                <w:lang w:val="en-US" w:eastAsia="zh-CN"/>
              </w:rPr>
            </w:pPr>
          </w:p>
        </w:tc>
      </w:tr>
      <w:tr w14:paraId="2920D7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755" w:type="dxa"/>
            <w:vMerge w:val="continue"/>
            <w:tcBorders>
              <w:tl2br w:val="nil"/>
              <w:tr2bl w:val="nil"/>
            </w:tcBorders>
            <w:vAlign w:val="center"/>
          </w:tcPr>
          <w:p w14:paraId="660F5892">
            <w:pPr>
              <w:keepNext w:val="0"/>
              <w:keepLines w:val="0"/>
              <w:pageBreakBefore w:val="0"/>
              <w:suppressLineNumbers w:val="0"/>
              <w:kinsoku/>
              <w:wordWrap/>
              <w:overflowPunct/>
              <w:topLinePunct w:val="0"/>
              <w:autoSpaceDE/>
              <w:autoSpaceDN/>
              <w:bidi w:val="0"/>
              <w:adjustRightInd w:val="0"/>
              <w:snapToGrid w:val="0"/>
              <w:spacing w:before="2" w:beforeAutospacing="0" w:after="2" w:afterAutospacing="0" w:line="360" w:lineRule="auto"/>
              <w:ind w:left="21" w:leftChars="0" w:right="57" w:firstLine="0" w:firstLineChars="0"/>
              <w:jc w:val="center"/>
              <w:textAlignment w:val="auto"/>
              <w:rPr>
                <w:rFonts w:hint="eastAsia" w:ascii="宋体" w:hAnsi="宋体" w:eastAsia="宋体" w:cs="宋体"/>
                <w:color w:val="auto"/>
                <w:sz w:val="21"/>
                <w:szCs w:val="21"/>
                <w:highlight w:val="none"/>
                <w:lang w:val="en-US" w:eastAsia="zh-CN"/>
              </w:rPr>
            </w:pPr>
          </w:p>
        </w:tc>
        <w:tc>
          <w:tcPr>
            <w:tcW w:w="1251" w:type="dxa"/>
            <w:vMerge w:val="restart"/>
            <w:tcBorders>
              <w:tl2br w:val="nil"/>
              <w:tr2bl w:val="nil"/>
            </w:tcBorders>
            <w:shd w:val="clear" w:color="auto" w:fill="auto"/>
            <w:vAlign w:val="center"/>
          </w:tcPr>
          <w:p w14:paraId="369366C0">
            <w:pPr>
              <w:pStyle w:val="516"/>
              <w:keepNext w:val="0"/>
              <w:keepLines w:val="0"/>
              <w:pageBreakBefore w:val="0"/>
              <w:suppressLineNumbers w:val="0"/>
              <w:kinsoku/>
              <w:overflowPunct/>
              <w:topLinePunct w:val="0"/>
              <w:bidi w:val="0"/>
              <w:adjustRightInd w:val="0"/>
              <w:snapToGrid w:val="0"/>
              <w:spacing w:before="0" w:beforeAutospacing="0" w:after="0" w:afterAutospacing="0" w:line="336" w:lineRule="auto"/>
              <w:ind w:left="0" w:leftChars="0" w:right="0" w:firstLine="0" w:firstLineChars="0"/>
              <w:rPr>
                <w:rFonts w:hint="eastAsia" w:ascii="宋体" w:hAnsi="宋体" w:eastAsia="宋体" w:cs="宋体"/>
                <w:i w:val="0"/>
                <w:iCs w:val="0"/>
                <w:caps w:val="0"/>
                <w:color w:val="auto"/>
                <w:spacing w:val="-5"/>
                <w:sz w:val="21"/>
                <w:szCs w:val="21"/>
                <w:highlight w:val="none"/>
                <w:lang w:val="en-US" w:eastAsia="zh-CN"/>
              </w:rPr>
            </w:pPr>
            <w:r>
              <w:rPr>
                <w:rFonts w:hint="eastAsia" w:ascii="宋体" w:hAnsi="宋体" w:eastAsia="宋体" w:cs="宋体"/>
                <w:i w:val="0"/>
                <w:iCs w:val="0"/>
                <w:caps w:val="0"/>
                <w:color w:val="auto"/>
                <w:spacing w:val="-5"/>
                <w:sz w:val="21"/>
                <w:szCs w:val="21"/>
                <w:highlight w:val="none"/>
                <w:lang w:val="en-US" w:eastAsia="zh-CN"/>
              </w:rPr>
              <w:t>感知中心</w:t>
            </w:r>
          </w:p>
        </w:tc>
        <w:tc>
          <w:tcPr>
            <w:tcW w:w="5385" w:type="dxa"/>
            <w:tcBorders>
              <w:tl2br w:val="nil"/>
              <w:tr2bl w:val="nil"/>
            </w:tcBorders>
            <w:shd w:val="clear" w:color="auto" w:fill="auto"/>
            <w:vAlign w:val="center"/>
          </w:tcPr>
          <w:p w14:paraId="07F0467D">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2"/>
                <w:sz w:val="21"/>
                <w:szCs w:val="21"/>
                <w:highlight w:val="none"/>
                <w:lang w:val="en-US" w:eastAsia="zh-CN" w:bidi="ar-SA"/>
                <w:woUserID w:val="2"/>
              </w:rPr>
            </w:pPr>
            <w:r>
              <w:rPr>
                <w:rFonts w:hint="eastAsia" w:ascii="宋体" w:hAnsi="宋体" w:eastAsia="宋体" w:cs="宋体"/>
                <w:i w:val="0"/>
                <w:iCs w:val="0"/>
                <w:color w:val="auto"/>
                <w:kern w:val="0"/>
                <w:sz w:val="21"/>
                <w:szCs w:val="21"/>
                <w:highlight w:val="none"/>
                <w:lang w:val="en-US" w:eastAsia="zh-CN" w:bidi="ar"/>
                <w:woUserID w:val="2"/>
              </w:rPr>
              <w:t>首页</w:t>
            </w:r>
            <w:r>
              <w:rPr>
                <w:rFonts w:hint="eastAsia" w:ascii="宋体" w:hAnsi="宋体" w:eastAsia="宋体" w:cs="宋体"/>
                <w:i w:val="0"/>
                <w:iCs w:val="0"/>
                <w:color w:val="auto"/>
                <w:kern w:val="0"/>
                <w:sz w:val="21"/>
                <w:szCs w:val="21"/>
                <w:highlight w:val="none"/>
                <w:lang w:val="en-US" w:eastAsia="zh-CN" w:bidi="ar"/>
                <w:woUserID w:val="2"/>
              </w:rPr>
              <w:br w:type="textWrapping"/>
            </w:r>
            <w:r>
              <w:rPr>
                <w:rFonts w:hint="eastAsia" w:ascii="宋体" w:hAnsi="宋体" w:eastAsia="宋体" w:cs="宋体"/>
                <w:i w:val="0"/>
                <w:iCs w:val="0"/>
                <w:color w:val="auto"/>
                <w:kern w:val="0"/>
                <w:sz w:val="21"/>
                <w:szCs w:val="21"/>
                <w:highlight w:val="none"/>
                <w:lang w:val="en-US" w:eastAsia="zh-CN" w:bidi="ar"/>
                <w:woUserID w:val="2"/>
              </w:rPr>
              <w:t>1</w:t>
            </w:r>
            <w:r>
              <w:rPr>
                <w:rFonts w:hint="eastAsia" w:ascii="宋体" w:hAnsi="宋体" w:cs="宋体"/>
                <w:i w:val="0"/>
                <w:iCs w:val="0"/>
                <w:color w:val="auto"/>
                <w:kern w:val="0"/>
                <w:sz w:val="21"/>
                <w:szCs w:val="21"/>
                <w:highlight w:val="none"/>
                <w:lang w:val="en-US" w:eastAsia="zh-CN" w:bidi="ar"/>
                <w:woUserID w:val="2"/>
              </w:rPr>
              <w:t>.</w:t>
            </w:r>
            <w:r>
              <w:rPr>
                <w:rFonts w:hint="eastAsia" w:ascii="宋体" w:hAnsi="宋体" w:eastAsia="宋体" w:cs="宋体"/>
                <w:i w:val="0"/>
                <w:iCs w:val="0"/>
                <w:color w:val="auto"/>
                <w:kern w:val="0"/>
                <w:sz w:val="21"/>
                <w:szCs w:val="21"/>
                <w:highlight w:val="none"/>
                <w:lang w:val="en-US" w:eastAsia="zh-CN" w:bidi="ar"/>
                <w:woUserID w:val="2"/>
              </w:rPr>
              <w:t>首页政策推送</w:t>
            </w:r>
            <w:r>
              <w:rPr>
                <w:rFonts w:hint="eastAsia" w:ascii="宋体" w:hAnsi="宋体" w:eastAsia="宋体" w:cs="宋体"/>
                <w:i w:val="0"/>
                <w:iCs w:val="0"/>
                <w:color w:val="auto"/>
                <w:kern w:val="0"/>
                <w:sz w:val="21"/>
                <w:szCs w:val="21"/>
                <w:highlight w:val="none"/>
                <w:lang w:val="en-US" w:eastAsia="zh-CN" w:bidi="ar"/>
                <w:woUserID w:val="2"/>
              </w:rPr>
              <w:br w:type="textWrapping"/>
            </w:r>
            <w:r>
              <w:rPr>
                <w:rFonts w:hint="eastAsia" w:ascii="宋体" w:hAnsi="宋体" w:eastAsia="宋体" w:cs="宋体"/>
                <w:i w:val="0"/>
                <w:iCs w:val="0"/>
                <w:color w:val="auto"/>
                <w:kern w:val="0"/>
                <w:sz w:val="21"/>
                <w:szCs w:val="21"/>
                <w:highlight w:val="none"/>
                <w:lang w:val="en-US" w:eastAsia="zh-CN" w:bidi="ar"/>
                <w:woUserID w:val="2"/>
              </w:rPr>
              <w:t>根据企业属性，在首页个性化推送相关的政策。</w:t>
            </w:r>
            <w:r>
              <w:rPr>
                <w:rFonts w:hint="eastAsia" w:ascii="宋体" w:hAnsi="宋体" w:eastAsia="宋体" w:cs="宋体"/>
                <w:i w:val="0"/>
                <w:iCs w:val="0"/>
                <w:color w:val="auto"/>
                <w:kern w:val="0"/>
                <w:sz w:val="21"/>
                <w:szCs w:val="21"/>
                <w:highlight w:val="none"/>
                <w:lang w:val="en-US" w:eastAsia="zh-CN" w:bidi="ar"/>
                <w:woUserID w:val="2"/>
              </w:rPr>
              <w:br w:type="textWrapping"/>
            </w:r>
            <w:r>
              <w:rPr>
                <w:rFonts w:hint="eastAsia" w:ascii="宋体" w:hAnsi="宋体" w:eastAsia="宋体" w:cs="宋体"/>
                <w:i w:val="0"/>
                <w:iCs w:val="0"/>
                <w:color w:val="auto"/>
                <w:kern w:val="0"/>
                <w:sz w:val="21"/>
                <w:szCs w:val="21"/>
                <w:highlight w:val="none"/>
                <w:lang w:val="en-US" w:eastAsia="zh-CN" w:bidi="ar"/>
                <w:woUserID w:val="2"/>
              </w:rPr>
              <w:t>功能能实现的得1分，不能实现的不得分。</w:t>
            </w:r>
          </w:p>
        </w:tc>
        <w:tc>
          <w:tcPr>
            <w:tcW w:w="882" w:type="dxa"/>
            <w:tcBorders>
              <w:tl2br w:val="nil"/>
              <w:tr2bl w:val="nil"/>
            </w:tcBorders>
            <w:shd w:val="clear" w:color="auto" w:fill="auto"/>
            <w:vAlign w:val="center"/>
          </w:tcPr>
          <w:p w14:paraId="7861386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lang w:val="en-US" w:eastAsia="zh-CN" w:bidi="ar"/>
              </w:rPr>
              <w:t>1</w:t>
            </w:r>
          </w:p>
        </w:tc>
        <w:tc>
          <w:tcPr>
            <w:tcW w:w="1085" w:type="dxa"/>
            <w:vMerge w:val="continue"/>
            <w:tcBorders>
              <w:tl2br w:val="nil"/>
              <w:tr2bl w:val="nil"/>
            </w:tcBorders>
            <w:shd w:val="clear" w:color="auto" w:fill="auto"/>
            <w:vAlign w:val="center"/>
          </w:tcPr>
          <w:p w14:paraId="42FF29B6">
            <w:pPr>
              <w:pStyle w:val="516"/>
              <w:keepNext w:val="0"/>
              <w:keepLines w:val="0"/>
              <w:pageBreakBefore w:val="0"/>
              <w:suppressLineNumbers w:val="0"/>
              <w:kinsoku/>
              <w:overflowPunct/>
              <w:topLinePunct w:val="0"/>
              <w:bidi w:val="0"/>
              <w:adjustRightInd w:val="0"/>
              <w:snapToGrid w:val="0"/>
              <w:spacing w:before="0" w:beforeAutospacing="0" w:after="0" w:afterAutospacing="0" w:line="336" w:lineRule="auto"/>
              <w:ind w:left="0" w:leftChars="0" w:right="0" w:firstLine="0" w:firstLineChars="0"/>
              <w:jc w:val="center"/>
              <w:rPr>
                <w:rFonts w:hint="eastAsia" w:ascii="宋体" w:hAnsi="宋体" w:eastAsia="宋体" w:cs="宋体"/>
                <w:color w:val="auto"/>
                <w:sz w:val="21"/>
                <w:szCs w:val="21"/>
                <w:highlight w:val="none"/>
                <w:lang w:val="en-US" w:eastAsia="zh-CN"/>
              </w:rPr>
            </w:pPr>
          </w:p>
        </w:tc>
      </w:tr>
      <w:tr w14:paraId="38A37C3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755" w:type="dxa"/>
            <w:vMerge w:val="continue"/>
            <w:tcBorders>
              <w:tl2br w:val="nil"/>
              <w:tr2bl w:val="nil"/>
            </w:tcBorders>
            <w:vAlign w:val="center"/>
          </w:tcPr>
          <w:p w14:paraId="0F3DA086">
            <w:pPr>
              <w:keepNext w:val="0"/>
              <w:keepLines w:val="0"/>
              <w:pageBreakBefore w:val="0"/>
              <w:suppressLineNumbers w:val="0"/>
              <w:kinsoku/>
              <w:wordWrap/>
              <w:overflowPunct/>
              <w:topLinePunct w:val="0"/>
              <w:autoSpaceDE/>
              <w:autoSpaceDN/>
              <w:bidi w:val="0"/>
              <w:adjustRightInd w:val="0"/>
              <w:snapToGrid w:val="0"/>
              <w:spacing w:before="2" w:beforeAutospacing="0" w:after="2" w:afterAutospacing="0" w:line="360" w:lineRule="auto"/>
              <w:ind w:left="21" w:leftChars="0" w:right="57" w:firstLine="0" w:firstLineChars="0"/>
              <w:jc w:val="center"/>
              <w:textAlignment w:val="auto"/>
              <w:rPr>
                <w:rFonts w:hint="eastAsia" w:ascii="宋体" w:hAnsi="宋体" w:eastAsia="宋体" w:cs="宋体"/>
                <w:color w:val="auto"/>
                <w:sz w:val="21"/>
                <w:szCs w:val="21"/>
                <w:highlight w:val="none"/>
                <w:lang w:val="en-US" w:eastAsia="zh-CN"/>
              </w:rPr>
            </w:pPr>
          </w:p>
        </w:tc>
        <w:tc>
          <w:tcPr>
            <w:tcW w:w="1251" w:type="dxa"/>
            <w:vMerge w:val="continue"/>
            <w:tcBorders>
              <w:tl2br w:val="nil"/>
              <w:tr2bl w:val="nil"/>
            </w:tcBorders>
            <w:shd w:val="clear" w:color="auto" w:fill="auto"/>
            <w:vAlign w:val="center"/>
          </w:tcPr>
          <w:p w14:paraId="302F5F97">
            <w:pPr>
              <w:pStyle w:val="516"/>
              <w:keepNext w:val="0"/>
              <w:keepLines w:val="0"/>
              <w:pageBreakBefore w:val="0"/>
              <w:suppressLineNumbers w:val="0"/>
              <w:kinsoku/>
              <w:overflowPunct/>
              <w:topLinePunct w:val="0"/>
              <w:bidi w:val="0"/>
              <w:adjustRightInd w:val="0"/>
              <w:snapToGrid w:val="0"/>
              <w:spacing w:before="0" w:beforeAutospacing="0" w:after="0" w:afterAutospacing="0" w:line="336" w:lineRule="auto"/>
              <w:ind w:left="0" w:leftChars="0" w:right="0" w:firstLine="0" w:firstLineChars="0"/>
              <w:rPr>
                <w:rFonts w:hint="eastAsia" w:ascii="宋体" w:hAnsi="宋体" w:eastAsia="宋体" w:cs="宋体"/>
                <w:i w:val="0"/>
                <w:iCs w:val="0"/>
                <w:caps w:val="0"/>
                <w:color w:val="auto"/>
                <w:spacing w:val="-5"/>
                <w:sz w:val="21"/>
                <w:szCs w:val="21"/>
                <w:highlight w:val="none"/>
              </w:rPr>
            </w:pPr>
          </w:p>
        </w:tc>
        <w:tc>
          <w:tcPr>
            <w:tcW w:w="5385" w:type="dxa"/>
            <w:tcBorders>
              <w:tl2br w:val="nil"/>
              <w:tr2bl w:val="nil"/>
            </w:tcBorders>
            <w:shd w:val="clear" w:color="auto" w:fill="auto"/>
            <w:vAlign w:val="center"/>
          </w:tcPr>
          <w:p w14:paraId="624BB3B9">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2"/>
                <w:sz w:val="21"/>
                <w:szCs w:val="21"/>
                <w:highlight w:val="none"/>
                <w:lang w:val="en-US" w:eastAsia="zh-CN" w:bidi="ar-SA"/>
                <w:woUserID w:val="2"/>
              </w:rPr>
            </w:pPr>
            <w:r>
              <w:rPr>
                <w:rFonts w:hint="eastAsia" w:ascii="宋体" w:hAnsi="宋体" w:eastAsia="宋体" w:cs="宋体"/>
                <w:i w:val="0"/>
                <w:iCs w:val="0"/>
                <w:color w:val="auto"/>
                <w:kern w:val="0"/>
                <w:sz w:val="21"/>
                <w:szCs w:val="21"/>
                <w:highlight w:val="none"/>
                <w:lang w:val="en-US" w:eastAsia="zh-CN" w:bidi="ar"/>
                <w:woUserID w:val="2"/>
              </w:rPr>
              <w:t>2</w:t>
            </w:r>
            <w:r>
              <w:rPr>
                <w:rFonts w:hint="eastAsia" w:ascii="宋体" w:hAnsi="宋体" w:cs="宋体"/>
                <w:i w:val="0"/>
                <w:iCs w:val="0"/>
                <w:color w:val="auto"/>
                <w:kern w:val="0"/>
                <w:sz w:val="21"/>
                <w:szCs w:val="21"/>
                <w:highlight w:val="none"/>
                <w:lang w:val="en-US" w:eastAsia="zh-CN" w:bidi="ar"/>
                <w:woUserID w:val="2"/>
              </w:rPr>
              <w:t>.</w:t>
            </w:r>
            <w:r>
              <w:rPr>
                <w:rFonts w:hint="eastAsia" w:ascii="宋体" w:hAnsi="宋体" w:eastAsia="宋体" w:cs="宋体"/>
                <w:i w:val="0"/>
                <w:iCs w:val="0"/>
                <w:color w:val="auto"/>
                <w:kern w:val="0"/>
                <w:sz w:val="21"/>
                <w:szCs w:val="21"/>
                <w:highlight w:val="none"/>
                <w:lang w:val="en-US" w:eastAsia="zh-CN" w:bidi="ar"/>
                <w:woUserID w:val="2"/>
              </w:rPr>
              <w:t>我要查</w:t>
            </w:r>
            <w:r>
              <w:rPr>
                <w:rFonts w:hint="eastAsia" w:ascii="宋体" w:hAnsi="宋体" w:eastAsia="宋体" w:cs="宋体"/>
                <w:i w:val="0"/>
                <w:iCs w:val="0"/>
                <w:color w:val="auto"/>
                <w:kern w:val="0"/>
                <w:sz w:val="21"/>
                <w:szCs w:val="21"/>
                <w:highlight w:val="none"/>
                <w:lang w:val="en-US" w:eastAsia="zh-CN" w:bidi="ar"/>
                <w:woUserID w:val="2"/>
              </w:rPr>
              <w:br w:type="textWrapping"/>
            </w:r>
            <w:r>
              <w:rPr>
                <w:rFonts w:hint="eastAsia" w:ascii="宋体" w:hAnsi="宋体" w:eastAsia="宋体" w:cs="宋体"/>
                <w:i w:val="0"/>
                <w:iCs w:val="0"/>
                <w:color w:val="auto"/>
                <w:kern w:val="0"/>
                <w:sz w:val="21"/>
                <w:szCs w:val="21"/>
                <w:highlight w:val="none"/>
                <w:lang w:val="en-US" w:eastAsia="zh-CN" w:bidi="ar"/>
                <w:woUserID w:val="2"/>
              </w:rPr>
              <w:t>跳转政策文件模块，支持政策的查询。</w:t>
            </w:r>
            <w:r>
              <w:rPr>
                <w:rFonts w:hint="eastAsia" w:ascii="宋体" w:hAnsi="宋体" w:eastAsia="宋体" w:cs="宋体"/>
                <w:i w:val="0"/>
                <w:iCs w:val="0"/>
                <w:color w:val="auto"/>
                <w:kern w:val="0"/>
                <w:sz w:val="21"/>
                <w:szCs w:val="21"/>
                <w:highlight w:val="none"/>
                <w:lang w:val="en-US" w:eastAsia="zh-CN" w:bidi="ar"/>
                <w:woUserID w:val="2"/>
              </w:rPr>
              <w:br w:type="textWrapping"/>
            </w:r>
            <w:r>
              <w:rPr>
                <w:rFonts w:hint="eastAsia" w:ascii="宋体" w:hAnsi="宋体" w:eastAsia="宋体" w:cs="宋体"/>
                <w:i w:val="0"/>
                <w:iCs w:val="0"/>
                <w:color w:val="auto"/>
                <w:kern w:val="0"/>
                <w:sz w:val="21"/>
                <w:szCs w:val="21"/>
                <w:highlight w:val="none"/>
                <w:lang w:val="en-US" w:eastAsia="zh-CN" w:bidi="ar"/>
                <w:woUserID w:val="2"/>
              </w:rPr>
              <w:t>功能能实现的得1分，不能实现的不得分。</w:t>
            </w:r>
          </w:p>
        </w:tc>
        <w:tc>
          <w:tcPr>
            <w:tcW w:w="882" w:type="dxa"/>
            <w:tcBorders>
              <w:tl2br w:val="nil"/>
              <w:tr2bl w:val="nil"/>
            </w:tcBorders>
            <w:shd w:val="clear" w:color="auto" w:fill="auto"/>
            <w:vAlign w:val="center"/>
          </w:tcPr>
          <w:p w14:paraId="18343EB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lang w:val="en-US" w:eastAsia="zh-CN" w:bidi="ar"/>
              </w:rPr>
              <w:t>1</w:t>
            </w:r>
          </w:p>
        </w:tc>
        <w:tc>
          <w:tcPr>
            <w:tcW w:w="1085" w:type="dxa"/>
            <w:vMerge w:val="continue"/>
            <w:tcBorders>
              <w:tl2br w:val="nil"/>
              <w:tr2bl w:val="nil"/>
            </w:tcBorders>
            <w:shd w:val="clear" w:color="auto" w:fill="auto"/>
            <w:vAlign w:val="center"/>
          </w:tcPr>
          <w:p w14:paraId="1E08B4E3">
            <w:pPr>
              <w:pStyle w:val="516"/>
              <w:keepNext w:val="0"/>
              <w:keepLines w:val="0"/>
              <w:pageBreakBefore w:val="0"/>
              <w:suppressLineNumbers w:val="0"/>
              <w:kinsoku/>
              <w:overflowPunct/>
              <w:topLinePunct w:val="0"/>
              <w:bidi w:val="0"/>
              <w:adjustRightInd w:val="0"/>
              <w:snapToGrid w:val="0"/>
              <w:spacing w:before="0" w:beforeAutospacing="0" w:after="0" w:afterAutospacing="0" w:line="336" w:lineRule="auto"/>
              <w:ind w:left="0" w:leftChars="0" w:right="0" w:firstLine="0" w:firstLineChars="0"/>
              <w:jc w:val="center"/>
              <w:rPr>
                <w:rFonts w:hint="eastAsia" w:ascii="宋体" w:hAnsi="宋体" w:eastAsia="宋体" w:cs="宋体"/>
                <w:color w:val="auto"/>
                <w:sz w:val="21"/>
                <w:szCs w:val="21"/>
                <w:highlight w:val="none"/>
                <w:lang w:val="en-US" w:eastAsia="zh-CN"/>
              </w:rPr>
            </w:pPr>
          </w:p>
        </w:tc>
      </w:tr>
      <w:tr w14:paraId="3354456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755" w:type="dxa"/>
            <w:vMerge w:val="continue"/>
            <w:tcBorders>
              <w:tl2br w:val="nil"/>
              <w:tr2bl w:val="nil"/>
            </w:tcBorders>
            <w:vAlign w:val="center"/>
          </w:tcPr>
          <w:p w14:paraId="393A6B07">
            <w:pPr>
              <w:keepNext w:val="0"/>
              <w:keepLines w:val="0"/>
              <w:pageBreakBefore w:val="0"/>
              <w:suppressLineNumbers w:val="0"/>
              <w:kinsoku/>
              <w:wordWrap/>
              <w:overflowPunct/>
              <w:topLinePunct w:val="0"/>
              <w:autoSpaceDE/>
              <w:autoSpaceDN/>
              <w:bidi w:val="0"/>
              <w:adjustRightInd w:val="0"/>
              <w:snapToGrid w:val="0"/>
              <w:spacing w:before="2" w:beforeAutospacing="0" w:after="2" w:afterAutospacing="0" w:line="360" w:lineRule="auto"/>
              <w:ind w:left="21" w:leftChars="0" w:right="57" w:firstLine="0" w:firstLineChars="0"/>
              <w:jc w:val="center"/>
              <w:textAlignment w:val="auto"/>
              <w:rPr>
                <w:rFonts w:hint="eastAsia" w:ascii="宋体" w:hAnsi="宋体" w:eastAsia="宋体" w:cs="宋体"/>
                <w:color w:val="auto"/>
                <w:sz w:val="21"/>
                <w:szCs w:val="21"/>
                <w:highlight w:val="none"/>
                <w:lang w:val="en-US" w:eastAsia="zh-CN"/>
              </w:rPr>
            </w:pPr>
          </w:p>
        </w:tc>
        <w:tc>
          <w:tcPr>
            <w:tcW w:w="1251" w:type="dxa"/>
            <w:vMerge w:val="continue"/>
            <w:tcBorders>
              <w:tl2br w:val="nil"/>
              <w:tr2bl w:val="nil"/>
            </w:tcBorders>
            <w:shd w:val="clear" w:color="auto" w:fill="auto"/>
            <w:vAlign w:val="center"/>
          </w:tcPr>
          <w:p w14:paraId="273130A4">
            <w:pPr>
              <w:pStyle w:val="516"/>
              <w:keepNext w:val="0"/>
              <w:keepLines w:val="0"/>
              <w:pageBreakBefore w:val="0"/>
              <w:suppressLineNumbers w:val="0"/>
              <w:kinsoku/>
              <w:overflowPunct/>
              <w:topLinePunct w:val="0"/>
              <w:bidi w:val="0"/>
              <w:adjustRightInd w:val="0"/>
              <w:snapToGrid w:val="0"/>
              <w:spacing w:before="0" w:beforeAutospacing="0" w:after="0" w:afterAutospacing="0" w:line="336" w:lineRule="auto"/>
              <w:ind w:left="0" w:leftChars="0" w:right="0" w:firstLine="0" w:firstLineChars="0"/>
              <w:rPr>
                <w:rFonts w:hint="eastAsia" w:ascii="宋体" w:hAnsi="宋体" w:eastAsia="宋体" w:cs="宋体"/>
                <w:i w:val="0"/>
                <w:iCs w:val="0"/>
                <w:caps w:val="0"/>
                <w:color w:val="auto"/>
                <w:spacing w:val="-5"/>
                <w:sz w:val="21"/>
                <w:szCs w:val="21"/>
                <w:highlight w:val="none"/>
              </w:rPr>
            </w:pPr>
          </w:p>
        </w:tc>
        <w:tc>
          <w:tcPr>
            <w:tcW w:w="5385" w:type="dxa"/>
            <w:tcBorders>
              <w:tl2br w:val="nil"/>
              <w:tr2bl w:val="nil"/>
            </w:tcBorders>
            <w:shd w:val="clear" w:color="auto" w:fill="auto"/>
            <w:vAlign w:val="center"/>
          </w:tcPr>
          <w:p w14:paraId="5FB0F43A">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2"/>
                <w:sz w:val="21"/>
                <w:szCs w:val="21"/>
                <w:highlight w:val="none"/>
                <w:lang w:val="en-US" w:eastAsia="zh-CN" w:bidi="ar-SA"/>
                <w:woUserID w:val="2"/>
              </w:rPr>
            </w:pPr>
            <w:r>
              <w:rPr>
                <w:rFonts w:hint="eastAsia" w:ascii="宋体" w:hAnsi="宋体" w:eastAsia="宋体" w:cs="宋体"/>
                <w:i w:val="0"/>
                <w:iCs w:val="0"/>
                <w:color w:val="auto"/>
                <w:kern w:val="0"/>
                <w:sz w:val="21"/>
                <w:szCs w:val="21"/>
                <w:highlight w:val="none"/>
                <w:lang w:val="en-US" w:eastAsia="zh-CN" w:bidi="ar"/>
                <w:woUserID w:val="2"/>
              </w:rPr>
              <w:t>3</w:t>
            </w:r>
            <w:r>
              <w:rPr>
                <w:rFonts w:hint="eastAsia" w:ascii="宋体" w:hAnsi="宋体" w:cs="宋体"/>
                <w:i w:val="0"/>
                <w:iCs w:val="0"/>
                <w:color w:val="auto"/>
                <w:kern w:val="0"/>
                <w:sz w:val="21"/>
                <w:szCs w:val="21"/>
                <w:highlight w:val="none"/>
                <w:lang w:val="en-US" w:eastAsia="zh-CN" w:bidi="ar"/>
                <w:woUserID w:val="2"/>
              </w:rPr>
              <w:t>.</w:t>
            </w:r>
            <w:r>
              <w:rPr>
                <w:rFonts w:hint="eastAsia" w:ascii="宋体" w:hAnsi="宋体" w:eastAsia="宋体" w:cs="宋体"/>
                <w:i w:val="0"/>
                <w:iCs w:val="0"/>
                <w:color w:val="auto"/>
                <w:kern w:val="0"/>
                <w:sz w:val="21"/>
                <w:szCs w:val="21"/>
                <w:highlight w:val="none"/>
                <w:lang w:val="en-US" w:eastAsia="zh-CN" w:bidi="ar"/>
                <w:woUserID w:val="2"/>
              </w:rPr>
              <w:t>我要问</w:t>
            </w:r>
            <w:r>
              <w:rPr>
                <w:rFonts w:hint="eastAsia" w:ascii="宋体" w:hAnsi="宋体" w:eastAsia="宋体" w:cs="宋体"/>
                <w:i w:val="0"/>
                <w:iCs w:val="0"/>
                <w:color w:val="auto"/>
                <w:kern w:val="0"/>
                <w:sz w:val="21"/>
                <w:szCs w:val="21"/>
                <w:highlight w:val="none"/>
                <w:lang w:val="en-US" w:eastAsia="zh-CN" w:bidi="ar"/>
                <w:woUserID w:val="2"/>
              </w:rPr>
              <w:br w:type="textWrapping"/>
            </w:r>
            <w:r>
              <w:rPr>
                <w:rFonts w:hint="eastAsia" w:ascii="宋体" w:hAnsi="宋体" w:eastAsia="宋体" w:cs="宋体"/>
                <w:i w:val="0"/>
                <w:iCs w:val="0"/>
                <w:color w:val="auto"/>
                <w:kern w:val="0"/>
                <w:sz w:val="21"/>
                <w:szCs w:val="21"/>
                <w:highlight w:val="none"/>
                <w:lang w:val="en-US" w:eastAsia="zh-CN" w:bidi="ar"/>
                <w:woUserID w:val="2"/>
              </w:rPr>
              <w:t>跳转AI智能问答模块，支持政策AI快速问答。</w:t>
            </w:r>
            <w:r>
              <w:rPr>
                <w:rFonts w:hint="eastAsia" w:ascii="宋体" w:hAnsi="宋体" w:eastAsia="宋体" w:cs="宋体"/>
                <w:i w:val="0"/>
                <w:iCs w:val="0"/>
                <w:color w:val="auto"/>
                <w:kern w:val="0"/>
                <w:sz w:val="21"/>
                <w:szCs w:val="21"/>
                <w:highlight w:val="none"/>
                <w:lang w:val="en-US" w:eastAsia="zh-CN" w:bidi="ar"/>
                <w:woUserID w:val="2"/>
              </w:rPr>
              <w:br w:type="textWrapping"/>
            </w:r>
            <w:r>
              <w:rPr>
                <w:rFonts w:hint="eastAsia" w:ascii="宋体" w:hAnsi="宋体" w:eastAsia="宋体" w:cs="宋体"/>
                <w:i w:val="0"/>
                <w:iCs w:val="0"/>
                <w:color w:val="auto"/>
                <w:kern w:val="0"/>
                <w:sz w:val="21"/>
                <w:szCs w:val="21"/>
                <w:highlight w:val="none"/>
                <w:lang w:val="en-US" w:eastAsia="zh-CN" w:bidi="ar"/>
                <w:woUserID w:val="2"/>
              </w:rPr>
              <w:t>功能能实现的得1分，不能实现的不得分。</w:t>
            </w:r>
          </w:p>
        </w:tc>
        <w:tc>
          <w:tcPr>
            <w:tcW w:w="882" w:type="dxa"/>
            <w:tcBorders>
              <w:tl2br w:val="nil"/>
              <w:tr2bl w:val="nil"/>
            </w:tcBorders>
            <w:shd w:val="clear" w:color="auto" w:fill="auto"/>
            <w:vAlign w:val="center"/>
          </w:tcPr>
          <w:p w14:paraId="01C05DE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lang w:val="en-US" w:eastAsia="zh-CN" w:bidi="ar"/>
              </w:rPr>
              <w:t>1</w:t>
            </w:r>
          </w:p>
        </w:tc>
        <w:tc>
          <w:tcPr>
            <w:tcW w:w="1085" w:type="dxa"/>
            <w:vMerge w:val="continue"/>
            <w:tcBorders>
              <w:tl2br w:val="nil"/>
              <w:tr2bl w:val="nil"/>
            </w:tcBorders>
            <w:shd w:val="clear" w:color="auto" w:fill="auto"/>
            <w:vAlign w:val="center"/>
          </w:tcPr>
          <w:p w14:paraId="132EC8C6">
            <w:pPr>
              <w:pStyle w:val="516"/>
              <w:keepNext w:val="0"/>
              <w:keepLines w:val="0"/>
              <w:pageBreakBefore w:val="0"/>
              <w:suppressLineNumbers w:val="0"/>
              <w:kinsoku/>
              <w:overflowPunct/>
              <w:topLinePunct w:val="0"/>
              <w:bidi w:val="0"/>
              <w:adjustRightInd w:val="0"/>
              <w:snapToGrid w:val="0"/>
              <w:spacing w:before="0" w:beforeAutospacing="0" w:after="0" w:afterAutospacing="0" w:line="336" w:lineRule="auto"/>
              <w:ind w:left="0" w:leftChars="0" w:right="0" w:firstLine="0" w:firstLineChars="0"/>
              <w:jc w:val="center"/>
              <w:rPr>
                <w:rFonts w:hint="eastAsia" w:ascii="宋体" w:hAnsi="宋体" w:eastAsia="宋体" w:cs="宋体"/>
                <w:color w:val="auto"/>
                <w:sz w:val="21"/>
                <w:szCs w:val="21"/>
                <w:highlight w:val="none"/>
                <w:lang w:val="en-US" w:eastAsia="zh-CN"/>
              </w:rPr>
            </w:pPr>
          </w:p>
        </w:tc>
      </w:tr>
      <w:tr w14:paraId="742812F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755" w:type="dxa"/>
            <w:vMerge w:val="continue"/>
            <w:tcBorders>
              <w:tl2br w:val="nil"/>
              <w:tr2bl w:val="nil"/>
            </w:tcBorders>
            <w:vAlign w:val="center"/>
          </w:tcPr>
          <w:p w14:paraId="1C5E8960">
            <w:pPr>
              <w:keepNext w:val="0"/>
              <w:keepLines w:val="0"/>
              <w:pageBreakBefore w:val="0"/>
              <w:suppressLineNumbers w:val="0"/>
              <w:kinsoku/>
              <w:wordWrap/>
              <w:overflowPunct/>
              <w:topLinePunct w:val="0"/>
              <w:autoSpaceDE/>
              <w:autoSpaceDN/>
              <w:bidi w:val="0"/>
              <w:adjustRightInd w:val="0"/>
              <w:snapToGrid w:val="0"/>
              <w:spacing w:before="2" w:beforeAutospacing="0" w:after="2" w:afterAutospacing="0" w:line="360" w:lineRule="auto"/>
              <w:ind w:left="21" w:leftChars="0" w:right="57" w:firstLine="0" w:firstLineChars="0"/>
              <w:jc w:val="center"/>
              <w:textAlignment w:val="auto"/>
              <w:rPr>
                <w:rFonts w:hint="eastAsia" w:ascii="宋体" w:hAnsi="宋体" w:eastAsia="宋体" w:cs="宋体"/>
                <w:color w:val="auto"/>
                <w:sz w:val="21"/>
                <w:szCs w:val="21"/>
                <w:highlight w:val="none"/>
                <w:lang w:val="en-US" w:eastAsia="zh-CN"/>
              </w:rPr>
            </w:pPr>
          </w:p>
        </w:tc>
        <w:tc>
          <w:tcPr>
            <w:tcW w:w="1251" w:type="dxa"/>
            <w:vMerge w:val="continue"/>
            <w:tcBorders>
              <w:tl2br w:val="nil"/>
              <w:tr2bl w:val="nil"/>
            </w:tcBorders>
            <w:shd w:val="clear" w:color="auto" w:fill="auto"/>
            <w:vAlign w:val="center"/>
          </w:tcPr>
          <w:p w14:paraId="2C288AD5">
            <w:pPr>
              <w:pStyle w:val="516"/>
              <w:keepNext w:val="0"/>
              <w:keepLines w:val="0"/>
              <w:pageBreakBefore w:val="0"/>
              <w:suppressLineNumbers w:val="0"/>
              <w:kinsoku/>
              <w:overflowPunct/>
              <w:topLinePunct w:val="0"/>
              <w:bidi w:val="0"/>
              <w:adjustRightInd w:val="0"/>
              <w:snapToGrid w:val="0"/>
              <w:spacing w:before="0" w:beforeAutospacing="0" w:after="0" w:afterAutospacing="0" w:line="336" w:lineRule="auto"/>
              <w:ind w:left="0" w:leftChars="0" w:right="0" w:firstLine="0" w:firstLineChars="0"/>
              <w:rPr>
                <w:rFonts w:hint="eastAsia" w:ascii="宋体" w:hAnsi="宋体" w:eastAsia="宋体" w:cs="宋体"/>
                <w:i w:val="0"/>
                <w:iCs w:val="0"/>
                <w:caps w:val="0"/>
                <w:color w:val="auto"/>
                <w:spacing w:val="-5"/>
                <w:sz w:val="21"/>
                <w:szCs w:val="21"/>
                <w:highlight w:val="none"/>
              </w:rPr>
            </w:pPr>
          </w:p>
        </w:tc>
        <w:tc>
          <w:tcPr>
            <w:tcW w:w="5385" w:type="dxa"/>
            <w:tcBorders>
              <w:tl2br w:val="nil"/>
              <w:tr2bl w:val="nil"/>
            </w:tcBorders>
            <w:shd w:val="clear" w:color="auto" w:fill="auto"/>
            <w:vAlign w:val="center"/>
          </w:tcPr>
          <w:p w14:paraId="5BA8EB46">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2"/>
                <w:sz w:val="21"/>
                <w:szCs w:val="21"/>
                <w:highlight w:val="none"/>
                <w:lang w:val="en-US" w:eastAsia="zh-CN" w:bidi="ar-SA"/>
                <w:woUserID w:val="2"/>
              </w:rPr>
            </w:pPr>
            <w:r>
              <w:rPr>
                <w:rFonts w:hint="eastAsia" w:ascii="宋体" w:hAnsi="宋体" w:eastAsia="宋体" w:cs="宋体"/>
                <w:i w:val="0"/>
                <w:iCs w:val="0"/>
                <w:color w:val="auto"/>
                <w:kern w:val="0"/>
                <w:sz w:val="21"/>
                <w:szCs w:val="21"/>
                <w:highlight w:val="none"/>
                <w:lang w:val="en-US" w:eastAsia="zh-CN" w:bidi="ar"/>
                <w:woUserID w:val="2"/>
              </w:rPr>
              <w:t>工具箱</w:t>
            </w:r>
            <w:r>
              <w:rPr>
                <w:rFonts w:hint="eastAsia" w:ascii="宋体" w:hAnsi="宋体" w:eastAsia="宋体" w:cs="宋体"/>
                <w:i w:val="0"/>
                <w:iCs w:val="0"/>
                <w:color w:val="auto"/>
                <w:kern w:val="0"/>
                <w:sz w:val="21"/>
                <w:szCs w:val="21"/>
                <w:highlight w:val="none"/>
                <w:lang w:val="en-US" w:eastAsia="zh-CN" w:bidi="ar"/>
                <w:woUserID w:val="2"/>
              </w:rPr>
              <w:br w:type="textWrapping"/>
            </w:r>
            <w:r>
              <w:rPr>
                <w:rFonts w:hint="eastAsia" w:ascii="宋体" w:hAnsi="宋体" w:eastAsia="宋体" w:cs="宋体"/>
                <w:i w:val="0"/>
                <w:iCs w:val="0"/>
                <w:color w:val="auto"/>
                <w:kern w:val="0"/>
                <w:sz w:val="21"/>
                <w:szCs w:val="21"/>
                <w:highlight w:val="none"/>
                <w:lang w:val="en-US" w:eastAsia="zh-CN" w:bidi="ar"/>
                <w:woUserID w:val="2"/>
              </w:rPr>
              <w:t>1</w:t>
            </w:r>
            <w:r>
              <w:rPr>
                <w:rFonts w:hint="eastAsia" w:ascii="宋体" w:hAnsi="宋体" w:cs="宋体"/>
                <w:i w:val="0"/>
                <w:iCs w:val="0"/>
                <w:color w:val="auto"/>
                <w:kern w:val="0"/>
                <w:sz w:val="21"/>
                <w:szCs w:val="21"/>
                <w:highlight w:val="none"/>
                <w:lang w:val="en-US" w:eastAsia="zh-CN" w:bidi="ar"/>
                <w:woUserID w:val="2"/>
              </w:rPr>
              <w:t>.</w:t>
            </w:r>
            <w:r>
              <w:rPr>
                <w:rFonts w:hint="eastAsia" w:ascii="宋体" w:hAnsi="宋体" w:eastAsia="宋体" w:cs="宋体"/>
                <w:i w:val="0"/>
                <w:iCs w:val="0"/>
                <w:color w:val="auto"/>
                <w:kern w:val="0"/>
                <w:sz w:val="21"/>
                <w:szCs w:val="21"/>
                <w:highlight w:val="none"/>
                <w:lang w:val="en-US" w:eastAsia="zh-CN" w:bidi="ar"/>
                <w:woUserID w:val="2"/>
              </w:rPr>
              <w:t>政策文件查询</w:t>
            </w:r>
            <w:r>
              <w:rPr>
                <w:rFonts w:hint="eastAsia" w:ascii="宋体" w:hAnsi="宋体" w:eastAsia="宋体" w:cs="宋体"/>
                <w:i w:val="0"/>
                <w:iCs w:val="0"/>
                <w:color w:val="auto"/>
                <w:kern w:val="0"/>
                <w:sz w:val="21"/>
                <w:szCs w:val="21"/>
                <w:highlight w:val="none"/>
                <w:lang w:val="en-US" w:eastAsia="zh-CN" w:bidi="ar"/>
                <w:woUserID w:val="2"/>
              </w:rPr>
              <w:br w:type="textWrapping"/>
            </w:r>
            <w:r>
              <w:rPr>
                <w:rFonts w:hint="eastAsia" w:ascii="宋体" w:hAnsi="宋体" w:eastAsia="宋体" w:cs="宋体"/>
                <w:i w:val="0"/>
                <w:iCs w:val="0"/>
                <w:color w:val="auto"/>
                <w:kern w:val="0"/>
                <w:sz w:val="21"/>
                <w:szCs w:val="21"/>
                <w:highlight w:val="none"/>
                <w:lang w:val="en-US" w:eastAsia="zh-CN" w:bidi="ar"/>
                <w:woUserID w:val="2"/>
              </w:rPr>
              <w:t>提供政策文件查询服务，用户可按地区、日期、类型、发文机构等条件筛选，或直接按政策名称快速检索。系统以列表形式展示政策标题、类型、发文单位、发布时间等信息并按时间排序，点击可查看政策基本信息、原文、快照等详情。同时支持政策链接分享与收藏功能，方便后续查阅。依托 AI 大模型对政策原文进行智能总结、解读与分析。</w:t>
            </w:r>
            <w:r>
              <w:rPr>
                <w:rFonts w:hint="eastAsia" w:ascii="宋体" w:hAnsi="宋体" w:eastAsia="宋体" w:cs="宋体"/>
                <w:i w:val="0"/>
                <w:iCs w:val="0"/>
                <w:color w:val="auto"/>
                <w:kern w:val="0"/>
                <w:sz w:val="21"/>
                <w:szCs w:val="21"/>
                <w:highlight w:val="none"/>
                <w:lang w:val="en-US" w:eastAsia="zh-CN" w:bidi="ar"/>
                <w:woUserID w:val="2"/>
              </w:rPr>
              <w:br w:type="textWrapping"/>
            </w:r>
            <w:r>
              <w:rPr>
                <w:rFonts w:hint="eastAsia" w:ascii="宋体" w:hAnsi="宋体" w:eastAsia="宋体" w:cs="宋体"/>
                <w:i w:val="0"/>
                <w:iCs w:val="0"/>
                <w:color w:val="auto"/>
                <w:kern w:val="0"/>
                <w:sz w:val="21"/>
                <w:szCs w:val="21"/>
                <w:highlight w:val="none"/>
                <w:lang w:val="en-US" w:eastAsia="zh-CN" w:bidi="ar"/>
                <w:woUserID w:val="2"/>
              </w:rPr>
              <w:t>功能能实现的得1分，不能实现的不得分。</w:t>
            </w:r>
          </w:p>
        </w:tc>
        <w:tc>
          <w:tcPr>
            <w:tcW w:w="882" w:type="dxa"/>
            <w:tcBorders>
              <w:tl2br w:val="nil"/>
              <w:tr2bl w:val="nil"/>
            </w:tcBorders>
            <w:shd w:val="clear" w:color="auto" w:fill="auto"/>
            <w:vAlign w:val="center"/>
          </w:tcPr>
          <w:p w14:paraId="1BB3135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lang w:val="en-US" w:eastAsia="zh-CN" w:bidi="ar"/>
              </w:rPr>
              <w:t>1</w:t>
            </w:r>
          </w:p>
        </w:tc>
        <w:tc>
          <w:tcPr>
            <w:tcW w:w="1085" w:type="dxa"/>
            <w:vMerge w:val="continue"/>
            <w:tcBorders>
              <w:tl2br w:val="nil"/>
              <w:tr2bl w:val="nil"/>
            </w:tcBorders>
            <w:shd w:val="clear" w:color="auto" w:fill="auto"/>
            <w:vAlign w:val="center"/>
          </w:tcPr>
          <w:p w14:paraId="57B05FC0">
            <w:pPr>
              <w:pStyle w:val="516"/>
              <w:keepNext w:val="0"/>
              <w:keepLines w:val="0"/>
              <w:pageBreakBefore w:val="0"/>
              <w:suppressLineNumbers w:val="0"/>
              <w:kinsoku/>
              <w:overflowPunct/>
              <w:topLinePunct w:val="0"/>
              <w:bidi w:val="0"/>
              <w:adjustRightInd w:val="0"/>
              <w:snapToGrid w:val="0"/>
              <w:spacing w:before="0" w:beforeAutospacing="0" w:after="0" w:afterAutospacing="0" w:line="336" w:lineRule="auto"/>
              <w:ind w:left="0" w:leftChars="0" w:right="0" w:firstLine="0" w:firstLineChars="0"/>
              <w:jc w:val="center"/>
              <w:rPr>
                <w:rFonts w:hint="eastAsia" w:ascii="宋体" w:hAnsi="宋体" w:eastAsia="宋体" w:cs="宋体"/>
                <w:color w:val="auto"/>
                <w:sz w:val="21"/>
                <w:szCs w:val="21"/>
                <w:highlight w:val="none"/>
                <w:lang w:val="en-US" w:eastAsia="zh-CN"/>
              </w:rPr>
            </w:pPr>
          </w:p>
        </w:tc>
      </w:tr>
      <w:tr w14:paraId="3FDB6C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755" w:type="dxa"/>
            <w:vMerge w:val="continue"/>
            <w:tcBorders>
              <w:tl2br w:val="nil"/>
              <w:tr2bl w:val="nil"/>
            </w:tcBorders>
            <w:vAlign w:val="center"/>
          </w:tcPr>
          <w:p w14:paraId="7E6E52D4">
            <w:pPr>
              <w:keepNext w:val="0"/>
              <w:keepLines w:val="0"/>
              <w:pageBreakBefore w:val="0"/>
              <w:suppressLineNumbers w:val="0"/>
              <w:kinsoku/>
              <w:wordWrap/>
              <w:overflowPunct/>
              <w:topLinePunct w:val="0"/>
              <w:autoSpaceDE/>
              <w:autoSpaceDN/>
              <w:bidi w:val="0"/>
              <w:adjustRightInd w:val="0"/>
              <w:snapToGrid w:val="0"/>
              <w:spacing w:before="2" w:beforeAutospacing="0" w:after="2" w:afterAutospacing="0" w:line="360" w:lineRule="auto"/>
              <w:ind w:left="21" w:leftChars="0" w:right="57" w:firstLine="0" w:firstLineChars="0"/>
              <w:jc w:val="center"/>
              <w:textAlignment w:val="auto"/>
              <w:rPr>
                <w:rFonts w:hint="eastAsia" w:ascii="宋体" w:hAnsi="宋体" w:eastAsia="宋体" w:cs="宋体"/>
                <w:color w:val="auto"/>
                <w:sz w:val="21"/>
                <w:szCs w:val="21"/>
                <w:highlight w:val="none"/>
                <w:lang w:val="en-US" w:eastAsia="zh-CN"/>
              </w:rPr>
            </w:pPr>
          </w:p>
        </w:tc>
        <w:tc>
          <w:tcPr>
            <w:tcW w:w="1251" w:type="dxa"/>
            <w:vMerge w:val="continue"/>
            <w:tcBorders>
              <w:tl2br w:val="nil"/>
              <w:tr2bl w:val="nil"/>
            </w:tcBorders>
            <w:shd w:val="clear" w:color="auto" w:fill="auto"/>
            <w:vAlign w:val="center"/>
          </w:tcPr>
          <w:p w14:paraId="1304BFB3">
            <w:pPr>
              <w:pStyle w:val="516"/>
              <w:keepNext w:val="0"/>
              <w:keepLines w:val="0"/>
              <w:pageBreakBefore w:val="0"/>
              <w:suppressLineNumbers w:val="0"/>
              <w:kinsoku/>
              <w:overflowPunct/>
              <w:topLinePunct w:val="0"/>
              <w:bidi w:val="0"/>
              <w:adjustRightInd w:val="0"/>
              <w:snapToGrid w:val="0"/>
              <w:spacing w:before="0" w:beforeAutospacing="0" w:after="0" w:afterAutospacing="0" w:line="336" w:lineRule="auto"/>
              <w:ind w:left="0" w:leftChars="0" w:right="0" w:firstLine="0" w:firstLineChars="0"/>
              <w:rPr>
                <w:rFonts w:hint="eastAsia" w:ascii="宋体" w:hAnsi="宋体" w:eastAsia="宋体" w:cs="宋体"/>
                <w:i w:val="0"/>
                <w:iCs w:val="0"/>
                <w:caps w:val="0"/>
                <w:color w:val="auto"/>
                <w:spacing w:val="-5"/>
                <w:sz w:val="21"/>
                <w:szCs w:val="21"/>
                <w:highlight w:val="none"/>
              </w:rPr>
            </w:pPr>
          </w:p>
        </w:tc>
        <w:tc>
          <w:tcPr>
            <w:tcW w:w="5385" w:type="dxa"/>
            <w:tcBorders>
              <w:tl2br w:val="nil"/>
              <w:tr2bl w:val="nil"/>
            </w:tcBorders>
            <w:shd w:val="clear" w:color="auto" w:fill="auto"/>
            <w:vAlign w:val="center"/>
          </w:tcPr>
          <w:p w14:paraId="4FB59B35">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2"/>
                <w:sz w:val="21"/>
                <w:szCs w:val="21"/>
                <w:highlight w:val="none"/>
                <w:lang w:val="en-US" w:eastAsia="zh-CN" w:bidi="ar-SA"/>
                <w:woUserID w:val="2"/>
              </w:rPr>
            </w:pPr>
            <w:r>
              <w:rPr>
                <w:rFonts w:hint="eastAsia" w:ascii="宋体" w:hAnsi="宋体" w:eastAsia="宋体" w:cs="宋体"/>
                <w:i w:val="0"/>
                <w:iCs w:val="0"/>
                <w:color w:val="auto"/>
                <w:kern w:val="0"/>
                <w:sz w:val="21"/>
                <w:szCs w:val="21"/>
                <w:highlight w:val="none"/>
                <w:lang w:val="en-US" w:eastAsia="zh-CN" w:bidi="ar"/>
                <w:woUserID w:val="2"/>
              </w:rPr>
              <w:t>2</w:t>
            </w:r>
            <w:r>
              <w:rPr>
                <w:rFonts w:hint="eastAsia" w:ascii="宋体" w:hAnsi="宋体" w:cs="宋体"/>
                <w:i w:val="0"/>
                <w:iCs w:val="0"/>
                <w:color w:val="auto"/>
                <w:kern w:val="0"/>
                <w:sz w:val="21"/>
                <w:szCs w:val="21"/>
                <w:highlight w:val="none"/>
                <w:lang w:val="en-US" w:eastAsia="zh-CN" w:bidi="ar"/>
                <w:woUserID w:val="2"/>
              </w:rPr>
              <w:t>.</w:t>
            </w:r>
            <w:r>
              <w:rPr>
                <w:rFonts w:hint="eastAsia" w:ascii="宋体" w:hAnsi="宋体" w:eastAsia="宋体" w:cs="宋体"/>
                <w:i w:val="0"/>
                <w:iCs w:val="0"/>
                <w:color w:val="auto"/>
                <w:kern w:val="0"/>
                <w:sz w:val="21"/>
                <w:szCs w:val="21"/>
                <w:highlight w:val="none"/>
                <w:lang w:val="en-US" w:eastAsia="zh-CN" w:bidi="ar"/>
                <w:woUserID w:val="2"/>
              </w:rPr>
              <w:t>奖补项目查询</w:t>
            </w:r>
            <w:r>
              <w:rPr>
                <w:rFonts w:hint="eastAsia" w:ascii="宋体" w:hAnsi="宋体" w:eastAsia="宋体" w:cs="宋体"/>
                <w:i w:val="0"/>
                <w:iCs w:val="0"/>
                <w:color w:val="auto"/>
                <w:kern w:val="0"/>
                <w:sz w:val="21"/>
                <w:szCs w:val="21"/>
                <w:highlight w:val="none"/>
                <w:lang w:val="en-US" w:eastAsia="zh-CN" w:bidi="ar"/>
                <w:woUserID w:val="2"/>
              </w:rPr>
              <w:br w:type="textWrapping"/>
            </w:r>
            <w:r>
              <w:rPr>
                <w:rFonts w:hint="eastAsia" w:ascii="宋体" w:hAnsi="宋体" w:eastAsia="宋体" w:cs="宋体"/>
                <w:i w:val="0"/>
                <w:iCs w:val="0"/>
                <w:color w:val="auto"/>
                <w:kern w:val="0"/>
                <w:sz w:val="21"/>
                <w:szCs w:val="21"/>
                <w:highlight w:val="none"/>
                <w:lang w:val="en-US" w:eastAsia="zh-CN" w:bidi="ar"/>
                <w:woUserID w:val="2"/>
              </w:rPr>
              <w:t>提供奖补项目查询功能，用户可按省市地区、部门类型、项目级别等标签筛选项目，也可直接搜索项目名称快速定位目标项目。系统以列表形式展示项目，包含项目名称、级别、认定单位、有效期等信息；点击可查看项目基本信息、项目介绍、申报条件、历史获批名单及相关政策等详情。同时支持项目链接分享和收藏功能，方便用户后续快速查阅。</w:t>
            </w:r>
            <w:r>
              <w:rPr>
                <w:rFonts w:hint="eastAsia" w:ascii="宋体" w:hAnsi="宋体" w:eastAsia="宋体" w:cs="宋体"/>
                <w:i w:val="0"/>
                <w:iCs w:val="0"/>
                <w:color w:val="auto"/>
                <w:kern w:val="0"/>
                <w:sz w:val="21"/>
                <w:szCs w:val="21"/>
                <w:highlight w:val="none"/>
                <w:lang w:val="en-US" w:eastAsia="zh-CN" w:bidi="ar"/>
                <w:woUserID w:val="2"/>
              </w:rPr>
              <w:br w:type="textWrapping"/>
            </w:r>
            <w:r>
              <w:rPr>
                <w:rFonts w:hint="eastAsia" w:ascii="宋体" w:hAnsi="宋体" w:eastAsia="宋体" w:cs="宋体"/>
                <w:i w:val="0"/>
                <w:iCs w:val="0"/>
                <w:color w:val="auto"/>
                <w:kern w:val="0"/>
                <w:sz w:val="21"/>
                <w:szCs w:val="21"/>
                <w:highlight w:val="none"/>
                <w:lang w:val="en-US" w:eastAsia="zh-CN" w:bidi="ar"/>
                <w:woUserID w:val="2"/>
              </w:rPr>
              <w:t>功能能实现的得1分，不能实现的不得分。</w:t>
            </w:r>
          </w:p>
        </w:tc>
        <w:tc>
          <w:tcPr>
            <w:tcW w:w="882" w:type="dxa"/>
            <w:tcBorders>
              <w:tl2br w:val="nil"/>
              <w:tr2bl w:val="nil"/>
            </w:tcBorders>
            <w:shd w:val="clear" w:color="auto" w:fill="auto"/>
            <w:vAlign w:val="center"/>
          </w:tcPr>
          <w:p w14:paraId="706A438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lang w:val="en-US" w:eastAsia="zh-CN" w:bidi="ar"/>
              </w:rPr>
              <w:t>1</w:t>
            </w:r>
          </w:p>
        </w:tc>
        <w:tc>
          <w:tcPr>
            <w:tcW w:w="1085" w:type="dxa"/>
            <w:vMerge w:val="continue"/>
            <w:tcBorders>
              <w:tl2br w:val="nil"/>
              <w:tr2bl w:val="nil"/>
            </w:tcBorders>
            <w:shd w:val="clear" w:color="auto" w:fill="auto"/>
            <w:vAlign w:val="center"/>
          </w:tcPr>
          <w:p w14:paraId="097C8F7A">
            <w:pPr>
              <w:pStyle w:val="516"/>
              <w:keepNext w:val="0"/>
              <w:keepLines w:val="0"/>
              <w:pageBreakBefore w:val="0"/>
              <w:suppressLineNumbers w:val="0"/>
              <w:kinsoku/>
              <w:overflowPunct/>
              <w:topLinePunct w:val="0"/>
              <w:bidi w:val="0"/>
              <w:adjustRightInd w:val="0"/>
              <w:snapToGrid w:val="0"/>
              <w:spacing w:before="0" w:beforeAutospacing="0" w:after="0" w:afterAutospacing="0" w:line="336" w:lineRule="auto"/>
              <w:ind w:left="0" w:leftChars="0" w:right="0" w:firstLine="0" w:firstLineChars="0"/>
              <w:jc w:val="center"/>
              <w:rPr>
                <w:rFonts w:hint="eastAsia" w:ascii="宋体" w:hAnsi="宋体" w:eastAsia="宋体" w:cs="宋体"/>
                <w:color w:val="auto"/>
                <w:sz w:val="21"/>
                <w:szCs w:val="21"/>
                <w:highlight w:val="none"/>
                <w:lang w:val="en-US" w:eastAsia="zh-CN"/>
              </w:rPr>
            </w:pPr>
          </w:p>
        </w:tc>
      </w:tr>
      <w:tr w14:paraId="2327A8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755" w:type="dxa"/>
            <w:vMerge w:val="continue"/>
            <w:tcBorders>
              <w:tl2br w:val="nil"/>
              <w:tr2bl w:val="nil"/>
            </w:tcBorders>
            <w:vAlign w:val="center"/>
          </w:tcPr>
          <w:p w14:paraId="1B5D4794">
            <w:pPr>
              <w:keepNext w:val="0"/>
              <w:keepLines w:val="0"/>
              <w:pageBreakBefore w:val="0"/>
              <w:suppressLineNumbers w:val="0"/>
              <w:kinsoku/>
              <w:wordWrap/>
              <w:overflowPunct/>
              <w:topLinePunct w:val="0"/>
              <w:autoSpaceDE/>
              <w:autoSpaceDN/>
              <w:bidi w:val="0"/>
              <w:adjustRightInd w:val="0"/>
              <w:snapToGrid w:val="0"/>
              <w:spacing w:before="2" w:beforeAutospacing="0" w:after="2" w:afterAutospacing="0" w:line="360" w:lineRule="auto"/>
              <w:ind w:left="21" w:leftChars="0" w:right="57" w:firstLine="0" w:firstLineChars="0"/>
              <w:jc w:val="center"/>
              <w:textAlignment w:val="auto"/>
              <w:rPr>
                <w:rFonts w:hint="eastAsia" w:ascii="宋体" w:hAnsi="宋体" w:eastAsia="宋体" w:cs="宋体"/>
                <w:color w:val="auto"/>
                <w:sz w:val="21"/>
                <w:szCs w:val="21"/>
                <w:highlight w:val="none"/>
                <w:lang w:val="en-US" w:eastAsia="zh-CN"/>
              </w:rPr>
            </w:pPr>
          </w:p>
        </w:tc>
        <w:tc>
          <w:tcPr>
            <w:tcW w:w="1251" w:type="dxa"/>
            <w:vMerge w:val="continue"/>
            <w:tcBorders>
              <w:tl2br w:val="nil"/>
              <w:tr2bl w:val="nil"/>
            </w:tcBorders>
            <w:shd w:val="clear" w:color="auto" w:fill="auto"/>
            <w:vAlign w:val="center"/>
          </w:tcPr>
          <w:p w14:paraId="4F87A731">
            <w:pPr>
              <w:pStyle w:val="516"/>
              <w:keepNext w:val="0"/>
              <w:keepLines w:val="0"/>
              <w:pageBreakBefore w:val="0"/>
              <w:suppressLineNumbers w:val="0"/>
              <w:kinsoku/>
              <w:overflowPunct/>
              <w:topLinePunct w:val="0"/>
              <w:bidi w:val="0"/>
              <w:adjustRightInd w:val="0"/>
              <w:snapToGrid w:val="0"/>
              <w:spacing w:before="0" w:beforeAutospacing="0" w:after="0" w:afterAutospacing="0" w:line="336" w:lineRule="auto"/>
              <w:ind w:left="0" w:leftChars="0" w:right="0" w:firstLine="0" w:firstLineChars="0"/>
              <w:rPr>
                <w:rFonts w:hint="eastAsia" w:ascii="宋体" w:hAnsi="宋体" w:eastAsia="宋体" w:cs="宋体"/>
                <w:i w:val="0"/>
                <w:iCs w:val="0"/>
                <w:caps w:val="0"/>
                <w:color w:val="auto"/>
                <w:spacing w:val="-5"/>
                <w:sz w:val="21"/>
                <w:szCs w:val="21"/>
                <w:highlight w:val="none"/>
              </w:rPr>
            </w:pPr>
          </w:p>
        </w:tc>
        <w:tc>
          <w:tcPr>
            <w:tcW w:w="5385" w:type="dxa"/>
            <w:tcBorders>
              <w:tl2br w:val="nil"/>
              <w:tr2bl w:val="nil"/>
            </w:tcBorders>
            <w:shd w:val="clear" w:color="auto" w:fill="auto"/>
            <w:vAlign w:val="center"/>
          </w:tcPr>
          <w:p w14:paraId="6F4D2DE4">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2"/>
                <w:sz w:val="21"/>
                <w:szCs w:val="21"/>
                <w:highlight w:val="none"/>
                <w:lang w:val="en-US" w:eastAsia="zh-CN" w:bidi="ar-SA"/>
                <w:woUserID w:val="2"/>
              </w:rPr>
            </w:pPr>
            <w:r>
              <w:rPr>
                <w:rFonts w:hint="eastAsia" w:ascii="宋体" w:hAnsi="宋体" w:eastAsia="宋体" w:cs="宋体"/>
                <w:i w:val="0"/>
                <w:iCs w:val="0"/>
                <w:color w:val="auto"/>
                <w:kern w:val="0"/>
                <w:sz w:val="21"/>
                <w:szCs w:val="21"/>
                <w:highlight w:val="none"/>
                <w:lang w:val="en-US" w:eastAsia="zh-CN" w:bidi="ar"/>
                <w:woUserID w:val="2"/>
              </w:rPr>
              <w:t>3</w:t>
            </w:r>
            <w:r>
              <w:rPr>
                <w:rFonts w:hint="eastAsia" w:ascii="宋体" w:hAnsi="宋体" w:cs="宋体"/>
                <w:i w:val="0"/>
                <w:iCs w:val="0"/>
                <w:color w:val="auto"/>
                <w:kern w:val="0"/>
                <w:sz w:val="21"/>
                <w:szCs w:val="21"/>
                <w:highlight w:val="none"/>
                <w:lang w:val="en-US" w:eastAsia="zh-CN" w:bidi="ar"/>
                <w:woUserID w:val="2"/>
              </w:rPr>
              <w:t>.</w:t>
            </w:r>
            <w:r>
              <w:rPr>
                <w:rFonts w:hint="eastAsia" w:ascii="宋体" w:hAnsi="宋体" w:eastAsia="宋体" w:cs="宋体"/>
                <w:i w:val="0"/>
                <w:iCs w:val="0"/>
                <w:color w:val="auto"/>
                <w:kern w:val="0"/>
                <w:sz w:val="21"/>
                <w:szCs w:val="21"/>
                <w:highlight w:val="none"/>
                <w:lang w:val="en-US" w:eastAsia="zh-CN" w:bidi="ar"/>
                <w:woUserID w:val="2"/>
              </w:rPr>
              <w:t>申报规划</w:t>
            </w:r>
            <w:r>
              <w:rPr>
                <w:rFonts w:hint="eastAsia" w:ascii="宋体" w:hAnsi="宋体" w:eastAsia="宋体" w:cs="宋体"/>
                <w:i w:val="0"/>
                <w:iCs w:val="0"/>
                <w:color w:val="auto"/>
                <w:kern w:val="0"/>
                <w:sz w:val="21"/>
                <w:szCs w:val="21"/>
                <w:highlight w:val="none"/>
                <w:lang w:val="en-US" w:eastAsia="zh-CN" w:bidi="ar"/>
                <w:woUserID w:val="2"/>
              </w:rPr>
              <w:br w:type="textWrapping"/>
            </w:r>
            <w:r>
              <w:rPr>
                <w:rFonts w:hint="eastAsia" w:ascii="宋体" w:hAnsi="宋体" w:eastAsia="宋体" w:cs="宋体"/>
                <w:i w:val="0"/>
                <w:iCs w:val="0"/>
                <w:color w:val="auto"/>
                <w:kern w:val="0"/>
                <w:sz w:val="21"/>
                <w:szCs w:val="21"/>
                <w:highlight w:val="none"/>
                <w:lang w:val="en-US" w:eastAsia="zh-CN" w:bidi="ar"/>
                <w:woUserID w:val="2"/>
              </w:rPr>
              <w:t>构建企业成长培育体系，贴合政府重点企业培育方向，明确企业从初创期到成熟期的培育路径，确定整体培育大方向，为企业推荐适配的培育类项目。实时跟踪企业关键成长数据，用可视化方式展示指标完成情况，对未达标指标进行提醒</w:t>
            </w:r>
            <w:r>
              <w:rPr>
                <w:rFonts w:hint="eastAsia" w:ascii="宋体" w:hAnsi="宋体" w:cs="宋体"/>
                <w:i w:val="0"/>
                <w:iCs w:val="0"/>
                <w:color w:val="auto"/>
                <w:kern w:val="0"/>
                <w:sz w:val="21"/>
                <w:szCs w:val="21"/>
                <w:highlight w:val="none"/>
                <w:lang w:val="en-US" w:eastAsia="zh-CN" w:bidi="ar"/>
                <w:woUserID w:val="2"/>
              </w:rPr>
              <w:t>。</w:t>
            </w:r>
            <w:r>
              <w:rPr>
                <w:rFonts w:hint="eastAsia" w:ascii="宋体" w:hAnsi="宋体" w:eastAsia="宋体" w:cs="宋体"/>
                <w:i w:val="0"/>
                <w:iCs w:val="0"/>
                <w:color w:val="auto"/>
                <w:kern w:val="0"/>
                <w:sz w:val="21"/>
                <w:szCs w:val="21"/>
                <w:highlight w:val="none"/>
                <w:lang w:val="en-US" w:eastAsia="zh-CN" w:bidi="ar"/>
                <w:woUserID w:val="2"/>
              </w:rPr>
              <w:br w:type="textWrapping"/>
            </w:r>
            <w:r>
              <w:rPr>
                <w:rFonts w:hint="eastAsia" w:ascii="宋体" w:hAnsi="宋体" w:eastAsia="宋体" w:cs="宋体"/>
                <w:i w:val="0"/>
                <w:iCs w:val="0"/>
                <w:color w:val="auto"/>
                <w:kern w:val="0"/>
                <w:sz w:val="21"/>
                <w:szCs w:val="21"/>
                <w:highlight w:val="none"/>
                <w:lang w:val="en-US" w:eastAsia="zh-CN" w:bidi="ar"/>
                <w:woUserID w:val="2"/>
              </w:rPr>
              <w:t>功能能实现的得1分，不能实现的不得分。</w:t>
            </w:r>
          </w:p>
        </w:tc>
        <w:tc>
          <w:tcPr>
            <w:tcW w:w="882" w:type="dxa"/>
            <w:tcBorders>
              <w:tl2br w:val="nil"/>
              <w:tr2bl w:val="nil"/>
            </w:tcBorders>
            <w:shd w:val="clear" w:color="auto" w:fill="auto"/>
            <w:vAlign w:val="center"/>
          </w:tcPr>
          <w:p w14:paraId="721365D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lang w:val="en-US" w:eastAsia="zh-CN" w:bidi="ar"/>
              </w:rPr>
              <w:t>1</w:t>
            </w:r>
          </w:p>
        </w:tc>
        <w:tc>
          <w:tcPr>
            <w:tcW w:w="1085" w:type="dxa"/>
            <w:vMerge w:val="continue"/>
            <w:tcBorders>
              <w:tl2br w:val="nil"/>
              <w:tr2bl w:val="nil"/>
            </w:tcBorders>
            <w:shd w:val="clear" w:color="auto" w:fill="auto"/>
            <w:vAlign w:val="center"/>
          </w:tcPr>
          <w:p w14:paraId="5A38E6A3">
            <w:pPr>
              <w:pStyle w:val="516"/>
              <w:keepNext w:val="0"/>
              <w:keepLines w:val="0"/>
              <w:pageBreakBefore w:val="0"/>
              <w:suppressLineNumbers w:val="0"/>
              <w:kinsoku/>
              <w:overflowPunct/>
              <w:topLinePunct w:val="0"/>
              <w:bidi w:val="0"/>
              <w:adjustRightInd w:val="0"/>
              <w:snapToGrid w:val="0"/>
              <w:spacing w:before="0" w:beforeAutospacing="0" w:after="0" w:afterAutospacing="0" w:line="336" w:lineRule="auto"/>
              <w:ind w:left="0" w:leftChars="0" w:right="0" w:firstLine="0" w:firstLineChars="0"/>
              <w:jc w:val="center"/>
              <w:rPr>
                <w:rFonts w:hint="eastAsia" w:ascii="宋体" w:hAnsi="宋体" w:eastAsia="宋体" w:cs="宋体"/>
                <w:color w:val="auto"/>
                <w:sz w:val="21"/>
                <w:szCs w:val="21"/>
                <w:highlight w:val="none"/>
                <w:lang w:val="en-US" w:eastAsia="zh-CN"/>
              </w:rPr>
            </w:pPr>
          </w:p>
        </w:tc>
      </w:tr>
      <w:tr w14:paraId="3ACA73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755" w:type="dxa"/>
            <w:vMerge w:val="continue"/>
            <w:tcBorders>
              <w:tl2br w:val="nil"/>
              <w:tr2bl w:val="nil"/>
            </w:tcBorders>
            <w:vAlign w:val="center"/>
          </w:tcPr>
          <w:p w14:paraId="1363817A">
            <w:pPr>
              <w:keepNext w:val="0"/>
              <w:keepLines w:val="0"/>
              <w:pageBreakBefore w:val="0"/>
              <w:suppressLineNumbers w:val="0"/>
              <w:kinsoku/>
              <w:wordWrap/>
              <w:overflowPunct/>
              <w:topLinePunct w:val="0"/>
              <w:autoSpaceDE/>
              <w:autoSpaceDN/>
              <w:bidi w:val="0"/>
              <w:adjustRightInd w:val="0"/>
              <w:snapToGrid w:val="0"/>
              <w:spacing w:before="2" w:beforeAutospacing="0" w:after="2" w:afterAutospacing="0" w:line="360" w:lineRule="auto"/>
              <w:ind w:left="21" w:leftChars="0" w:right="57" w:firstLine="0" w:firstLineChars="0"/>
              <w:jc w:val="center"/>
              <w:textAlignment w:val="auto"/>
              <w:rPr>
                <w:rFonts w:hint="eastAsia" w:ascii="宋体" w:hAnsi="宋体" w:eastAsia="宋体" w:cs="宋体"/>
                <w:color w:val="auto"/>
                <w:sz w:val="21"/>
                <w:szCs w:val="21"/>
                <w:highlight w:val="none"/>
                <w:lang w:val="en-US" w:eastAsia="zh-CN"/>
              </w:rPr>
            </w:pPr>
          </w:p>
        </w:tc>
        <w:tc>
          <w:tcPr>
            <w:tcW w:w="1251" w:type="dxa"/>
            <w:vMerge w:val="continue"/>
            <w:tcBorders>
              <w:tl2br w:val="nil"/>
              <w:tr2bl w:val="nil"/>
            </w:tcBorders>
            <w:shd w:val="clear" w:color="auto" w:fill="auto"/>
            <w:vAlign w:val="center"/>
          </w:tcPr>
          <w:p w14:paraId="5399F766">
            <w:pPr>
              <w:pStyle w:val="516"/>
              <w:keepNext w:val="0"/>
              <w:keepLines w:val="0"/>
              <w:pageBreakBefore w:val="0"/>
              <w:suppressLineNumbers w:val="0"/>
              <w:kinsoku/>
              <w:overflowPunct/>
              <w:topLinePunct w:val="0"/>
              <w:bidi w:val="0"/>
              <w:adjustRightInd w:val="0"/>
              <w:snapToGrid w:val="0"/>
              <w:spacing w:before="0" w:beforeAutospacing="0" w:after="0" w:afterAutospacing="0" w:line="336" w:lineRule="auto"/>
              <w:ind w:left="0" w:leftChars="0" w:right="0" w:firstLine="0" w:firstLineChars="0"/>
              <w:rPr>
                <w:rFonts w:hint="eastAsia" w:ascii="宋体" w:hAnsi="宋体" w:eastAsia="宋体" w:cs="宋体"/>
                <w:i w:val="0"/>
                <w:iCs w:val="0"/>
                <w:caps w:val="0"/>
                <w:color w:val="auto"/>
                <w:spacing w:val="-5"/>
                <w:sz w:val="21"/>
                <w:szCs w:val="21"/>
                <w:highlight w:val="none"/>
              </w:rPr>
            </w:pPr>
          </w:p>
        </w:tc>
        <w:tc>
          <w:tcPr>
            <w:tcW w:w="5385" w:type="dxa"/>
            <w:tcBorders>
              <w:tl2br w:val="nil"/>
              <w:tr2bl w:val="nil"/>
            </w:tcBorders>
            <w:shd w:val="clear" w:color="auto" w:fill="auto"/>
            <w:vAlign w:val="center"/>
          </w:tcPr>
          <w:p w14:paraId="24CB84E8">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2"/>
                <w:sz w:val="21"/>
                <w:szCs w:val="21"/>
                <w:highlight w:val="none"/>
                <w:lang w:val="en-US" w:eastAsia="zh-CN" w:bidi="ar-SA"/>
                <w:woUserID w:val="2"/>
              </w:rPr>
            </w:pPr>
            <w:r>
              <w:rPr>
                <w:rFonts w:hint="eastAsia" w:ascii="宋体" w:hAnsi="宋体" w:eastAsia="宋体" w:cs="宋体"/>
                <w:i w:val="0"/>
                <w:iCs w:val="0"/>
                <w:color w:val="auto"/>
                <w:kern w:val="0"/>
                <w:sz w:val="21"/>
                <w:szCs w:val="21"/>
                <w:highlight w:val="none"/>
                <w:lang w:val="en-US" w:eastAsia="zh-CN" w:bidi="ar"/>
                <w:woUserID w:val="2"/>
              </w:rPr>
              <w:t>4</w:t>
            </w:r>
            <w:r>
              <w:rPr>
                <w:rFonts w:hint="eastAsia" w:ascii="宋体" w:hAnsi="宋体" w:cs="宋体"/>
                <w:i w:val="0"/>
                <w:iCs w:val="0"/>
                <w:color w:val="auto"/>
                <w:kern w:val="0"/>
                <w:sz w:val="21"/>
                <w:szCs w:val="21"/>
                <w:highlight w:val="none"/>
                <w:lang w:val="en-US" w:eastAsia="zh-CN" w:bidi="ar"/>
                <w:woUserID w:val="2"/>
              </w:rPr>
              <w:t>.</w:t>
            </w:r>
            <w:r>
              <w:rPr>
                <w:rFonts w:hint="eastAsia" w:ascii="宋体" w:hAnsi="宋体" w:eastAsia="宋体" w:cs="宋体"/>
                <w:i w:val="0"/>
                <w:iCs w:val="0"/>
                <w:color w:val="auto"/>
                <w:kern w:val="0"/>
                <w:sz w:val="21"/>
                <w:szCs w:val="21"/>
                <w:highlight w:val="none"/>
                <w:lang w:val="en-US" w:eastAsia="zh-CN" w:bidi="ar"/>
                <w:woUserID w:val="2"/>
              </w:rPr>
              <w:t xml:space="preserve">企业政策体检 </w:t>
            </w:r>
            <w:r>
              <w:rPr>
                <w:rFonts w:hint="eastAsia" w:ascii="宋体" w:hAnsi="宋体" w:eastAsia="宋体" w:cs="宋体"/>
                <w:i w:val="0"/>
                <w:iCs w:val="0"/>
                <w:color w:val="auto"/>
                <w:kern w:val="0"/>
                <w:sz w:val="21"/>
                <w:szCs w:val="21"/>
                <w:highlight w:val="none"/>
                <w:lang w:val="en-US" w:eastAsia="zh-CN" w:bidi="ar"/>
                <w:woUserID w:val="2"/>
              </w:rPr>
              <w:br w:type="textWrapping"/>
            </w:r>
            <w:r>
              <w:rPr>
                <w:rFonts w:hint="eastAsia" w:ascii="宋体" w:hAnsi="宋体" w:eastAsia="宋体" w:cs="宋体"/>
                <w:i w:val="0"/>
                <w:iCs w:val="0"/>
                <w:color w:val="auto"/>
                <w:kern w:val="0"/>
                <w:sz w:val="21"/>
                <w:szCs w:val="21"/>
                <w:highlight w:val="none"/>
                <w:lang w:val="en-US" w:eastAsia="zh-CN" w:bidi="ar"/>
                <w:woUserID w:val="2"/>
              </w:rPr>
              <w:t>企业绑定后，可选择政策体检项目进行政策初检，系统通过体检模型结合企业数据生成初检结果，依托企业提交更完善的数据开展深度复检并输出精准结果，同时生成指标达标明细的体检单。</w:t>
            </w:r>
            <w:r>
              <w:rPr>
                <w:rFonts w:hint="eastAsia" w:ascii="宋体" w:hAnsi="宋体" w:eastAsia="宋体" w:cs="宋体"/>
                <w:i w:val="0"/>
                <w:iCs w:val="0"/>
                <w:color w:val="auto"/>
                <w:kern w:val="0"/>
                <w:sz w:val="21"/>
                <w:szCs w:val="21"/>
                <w:highlight w:val="none"/>
                <w:lang w:val="en-US" w:eastAsia="zh-CN" w:bidi="ar"/>
                <w:woUserID w:val="2"/>
              </w:rPr>
              <w:br w:type="textWrapping"/>
            </w:r>
            <w:r>
              <w:rPr>
                <w:rFonts w:hint="eastAsia" w:ascii="宋体" w:hAnsi="宋体" w:eastAsia="宋体" w:cs="宋体"/>
                <w:i w:val="0"/>
                <w:iCs w:val="0"/>
                <w:color w:val="auto"/>
                <w:kern w:val="0"/>
                <w:sz w:val="21"/>
                <w:szCs w:val="21"/>
                <w:highlight w:val="none"/>
                <w:lang w:val="en-US" w:eastAsia="zh-CN" w:bidi="ar"/>
                <w:woUserID w:val="2"/>
              </w:rPr>
              <w:t>功能能实现的得1分，不能实现的不得分。</w:t>
            </w:r>
          </w:p>
        </w:tc>
        <w:tc>
          <w:tcPr>
            <w:tcW w:w="882" w:type="dxa"/>
            <w:tcBorders>
              <w:tl2br w:val="nil"/>
              <w:tr2bl w:val="nil"/>
            </w:tcBorders>
            <w:shd w:val="clear" w:color="auto" w:fill="auto"/>
            <w:vAlign w:val="center"/>
          </w:tcPr>
          <w:p w14:paraId="5467C0D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lang w:val="en-US" w:eastAsia="zh-CN" w:bidi="ar"/>
              </w:rPr>
              <w:t>1</w:t>
            </w:r>
          </w:p>
        </w:tc>
        <w:tc>
          <w:tcPr>
            <w:tcW w:w="1085" w:type="dxa"/>
            <w:vMerge w:val="continue"/>
            <w:tcBorders>
              <w:tl2br w:val="nil"/>
              <w:tr2bl w:val="nil"/>
            </w:tcBorders>
            <w:shd w:val="clear" w:color="auto" w:fill="auto"/>
            <w:vAlign w:val="center"/>
          </w:tcPr>
          <w:p w14:paraId="4D4219DA">
            <w:pPr>
              <w:pStyle w:val="516"/>
              <w:keepNext w:val="0"/>
              <w:keepLines w:val="0"/>
              <w:pageBreakBefore w:val="0"/>
              <w:suppressLineNumbers w:val="0"/>
              <w:kinsoku/>
              <w:overflowPunct/>
              <w:topLinePunct w:val="0"/>
              <w:bidi w:val="0"/>
              <w:adjustRightInd w:val="0"/>
              <w:snapToGrid w:val="0"/>
              <w:spacing w:before="0" w:beforeAutospacing="0" w:after="0" w:afterAutospacing="0" w:line="336" w:lineRule="auto"/>
              <w:ind w:left="0" w:leftChars="0" w:right="0" w:firstLine="0" w:firstLineChars="0"/>
              <w:jc w:val="center"/>
              <w:rPr>
                <w:rFonts w:hint="eastAsia" w:ascii="宋体" w:hAnsi="宋体" w:eastAsia="宋体" w:cs="宋体"/>
                <w:color w:val="auto"/>
                <w:sz w:val="21"/>
                <w:szCs w:val="21"/>
                <w:highlight w:val="none"/>
                <w:lang w:val="en-US" w:eastAsia="zh-CN"/>
              </w:rPr>
            </w:pPr>
          </w:p>
        </w:tc>
      </w:tr>
      <w:tr w14:paraId="54F018D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755" w:type="dxa"/>
            <w:vMerge w:val="continue"/>
            <w:tcBorders>
              <w:tl2br w:val="nil"/>
              <w:tr2bl w:val="nil"/>
            </w:tcBorders>
            <w:vAlign w:val="center"/>
          </w:tcPr>
          <w:p w14:paraId="084ED366">
            <w:pPr>
              <w:keepNext w:val="0"/>
              <w:keepLines w:val="0"/>
              <w:pageBreakBefore w:val="0"/>
              <w:suppressLineNumbers w:val="0"/>
              <w:kinsoku/>
              <w:wordWrap/>
              <w:overflowPunct/>
              <w:topLinePunct w:val="0"/>
              <w:autoSpaceDE/>
              <w:autoSpaceDN/>
              <w:bidi w:val="0"/>
              <w:adjustRightInd w:val="0"/>
              <w:snapToGrid w:val="0"/>
              <w:spacing w:before="2" w:beforeAutospacing="0" w:after="2" w:afterAutospacing="0" w:line="360" w:lineRule="auto"/>
              <w:ind w:left="21" w:leftChars="10" w:right="57"/>
              <w:jc w:val="center"/>
              <w:textAlignment w:val="auto"/>
              <w:rPr>
                <w:rFonts w:hint="eastAsia" w:ascii="宋体" w:hAnsi="宋体" w:eastAsia="宋体" w:cs="宋体"/>
                <w:color w:val="auto"/>
                <w:sz w:val="21"/>
                <w:szCs w:val="21"/>
                <w:highlight w:val="none"/>
                <w:lang w:val="en-US" w:eastAsia="zh-CN"/>
              </w:rPr>
            </w:pPr>
          </w:p>
        </w:tc>
        <w:tc>
          <w:tcPr>
            <w:tcW w:w="1251" w:type="dxa"/>
            <w:vMerge w:val="continue"/>
            <w:tcBorders>
              <w:tl2br w:val="nil"/>
              <w:tr2bl w:val="nil"/>
            </w:tcBorders>
            <w:shd w:val="clear" w:color="auto" w:fill="auto"/>
            <w:vAlign w:val="center"/>
          </w:tcPr>
          <w:p w14:paraId="0C0C42D3">
            <w:pPr>
              <w:pStyle w:val="516"/>
              <w:keepNext w:val="0"/>
              <w:keepLines w:val="0"/>
              <w:pageBreakBefore w:val="0"/>
              <w:suppressLineNumbers w:val="0"/>
              <w:kinsoku/>
              <w:overflowPunct/>
              <w:topLinePunct w:val="0"/>
              <w:bidi w:val="0"/>
              <w:adjustRightInd w:val="0"/>
              <w:snapToGrid w:val="0"/>
              <w:spacing w:before="0" w:beforeAutospacing="0" w:after="0" w:afterAutospacing="0" w:line="336" w:lineRule="auto"/>
              <w:ind w:left="0" w:right="0" w:firstLine="0" w:firstLineChars="0"/>
              <w:rPr>
                <w:rFonts w:hint="eastAsia" w:ascii="宋体" w:hAnsi="宋体" w:eastAsia="宋体" w:cs="宋体"/>
                <w:i w:val="0"/>
                <w:iCs w:val="0"/>
                <w:caps w:val="0"/>
                <w:color w:val="auto"/>
                <w:spacing w:val="-5"/>
                <w:sz w:val="21"/>
                <w:szCs w:val="21"/>
                <w:highlight w:val="none"/>
              </w:rPr>
            </w:pPr>
          </w:p>
        </w:tc>
        <w:tc>
          <w:tcPr>
            <w:tcW w:w="5385" w:type="dxa"/>
            <w:tcBorders>
              <w:tl2br w:val="nil"/>
              <w:tr2bl w:val="nil"/>
            </w:tcBorders>
            <w:shd w:val="clear" w:color="auto" w:fill="auto"/>
            <w:vAlign w:val="center"/>
          </w:tcPr>
          <w:p w14:paraId="1E948238">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2"/>
                <w:sz w:val="21"/>
                <w:szCs w:val="21"/>
                <w:highlight w:val="none"/>
                <w:lang w:val="en-US" w:eastAsia="zh-CN" w:bidi="ar-SA"/>
                <w:woUserID w:val="2"/>
              </w:rPr>
            </w:pPr>
            <w:r>
              <w:rPr>
                <w:rFonts w:hint="eastAsia" w:ascii="宋体" w:hAnsi="宋体" w:eastAsia="宋体" w:cs="宋体"/>
                <w:i w:val="0"/>
                <w:iCs w:val="0"/>
                <w:color w:val="auto"/>
                <w:kern w:val="0"/>
                <w:sz w:val="21"/>
                <w:szCs w:val="21"/>
                <w:highlight w:val="none"/>
                <w:lang w:val="en-US" w:eastAsia="zh-CN" w:bidi="ar"/>
                <w:woUserID w:val="2"/>
              </w:rPr>
              <w:t>5</w:t>
            </w:r>
            <w:r>
              <w:rPr>
                <w:rFonts w:hint="eastAsia" w:ascii="宋体" w:hAnsi="宋体" w:cs="宋体"/>
                <w:i w:val="0"/>
                <w:iCs w:val="0"/>
                <w:color w:val="auto"/>
                <w:kern w:val="0"/>
                <w:sz w:val="21"/>
                <w:szCs w:val="21"/>
                <w:highlight w:val="none"/>
                <w:lang w:val="en-US" w:eastAsia="zh-CN" w:bidi="ar"/>
                <w:woUserID w:val="2"/>
              </w:rPr>
              <w:t>.</w:t>
            </w:r>
            <w:r>
              <w:rPr>
                <w:rFonts w:hint="eastAsia" w:ascii="宋体" w:hAnsi="宋体" w:eastAsia="宋体" w:cs="宋体"/>
                <w:i w:val="0"/>
                <w:iCs w:val="0"/>
                <w:color w:val="auto"/>
                <w:kern w:val="0"/>
                <w:sz w:val="21"/>
                <w:szCs w:val="21"/>
                <w:highlight w:val="none"/>
                <w:lang w:val="en-US" w:eastAsia="zh-CN" w:bidi="ar"/>
                <w:woUserID w:val="2"/>
              </w:rPr>
              <w:t>AI政策问答</w:t>
            </w:r>
            <w:r>
              <w:rPr>
                <w:rFonts w:hint="eastAsia" w:ascii="宋体" w:hAnsi="宋体" w:eastAsia="宋体" w:cs="宋体"/>
                <w:i w:val="0"/>
                <w:iCs w:val="0"/>
                <w:color w:val="auto"/>
                <w:kern w:val="0"/>
                <w:sz w:val="21"/>
                <w:szCs w:val="21"/>
                <w:highlight w:val="none"/>
                <w:lang w:val="en-US" w:eastAsia="zh-CN" w:bidi="ar"/>
                <w:woUserID w:val="2"/>
              </w:rPr>
              <w:br w:type="textWrapping"/>
            </w:r>
            <w:r>
              <w:rPr>
                <w:rFonts w:hint="eastAsia" w:ascii="宋体" w:hAnsi="宋体" w:eastAsia="宋体" w:cs="宋体"/>
                <w:i w:val="0"/>
                <w:iCs w:val="0"/>
                <w:color w:val="auto"/>
                <w:kern w:val="0"/>
                <w:sz w:val="21"/>
                <w:szCs w:val="21"/>
                <w:highlight w:val="none"/>
                <w:lang w:val="en-US" w:eastAsia="zh-CN" w:bidi="ar"/>
                <w:woUserID w:val="2"/>
              </w:rPr>
              <w:t>为企业提供政策垂直领域AI问答助手，AI政策问答需在企业端以卡片展示预设常见问题以引导交互；依托 NLP 与知识图谱构建 7×24 小时智能问答智能体，精准理解企业政策问题并提供含条款原文、解读、流程的完整解答。通过搭建整合政策原文、高频问答、术语词典的结构化向量知识库和分层提示词框架规范解答输出，实现精准、规范、可持续优化的政策智能咨询服务。</w:t>
            </w:r>
            <w:r>
              <w:rPr>
                <w:rFonts w:hint="eastAsia" w:ascii="宋体" w:hAnsi="宋体" w:eastAsia="宋体" w:cs="宋体"/>
                <w:i w:val="0"/>
                <w:iCs w:val="0"/>
                <w:color w:val="auto"/>
                <w:kern w:val="0"/>
                <w:sz w:val="21"/>
                <w:szCs w:val="21"/>
                <w:highlight w:val="none"/>
                <w:lang w:val="en-US" w:eastAsia="zh-CN" w:bidi="ar"/>
                <w:woUserID w:val="2"/>
              </w:rPr>
              <w:br w:type="textWrapping"/>
            </w:r>
            <w:r>
              <w:rPr>
                <w:rFonts w:hint="eastAsia" w:ascii="宋体" w:hAnsi="宋体" w:eastAsia="宋体" w:cs="宋体"/>
                <w:i w:val="0"/>
                <w:iCs w:val="0"/>
                <w:color w:val="auto"/>
                <w:kern w:val="0"/>
                <w:sz w:val="21"/>
                <w:szCs w:val="21"/>
                <w:highlight w:val="none"/>
                <w:lang w:val="en-US" w:eastAsia="zh-CN" w:bidi="ar"/>
                <w:woUserID w:val="2"/>
              </w:rPr>
              <w:t>功能能实现的得1分，不能实现的不得分。</w:t>
            </w:r>
          </w:p>
        </w:tc>
        <w:tc>
          <w:tcPr>
            <w:tcW w:w="882" w:type="dxa"/>
            <w:tcBorders>
              <w:tl2br w:val="nil"/>
              <w:tr2bl w:val="nil"/>
            </w:tcBorders>
            <w:shd w:val="clear" w:color="auto" w:fill="auto"/>
            <w:vAlign w:val="center"/>
          </w:tcPr>
          <w:p w14:paraId="3DFB49E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lang w:val="en-US" w:eastAsia="zh-CN" w:bidi="ar"/>
              </w:rPr>
              <w:t>1</w:t>
            </w:r>
          </w:p>
        </w:tc>
        <w:tc>
          <w:tcPr>
            <w:tcW w:w="1085" w:type="dxa"/>
            <w:vMerge w:val="continue"/>
            <w:tcBorders>
              <w:tl2br w:val="nil"/>
              <w:tr2bl w:val="nil"/>
            </w:tcBorders>
            <w:shd w:val="clear" w:color="auto" w:fill="auto"/>
            <w:vAlign w:val="center"/>
          </w:tcPr>
          <w:p w14:paraId="039D62BE">
            <w:pPr>
              <w:pStyle w:val="516"/>
              <w:keepNext w:val="0"/>
              <w:keepLines w:val="0"/>
              <w:pageBreakBefore w:val="0"/>
              <w:suppressLineNumbers w:val="0"/>
              <w:kinsoku/>
              <w:overflowPunct/>
              <w:topLinePunct w:val="0"/>
              <w:bidi w:val="0"/>
              <w:adjustRightInd w:val="0"/>
              <w:snapToGrid w:val="0"/>
              <w:spacing w:before="0" w:beforeAutospacing="0" w:after="0" w:afterAutospacing="0" w:line="336" w:lineRule="auto"/>
              <w:ind w:left="0" w:leftChars="0" w:right="0" w:firstLine="0" w:firstLineChars="0"/>
              <w:jc w:val="center"/>
              <w:rPr>
                <w:rFonts w:hint="eastAsia" w:ascii="宋体" w:hAnsi="宋体" w:eastAsia="宋体" w:cs="宋体"/>
                <w:color w:val="auto"/>
                <w:sz w:val="21"/>
                <w:szCs w:val="21"/>
                <w:highlight w:val="none"/>
                <w:lang w:val="en-US" w:eastAsia="zh-CN"/>
              </w:rPr>
            </w:pPr>
          </w:p>
        </w:tc>
      </w:tr>
      <w:tr w14:paraId="0F4AAAB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5" w:type="dxa"/>
            <w:tcBorders>
              <w:tl2br w:val="nil"/>
              <w:tr2bl w:val="nil"/>
            </w:tcBorders>
            <w:vAlign w:val="center"/>
          </w:tcPr>
          <w:p w14:paraId="716546ED">
            <w:pPr>
              <w:keepNext w:val="0"/>
              <w:keepLines w:val="0"/>
              <w:pageBreakBefore w:val="0"/>
              <w:suppressLineNumbers w:val="0"/>
              <w:kinsoku/>
              <w:wordWrap/>
              <w:overflowPunct/>
              <w:topLinePunct w:val="0"/>
              <w:autoSpaceDE/>
              <w:autoSpaceDN/>
              <w:bidi w:val="0"/>
              <w:adjustRightInd w:val="0"/>
              <w:snapToGrid w:val="0"/>
              <w:spacing w:before="2" w:beforeAutospacing="0" w:after="2" w:afterAutospacing="0" w:line="240" w:lineRule="auto"/>
              <w:ind w:left="21" w:leftChars="10" w:right="57"/>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5</w:t>
            </w:r>
          </w:p>
        </w:tc>
        <w:tc>
          <w:tcPr>
            <w:tcW w:w="1251" w:type="dxa"/>
            <w:tcBorders>
              <w:tl2br w:val="nil"/>
              <w:tr2bl w:val="nil"/>
            </w:tcBorders>
            <w:shd w:val="clear" w:color="auto" w:fill="auto"/>
            <w:vAlign w:val="center"/>
          </w:tcPr>
          <w:p w14:paraId="52F9D2D7">
            <w:pPr>
              <w:keepNext w:val="0"/>
              <w:keepLines w:val="0"/>
              <w:pageBreakBefore w:val="0"/>
              <w:suppressLineNumbers w:val="0"/>
              <w:kinsoku/>
              <w:wordWrap/>
              <w:overflowPunct/>
              <w:topLinePunct w:val="0"/>
              <w:autoSpaceDE/>
              <w:autoSpaceDN/>
              <w:bidi w:val="0"/>
              <w:adjustRightInd w:val="0"/>
              <w:spacing w:before="2" w:beforeAutospacing="0" w:after="2" w:afterAutospacing="0" w:line="240" w:lineRule="auto"/>
              <w:ind w:left="21" w:leftChars="10" w:right="57"/>
              <w:jc w:val="center"/>
              <w:textAlignment w:val="auto"/>
              <w:outlineLvl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价格</w:t>
            </w:r>
          </w:p>
        </w:tc>
        <w:tc>
          <w:tcPr>
            <w:tcW w:w="5385" w:type="dxa"/>
            <w:tcBorders>
              <w:tl2br w:val="nil"/>
              <w:tr2bl w:val="nil"/>
            </w:tcBorders>
          </w:tcPr>
          <w:p w14:paraId="475CF2CE">
            <w:pPr>
              <w:pStyle w:val="344"/>
              <w:keepNext w:val="0"/>
              <w:keepLines w:val="0"/>
              <w:pageBreakBefore w:val="0"/>
              <w:suppressLineNumbers w:val="0"/>
              <w:kinsoku/>
              <w:wordWrap/>
              <w:overflowPunct/>
              <w:topLinePunct w:val="0"/>
              <w:autoSpaceDE/>
              <w:autoSpaceDN/>
              <w:bidi w:val="0"/>
              <w:adjustRightInd w:val="0"/>
              <w:spacing w:before="2" w:beforeAutospacing="0" w:after="2" w:afterAutospacing="0" w:line="240" w:lineRule="auto"/>
              <w:ind w:left="21" w:leftChars="10" w:right="57"/>
              <w:textAlignment w:val="auto"/>
              <w:outlineLvl w:val="0"/>
              <w:rPr>
                <w:rFonts w:hint="eastAsia" w:ascii="宋体" w:hAnsi="宋体" w:eastAsia="宋体" w:cs="宋体"/>
                <w:color w:val="auto"/>
                <w:spacing w:val="6"/>
                <w:sz w:val="21"/>
                <w:szCs w:val="21"/>
                <w:highlight w:val="none"/>
                <w:lang w:val="zh-CN"/>
              </w:rPr>
            </w:pPr>
            <w:r>
              <w:rPr>
                <w:rFonts w:hint="eastAsia" w:ascii="宋体" w:hAnsi="宋体" w:eastAsia="宋体" w:cs="宋体"/>
                <w:color w:val="auto"/>
                <w:spacing w:val="6"/>
                <w:sz w:val="21"/>
                <w:szCs w:val="21"/>
                <w:highlight w:val="none"/>
                <w:lang w:val="zh-CN"/>
              </w:rPr>
              <w:t>有效投标报价的最低价作为评标基准价，其最低报价为满分；按［投标报价得分=（评标基准价/投标报价）*</w:t>
            </w:r>
            <w:r>
              <w:rPr>
                <w:rFonts w:hint="eastAsia" w:ascii="宋体" w:hAnsi="宋体" w:eastAsia="宋体" w:cs="宋体"/>
                <w:color w:val="auto"/>
                <w:spacing w:val="6"/>
                <w:sz w:val="21"/>
                <w:szCs w:val="21"/>
                <w:highlight w:val="none"/>
                <w:lang w:val="en-US" w:eastAsia="zh-CN"/>
              </w:rPr>
              <w:t>10</w:t>
            </w:r>
            <w:r>
              <w:rPr>
                <w:rFonts w:hint="eastAsia" w:ascii="宋体" w:hAnsi="宋体" w:eastAsia="宋体" w:cs="宋体"/>
                <w:color w:val="auto"/>
                <w:spacing w:val="6"/>
                <w:sz w:val="21"/>
                <w:szCs w:val="21"/>
                <w:highlight w:val="none"/>
                <w:lang w:val="zh-CN"/>
              </w:rPr>
              <w:t>］的计算公式计算。</w:t>
            </w:r>
          </w:p>
          <w:p w14:paraId="7D4A0E5C">
            <w:pPr>
              <w:pStyle w:val="344"/>
              <w:keepNext w:val="0"/>
              <w:keepLines w:val="0"/>
              <w:pageBreakBefore w:val="0"/>
              <w:suppressLineNumbers w:val="0"/>
              <w:kinsoku/>
              <w:wordWrap/>
              <w:overflowPunct/>
              <w:topLinePunct w:val="0"/>
              <w:autoSpaceDE/>
              <w:autoSpaceDN/>
              <w:bidi w:val="0"/>
              <w:adjustRightInd w:val="0"/>
              <w:spacing w:before="2" w:beforeAutospacing="0" w:after="2" w:afterAutospacing="0" w:line="240" w:lineRule="auto"/>
              <w:ind w:left="21" w:leftChars="10" w:right="57"/>
              <w:textAlignment w:val="auto"/>
              <w:outlineLvl w:val="0"/>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说明：</w:t>
            </w:r>
          </w:p>
          <w:p w14:paraId="0C9AA8AF">
            <w:pPr>
              <w:pStyle w:val="344"/>
              <w:keepNext w:val="0"/>
              <w:keepLines w:val="0"/>
              <w:pageBreakBefore w:val="0"/>
              <w:suppressLineNumbers w:val="0"/>
              <w:kinsoku/>
              <w:wordWrap/>
              <w:overflowPunct/>
              <w:topLinePunct w:val="0"/>
              <w:autoSpaceDE/>
              <w:autoSpaceDN/>
              <w:bidi w:val="0"/>
              <w:adjustRightInd w:val="0"/>
              <w:spacing w:before="2" w:beforeAutospacing="0" w:after="2" w:afterAutospacing="0" w:line="240" w:lineRule="auto"/>
              <w:ind w:left="21" w:leftChars="10" w:right="57"/>
              <w:textAlignment w:val="auto"/>
              <w:outlineLvl w:val="0"/>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1）评标过程中，不得去掉报价中的最高报价和最低报价；</w:t>
            </w:r>
          </w:p>
          <w:p w14:paraId="7F0771CB">
            <w:pPr>
              <w:pStyle w:val="344"/>
              <w:keepNext w:val="0"/>
              <w:keepLines w:val="0"/>
              <w:pageBreakBefore w:val="0"/>
              <w:suppressLineNumbers w:val="0"/>
              <w:kinsoku/>
              <w:wordWrap/>
              <w:overflowPunct/>
              <w:topLinePunct w:val="0"/>
              <w:autoSpaceDE/>
              <w:autoSpaceDN/>
              <w:bidi w:val="0"/>
              <w:adjustRightInd w:val="0"/>
              <w:spacing w:before="2" w:beforeAutospacing="0" w:after="2" w:afterAutospacing="0" w:line="240" w:lineRule="auto"/>
              <w:ind w:left="21" w:leftChars="10" w:right="57"/>
              <w:textAlignment w:val="auto"/>
              <w:outlineLvl w:val="0"/>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2）本项目专门面向中小企业</w:t>
            </w:r>
            <w:r>
              <w:rPr>
                <w:rFonts w:hint="eastAsia" w:ascii="宋体" w:hAnsi="宋体" w:cs="宋体"/>
                <w:color w:val="auto"/>
                <w:spacing w:val="6"/>
                <w:sz w:val="21"/>
                <w:szCs w:val="21"/>
                <w:highlight w:val="none"/>
                <w:lang w:val="en-US" w:eastAsia="zh-CN"/>
              </w:rPr>
              <w:t>,不作价格扣除</w:t>
            </w:r>
            <w:r>
              <w:rPr>
                <w:rFonts w:hint="eastAsia" w:ascii="宋体" w:hAnsi="宋体" w:eastAsia="宋体" w:cs="宋体"/>
                <w:color w:val="auto"/>
                <w:spacing w:val="6"/>
                <w:sz w:val="21"/>
                <w:szCs w:val="21"/>
                <w:highlight w:val="none"/>
                <w:lang w:val="en-US" w:eastAsia="zh-CN"/>
              </w:rPr>
              <w:t>。</w:t>
            </w:r>
          </w:p>
        </w:tc>
        <w:tc>
          <w:tcPr>
            <w:tcW w:w="882" w:type="dxa"/>
            <w:tcBorders>
              <w:tl2br w:val="nil"/>
              <w:tr2bl w:val="nil"/>
            </w:tcBorders>
            <w:vAlign w:val="center"/>
          </w:tcPr>
          <w:p w14:paraId="5CD82D5C">
            <w:pPr>
              <w:keepNext w:val="0"/>
              <w:keepLines w:val="0"/>
              <w:pageBreakBefore w:val="0"/>
              <w:suppressLineNumbers w:val="0"/>
              <w:kinsoku/>
              <w:wordWrap/>
              <w:overflowPunct/>
              <w:topLinePunct w:val="0"/>
              <w:autoSpaceDE/>
              <w:autoSpaceDN/>
              <w:bidi w:val="0"/>
              <w:adjustRightInd w:val="0"/>
              <w:spacing w:before="2" w:beforeAutospacing="0" w:after="2" w:afterAutospacing="0" w:line="240" w:lineRule="auto"/>
              <w:ind w:left="21" w:leftChars="10" w:right="57"/>
              <w:jc w:val="center"/>
              <w:textAlignment w:val="auto"/>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1085" w:type="dxa"/>
            <w:tcBorders>
              <w:tl2br w:val="nil"/>
              <w:tr2bl w:val="nil"/>
            </w:tcBorders>
            <w:vAlign w:val="center"/>
          </w:tcPr>
          <w:p w14:paraId="0D5C5CD1">
            <w:pPr>
              <w:keepNext w:val="0"/>
              <w:keepLines w:val="0"/>
              <w:pageBreakBefore w:val="0"/>
              <w:suppressLineNumbers w:val="0"/>
              <w:kinsoku/>
              <w:wordWrap/>
              <w:overflowPunct/>
              <w:topLinePunct w:val="0"/>
              <w:autoSpaceDE/>
              <w:autoSpaceDN/>
              <w:bidi w:val="0"/>
              <w:adjustRightInd w:val="0"/>
              <w:spacing w:before="2" w:beforeAutospacing="0" w:after="2" w:afterAutospacing="0" w:line="240" w:lineRule="auto"/>
              <w:ind w:left="21" w:leftChars="10" w:right="57"/>
              <w:jc w:val="center"/>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lang w:val="en-US" w:eastAsia="zh-CN"/>
              </w:rPr>
              <w:t>客</w:t>
            </w:r>
            <w:r>
              <w:rPr>
                <w:rFonts w:hint="eastAsia" w:ascii="宋体" w:hAnsi="宋体" w:eastAsia="宋体" w:cs="宋体"/>
                <w:color w:val="auto"/>
                <w:spacing w:val="-4"/>
                <w:sz w:val="21"/>
                <w:szCs w:val="21"/>
                <w:highlight w:val="none"/>
              </w:rPr>
              <w:t>观分</w:t>
            </w:r>
          </w:p>
        </w:tc>
      </w:tr>
    </w:tbl>
    <w:p w14:paraId="5E45120C">
      <w:pPr>
        <w:keepNext w:val="0"/>
        <w:keepLines w:val="0"/>
        <w:pageBreakBefore w:val="0"/>
        <w:widowControl/>
        <w:kinsoku/>
        <w:wordWrap/>
        <w:overflowPunct/>
        <w:topLinePunct w:val="0"/>
        <w:autoSpaceDE/>
        <w:autoSpaceDN/>
        <w:bidi w:val="0"/>
        <w:adjustRightInd/>
        <w:snapToGrid/>
        <w:spacing w:line="360" w:lineRule="auto"/>
        <w:textAlignment w:val="auto"/>
        <w:outlineLvl w:val="9"/>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shd w:val="clear" w:color="auto" w:fill="FFFFFF"/>
        </w:rPr>
        <w:t>*</w:t>
      </w:r>
      <w:r>
        <w:rPr>
          <w:rFonts w:hint="eastAsia" w:ascii="宋体" w:hAnsi="宋体" w:eastAsia="宋体" w:cs="宋体"/>
          <w:b/>
          <w:color w:val="auto"/>
          <w:sz w:val="21"/>
          <w:szCs w:val="21"/>
          <w:highlight w:val="none"/>
        </w:rPr>
        <w:t>备注：</w:t>
      </w:r>
      <w:r>
        <w:rPr>
          <w:rFonts w:hint="eastAsia" w:ascii="宋体" w:hAnsi="宋体" w:eastAsia="宋体" w:cs="宋体"/>
          <w:color w:val="auto"/>
          <w:sz w:val="21"/>
          <w:szCs w:val="21"/>
          <w:highlight w:val="none"/>
        </w:rPr>
        <w:t>投标人编制投标文件（商务技术文件部分）时，建议按此目录（序号和内容）提供评标标准相应的商务技术资料。</w:t>
      </w:r>
    </w:p>
    <w:p w14:paraId="304273BD">
      <w:pPr>
        <w:spacing w:line="360" w:lineRule="auto"/>
        <w:rPr>
          <w:rFonts w:hint="eastAsia" w:ascii="宋体" w:hAnsi="宋体" w:eastAsia="宋体" w:cs="宋体"/>
          <w:b/>
          <w:color w:val="auto"/>
          <w:sz w:val="21"/>
          <w:szCs w:val="21"/>
          <w:highlight w:val="none"/>
        </w:rPr>
      </w:pPr>
      <w:bookmarkStart w:id="435" w:name="_Toc6717"/>
      <w:r>
        <w:rPr>
          <w:rFonts w:hint="eastAsia" w:ascii="宋体" w:hAnsi="宋体" w:eastAsia="宋体" w:cs="宋体"/>
          <w:b/>
          <w:color w:val="auto"/>
          <w:sz w:val="21"/>
          <w:szCs w:val="21"/>
          <w:highlight w:val="none"/>
        </w:rPr>
        <w:br w:type="page"/>
      </w:r>
    </w:p>
    <w:p w14:paraId="46DFAEFF">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一、评标方法</w:t>
      </w:r>
      <w:bookmarkEnd w:id="435"/>
    </w:p>
    <w:p w14:paraId="67A11C29">
      <w:pPr>
        <w:adjustRightInd/>
        <w:spacing w:line="360" w:lineRule="auto"/>
        <w:ind w:firstLine="413" w:firstLineChars="196"/>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1.本项目采用综合评分法。</w:t>
      </w:r>
      <w:r>
        <w:rPr>
          <w:rFonts w:hint="eastAsia" w:ascii="宋体" w:hAnsi="宋体" w:eastAsia="宋体" w:cs="宋体"/>
          <w:color w:val="auto"/>
          <w:kern w:val="0"/>
          <w:sz w:val="21"/>
          <w:szCs w:val="21"/>
          <w:highlight w:val="none"/>
        </w:rPr>
        <w:t>综合评分法，是指投标文件满足招标文件全部实质性要求，且按照评审因素的量化指标评审得分最高的投标人为中标候选人的评标方法。</w:t>
      </w:r>
    </w:p>
    <w:p w14:paraId="32D620A9">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rFonts w:hint="eastAsia" w:ascii="宋体" w:hAnsi="宋体" w:eastAsia="宋体" w:cs="宋体"/>
          <w:b/>
          <w:color w:val="auto"/>
          <w:sz w:val="21"/>
          <w:szCs w:val="21"/>
          <w:highlight w:val="none"/>
        </w:rPr>
      </w:pPr>
      <w:bookmarkStart w:id="436" w:name="_Toc4471"/>
      <w:r>
        <w:rPr>
          <w:rFonts w:hint="eastAsia" w:ascii="宋体" w:hAnsi="宋体" w:eastAsia="宋体" w:cs="宋体"/>
          <w:b/>
          <w:color w:val="auto"/>
          <w:sz w:val="21"/>
          <w:szCs w:val="21"/>
          <w:highlight w:val="none"/>
        </w:rPr>
        <w:t>二、评标标准</w:t>
      </w:r>
      <w:bookmarkEnd w:id="436"/>
    </w:p>
    <w:p w14:paraId="2536A504">
      <w:pPr>
        <w:spacing w:line="360" w:lineRule="auto"/>
        <w:ind w:firstLine="413" w:firstLineChars="196"/>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2.评标标准：</w:t>
      </w:r>
      <w:r>
        <w:rPr>
          <w:rFonts w:hint="eastAsia" w:ascii="宋体" w:hAnsi="宋体" w:eastAsia="宋体" w:cs="宋体"/>
          <w:color w:val="auto"/>
          <w:kern w:val="0"/>
          <w:sz w:val="21"/>
          <w:szCs w:val="21"/>
          <w:highlight w:val="none"/>
        </w:rPr>
        <w:t>见评标办法前附表。</w:t>
      </w:r>
    </w:p>
    <w:p w14:paraId="251661D0">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rFonts w:hint="eastAsia" w:ascii="宋体" w:hAnsi="宋体" w:eastAsia="宋体" w:cs="宋体"/>
          <w:b/>
          <w:color w:val="auto"/>
          <w:sz w:val="21"/>
          <w:szCs w:val="21"/>
          <w:highlight w:val="none"/>
        </w:rPr>
      </w:pPr>
      <w:bookmarkStart w:id="437" w:name="_Toc8445"/>
      <w:r>
        <w:rPr>
          <w:rFonts w:hint="eastAsia" w:ascii="宋体" w:hAnsi="宋体" w:eastAsia="宋体" w:cs="宋体"/>
          <w:b/>
          <w:color w:val="auto"/>
          <w:sz w:val="21"/>
          <w:szCs w:val="21"/>
          <w:highlight w:val="none"/>
        </w:rPr>
        <w:t>三、评标程序</w:t>
      </w:r>
      <w:bookmarkEnd w:id="437"/>
    </w:p>
    <w:p w14:paraId="6FE3C009">
      <w:pPr>
        <w:keepNext w:val="0"/>
        <w:keepLines w:val="0"/>
        <w:pageBreakBefore w:val="0"/>
        <w:widowControl w:val="0"/>
        <w:kinsoku/>
        <w:wordWrap/>
        <w:overflowPunct/>
        <w:topLinePunct w:val="0"/>
        <w:autoSpaceDE/>
        <w:autoSpaceDN/>
        <w:bidi w:val="0"/>
        <w:adjustRightInd w:val="0"/>
        <w:snapToGrid w:val="0"/>
        <w:spacing w:line="360" w:lineRule="auto"/>
        <w:ind w:firstLine="413" w:firstLineChars="196"/>
        <w:textAlignment w:val="auto"/>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3.1符合性审查。</w:t>
      </w:r>
      <w:r>
        <w:rPr>
          <w:rFonts w:hint="eastAsia" w:ascii="宋体" w:hAnsi="宋体" w:eastAsia="宋体" w:cs="宋体"/>
          <w:color w:val="auto"/>
          <w:kern w:val="0"/>
          <w:sz w:val="21"/>
          <w:szCs w:val="21"/>
          <w:highlight w:val="none"/>
        </w:rPr>
        <w:t>评标委员会应当对符合资格的投标人的投标文件进行符合性审查，以确定其是否满足招标文件的实质性要求。不满足招标文件的实质性要求的，投标无效。</w:t>
      </w:r>
    </w:p>
    <w:p w14:paraId="44F26CAA">
      <w:pPr>
        <w:keepNext w:val="0"/>
        <w:keepLines w:val="0"/>
        <w:pageBreakBefore w:val="0"/>
        <w:widowControl w:val="0"/>
        <w:kinsoku/>
        <w:wordWrap/>
        <w:overflowPunct/>
        <w:topLinePunct w:val="0"/>
        <w:autoSpaceDE/>
        <w:autoSpaceDN/>
        <w:bidi w:val="0"/>
        <w:adjustRightInd w:val="0"/>
        <w:snapToGrid w:val="0"/>
        <w:spacing w:line="360" w:lineRule="auto"/>
        <w:ind w:firstLine="413" w:firstLineChars="196"/>
        <w:textAlignment w:val="auto"/>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3.2 比较与评价。</w:t>
      </w:r>
      <w:r>
        <w:rPr>
          <w:rFonts w:hint="eastAsia" w:ascii="宋体" w:hAnsi="宋体" w:eastAsia="宋体" w:cs="宋体"/>
          <w:color w:val="auto"/>
          <w:kern w:val="0"/>
          <w:sz w:val="21"/>
          <w:szCs w:val="21"/>
          <w:highlight w:val="none"/>
        </w:rPr>
        <w:t>评标委员会应当按照招标文件中规定的评标方法和标准，对符合性审查合格的投标文件进行商务和技术评估，综合比较与评价。</w:t>
      </w:r>
    </w:p>
    <w:p w14:paraId="16820865">
      <w:pPr>
        <w:keepNext w:val="0"/>
        <w:keepLines w:val="0"/>
        <w:pageBreakBefore w:val="0"/>
        <w:widowControl w:val="0"/>
        <w:kinsoku/>
        <w:wordWrap/>
        <w:overflowPunct/>
        <w:topLinePunct w:val="0"/>
        <w:autoSpaceDE/>
        <w:autoSpaceDN/>
        <w:bidi w:val="0"/>
        <w:adjustRightInd w:val="0"/>
        <w:snapToGrid w:val="0"/>
        <w:spacing w:line="360" w:lineRule="auto"/>
        <w:ind w:firstLine="413" w:firstLineChars="196"/>
        <w:textAlignment w:val="auto"/>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3.3汇总商务技术得分。</w:t>
      </w:r>
      <w:r>
        <w:rPr>
          <w:rFonts w:hint="eastAsia" w:ascii="宋体" w:hAnsi="宋体" w:eastAsia="宋体" w:cs="宋体"/>
          <w:color w:val="auto"/>
          <w:kern w:val="0"/>
          <w:sz w:val="21"/>
          <w:szCs w:val="21"/>
          <w:highlight w:val="none"/>
        </w:rPr>
        <w:t>评标委员会各成员应当独立对每个投标人的商务和技术文件进行评价，并汇总商务技术得分情况。</w:t>
      </w:r>
    </w:p>
    <w:p w14:paraId="288F06FD">
      <w:pPr>
        <w:keepNext w:val="0"/>
        <w:keepLines w:val="0"/>
        <w:pageBreakBefore w:val="0"/>
        <w:widowControl w:val="0"/>
        <w:kinsoku/>
        <w:wordWrap/>
        <w:overflowPunct/>
        <w:topLinePunct w:val="0"/>
        <w:autoSpaceDE/>
        <w:autoSpaceDN/>
        <w:bidi w:val="0"/>
        <w:adjustRightInd w:val="0"/>
        <w:snapToGrid w:val="0"/>
        <w:spacing w:line="360" w:lineRule="auto"/>
        <w:ind w:firstLine="413" w:firstLineChars="196"/>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3.4报价评审。</w:t>
      </w:r>
    </w:p>
    <w:p w14:paraId="4FAF3F70">
      <w:pPr>
        <w:pStyle w:val="139"/>
        <w:keepNext w:val="0"/>
        <w:keepLines w:val="0"/>
        <w:pageBreakBefore w:val="0"/>
        <w:widowControl w:val="0"/>
        <w:kinsoku/>
        <w:wordWrap/>
        <w:overflowPunct/>
        <w:topLinePunct w:val="0"/>
        <w:autoSpaceDE/>
        <w:autoSpaceDN/>
        <w:bidi w:val="0"/>
        <w:adjustRightInd w:val="0"/>
        <w:snapToGrid w:val="0"/>
        <w:spacing w:before="0" w:line="360" w:lineRule="auto"/>
        <w:ind w:firstLine="445" w:firstLineChars="212"/>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3.4.1投标文件报价出现前后不一致的，按照下列规定修正：</w:t>
      </w:r>
    </w:p>
    <w:p w14:paraId="6BE7D47C">
      <w:pPr>
        <w:pStyle w:val="139"/>
        <w:keepNext w:val="0"/>
        <w:keepLines w:val="0"/>
        <w:pageBreakBefore w:val="0"/>
        <w:widowControl w:val="0"/>
        <w:kinsoku/>
        <w:wordWrap/>
        <w:overflowPunct/>
        <w:topLinePunct w:val="0"/>
        <w:autoSpaceDE/>
        <w:autoSpaceDN/>
        <w:bidi w:val="0"/>
        <w:adjustRightInd w:val="0"/>
        <w:snapToGrid w:val="0"/>
        <w:spacing w:before="0"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3.4.1.1投标文件中开标一览表(报价表)内容与投标文件中相应内容不一致的，以开标一览表(报价表)为准</w:t>
      </w:r>
      <w:r>
        <w:rPr>
          <w:rFonts w:hint="eastAsia" w:ascii="宋体" w:hAnsi="宋体" w:eastAsia="宋体" w:cs="宋体"/>
          <w:color w:val="auto"/>
          <w:kern w:val="0"/>
          <w:sz w:val="21"/>
          <w:szCs w:val="21"/>
          <w:highlight w:val="none"/>
          <w:lang w:eastAsia="zh-CN"/>
        </w:rPr>
        <w:t>；</w:t>
      </w:r>
    </w:p>
    <w:p w14:paraId="20B090DC">
      <w:pPr>
        <w:pStyle w:val="139"/>
        <w:keepNext w:val="0"/>
        <w:keepLines w:val="0"/>
        <w:pageBreakBefore w:val="0"/>
        <w:widowControl w:val="0"/>
        <w:kinsoku/>
        <w:wordWrap/>
        <w:overflowPunct/>
        <w:topLinePunct w:val="0"/>
        <w:autoSpaceDE/>
        <w:autoSpaceDN/>
        <w:bidi w:val="0"/>
        <w:adjustRightInd w:val="0"/>
        <w:snapToGrid w:val="0"/>
        <w:spacing w:before="0"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3.4.1.2大写金额和小写金额不一致的，以大写金额为准</w:t>
      </w:r>
      <w:r>
        <w:rPr>
          <w:rFonts w:hint="eastAsia" w:ascii="宋体" w:hAnsi="宋体" w:eastAsia="宋体" w:cs="宋体"/>
          <w:color w:val="auto"/>
          <w:kern w:val="0"/>
          <w:sz w:val="21"/>
          <w:szCs w:val="21"/>
          <w:highlight w:val="none"/>
          <w:lang w:eastAsia="zh-CN"/>
        </w:rPr>
        <w:t>；</w:t>
      </w:r>
    </w:p>
    <w:p w14:paraId="7D05DD5A">
      <w:pPr>
        <w:pStyle w:val="139"/>
        <w:keepNext w:val="0"/>
        <w:keepLines w:val="0"/>
        <w:pageBreakBefore w:val="0"/>
        <w:widowControl w:val="0"/>
        <w:kinsoku/>
        <w:wordWrap/>
        <w:overflowPunct/>
        <w:topLinePunct w:val="0"/>
        <w:autoSpaceDE/>
        <w:autoSpaceDN/>
        <w:bidi w:val="0"/>
        <w:adjustRightInd w:val="0"/>
        <w:snapToGrid w:val="0"/>
        <w:spacing w:before="0"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3.4.1.3单价金额小数点或者百分比有明显错位的，以开标一览表的总价为准，并修改单价</w:t>
      </w:r>
      <w:r>
        <w:rPr>
          <w:rFonts w:hint="eastAsia" w:ascii="宋体" w:hAnsi="宋体" w:eastAsia="宋体" w:cs="宋体"/>
          <w:color w:val="auto"/>
          <w:kern w:val="0"/>
          <w:sz w:val="21"/>
          <w:szCs w:val="21"/>
          <w:highlight w:val="none"/>
          <w:lang w:eastAsia="zh-CN"/>
        </w:rPr>
        <w:t>；</w:t>
      </w:r>
    </w:p>
    <w:p w14:paraId="23376C24">
      <w:pPr>
        <w:pStyle w:val="139"/>
        <w:keepNext w:val="0"/>
        <w:keepLines w:val="0"/>
        <w:pageBreakBefore w:val="0"/>
        <w:widowControl w:val="0"/>
        <w:kinsoku/>
        <w:wordWrap/>
        <w:overflowPunct/>
        <w:topLinePunct w:val="0"/>
        <w:autoSpaceDE/>
        <w:autoSpaceDN/>
        <w:bidi w:val="0"/>
        <w:adjustRightInd w:val="0"/>
        <w:snapToGrid w:val="0"/>
        <w:spacing w:before="0"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3.4.1.4总价金额与按单价汇总金额不一致的，以单价金额计算结果为准。</w:t>
      </w:r>
    </w:p>
    <w:p w14:paraId="6C55378B">
      <w:pPr>
        <w:pStyle w:val="139"/>
        <w:keepNext w:val="0"/>
        <w:keepLines w:val="0"/>
        <w:pageBreakBefore w:val="0"/>
        <w:widowControl w:val="0"/>
        <w:kinsoku/>
        <w:wordWrap/>
        <w:overflowPunct/>
        <w:topLinePunct w:val="0"/>
        <w:autoSpaceDE/>
        <w:autoSpaceDN/>
        <w:bidi w:val="0"/>
        <w:adjustRightInd w:val="0"/>
        <w:snapToGrid w:val="0"/>
        <w:spacing w:before="0"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3.4.1.5同时出现两种以上不一致的，按照3.4.1规定的顺序修正。修正后的报价按照财政部第87号令 《政府采购货物和服务招标投标管理办法》第五十一条第二款的规定经投标人确认后产生约束力。</w:t>
      </w:r>
    </w:p>
    <w:p w14:paraId="6E34767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3.4.2投标文件出现不是唯一的、有选择性投标报价的，投标无效。</w:t>
      </w:r>
    </w:p>
    <w:p w14:paraId="1B67280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3.4.3投标报价超过招标文件中规定的预算金额或者最高限价的，投标无效。</w:t>
      </w:r>
    </w:p>
    <w:p w14:paraId="14780722">
      <w:pPr>
        <w:pStyle w:val="139"/>
        <w:keepNext w:val="0"/>
        <w:keepLines w:val="0"/>
        <w:pageBreakBefore w:val="0"/>
        <w:widowControl w:val="0"/>
        <w:kinsoku/>
        <w:wordWrap/>
        <w:overflowPunct/>
        <w:topLinePunct w:val="0"/>
        <w:autoSpaceDE/>
        <w:autoSpaceDN/>
        <w:bidi w:val="0"/>
        <w:adjustRightInd w:val="0"/>
        <w:snapToGrid w:val="0"/>
        <w:spacing w:before="0"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3.4.4评审中出现下列情形之一的，评审委员会应当启动异常低价投标（响应）审查程序：</w:t>
      </w:r>
    </w:p>
    <w:p w14:paraId="4791EE08">
      <w:pPr>
        <w:pStyle w:val="139"/>
        <w:keepNext w:val="0"/>
        <w:keepLines w:val="0"/>
        <w:pageBreakBefore w:val="0"/>
        <w:widowControl w:val="0"/>
        <w:kinsoku/>
        <w:wordWrap/>
        <w:overflowPunct/>
        <w:topLinePunct w:val="0"/>
        <w:autoSpaceDE/>
        <w:autoSpaceDN/>
        <w:bidi w:val="0"/>
        <w:adjustRightInd w:val="0"/>
        <w:snapToGrid w:val="0"/>
        <w:spacing w:before="0"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投标（响应）报价低于全部通过符合性审查供应商投标（响应）报价平均值50%的，即投标（响应）报价</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全部通过符合性审查供应商投标（响应）报价平均值×50%；</w:t>
      </w:r>
    </w:p>
    <w:p w14:paraId="4B541D35">
      <w:pPr>
        <w:pStyle w:val="139"/>
        <w:keepNext w:val="0"/>
        <w:keepLines w:val="0"/>
        <w:pageBreakBefore w:val="0"/>
        <w:widowControl w:val="0"/>
        <w:kinsoku/>
        <w:wordWrap/>
        <w:overflowPunct/>
        <w:topLinePunct w:val="0"/>
        <w:autoSpaceDE/>
        <w:autoSpaceDN/>
        <w:bidi w:val="0"/>
        <w:adjustRightInd w:val="0"/>
        <w:snapToGrid w:val="0"/>
        <w:spacing w:before="0"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投标（响应）报价低于通过符合性审查的次低报价供应商投标（响应）报价50%的，即投标（响应）报价</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通过符合性审查的次低报价供应商投标（响应）报价×50%；</w:t>
      </w:r>
    </w:p>
    <w:p w14:paraId="023BD3D4">
      <w:pPr>
        <w:pStyle w:val="139"/>
        <w:keepNext w:val="0"/>
        <w:keepLines w:val="0"/>
        <w:pageBreakBefore w:val="0"/>
        <w:widowControl w:val="0"/>
        <w:kinsoku/>
        <w:wordWrap/>
        <w:overflowPunct/>
        <w:topLinePunct w:val="0"/>
        <w:autoSpaceDE/>
        <w:autoSpaceDN/>
        <w:bidi w:val="0"/>
        <w:adjustRightInd w:val="0"/>
        <w:snapToGrid w:val="0"/>
        <w:spacing w:before="0"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投标（响应）报价低于采购项目最高限价45%的，即投标（响应）报价</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采购项目最高限价×45%；</w:t>
      </w:r>
    </w:p>
    <w:p w14:paraId="0159A18D">
      <w:pPr>
        <w:pStyle w:val="139"/>
        <w:keepNext w:val="0"/>
        <w:keepLines w:val="0"/>
        <w:pageBreakBefore w:val="0"/>
        <w:widowControl w:val="0"/>
        <w:kinsoku/>
        <w:wordWrap/>
        <w:overflowPunct/>
        <w:topLinePunct w:val="0"/>
        <w:autoSpaceDE/>
        <w:autoSpaceDN/>
        <w:bidi w:val="0"/>
        <w:adjustRightInd w:val="0"/>
        <w:snapToGrid w:val="0"/>
        <w:spacing w:before="0"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评审委员会基于专业判断，认为供应商报价过低，有可能影响产品质量或者不能诚信履约的其他情形。</w:t>
      </w:r>
    </w:p>
    <w:p w14:paraId="05508D7A">
      <w:pPr>
        <w:pStyle w:val="139"/>
        <w:keepNext w:val="0"/>
        <w:keepLines w:val="0"/>
        <w:pageBreakBefore w:val="0"/>
        <w:widowControl w:val="0"/>
        <w:kinsoku/>
        <w:wordWrap/>
        <w:overflowPunct/>
        <w:topLinePunct w:val="0"/>
        <w:autoSpaceDE/>
        <w:autoSpaceDN/>
        <w:bidi w:val="0"/>
        <w:adjustRightInd w:val="0"/>
        <w:snapToGrid w:val="0"/>
        <w:spacing w:before="0"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AF5729A">
      <w:pPr>
        <w:pStyle w:val="139"/>
        <w:keepNext w:val="0"/>
        <w:keepLines w:val="0"/>
        <w:pageBreakBefore w:val="0"/>
        <w:widowControl w:val="0"/>
        <w:kinsoku/>
        <w:wordWrap/>
        <w:overflowPunct/>
        <w:topLinePunct w:val="0"/>
        <w:autoSpaceDE/>
        <w:autoSpaceDN/>
        <w:bidi w:val="0"/>
        <w:adjustRightInd w:val="0"/>
        <w:snapToGrid w:val="0"/>
        <w:spacing w:before="0"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BD0DF82">
      <w:pPr>
        <w:pStyle w:val="139"/>
        <w:keepNext w:val="0"/>
        <w:keepLines w:val="0"/>
        <w:pageBreakBefore w:val="0"/>
        <w:widowControl w:val="0"/>
        <w:kinsoku/>
        <w:wordWrap/>
        <w:overflowPunct/>
        <w:topLinePunct w:val="0"/>
        <w:autoSpaceDE/>
        <w:autoSpaceDN/>
        <w:bidi w:val="0"/>
        <w:adjustRightInd w:val="0"/>
        <w:snapToGrid w:val="0"/>
        <w:spacing w:before="0" w:line="360" w:lineRule="auto"/>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3.4.5对于未预留份额专门面向中小企业的政府采购货物项目，以及预留份额政府采购货物项目中的非预留部分标项，对小型和微型企业的投标报价给予10%的扣除，用扣除后的价格参与评审。接受大中型企业与小微企业组成联合体或者允许大中型企业向一家或者多家小微企业分包的政府采购货物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14:paraId="04DF9743">
      <w:pPr>
        <w:pStyle w:val="139"/>
        <w:keepNext w:val="0"/>
        <w:keepLines w:val="0"/>
        <w:pageBreakBefore w:val="0"/>
        <w:widowControl w:val="0"/>
        <w:kinsoku/>
        <w:wordWrap/>
        <w:overflowPunct/>
        <w:topLinePunct w:val="0"/>
        <w:autoSpaceDE/>
        <w:autoSpaceDN/>
        <w:bidi w:val="0"/>
        <w:adjustRightInd w:val="0"/>
        <w:snapToGrid w:val="0"/>
        <w:spacing w:before="0" w:line="360" w:lineRule="auto"/>
        <w:ind w:firstLine="48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3.4.6 采购项目或采购标项包含货物的，既有本国产品又有非本国产品参与竞争的，对本国产品的报价给予20%的价格扣除，用扣除后的价格参与评审。</w:t>
      </w:r>
    </w:p>
    <w:p w14:paraId="5A9C0329">
      <w:pPr>
        <w:pStyle w:val="139"/>
        <w:keepNext w:val="0"/>
        <w:keepLines w:val="0"/>
        <w:pageBreakBefore w:val="0"/>
        <w:widowControl w:val="0"/>
        <w:kinsoku/>
        <w:wordWrap/>
        <w:overflowPunct/>
        <w:topLinePunct w:val="0"/>
        <w:autoSpaceDE/>
        <w:autoSpaceDN/>
        <w:bidi w:val="0"/>
        <w:adjustRightInd w:val="0"/>
        <w:snapToGrid w:val="0"/>
        <w:spacing w:before="0" w:line="360" w:lineRule="auto"/>
        <w:ind w:firstLine="48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当采购项目或者采购标项中含有多种产品，供应商为该采购项目或者采购标项提供的符合本国产品标准的产品成本之和占该供应商提供的全部产品成本之和的比例达到80%以上时，对该供应商提供的全部产品的总报价给予20%的价格扣除，用扣除后的价格参与评审。</w:t>
      </w:r>
    </w:p>
    <w:p w14:paraId="44487BC3">
      <w:pPr>
        <w:pStyle w:val="139"/>
        <w:keepNext w:val="0"/>
        <w:keepLines w:val="0"/>
        <w:pageBreakBefore w:val="0"/>
        <w:widowControl w:val="0"/>
        <w:kinsoku/>
        <w:wordWrap/>
        <w:overflowPunct/>
        <w:topLinePunct w:val="0"/>
        <w:autoSpaceDE/>
        <w:autoSpaceDN/>
        <w:bidi w:val="0"/>
        <w:adjustRightInd w:val="0"/>
        <w:snapToGrid w:val="0"/>
        <w:spacing w:before="0" w:line="360" w:lineRule="auto"/>
        <w:ind w:firstLine="48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供应商在投标文件中提供《关于符合本国产品标准的声明函》（以下简称《声明函》），格式见第六部分附件。评标委员会对《声明函》的完整性、准确性进行审查，评审中发现《声明函》内容含义不明确、同类事项与投标（响应）文件表述不一致或者有明显文字错误等情况的，应当以书面形式要求供应商作出必要的澄清、说明或者补正。经澄清、说明或者补正的《声明函》仍然不符合《国务院办公厅关于在政府采购中实施本国产品标准及相关政策的通知》规定要求的，供应商提供的相关产品视为不符合本国产品标准。</w:t>
      </w:r>
    </w:p>
    <w:p w14:paraId="6A4D804A">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3.5排序与推荐。</w:t>
      </w:r>
      <w:r>
        <w:rPr>
          <w:rFonts w:hint="eastAsia" w:ascii="宋体" w:hAnsi="宋体" w:eastAsia="宋体" w:cs="宋体"/>
          <w:color w:val="auto"/>
          <w:kern w:val="0"/>
          <w:sz w:val="21"/>
          <w:szCs w:val="21"/>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7573272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color w:val="auto"/>
          <w:kern w:val="0"/>
          <w:sz w:val="21"/>
          <w:szCs w:val="21"/>
          <w:highlight w:val="none"/>
        </w:rPr>
      </w:pPr>
      <w:r>
        <w:rPr>
          <w:rFonts w:hint="eastAsia" w:ascii="宋体" w:hAnsi="宋体" w:eastAsia="宋体" w:cs="宋体"/>
          <w:color w:val="auto"/>
          <w:kern w:val="0"/>
          <w:sz w:val="21"/>
          <w:szCs w:val="21"/>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3ABEAE33">
      <w:pPr>
        <w:keepNext w:val="0"/>
        <w:keepLines w:val="0"/>
        <w:pageBreakBefore w:val="0"/>
        <w:widowControl w:val="0"/>
        <w:kinsoku/>
        <w:wordWrap/>
        <w:overflowPunct/>
        <w:topLinePunct w:val="0"/>
        <w:autoSpaceDE/>
        <w:autoSpaceDN/>
        <w:bidi w:val="0"/>
        <w:adjustRightInd w:val="0"/>
        <w:snapToGrid w:val="0"/>
        <w:spacing w:line="360" w:lineRule="auto"/>
        <w:ind w:firstLine="413" w:firstLineChars="196"/>
        <w:textAlignment w:val="auto"/>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3.6编写评标报告。</w:t>
      </w:r>
      <w:r>
        <w:rPr>
          <w:rFonts w:hint="eastAsia" w:ascii="宋体" w:hAnsi="宋体" w:eastAsia="宋体" w:cs="宋体"/>
          <w:color w:val="auto"/>
          <w:kern w:val="0"/>
          <w:sz w:val="21"/>
          <w:szCs w:val="21"/>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24A0ABDF">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rFonts w:hint="eastAsia" w:ascii="宋体" w:hAnsi="宋体" w:eastAsia="宋体" w:cs="宋体"/>
          <w:b/>
          <w:color w:val="auto"/>
          <w:sz w:val="21"/>
          <w:szCs w:val="21"/>
          <w:highlight w:val="none"/>
        </w:rPr>
      </w:pPr>
      <w:bookmarkStart w:id="438" w:name="_Toc8575"/>
      <w:r>
        <w:rPr>
          <w:rFonts w:hint="eastAsia" w:ascii="宋体" w:hAnsi="宋体" w:eastAsia="宋体" w:cs="宋体"/>
          <w:b/>
          <w:color w:val="auto"/>
          <w:sz w:val="21"/>
          <w:szCs w:val="21"/>
          <w:highlight w:val="none"/>
        </w:rPr>
        <w:t>四、评标中的其他事项</w:t>
      </w:r>
      <w:bookmarkEnd w:id="438"/>
    </w:p>
    <w:p w14:paraId="5F6929E1">
      <w:pPr>
        <w:pStyle w:val="139"/>
        <w:spacing w:before="0" w:line="360" w:lineRule="auto"/>
        <w:ind w:firstLine="413" w:firstLineChars="196"/>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4.1投标人澄清、说明或者补正。</w:t>
      </w:r>
      <w:r>
        <w:rPr>
          <w:rFonts w:hint="eastAsia" w:ascii="宋体" w:hAnsi="宋体" w:eastAsia="宋体" w:cs="宋体"/>
          <w:color w:val="auto"/>
          <w:kern w:val="0"/>
          <w:sz w:val="21"/>
          <w:szCs w:val="21"/>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3FA8A52B">
      <w:pPr>
        <w:pStyle w:val="25"/>
        <w:spacing w:line="360" w:lineRule="auto"/>
        <w:ind w:left="954" w:leftChars="226" w:hanging="479" w:firstLineChars="0"/>
        <w:rPr>
          <w:rFonts w:hint="eastAsia" w:ascii="宋体" w:hAnsi="宋体" w:eastAsia="宋体" w:cs="宋体"/>
          <w:color w:val="auto"/>
          <w:sz w:val="21"/>
          <w:szCs w:val="21"/>
          <w:highlight w:val="none"/>
        </w:rPr>
      </w:pPr>
      <w:r>
        <w:rPr>
          <w:rFonts w:hint="eastAsia" w:ascii="宋体" w:hAnsi="宋体" w:eastAsia="宋体" w:cs="宋体"/>
          <w:b/>
          <w:color w:val="auto"/>
          <w:kern w:val="0"/>
          <w:sz w:val="21"/>
          <w:szCs w:val="21"/>
          <w:highlight w:val="none"/>
        </w:rPr>
        <w:t>4.2投标无效。</w:t>
      </w:r>
      <w:r>
        <w:rPr>
          <w:rFonts w:hint="eastAsia" w:ascii="宋体" w:hAnsi="宋体" w:eastAsia="宋体" w:cs="宋体"/>
          <w:color w:val="auto"/>
          <w:sz w:val="21"/>
          <w:szCs w:val="21"/>
          <w:highlight w:val="none"/>
        </w:rPr>
        <w:t>有下列情形之一的，投标无效：</w:t>
      </w:r>
    </w:p>
    <w:p w14:paraId="0658FF2F">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4.2.1投标人不具备招标文件中规定的资格要求的（投标人未提供有效的资格文件的，视为投标人不具备招标文件中规定的资格要求）；</w:t>
      </w:r>
    </w:p>
    <w:p w14:paraId="5CE0FF14">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4.2.2投标文件未按照招标文件要求签署、盖章的；</w:t>
      </w:r>
    </w:p>
    <w:p w14:paraId="25C1B9E6">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4.2.3采购人拟采购的产品属于政府强制采购的节能产品品目清单范围的，投标人相应的投标产品未获得国家确定的认证机构出具的、处于有效期之内的节能产品认证证书的；</w:t>
      </w:r>
    </w:p>
    <w:p w14:paraId="7B2E4B39">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4.2.4投标文件含有采购人不能接受的附加条件的；</w:t>
      </w:r>
    </w:p>
    <w:p w14:paraId="494BF015">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4.2.5投标文件中承诺的投标有效期少于招标文件中载明的投标有效期的；</w:t>
      </w:r>
    </w:p>
    <w:p w14:paraId="37F40F77">
      <w:pPr>
        <w:spacing w:line="360" w:lineRule="auto"/>
        <w:ind w:firstLine="420" w:firstLineChars="20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4.2.6投标文件出现不是唯一的、有选择性投标报价的</w:t>
      </w:r>
      <w:r>
        <w:rPr>
          <w:rFonts w:hint="eastAsia" w:ascii="宋体" w:hAnsi="宋体" w:eastAsia="宋体" w:cs="宋体"/>
          <w:color w:val="auto"/>
          <w:kern w:val="0"/>
          <w:sz w:val="21"/>
          <w:szCs w:val="21"/>
          <w:highlight w:val="none"/>
          <w:lang w:eastAsia="zh-CN"/>
        </w:rPr>
        <w:t>；</w:t>
      </w:r>
    </w:p>
    <w:p w14:paraId="25A508FF">
      <w:pPr>
        <w:spacing w:line="360" w:lineRule="auto"/>
        <w:ind w:firstLine="420" w:firstLineChars="20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4.2.7投标报价超过招标文件中规定的预算金额或者最高限价的</w:t>
      </w:r>
      <w:r>
        <w:rPr>
          <w:rFonts w:hint="eastAsia" w:ascii="宋体" w:hAnsi="宋体" w:eastAsia="宋体" w:cs="宋体"/>
          <w:color w:val="auto"/>
          <w:kern w:val="0"/>
          <w:sz w:val="21"/>
          <w:szCs w:val="21"/>
          <w:highlight w:val="none"/>
          <w:lang w:eastAsia="zh-CN"/>
        </w:rPr>
        <w:t>；</w:t>
      </w:r>
    </w:p>
    <w:p w14:paraId="23D9CF95">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w:t>
      </w: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投标人对根据修正原则修正后的报价不确认的；</w:t>
      </w:r>
    </w:p>
    <w:p w14:paraId="3CDEB34D">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w:t>
      </w:r>
      <w:r>
        <w:rPr>
          <w:rFonts w:hint="eastAsia" w:ascii="宋体" w:hAnsi="宋体" w:eastAsia="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rPr>
        <w:t>投标人提供虚假材料投标的；</w:t>
      </w:r>
    </w:p>
    <w:p w14:paraId="595E9FB8">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4.2.1</w:t>
      </w:r>
      <w:r>
        <w:rPr>
          <w:rFonts w:hint="eastAsia" w:ascii="宋体" w:hAnsi="宋体" w:eastAsia="宋体" w:cs="宋体"/>
          <w:color w:val="auto"/>
          <w:kern w:val="0"/>
          <w:sz w:val="21"/>
          <w:szCs w:val="21"/>
          <w:highlight w:val="none"/>
          <w:lang w:val="en-US" w:eastAsia="zh-CN"/>
        </w:rPr>
        <w:t>0</w:t>
      </w:r>
      <w:r>
        <w:rPr>
          <w:rFonts w:hint="eastAsia" w:ascii="宋体" w:hAnsi="宋体" w:eastAsia="宋体" w:cs="宋体"/>
          <w:color w:val="auto"/>
          <w:kern w:val="0"/>
          <w:sz w:val="21"/>
          <w:szCs w:val="21"/>
          <w:highlight w:val="none"/>
        </w:rPr>
        <w:t>投标人有恶意串通、妨碍其他投标人的竞争行为、损害采购人或者其他投标人的合法权益情形的；</w:t>
      </w:r>
    </w:p>
    <w:p w14:paraId="6B0100CF">
      <w:pPr>
        <w:spacing w:line="36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4.2.11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p>
    <w:p w14:paraId="54CF1927">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4.2.1</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投标人仅提交备份投标文件，未在电子交易平台传输递交投标文件的，投标无效；</w:t>
      </w:r>
    </w:p>
    <w:p w14:paraId="47C29530">
      <w:pPr>
        <w:spacing w:line="360" w:lineRule="auto"/>
        <w:ind w:firstLine="420" w:firstLineChars="200"/>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rPr>
        <w:t>4.2.1</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en-US"/>
        </w:rPr>
        <w:t>投标文件不满足招标文件的</w:t>
      </w:r>
      <w:r>
        <w:rPr>
          <w:rFonts w:hint="eastAsia" w:ascii="宋体" w:hAnsi="宋体" w:eastAsia="宋体" w:cs="宋体"/>
          <w:color w:val="auto"/>
          <w:kern w:val="0"/>
          <w:sz w:val="21"/>
          <w:szCs w:val="21"/>
          <w:highlight w:val="none"/>
          <w:lang w:val="en-US" w:eastAsia="zh-CN"/>
        </w:rPr>
        <w:t>其他</w:t>
      </w:r>
      <w:r>
        <w:rPr>
          <w:rFonts w:hint="eastAsia" w:ascii="宋体" w:hAnsi="宋体" w:eastAsia="宋体" w:cs="宋体"/>
          <w:color w:val="auto"/>
          <w:kern w:val="0"/>
          <w:sz w:val="21"/>
          <w:szCs w:val="21"/>
          <w:highlight w:val="none"/>
          <w:lang w:val="en-US"/>
        </w:rPr>
        <w:t>实质性要求的；</w:t>
      </w:r>
    </w:p>
    <w:p w14:paraId="64EA64A5">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4.2.1</w:t>
      </w:r>
      <w:r>
        <w:rPr>
          <w:rFonts w:hint="eastAsia" w:ascii="宋体" w:hAnsi="宋体" w:eastAsia="宋体" w:cs="宋体"/>
          <w:color w:val="auto"/>
          <w:kern w:val="0"/>
          <w:sz w:val="21"/>
          <w:szCs w:val="21"/>
          <w:highlight w:val="none"/>
          <w:lang w:val="en-US" w:eastAsia="zh-CN"/>
        </w:rPr>
        <w:t>4</w:t>
      </w:r>
      <w:r>
        <w:rPr>
          <w:rFonts w:hint="eastAsia" w:ascii="宋体" w:hAnsi="宋体" w:cs="宋体"/>
          <w:color w:val="auto"/>
          <w:kern w:val="0"/>
          <w:sz w:val="21"/>
          <w:szCs w:val="21"/>
          <w:highlight w:val="none"/>
        </w:rPr>
        <w:t>法律法规、规章及省级以上规范性文件规定的其他无效情形。</w:t>
      </w:r>
    </w:p>
    <w:p w14:paraId="5B72C2BE">
      <w:pPr>
        <w:pStyle w:val="25"/>
        <w:snapToGrid w:val="0"/>
        <w:spacing w:line="360" w:lineRule="auto"/>
        <w:ind w:firstLine="413" w:firstLineChars="196"/>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5.废标。</w:t>
      </w:r>
      <w:r>
        <w:rPr>
          <w:rFonts w:hint="eastAsia" w:ascii="宋体" w:hAnsi="宋体" w:eastAsia="宋体" w:cs="宋体"/>
          <w:color w:val="auto"/>
          <w:sz w:val="21"/>
          <w:szCs w:val="21"/>
          <w:highlight w:val="none"/>
        </w:rPr>
        <w:t>根据《中华人民共和国政府采购法》第三十六条之规定，在采购中，出现下列情形之一的，应予废标：</w:t>
      </w:r>
    </w:p>
    <w:p w14:paraId="0521046D">
      <w:pPr>
        <w:pStyle w:val="25"/>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5.1符合专业条件的供应商或者对招标文件作实质响应的供应商不足3家的；</w:t>
      </w:r>
    </w:p>
    <w:p w14:paraId="29D6B3EA">
      <w:pPr>
        <w:pStyle w:val="25"/>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5.2出现影响采购公正的违法、违规行为的；</w:t>
      </w:r>
    </w:p>
    <w:p w14:paraId="3DBC808A">
      <w:pPr>
        <w:pStyle w:val="25"/>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5.3投标人的报价均超过了采购预算，采购人不能支付的；</w:t>
      </w:r>
    </w:p>
    <w:p w14:paraId="0A9472AE">
      <w:pPr>
        <w:pStyle w:val="25"/>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5.4因重大变故，采购任务取消的。</w:t>
      </w:r>
    </w:p>
    <w:p w14:paraId="750D499B">
      <w:pPr>
        <w:pStyle w:val="25"/>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废标后，</w:t>
      </w:r>
      <w:r>
        <w:rPr>
          <w:rFonts w:hint="eastAsia" w:ascii="宋体" w:hAnsi="宋体" w:eastAsia="宋体" w:cs="宋体"/>
          <w:color w:val="auto"/>
          <w:sz w:val="21"/>
          <w:szCs w:val="21"/>
          <w:highlight w:val="none"/>
          <w:lang w:eastAsia="zh-CN"/>
        </w:rPr>
        <w:t>采购代理机构</w:t>
      </w:r>
      <w:r>
        <w:rPr>
          <w:rFonts w:hint="eastAsia" w:ascii="宋体" w:hAnsi="宋体" w:eastAsia="宋体" w:cs="宋体"/>
          <w:color w:val="auto"/>
          <w:sz w:val="21"/>
          <w:szCs w:val="21"/>
          <w:highlight w:val="none"/>
        </w:rPr>
        <w:t>应当将废标理由通知所有投标人。</w:t>
      </w:r>
    </w:p>
    <w:p w14:paraId="774823BF">
      <w:pPr>
        <w:pStyle w:val="25"/>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6.修改招标文件，重新组织采购活动。</w:t>
      </w:r>
      <w:r>
        <w:rPr>
          <w:rFonts w:hint="eastAsia" w:ascii="宋体" w:hAnsi="宋体" w:eastAsia="宋体" w:cs="宋体"/>
          <w:color w:val="auto"/>
          <w:sz w:val="21"/>
          <w:szCs w:val="21"/>
          <w:highlight w:val="none"/>
        </w:rPr>
        <w:t>评标委员会发现招标文件存在歧义、重大缺陷导致评标工作无法进行，或者招标文件内容违反国家有关强制性规定的，将停止评标工作，并与采购人、</w:t>
      </w:r>
      <w:r>
        <w:rPr>
          <w:rFonts w:hint="eastAsia" w:ascii="宋体" w:hAnsi="宋体" w:eastAsia="宋体" w:cs="宋体"/>
          <w:color w:val="auto"/>
          <w:sz w:val="21"/>
          <w:szCs w:val="21"/>
          <w:highlight w:val="none"/>
          <w:lang w:eastAsia="zh-CN"/>
        </w:rPr>
        <w:t>采购代理机构</w:t>
      </w:r>
      <w:r>
        <w:rPr>
          <w:rFonts w:hint="eastAsia" w:ascii="宋体" w:hAnsi="宋体" w:eastAsia="宋体" w:cs="宋体"/>
          <w:color w:val="auto"/>
          <w:sz w:val="21"/>
          <w:szCs w:val="21"/>
          <w:highlight w:val="none"/>
        </w:rPr>
        <w:t>沟通并作书面记录。采购人、</w:t>
      </w:r>
      <w:r>
        <w:rPr>
          <w:rFonts w:hint="eastAsia" w:ascii="宋体" w:hAnsi="宋体" w:eastAsia="宋体" w:cs="宋体"/>
          <w:color w:val="auto"/>
          <w:sz w:val="21"/>
          <w:szCs w:val="21"/>
          <w:highlight w:val="none"/>
          <w:lang w:eastAsia="zh-CN"/>
        </w:rPr>
        <w:t>采购代理机构</w:t>
      </w:r>
      <w:r>
        <w:rPr>
          <w:rFonts w:hint="eastAsia" w:ascii="宋体" w:hAnsi="宋体" w:eastAsia="宋体" w:cs="宋体"/>
          <w:color w:val="auto"/>
          <w:sz w:val="21"/>
          <w:szCs w:val="21"/>
          <w:highlight w:val="none"/>
        </w:rPr>
        <w:t>确认后，将修改招标文件，重新组织采购活动。</w:t>
      </w:r>
    </w:p>
    <w:p w14:paraId="4B392C57">
      <w:pPr>
        <w:pStyle w:val="25"/>
        <w:snapToGrid w:val="0"/>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b/>
          <w:color w:val="auto"/>
          <w:kern w:val="0"/>
          <w:sz w:val="21"/>
          <w:szCs w:val="21"/>
          <w:highlight w:val="none"/>
        </w:rPr>
        <w:t>7.重新开展采购。</w:t>
      </w:r>
      <w:r>
        <w:rPr>
          <w:rFonts w:hint="eastAsia" w:ascii="宋体" w:hAnsi="宋体" w:eastAsia="宋体" w:cs="宋体"/>
          <w:color w:val="auto"/>
          <w:sz w:val="21"/>
          <w:szCs w:val="21"/>
          <w:highlight w:val="none"/>
        </w:rPr>
        <w:t>有政府采购法第七十一条、第七十二条规定的违法行为之一，影响或者可能影响中标结果的，依照下列规定处理：</w:t>
      </w:r>
    </w:p>
    <w:p w14:paraId="2538BFA3">
      <w:pPr>
        <w:pStyle w:val="25"/>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7.1未确定</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的，终止本次政府采购活动，重新开展政府采购活动。</w:t>
      </w:r>
    </w:p>
    <w:p w14:paraId="3F8E4E20">
      <w:pPr>
        <w:pStyle w:val="25"/>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7.2已确定</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但尚未签订政府采购合同的，中标结果无效，从合格的中标候选人中另行确定</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；没有合格的中标候选人的，重新开展政府采购活动。</w:t>
      </w:r>
    </w:p>
    <w:p w14:paraId="70CB7B66">
      <w:pPr>
        <w:pStyle w:val="25"/>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7.3政府采购合同已签订但尚未履行的，撤销合同，从合格的中标候选人中另行确定</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；没有合格的中标候选人的，重新开展政府采购活动。</w:t>
      </w:r>
    </w:p>
    <w:p w14:paraId="62932E8C">
      <w:pPr>
        <w:pStyle w:val="25"/>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7.4政府采购合同已经履行，给采购人、供应商造成损失的，由责任人承担赔偿责任。</w:t>
      </w:r>
    </w:p>
    <w:p w14:paraId="456B568B">
      <w:pPr>
        <w:pStyle w:val="25"/>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7.5政府采购当事人有其他违反政府采购法或者政府采购法实施条例等法律法规规定的行为，经改正后仍然影响或者可能影响中标结果或者依法被认定为中标无效的，依照7.1-7.4规定处理。</w:t>
      </w:r>
      <w:bookmarkEnd w:id="66"/>
      <w:bookmarkStart w:id="439" w:name="第五部分"/>
      <w:bookmarkStart w:id="440" w:name="_Toc86217003"/>
    </w:p>
    <w:p w14:paraId="24769268">
      <w:pPr>
        <w:spacing w:line="360" w:lineRule="auto"/>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p>
    <w:p w14:paraId="5ADAA5ED">
      <w:pPr>
        <w:spacing w:line="360" w:lineRule="auto"/>
        <w:ind w:left="720" w:leftChars="343" w:firstLine="1084" w:firstLineChars="300"/>
        <w:outlineLvl w:val="0"/>
        <w:rPr>
          <w:rFonts w:hint="eastAsia" w:ascii="宋体" w:hAnsi="宋体" w:eastAsia="宋体" w:cs="宋体"/>
          <w:b/>
          <w:color w:val="auto"/>
          <w:sz w:val="36"/>
          <w:szCs w:val="36"/>
          <w:highlight w:val="none"/>
        </w:rPr>
      </w:pPr>
      <w:bookmarkStart w:id="441" w:name="_Toc9899"/>
      <w:r>
        <w:rPr>
          <w:rFonts w:hint="eastAsia" w:ascii="宋体" w:hAnsi="宋体" w:eastAsia="宋体" w:cs="宋体"/>
          <w:b/>
          <w:color w:val="auto"/>
          <w:sz w:val="36"/>
          <w:szCs w:val="36"/>
          <w:highlight w:val="none"/>
        </w:rPr>
        <w:t>第五部分 拟签订的合同文本</w:t>
      </w:r>
      <w:bookmarkEnd w:id="441"/>
    </w:p>
    <w:p w14:paraId="5C729469">
      <w:pPr>
        <w:keepNext w:val="0"/>
        <w:keepLines w:val="0"/>
        <w:pageBreakBefore w:val="0"/>
        <w:widowControl w:val="0"/>
        <w:shd w:val="clear" w:color="auto" w:fill="auto"/>
        <w:kinsoku/>
        <w:wordWrap/>
        <w:overflowPunct/>
        <w:topLinePunct w:val="0"/>
        <w:autoSpaceDE/>
        <w:autoSpaceDN/>
        <w:bidi w:val="0"/>
        <w:adjustRightInd/>
        <w:spacing w:line="360" w:lineRule="auto"/>
        <w:ind w:left="0" w:leftChars="0" w:right="0" w:rightChars="0"/>
        <w:jc w:val="center"/>
        <w:textAlignment w:val="auto"/>
        <w:outlineLvl w:val="1"/>
        <w:rPr>
          <w:rFonts w:hint="eastAsia" w:ascii="宋体" w:hAnsi="宋体" w:eastAsia="宋体" w:cs="宋体"/>
          <w:b/>
          <w:color w:val="auto"/>
          <w:sz w:val="28"/>
          <w:szCs w:val="28"/>
          <w:highlight w:val="none"/>
        </w:rPr>
      </w:pPr>
      <w:bookmarkStart w:id="442" w:name="_Toc1854"/>
      <w:r>
        <w:rPr>
          <w:rFonts w:hint="eastAsia" w:ascii="宋体" w:hAnsi="宋体" w:cs="宋体"/>
          <w:b/>
          <w:color w:val="auto"/>
          <w:sz w:val="28"/>
          <w:szCs w:val="28"/>
          <w:highlight w:val="none"/>
          <w:lang w:eastAsia="zh-CN"/>
        </w:rPr>
        <w:t>浙江省工商业联合会</w:t>
      </w:r>
      <w:r>
        <w:rPr>
          <w:rFonts w:hint="eastAsia" w:ascii="宋体" w:hAnsi="宋体" w:eastAsia="宋体" w:cs="宋体"/>
          <w:b/>
          <w:color w:val="auto"/>
          <w:sz w:val="28"/>
          <w:szCs w:val="28"/>
          <w:highlight w:val="none"/>
        </w:rPr>
        <w:t>采购合同</w:t>
      </w:r>
      <w:bookmarkEnd w:id="442"/>
    </w:p>
    <w:p w14:paraId="4D64EB35">
      <w:pPr>
        <w:shd w:val="clear" w:color="auto" w:fill="auto"/>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（本合同为合同样稿，最终稿由三方协商后确定，合同实质性内容不得更改；签订合同时删除此行）</w:t>
      </w:r>
    </w:p>
    <w:p w14:paraId="4814CA67">
      <w:pPr>
        <w:pStyle w:val="33"/>
        <w:keepNext w:val="0"/>
        <w:keepLines w:val="0"/>
        <w:pageBreakBefore w:val="0"/>
        <w:shd w:val="clear" w:color="auto" w:fill="auto"/>
        <w:kinsoku/>
        <w:wordWrap/>
        <w:overflowPunct/>
        <w:topLinePunct w:val="0"/>
        <w:autoSpaceDE/>
        <w:autoSpaceDN/>
        <w:bidi w:val="0"/>
        <w:adjustRightInd/>
        <w:spacing w:line="360" w:lineRule="auto"/>
        <w:jc w:val="left"/>
        <w:textAlignment w:val="auto"/>
        <w:rPr>
          <w:rFonts w:hint="eastAsia" w:ascii="宋体" w:hAnsi="宋体" w:eastAsia="宋体" w:cs="宋体"/>
          <w:color w:val="auto"/>
          <w:spacing w:val="-6"/>
          <w:sz w:val="21"/>
          <w:szCs w:val="21"/>
          <w:highlight w:val="none"/>
          <w:lang w:val="en-US" w:eastAsia="zh-CN"/>
        </w:rPr>
      </w:pPr>
    </w:p>
    <w:p w14:paraId="3D2EB509">
      <w:pPr>
        <w:pStyle w:val="33"/>
        <w:keepNext w:val="0"/>
        <w:keepLines w:val="0"/>
        <w:pageBreakBefore w:val="0"/>
        <w:shd w:val="clear" w:color="auto" w:fill="auto"/>
        <w:kinsoku/>
        <w:wordWrap/>
        <w:overflowPunct/>
        <w:topLinePunct w:val="0"/>
        <w:autoSpaceDE/>
        <w:autoSpaceDN/>
        <w:bidi w:val="0"/>
        <w:adjustRightInd/>
        <w:spacing w:line="360" w:lineRule="auto"/>
        <w:jc w:val="left"/>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合同编号：</w:t>
      </w:r>
    </w:p>
    <w:p w14:paraId="23D65353">
      <w:pPr>
        <w:keepNext w:val="0"/>
        <w:keepLines w:val="0"/>
        <w:pageBreakBefore w:val="0"/>
        <w:widowControl w:val="0"/>
        <w:shd w:val="clear" w:color="auto" w:fill="auto"/>
        <w:kinsoku/>
        <w:wordWrap/>
        <w:overflowPunct/>
        <w:topLinePunct w:val="0"/>
        <w:autoSpaceDE/>
        <w:autoSpaceDN/>
        <w:bidi w:val="0"/>
        <w:adjustRightInd/>
        <w:spacing w:line="360" w:lineRule="auto"/>
        <w:ind w:left="0" w:leftChars="0" w:right="0" w:rightChars="0"/>
        <w:jc w:val="left"/>
        <w:textAlignment w:val="auto"/>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pacing w:val="-6"/>
          <w:sz w:val="21"/>
          <w:szCs w:val="21"/>
          <w:highlight w:val="none"/>
          <w:lang w:val="en-US" w:eastAsia="zh-CN"/>
        </w:rPr>
        <w:t>采购计划文号：临[2026]28716号、[2026]28434号</w:t>
      </w:r>
      <w:r>
        <w:rPr>
          <w:rFonts w:hint="eastAsia" w:ascii="宋体" w:hAnsi="宋体" w:eastAsia="宋体" w:cs="宋体"/>
          <w:color w:val="auto"/>
          <w:sz w:val="21"/>
          <w:szCs w:val="21"/>
          <w:highlight w:val="none"/>
          <w:lang w:val="en-US" w:eastAsia="zh-CN"/>
        </w:rPr>
        <w:t xml:space="preserve"> </w:t>
      </w:r>
    </w:p>
    <w:p w14:paraId="6A5BC411">
      <w:pPr>
        <w:keepNext w:val="0"/>
        <w:keepLines w:val="0"/>
        <w:pageBreakBefore w:val="0"/>
        <w:widowControl w:val="0"/>
        <w:shd w:val="clear" w:color="auto" w:fill="auto"/>
        <w:kinsoku/>
        <w:wordWrap/>
        <w:overflowPunct/>
        <w:topLinePunct w:val="0"/>
        <w:autoSpaceDE/>
        <w:autoSpaceDN/>
        <w:bidi w:val="0"/>
        <w:adjustRightInd/>
        <w:spacing w:line="360" w:lineRule="auto"/>
        <w:ind w:left="0" w:leftChars="0" w:right="0" w:rightChars="0"/>
        <w:textAlignment w:val="auto"/>
        <w:rPr>
          <w:rFonts w:hint="eastAsia" w:ascii="宋体" w:hAnsi="宋体" w:eastAsia="宋体" w:cs="宋体"/>
          <w:b/>
          <w:color w:val="auto"/>
          <w:spacing w:val="-6"/>
          <w:sz w:val="21"/>
          <w:szCs w:val="21"/>
          <w:highlight w:val="none"/>
          <w:lang w:eastAsia="zh-CN"/>
        </w:rPr>
      </w:pPr>
      <w:r>
        <w:rPr>
          <w:rFonts w:hint="eastAsia" w:ascii="宋体" w:hAnsi="宋体" w:eastAsia="宋体" w:cs="宋体"/>
          <w:b/>
          <w:color w:val="auto"/>
          <w:spacing w:val="-6"/>
          <w:sz w:val="21"/>
          <w:szCs w:val="21"/>
          <w:highlight w:val="none"/>
        </w:rPr>
        <w:t>甲方（需方）：</w:t>
      </w:r>
      <w:r>
        <w:rPr>
          <w:rFonts w:hint="eastAsia" w:ascii="宋体" w:hAnsi="宋体" w:cs="宋体"/>
          <w:color w:val="auto"/>
          <w:spacing w:val="-6"/>
          <w:sz w:val="21"/>
          <w:szCs w:val="21"/>
          <w:highlight w:val="none"/>
          <w:lang w:eastAsia="zh-CN"/>
        </w:rPr>
        <w:t>浙江省工商业联合会</w:t>
      </w:r>
    </w:p>
    <w:p w14:paraId="45A21277">
      <w:pPr>
        <w:keepNext w:val="0"/>
        <w:keepLines w:val="0"/>
        <w:pageBreakBefore w:val="0"/>
        <w:widowControl w:val="0"/>
        <w:shd w:val="clear" w:color="auto" w:fill="auto"/>
        <w:kinsoku/>
        <w:wordWrap/>
        <w:overflowPunct/>
        <w:topLinePunct w:val="0"/>
        <w:autoSpaceDE/>
        <w:autoSpaceDN/>
        <w:bidi w:val="0"/>
        <w:adjustRightInd/>
        <w:spacing w:line="360" w:lineRule="auto"/>
        <w:ind w:left="0" w:leftChars="0" w:right="0" w:rightChars="0"/>
        <w:textAlignment w:val="auto"/>
        <w:rPr>
          <w:rFonts w:hint="eastAsia" w:ascii="宋体" w:hAnsi="宋体" w:eastAsia="宋体" w:cs="宋体"/>
          <w:b/>
          <w:color w:val="auto"/>
          <w:spacing w:val="-6"/>
          <w:sz w:val="21"/>
          <w:szCs w:val="21"/>
          <w:highlight w:val="none"/>
        </w:rPr>
      </w:pPr>
      <w:r>
        <w:rPr>
          <w:rFonts w:hint="eastAsia" w:ascii="宋体" w:hAnsi="宋体" w:eastAsia="宋体" w:cs="宋体"/>
          <w:b/>
          <w:color w:val="auto"/>
          <w:spacing w:val="-6"/>
          <w:sz w:val="21"/>
          <w:szCs w:val="21"/>
          <w:highlight w:val="none"/>
        </w:rPr>
        <w:t>乙方（供方）：</w:t>
      </w:r>
    </w:p>
    <w:p w14:paraId="3D26C922">
      <w:pPr>
        <w:keepNext w:val="0"/>
        <w:keepLines w:val="0"/>
        <w:pageBreakBefore w:val="0"/>
        <w:widowControl w:val="0"/>
        <w:shd w:val="clear" w:color="auto" w:fill="auto"/>
        <w:kinsoku/>
        <w:wordWrap/>
        <w:overflowPunct/>
        <w:topLinePunct w:val="0"/>
        <w:autoSpaceDE/>
        <w:autoSpaceDN/>
        <w:bidi w:val="0"/>
        <w:adjustRightInd/>
        <w:spacing w:line="360" w:lineRule="auto"/>
        <w:ind w:left="0" w:leftChars="0" w:right="0" w:rightChars="0"/>
        <w:textAlignment w:val="auto"/>
        <w:rPr>
          <w:rFonts w:hint="eastAsia" w:ascii="宋体" w:hAnsi="宋体" w:eastAsia="宋体" w:cs="宋体"/>
          <w:b/>
          <w:color w:val="auto"/>
          <w:spacing w:val="-6"/>
          <w:sz w:val="21"/>
          <w:szCs w:val="21"/>
          <w:highlight w:val="none"/>
        </w:rPr>
      </w:pPr>
      <w:r>
        <w:rPr>
          <w:rFonts w:hint="eastAsia" w:ascii="宋体" w:hAnsi="宋体" w:eastAsia="宋体" w:cs="宋体"/>
          <w:b/>
          <w:color w:val="auto"/>
          <w:spacing w:val="-6"/>
          <w:sz w:val="21"/>
          <w:szCs w:val="21"/>
          <w:highlight w:val="none"/>
        </w:rPr>
        <w:t>采购代理机构</w:t>
      </w:r>
      <w:r>
        <w:rPr>
          <w:rFonts w:hint="eastAsia" w:ascii="宋体" w:hAnsi="宋体" w:eastAsia="宋体" w:cs="宋体"/>
          <w:b/>
          <w:color w:val="auto"/>
          <w:spacing w:val="-6"/>
          <w:sz w:val="21"/>
          <w:szCs w:val="21"/>
          <w:highlight w:val="none"/>
          <w:lang w:eastAsia="zh-CN"/>
        </w:rPr>
        <w:t>（</w:t>
      </w:r>
      <w:r>
        <w:rPr>
          <w:rFonts w:hint="eastAsia" w:ascii="宋体" w:hAnsi="宋体" w:eastAsia="宋体" w:cs="宋体"/>
          <w:b/>
          <w:color w:val="auto"/>
          <w:spacing w:val="-6"/>
          <w:sz w:val="21"/>
          <w:szCs w:val="21"/>
          <w:highlight w:val="none"/>
          <w:lang w:val="en-US" w:eastAsia="zh-CN"/>
        </w:rPr>
        <w:t>鉴证方</w:t>
      </w:r>
      <w:r>
        <w:rPr>
          <w:rFonts w:hint="eastAsia" w:ascii="宋体" w:hAnsi="宋体" w:eastAsia="宋体" w:cs="宋体"/>
          <w:b/>
          <w:color w:val="auto"/>
          <w:spacing w:val="-6"/>
          <w:sz w:val="21"/>
          <w:szCs w:val="21"/>
          <w:highlight w:val="none"/>
          <w:lang w:eastAsia="zh-CN"/>
        </w:rPr>
        <w:t>）</w:t>
      </w:r>
      <w:r>
        <w:rPr>
          <w:rFonts w:hint="eastAsia" w:ascii="宋体" w:hAnsi="宋体" w:eastAsia="宋体" w:cs="宋体"/>
          <w:b/>
          <w:color w:val="auto"/>
          <w:spacing w:val="-6"/>
          <w:sz w:val="21"/>
          <w:szCs w:val="21"/>
          <w:highlight w:val="none"/>
        </w:rPr>
        <w:t>：</w:t>
      </w:r>
      <w:r>
        <w:rPr>
          <w:rFonts w:hint="eastAsia" w:ascii="宋体" w:hAnsi="宋体" w:eastAsia="宋体" w:cs="宋体"/>
          <w:color w:val="auto"/>
          <w:spacing w:val="-6"/>
          <w:sz w:val="21"/>
          <w:szCs w:val="21"/>
          <w:highlight w:val="none"/>
          <w:lang w:val="en-US" w:eastAsia="zh-CN"/>
        </w:rPr>
        <w:t>浙江国际招投标有限公司</w:t>
      </w:r>
    </w:p>
    <w:p w14:paraId="251173AA">
      <w:pPr>
        <w:widowControl w:val="0"/>
        <w:overflowPunct/>
        <w:bidi w:val="0"/>
        <w:adjustRightInd w:val="0"/>
        <w:snapToGrid w:val="0"/>
        <w:spacing w:beforeLines="0" w:afterLines="0" w:line="336" w:lineRule="auto"/>
        <w:ind w:firstLine="422" w:firstLineChars="200"/>
        <w:jc w:val="both"/>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第一条  项目合同价格</w:t>
      </w:r>
    </w:p>
    <w:p w14:paraId="6C7C4667">
      <w:pPr>
        <w:overflowPunct/>
        <w:bidi w:val="0"/>
        <w:adjustRightInd w:val="0"/>
        <w:snapToGrid w:val="0"/>
        <w:spacing w:line="336" w:lineRule="auto"/>
        <w:ind w:firstLine="420" w:firstLineChars="200"/>
        <w:jc w:val="right"/>
        <w:rPr>
          <w:rFonts w:hint="eastAsia" w:ascii="宋体" w:hAnsi="宋体" w:eastAsia="宋体" w:cs="宋体"/>
          <w:color w:val="auto"/>
          <w:sz w:val="21"/>
          <w:szCs w:val="21"/>
          <w:highlight w:val="none"/>
          <w:lang w:eastAsia="zh-TW"/>
        </w:rPr>
      </w:pPr>
      <w:r>
        <w:rPr>
          <w:rFonts w:hint="eastAsia" w:ascii="宋体" w:hAnsi="宋体" w:eastAsia="宋体" w:cs="宋体"/>
          <w:color w:val="auto"/>
          <w:sz w:val="21"/>
          <w:szCs w:val="21"/>
          <w:highlight w:val="none"/>
          <w:lang w:eastAsia="zh-TW"/>
        </w:rPr>
        <w:t>金额单位：元</w:t>
      </w:r>
    </w:p>
    <w:tbl>
      <w:tblPr>
        <w:tblStyle w:val="62"/>
        <w:tblW w:w="8842" w:type="dxa"/>
        <w:tblInd w:w="-66"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85" w:type="dxa"/>
          <w:left w:w="108" w:type="dxa"/>
          <w:bottom w:w="0" w:type="dxa"/>
          <w:right w:w="108" w:type="dxa"/>
        </w:tblCellMar>
      </w:tblPr>
      <w:tblGrid>
        <w:gridCol w:w="570"/>
        <w:gridCol w:w="2677"/>
        <w:gridCol w:w="1121"/>
        <w:gridCol w:w="1122"/>
        <w:gridCol w:w="1222"/>
        <w:gridCol w:w="1223"/>
        <w:gridCol w:w="907"/>
      </w:tblGrid>
      <w:tr w14:paraId="0D7AC93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85" w:type="dxa"/>
            <w:left w:w="108" w:type="dxa"/>
            <w:bottom w:w="0" w:type="dxa"/>
            <w:right w:w="108" w:type="dxa"/>
          </w:tblCellMar>
        </w:tblPrEx>
        <w:trPr>
          <w:trHeight w:val="642" w:hRule="atLeast"/>
          <w:tblHeader/>
        </w:trPr>
        <w:tc>
          <w:tcPr>
            <w:tcW w:w="570" w:type="dxa"/>
            <w:tcBorders>
              <w:top w:val="single" w:color="auto" w:sz="4" w:space="0"/>
              <w:left w:val="single" w:color="auto" w:sz="4" w:space="0"/>
              <w:bottom w:val="single" w:color="auto" w:sz="4" w:space="0"/>
              <w:right w:val="single" w:color="auto" w:sz="6" w:space="0"/>
            </w:tcBorders>
            <w:noWrap/>
            <w:vAlign w:val="center"/>
          </w:tcPr>
          <w:p w14:paraId="54071E53">
            <w:pPr>
              <w:keepNext w:val="0"/>
              <w:keepLines w:val="0"/>
              <w:suppressLineNumbers w:val="0"/>
              <w:overflowPunct/>
              <w:bidi w:val="0"/>
              <w:adjustRightInd w:val="0"/>
              <w:snapToGrid w:val="0"/>
              <w:spacing w:before="0" w:beforeAutospacing="0" w:after="0" w:afterAutospacing="0" w:line="336"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677" w:type="dxa"/>
            <w:tcBorders>
              <w:top w:val="single" w:color="auto" w:sz="4" w:space="0"/>
              <w:left w:val="single" w:color="auto" w:sz="6" w:space="0"/>
              <w:bottom w:val="single" w:color="auto" w:sz="6" w:space="0"/>
              <w:right w:val="single" w:color="auto" w:sz="4" w:space="0"/>
            </w:tcBorders>
            <w:noWrap/>
            <w:vAlign w:val="center"/>
          </w:tcPr>
          <w:p w14:paraId="558C8383">
            <w:pPr>
              <w:keepNext w:val="0"/>
              <w:keepLines w:val="0"/>
              <w:suppressLineNumbers w:val="0"/>
              <w:overflowPunct/>
              <w:bidi w:val="0"/>
              <w:adjustRightInd w:val="0"/>
              <w:snapToGrid w:val="0"/>
              <w:spacing w:before="0" w:beforeAutospacing="0" w:after="0" w:afterAutospacing="0" w:line="336"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1121" w:type="dxa"/>
            <w:tcBorders>
              <w:top w:val="single" w:color="auto" w:sz="4" w:space="0"/>
              <w:left w:val="single" w:color="auto" w:sz="4" w:space="0"/>
              <w:bottom w:val="single" w:color="auto" w:sz="6" w:space="0"/>
              <w:right w:val="single" w:color="auto" w:sz="6" w:space="0"/>
            </w:tcBorders>
            <w:noWrap/>
            <w:vAlign w:val="center"/>
          </w:tcPr>
          <w:p w14:paraId="2AEEEF29">
            <w:pPr>
              <w:keepNext w:val="0"/>
              <w:keepLines w:val="0"/>
              <w:suppressLineNumbers w:val="0"/>
              <w:overflowPunct/>
              <w:bidi w:val="0"/>
              <w:adjustRightInd w:val="0"/>
              <w:snapToGrid w:val="0"/>
              <w:spacing w:before="0" w:beforeAutospacing="0" w:after="0" w:afterAutospacing="0" w:line="336"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单价</w:t>
            </w:r>
          </w:p>
        </w:tc>
        <w:tc>
          <w:tcPr>
            <w:tcW w:w="1122" w:type="dxa"/>
            <w:tcBorders>
              <w:top w:val="single" w:color="auto" w:sz="4" w:space="0"/>
              <w:left w:val="single" w:color="auto" w:sz="4" w:space="0"/>
              <w:bottom w:val="single" w:color="auto" w:sz="6" w:space="0"/>
              <w:right w:val="single" w:color="auto" w:sz="6" w:space="0"/>
            </w:tcBorders>
            <w:noWrap/>
            <w:vAlign w:val="center"/>
          </w:tcPr>
          <w:p w14:paraId="43F60111">
            <w:pPr>
              <w:keepNext w:val="0"/>
              <w:keepLines w:val="0"/>
              <w:suppressLineNumbers w:val="0"/>
              <w:overflowPunct/>
              <w:bidi w:val="0"/>
              <w:adjustRightInd w:val="0"/>
              <w:snapToGrid w:val="0"/>
              <w:spacing w:before="0" w:beforeAutospacing="0" w:after="0" w:afterAutospacing="0" w:line="336"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p>
        </w:tc>
        <w:tc>
          <w:tcPr>
            <w:tcW w:w="1222" w:type="dxa"/>
            <w:tcBorders>
              <w:top w:val="single" w:color="auto" w:sz="4" w:space="0"/>
              <w:left w:val="single" w:color="auto" w:sz="6" w:space="0"/>
              <w:bottom w:val="single" w:color="auto" w:sz="6" w:space="0"/>
              <w:right w:val="single" w:color="auto" w:sz="6" w:space="0"/>
            </w:tcBorders>
            <w:noWrap/>
            <w:vAlign w:val="center"/>
          </w:tcPr>
          <w:p w14:paraId="610F987D">
            <w:pPr>
              <w:keepNext w:val="0"/>
              <w:keepLines w:val="0"/>
              <w:suppressLineNumbers w:val="0"/>
              <w:overflowPunct/>
              <w:bidi w:val="0"/>
              <w:adjustRightInd w:val="0"/>
              <w:snapToGrid w:val="0"/>
              <w:spacing w:before="0" w:beforeAutospacing="0" w:after="0" w:afterAutospacing="0" w:line="336" w:lineRule="auto"/>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单位</w:t>
            </w:r>
          </w:p>
        </w:tc>
        <w:tc>
          <w:tcPr>
            <w:tcW w:w="1223" w:type="dxa"/>
            <w:tcBorders>
              <w:top w:val="single" w:color="auto" w:sz="4" w:space="0"/>
              <w:left w:val="single" w:color="auto" w:sz="6" w:space="0"/>
              <w:bottom w:val="single" w:color="auto" w:sz="6" w:space="0"/>
              <w:right w:val="single" w:color="auto" w:sz="6" w:space="0"/>
            </w:tcBorders>
            <w:noWrap/>
            <w:vAlign w:val="center"/>
          </w:tcPr>
          <w:p w14:paraId="128F4798">
            <w:pPr>
              <w:keepNext w:val="0"/>
              <w:keepLines w:val="0"/>
              <w:suppressLineNumbers w:val="0"/>
              <w:overflowPunct/>
              <w:bidi w:val="0"/>
              <w:adjustRightInd w:val="0"/>
              <w:snapToGrid w:val="0"/>
              <w:spacing w:before="0" w:beforeAutospacing="0" w:after="0" w:afterAutospacing="0" w:line="336"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合价</w:t>
            </w:r>
          </w:p>
        </w:tc>
        <w:tc>
          <w:tcPr>
            <w:tcW w:w="907" w:type="dxa"/>
            <w:tcBorders>
              <w:top w:val="single" w:color="auto" w:sz="4" w:space="0"/>
              <w:left w:val="single" w:color="auto" w:sz="6" w:space="0"/>
              <w:bottom w:val="single" w:color="auto" w:sz="6" w:space="0"/>
              <w:right w:val="single" w:color="auto" w:sz="4" w:space="0"/>
            </w:tcBorders>
            <w:noWrap/>
            <w:vAlign w:val="center"/>
          </w:tcPr>
          <w:p w14:paraId="54F5E58D">
            <w:pPr>
              <w:keepNext w:val="0"/>
              <w:keepLines w:val="0"/>
              <w:suppressLineNumbers w:val="0"/>
              <w:overflowPunct/>
              <w:bidi w:val="0"/>
              <w:adjustRightInd w:val="0"/>
              <w:snapToGrid w:val="0"/>
              <w:spacing w:before="0" w:beforeAutospacing="0" w:after="0" w:afterAutospacing="0" w:line="336" w:lineRule="auto"/>
              <w:ind w:left="0" w:right="0"/>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税率</w:t>
            </w:r>
          </w:p>
        </w:tc>
      </w:tr>
      <w:tr w14:paraId="7B2D0C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85" w:type="dxa"/>
            <w:left w:w="108" w:type="dxa"/>
            <w:bottom w:w="0" w:type="dxa"/>
            <w:right w:w="108" w:type="dxa"/>
          </w:tblCellMar>
        </w:tblPrEx>
        <w:trPr>
          <w:trHeight w:val="90" w:hRule="atLeast"/>
          <w:tblHeader/>
        </w:trPr>
        <w:tc>
          <w:tcPr>
            <w:tcW w:w="570" w:type="dxa"/>
            <w:tcBorders>
              <w:top w:val="single" w:color="auto" w:sz="4" w:space="0"/>
              <w:left w:val="single" w:color="auto" w:sz="4" w:space="0"/>
              <w:bottom w:val="single" w:color="auto" w:sz="4" w:space="0"/>
              <w:right w:val="single" w:color="auto" w:sz="6" w:space="0"/>
            </w:tcBorders>
            <w:noWrap/>
            <w:vAlign w:val="center"/>
          </w:tcPr>
          <w:p w14:paraId="19744A49">
            <w:pPr>
              <w:keepNext w:val="0"/>
              <w:keepLines w:val="0"/>
              <w:suppressLineNumbers w:val="0"/>
              <w:overflowPunct/>
              <w:bidi w:val="0"/>
              <w:adjustRightInd w:val="0"/>
              <w:snapToGrid w:val="0"/>
              <w:spacing w:before="0" w:beforeAutospacing="0" w:after="0" w:afterAutospacing="0" w:line="336"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677" w:type="dxa"/>
            <w:tcBorders>
              <w:top w:val="single" w:color="auto" w:sz="4" w:space="0"/>
              <w:left w:val="single" w:color="auto" w:sz="6" w:space="0"/>
              <w:bottom w:val="single" w:color="auto" w:sz="4" w:space="0"/>
              <w:right w:val="single" w:color="auto" w:sz="4" w:space="0"/>
            </w:tcBorders>
            <w:noWrap/>
            <w:vAlign w:val="center"/>
          </w:tcPr>
          <w:p w14:paraId="05B282B0">
            <w:pPr>
              <w:keepNext w:val="0"/>
              <w:keepLines w:val="0"/>
              <w:suppressLineNumbers w:val="0"/>
              <w:overflowPunct/>
              <w:bidi w:val="0"/>
              <w:adjustRightInd w:val="0"/>
              <w:snapToGrid w:val="0"/>
              <w:spacing w:before="0" w:beforeAutospacing="0" w:after="0" w:afterAutospacing="0" w:line="336" w:lineRule="auto"/>
              <w:ind w:left="0" w:right="0"/>
              <w:jc w:val="center"/>
              <w:rPr>
                <w:rFonts w:hint="eastAsia" w:ascii="宋体" w:hAnsi="宋体" w:eastAsia="宋体" w:cs="宋体"/>
                <w:color w:val="auto"/>
                <w:sz w:val="21"/>
                <w:szCs w:val="21"/>
                <w:highlight w:val="none"/>
              </w:rPr>
            </w:pPr>
            <w:r>
              <w:rPr>
                <w:rFonts w:hint="eastAsia"/>
                <w:color w:val="auto"/>
                <w:sz w:val="21"/>
                <w:szCs w:val="21"/>
                <w:highlight w:val="none"/>
                <w:lang w:eastAsia="zh-CN"/>
              </w:rPr>
              <w:t>浙江省工商业联合会浙里惠企政策精准直达系统项目</w:t>
            </w:r>
          </w:p>
        </w:tc>
        <w:tc>
          <w:tcPr>
            <w:tcW w:w="1121" w:type="dxa"/>
            <w:tcBorders>
              <w:top w:val="single" w:color="auto" w:sz="4" w:space="0"/>
              <w:left w:val="single" w:color="auto" w:sz="4" w:space="0"/>
              <w:bottom w:val="single" w:color="auto" w:sz="4" w:space="0"/>
              <w:right w:val="single" w:color="auto" w:sz="4" w:space="0"/>
            </w:tcBorders>
            <w:noWrap/>
            <w:vAlign w:val="center"/>
          </w:tcPr>
          <w:p w14:paraId="664CB685">
            <w:pPr>
              <w:keepNext w:val="0"/>
              <w:keepLines w:val="0"/>
              <w:suppressLineNumbers w:val="0"/>
              <w:overflowPunct/>
              <w:bidi w:val="0"/>
              <w:adjustRightInd w:val="0"/>
              <w:snapToGrid w:val="0"/>
              <w:spacing w:before="0" w:beforeAutospacing="0" w:after="0" w:afterAutospacing="0" w:line="336" w:lineRule="auto"/>
              <w:ind w:left="0" w:right="0"/>
              <w:jc w:val="center"/>
              <w:rPr>
                <w:rFonts w:hint="eastAsia" w:ascii="宋体" w:hAnsi="宋体" w:eastAsia="宋体" w:cs="宋体"/>
                <w:color w:val="auto"/>
                <w:sz w:val="21"/>
                <w:szCs w:val="21"/>
                <w:highlight w:val="none"/>
                <w:lang w:val="en-US" w:eastAsia="zh-CN"/>
              </w:rPr>
            </w:pPr>
          </w:p>
          <w:p w14:paraId="33DAE091">
            <w:pPr>
              <w:keepNext w:val="0"/>
              <w:keepLines w:val="0"/>
              <w:suppressLineNumbers w:val="0"/>
              <w:overflowPunct/>
              <w:bidi w:val="0"/>
              <w:adjustRightInd w:val="0"/>
              <w:snapToGrid w:val="0"/>
              <w:spacing w:before="0" w:beforeAutospacing="0" w:after="0" w:afterAutospacing="0" w:line="336" w:lineRule="auto"/>
              <w:ind w:left="0" w:right="0"/>
              <w:jc w:val="center"/>
              <w:rPr>
                <w:rFonts w:hint="eastAsia" w:ascii="宋体" w:hAnsi="宋体" w:eastAsia="宋体" w:cs="宋体"/>
                <w:color w:val="auto"/>
                <w:sz w:val="21"/>
                <w:szCs w:val="21"/>
                <w:highlight w:val="none"/>
                <w:lang w:val="en-US" w:eastAsia="zh-CN"/>
              </w:rPr>
            </w:pPr>
          </w:p>
        </w:tc>
        <w:tc>
          <w:tcPr>
            <w:tcW w:w="1122" w:type="dxa"/>
            <w:tcBorders>
              <w:top w:val="single" w:color="auto" w:sz="4" w:space="0"/>
              <w:left w:val="single" w:color="auto" w:sz="4" w:space="0"/>
              <w:bottom w:val="single" w:color="auto" w:sz="4" w:space="0"/>
              <w:right w:val="single" w:color="auto" w:sz="4" w:space="0"/>
            </w:tcBorders>
            <w:noWrap/>
            <w:vAlign w:val="center"/>
          </w:tcPr>
          <w:p w14:paraId="44472096">
            <w:pPr>
              <w:keepNext w:val="0"/>
              <w:keepLines w:val="0"/>
              <w:suppressLineNumbers w:val="0"/>
              <w:overflowPunct/>
              <w:bidi w:val="0"/>
              <w:adjustRightInd w:val="0"/>
              <w:snapToGrid w:val="0"/>
              <w:spacing w:before="0" w:beforeAutospacing="0" w:after="0" w:afterAutospacing="0" w:line="336" w:lineRule="auto"/>
              <w:ind w:left="0" w:right="0"/>
              <w:jc w:val="center"/>
              <w:rPr>
                <w:rFonts w:hint="eastAsia" w:ascii="宋体" w:hAnsi="宋体" w:eastAsia="宋体" w:cs="宋体"/>
                <w:color w:val="auto"/>
                <w:sz w:val="21"/>
                <w:szCs w:val="21"/>
                <w:highlight w:val="none"/>
                <w:lang w:val="en-US" w:eastAsia="zh-CN"/>
              </w:rPr>
            </w:pPr>
          </w:p>
        </w:tc>
        <w:tc>
          <w:tcPr>
            <w:tcW w:w="1222" w:type="dxa"/>
            <w:tcBorders>
              <w:top w:val="single" w:color="auto" w:sz="4" w:space="0"/>
              <w:left w:val="single" w:color="auto" w:sz="4" w:space="0"/>
              <w:bottom w:val="single" w:color="auto" w:sz="4" w:space="0"/>
              <w:right w:val="single" w:color="auto" w:sz="6" w:space="0"/>
            </w:tcBorders>
            <w:noWrap/>
            <w:vAlign w:val="center"/>
          </w:tcPr>
          <w:p w14:paraId="087A7B48">
            <w:pPr>
              <w:keepNext w:val="0"/>
              <w:keepLines w:val="0"/>
              <w:suppressLineNumbers w:val="0"/>
              <w:overflowPunct/>
              <w:bidi w:val="0"/>
              <w:adjustRightInd w:val="0"/>
              <w:snapToGrid w:val="0"/>
              <w:spacing w:before="0" w:beforeAutospacing="0" w:after="0" w:afterAutospacing="0" w:line="336" w:lineRule="auto"/>
              <w:ind w:left="0" w:right="0"/>
              <w:jc w:val="center"/>
              <w:rPr>
                <w:rFonts w:hint="eastAsia" w:ascii="宋体" w:hAnsi="宋体" w:eastAsia="宋体" w:cs="宋体"/>
                <w:color w:val="auto"/>
                <w:sz w:val="21"/>
                <w:szCs w:val="21"/>
                <w:highlight w:val="none"/>
              </w:rPr>
            </w:pPr>
          </w:p>
          <w:p w14:paraId="4E72C3EB">
            <w:pPr>
              <w:keepNext w:val="0"/>
              <w:keepLines w:val="0"/>
              <w:suppressLineNumbers w:val="0"/>
              <w:overflowPunct/>
              <w:bidi w:val="0"/>
              <w:adjustRightInd w:val="0"/>
              <w:snapToGrid w:val="0"/>
              <w:spacing w:before="0" w:beforeAutospacing="0" w:after="0" w:afterAutospacing="0" w:line="336" w:lineRule="auto"/>
              <w:ind w:left="0" w:right="0"/>
              <w:jc w:val="center"/>
              <w:rPr>
                <w:rFonts w:hint="eastAsia" w:ascii="宋体" w:hAnsi="宋体" w:eastAsia="宋体" w:cs="宋体"/>
                <w:color w:val="auto"/>
                <w:sz w:val="21"/>
                <w:szCs w:val="21"/>
                <w:highlight w:val="none"/>
                <w:lang w:val="en-US" w:eastAsia="zh-CN"/>
              </w:rPr>
            </w:pPr>
          </w:p>
        </w:tc>
        <w:tc>
          <w:tcPr>
            <w:tcW w:w="1223" w:type="dxa"/>
            <w:tcBorders>
              <w:top w:val="single" w:color="auto" w:sz="4" w:space="0"/>
              <w:left w:val="single" w:color="auto" w:sz="4" w:space="0"/>
              <w:bottom w:val="single" w:color="auto" w:sz="4" w:space="0"/>
              <w:right w:val="single" w:color="auto" w:sz="6" w:space="0"/>
            </w:tcBorders>
            <w:noWrap/>
            <w:vAlign w:val="center"/>
          </w:tcPr>
          <w:p w14:paraId="3BE781AF">
            <w:pPr>
              <w:keepNext w:val="0"/>
              <w:keepLines w:val="0"/>
              <w:suppressLineNumbers w:val="0"/>
              <w:overflowPunct/>
              <w:bidi w:val="0"/>
              <w:adjustRightInd w:val="0"/>
              <w:snapToGrid w:val="0"/>
              <w:spacing w:before="0" w:beforeAutospacing="0" w:after="0" w:afterAutospacing="0" w:line="336" w:lineRule="auto"/>
              <w:ind w:left="0" w:right="0"/>
              <w:jc w:val="center"/>
              <w:rPr>
                <w:rFonts w:hint="eastAsia" w:ascii="宋体" w:hAnsi="宋体" w:eastAsia="宋体" w:cs="宋体"/>
                <w:color w:val="auto"/>
                <w:sz w:val="21"/>
                <w:szCs w:val="21"/>
                <w:highlight w:val="none"/>
                <w:lang w:val="en-US" w:eastAsia="zh-CN"/>
              </w:rPr>
            </w:pPr>
          </w:p>
        </w:tc>
        <w:tc>
          <w:tcPr>
            <w:tcW w:w="907" w:type="dxa"/>
            <w:tcBorders>
              <w:top w:val="single" w:color="auto" w:sz="4" w:space="0"/>
              <w:left w:val="single" w:color="auto" w:sz="6" w:space="0"/>
              <w:bottom w:val="single" w:color="auto" w:sz="4" w:space="0"/>
              <w:right w:val="single" w:color="auto" w:sz="4" w:space="0"/>
            </w:tcBorders>
            <w:noWrap/>
            <w:vAlign w:val="center"/>
          </w:tcPr>
          <w:p w14:paraId="5A4F852F">
            <w:pPr>
              <w:keepNext w:val="0"/>
              <w:keepLines w:val="0"/>
              <w:suppressLineNumbers w:val="0"/>
              <w:overflowPunct/>
              <w:bidi w:val="0"/>
              <w:adjustRightInd w:val="0"/>
              <w:snapToGrid w:val="0"/>
              <w:spacing w:before="0" w:beforeAutospacing="0" w:after="0" w:afterAutospacing="0" w:line="336"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w:t>
            </w:r>
          </w:p>
        </w:tc>
      </w:tr>
      <w:tr w14:paraId="22ECA55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85" w:type="dxa"/>
            <w:left w:w="108" w:type="dxa"/>
            <w:bottom w:w="0" w:type="dxa"/>
            <w:right w:w="108" w:type="dxa"/>
          </w:tblCellMar>
        </w:tblPrEx>
        <w:trPr>
          <w:trHeight w:val="356" w:hRule="atLeast"/>
          <w:tblHeader/>
        </w:trPr>
        <w:tc>
          <w:tcPr>
            <w:tcW w:w="3247" w:type="dxa"/>
            <w:gridSpan w:val="2"/>
            <w:vMerge w:val="restart"/>
            <w:tcBorders>
              <w:top w:val="single" w:color="auto" w:sz="6" w:space="0"/>
              <w:left w:val="single" w:color="auto" w:sz="4" w:space="0"/>
              <w:bottom w:val="single" w:color="auto" w:sz="4" w:space="0"/>
              <w:right w:val="single" w:color="auto" w:sz="6" w:space="0"/>
            </w:tcBorders>
            <w:noWrap/>
            <w:vAlign w:val="center"/>
          </w:tcPr>
          <w:p w14:paraId="43939D7B">
            <w:pPr>
              <w:keepNext w:val="0"/>
              <w:keepLines w:val="0"/>
              <w:suppressLineNumbers w:val="0"/>
              <w:overflowPunct/>
              <w:bidi w:val="0"/>
              <w:adjustRightInd w:val="0"/>
              <w:snapToGrid w:val="0"/>
              <w:spacing w:before="0" w:beforeAutospacing="0" w:after="0" w:afterAutospacing="0" w:line="336"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总计</w:t>
            </w:r>
          </w:p>
        </w:tc>
        <w:tc>
          <w:tcPr>
            <w:tcW w:w="5595" w:type="dxa"/>
            <w:gridSpan w:val="5"/>
            <w:tcBorders>
              <w:top w:val="single" w:color="auto" w:sz="6" w:space="0"/>
              <w:left w:val="single" w:color="auto" w:sz="6" w:space="0"/>
              <w:bottom w:val="single" w:color="auto" w:sz="6" w:space="0"/>
              <w:right w:val="single" w:color="auto" w:sz="4" w:space="0"/>
            </w:tcBorders>
            <w:noWrap/>
            <w:vAlign w:val="center"/>
          </w:tcPr>
          <w:p w14:paraId="381A3774">
            <w:pPr>
              <w:keepNext w:val="0"/>
              <w:keepLines w:val="0"/>
              <w:suppressLineNumbers w:val="0"/>
              <w:overflowPunct/>
              <w:bidi w:val="0"/>
              <w:adjustRightInd w:val="0"/>
              <w:snapToGrid w:val="0"/>
              <w:spacing w:before="0" w:beforeAutospacing="0" w:after="0" w:afterAutospacing="0" w:line="336" w:lineRule="auto"/>
              <w:ind w:left="0" w:right="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小写：</w:t>
            </w:r>
          </w:p>
        </w:tc>
      </w:tr>
      <w:tr w14:paraId="289BDF3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85" w:type="dxa"/>
            <w:left w:w="108" w:type="dxa"/>
            <w:bottom w:w="0" w:type="dxa"/>
            <w:right w:w="108" w:type="dxa"/>
          </w:tblCellMar>
        </w:tblPrEx>
        <w:trPr>
          <w:trHeight w:val="530" w:hRule="atLeast"/>
          <w:tblHeader/>
        </w:trPr>
        <w:tc>
          <w:tcPr>
            <w:tcW w:w="3247" w:type="dxa"/>
            <w:gridSpan w:val="2"/>
            <w:vMerge w:val="continue"/>
            <w:tcBorders>
              <w:top w:val="single" w:color="auto" w:sz="6" w:space="0"/>
              <w:left w:val="single" w:color="auto" w:sz="4" w:space="0"/>
              <w:bottom w:val="single" w:color="auto" w:sz="4" w:space="0"/>
              <w:right w:val="single" w:color="auto" w:sz="6" w:space="0"/>
            </w:tcBorders>
            <w:noWrap/>
            <w:vAlign w:val="center"/>
          </w:tcPr>
          <w:p w14:paraId="1A14475A">
            <w:pPr>
              <w:keepNext w:val="0"/>
              <w:keepLines w:val="0"/>
              <w:suppressLineNumbers w:val="0"/>
              <w:overflowPunct/>
              <w:bidi w:val="0"/>
              <w:adjustRightInd w:val="0"/>
              <w:snapToGrid w:val="0"/>
              <w:spacing w:before="0" w:beforeAutospacing="0" w:after="0" w:afterAutospacing="0" w:line="336" w:lineRule="auto"/>
              <w:ind w:left="0" w:right="0" w:firstLine="480"/>
              <w:rPr>
                <w:rFonts w:hint="eastAsia" w:ascii="宋体" w:hAnsi="宋体" w:eastAsia="宋体" w:cs="宋体"/>
                <w:color w:val="auto"/>
                <w:sz w:val="21"/>
                <w:szCs w:val="21"/>
                <w:highlight w:val="none"/>
              </w:rPr>
            </w:pPr>
          </w:p>
        </w:tc>
        <w:tc>
          <w:tcPr>
            <w:tcW w:w="5595" w:type="dxa"/>
            <w:gridSpan w:val="5"/>
            <w:tcBorders>
              <w:top w:val="single" w:color="auto" w:sz="6" w:space="0"/>
              <w:left w:val="single" w:color="auto" w:sz="6" w:space="0"/>
              <w:bottom w:val="single" w:color="auto" w:sz="4" w:space="0"/>
              <w:right w:val="single" w:color="auto" w:sz="4" w:space="0"/>
            </w:tcBorders>
            <w:noWrap/>
            <w:vAlign w:val="center"/>
          </w:tcPr>
          <w:p w14:paraId="3C1B6457">
            <w:pPr>
              <w:keepNext w:val="0"/>
              <w:keepLines w:val="0"/>
              <w:suppressLineNumbers w:val="0"/>
              <w:overflowPunct/>
              <w:bidi w:val="0"/>
              <w:adjustRightInd w:val="0"/>
              <w:snapToGrid w:val="0"/>
              <w:spacing w:before="0" w:beforeAutospacing="0" w:after="0" w:afterAutospacing="0" w:line="336"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大写：</w:t>
            </w:r>
          </w:p>
        </w:tc>
      </w:tr>
    </w:tbl>
    <w:p w14:paraId="55996C58">
      <w:pPr>
        <w:overflowPunct/>
        <w:bidi w:val="0"/>
        <w:adjustRightInd w:val="0"/>
        <w:snapToGrid w:val="0"/>
        <w:spacing w:line="336"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以上费用报价含税。总价包含所需的一切费用，包括但不限于项目实施所需的服务费、交通费、设备及备件采购费、税费及其他一切费用，甲方无需再支付其他费用。在本合同约定的需求范围内，甲方支付的费用以本合同中明确的合同总价为限，如乙方于合作过程中支出的成本超过合同总价，超过部分由乙方自行承担，与甲方无关，且乙方不得因此耽误项目服务。</w:t>
      </w:r>
    </w:p>
    <w:p w14:paraId="4BC44313">
      <w:pPr>
        <w:widowControl w:val="0"/>
        <w:overflowPunct/>
        <w:bidi w:val="0"/>
        <w:adjustRightInd w:val="0"/>
        <w:snapToGrid w:val="0"/>
        <w:spacing w:beforeLines="0" w:afterLines="0" w:line="336" w:lineRule="auto"/>
        <w:ind w:firstLine="422" w:firstLineChars="200"/>
        <w:jc w:val="both"/>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第二条  服务周期</w:t>
      </w:r>
    </w:p>
    <w:p w14:paraId="46E060CF">
      <w:pPr>
        <w:overflowPunct/>
        <w:bidi w:val="0"/>
        <w:adjustRightInd w:val="0"/>
        <w:snapToGrid w:val="0"/>
        <w:spacing w:line="336" w:lineRule="auto"/>
        <w:ind w:firstLine="480" w:firstLineChars="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rPr>
        <w:t>合同签订之日起</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lang w:val="en-US" w:eastAsia="zh-CN"/>
        </w:rPr>
        <w:t>天</w:t>
      </w:r>
      <w:r>
        <w:rPr>
          <w:rFonts w:hint="eastAsia" w:ascii="宋体" w:hAnsi="宋体" w:eastAsia="宋体" w:cs="宋体"/>
          <w:color w:val="auto"/>
          <w:sz w:val="21"/>
          <w:szCs w:val="21"/>
          <w:highlight w:val="none"/>
          <w:lang w:val="en-US" w:eastAsia="zh-CN"/>
        </w:rPr>
        <w:t>内完成</w:t>
      </w:r>
      <w:r>
        <w:rPr>
          <w:rFonts w:hint="eastAsia" w:ascii="宋体" w:hAnsi="宋体" w:cs="宋体"/>
          <w:color w:val="auto"/>
          <w:sz w:val="21"/>
          <w:szCs w:val="21"/>
          <w:highlight w:val="none"/>
          <w:lang w:val="en-US" w:eastAsia="zh-CN"/>
        </w:rPr>
        <w:t>初验，</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lang w:val="en-US" w:eastAsia="zh-CN"/>
        </w:rPr>
        <w:t>天</w:t>
      </w:r>
      <w:r>
        <w:rPr>
          <w:rFonts w:hint="eastAsia" w:ascii="宋体" w:hAnsi="宋体" w:eastAsia="宋体" w:cs="宋体"/>
          <w:color w:val="auto"/>
          <w:sz w:val="21"/>
          <w:szCs w:val="21"/>
          <w:highlight w:val="none"/>
          <w:lang w:val="en-US" w:eastAsia="zh-CN"/>
        </w:rPr>
        <w:t>内完成</w:t>
      </w:r>
      <w:r>
        <w:rPr>
          <w:rFonts w:hint="eastAsia" w:ascii="宋体" w:hAnsi="宋体" w:cs="宋体"/>
          <w:color w:val="auto"/>
          <w:sz w:val="21"/>
          <w:szCs w:val="21"/>
          <w:highlight w:val="none"/>
          <w:lang w:val="en-US" w:eastAsia="zh-CN"/>
        </w:rPr>
        <w:t>终验</w:t>
      </w:r>
      <w:r>
        <w:rPr>
          <w:rFonts w:hint="eastAsia" w:ascii="宋体" w:hAnsi="宋体" w:eastAsia="宋体" w:cs="宋体"/>
          <w:color w:val="auto"/>
          <w:sz w:val="21"/>
          <w:szCs w:val="21"/>
          <w:highlight w:val="none"/>
          <w:lang w:val="en-US" w:eastAsia="zh-CN"/>
        </w:rPr>
        <w:t>。</w:t>
      </w:r>
      <w:r>
        <w:rPr>
          <w:rFonts w:hint="eastAsia" w:ascii="宋体" w:hAnsi="宋体" w:eastAsia="宋体" w:cs="宋体"/>
          <w:bCs/>
          <w:color w:val="auto"/>
          <w:sz w:val="21"/>
          <w:szCs w:val="21"/>
          <w:highlight w:val="none"/>
        </w:rPr>
        <w:t>其他按照</w:t>
      </w:r>
      <w:r>
        <w:rPr>
          <w:rFonts w:hint="eastAsia" w:ascii="宋体" w:hAnsi="宋体" w:eastAsia="宋体" w:cs="宋体"/>
          <w:bCs/>
          <w:color w:val="auto"/>
          <w:sz w:val="21"/>
          <w:szCs w:val="21"/>
          <w:highlight w:val="none"/>
          <w:lang w:val="en-US" w:eastAsia="zh-CN"/>
        </w:rPr>
        <w:t>采购</w:t>
      </w:r>
      <w:r>
        <w:rPr>
          <w:rFonts w:hint="eastAsia" w:ascii="宋体" w:hAnsi="宋体" w:eastAsia="宋体" w:cs="宋体"/>
          <w:bCs/>
          <w:color w:val="auto"/>
          <w:sz w:val="21"/>
          <w:szCs w:val="21"/>
          <w:highlight w:val="none"/>
        </w:rPr>
        <w:t>文件执行。</w:t>
      </w:r>
    </w:p>
    <w:p w14:paraId="4BAE2622">
      <w:pPr>
        <w:widowControl w:val="0"/>
        <w:overflowPunct/>
        <w:bidi w:val="0"/>
        <w:adjustRightInd w:val="0"/>
        <w:snapToGrid w:val="0"/>
        <w:spacing w:beforeLines="0" w:afterLines="0" w:line="336" w:lineRule="auto"/>
        <w:ind w:firstLine="422" w:firstLineChars="200"/>
        <w:jc w:val="both"/>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第三条  实施地点</w:t>
      </w:r>
    </w:p>
    <w:p w14:paraId="6F014C30">
      <w:pPr>
        <w:overflowPunct/>
        <w:bidi w:val="0"/>
        <w:adjustRightInd w:val="0"/>
        <w:snapToGrid w:val="0"/>
        <w:spacing w:line="336" w:lineRule="auto"/>
        <w:ind w:firstLine="396" w:firstLineChars="200"/>
        <w:rPr>
          <w:rFonts w:hint="eastAsia" w:ascii="宋体" w:hAnsi="宋体" w:eastAsia="宋体" w:cs="宋体"/>
          <w:bCs/>
          <w:color w:val="auto"/>
          <w:sz w:val="21"/>
          <w:szCs w:val="21"/>
          <w:highlight w:val="none"/>
        </w:rPr>
      </w:pPr>
      <w:r>
        <w:rPr>
          <w:rFonts w:hint="eastAsia" w:ascii="宋体" w:hAnsi="宋体" w:cs="宋体"/>
          <w:color w:val="auto"/>
          <w:spacing w:val="-6"/>
          <w:sz w:val="21"/>
          <w:szCs w:val="21"/>
          <w:highlight w:val="none"/>
          <w:lang w:eastAsia="zh-CN"/>
        </w:rPr>
        <w:t>浙江省工商业联合会</w:t>
      </w:r>
      <w:r>
        <w:rPr>
          <w:rFonts w:hint="eastAsia" w:ascii="宋体" w:hAnsi="宋体" w:eastAsia="宋体" w:cs="宋体"/>
          <w:bCs/>
          <w:color w:val="auto"/>
          <w:sz w:val="21"/>
          <w:szCs w:val="21"/>
          <w:highlight w:val="none"/>
        </w:rPr>
        <w:t>指定地点。</w:t>
      </w:r>
    </w:p>
    <w:p w14:paraId="7CD8D6AB">
      <w:pPr>
        <w:widowControl w:val="0"/>
        <w:overflowPunct/>
        <w:bidi w:val="0"/>
        <w:adjustRightInd w:val="0"/>
        <w:snapToGrid w:val="0"/>
        <w:spacing w:beforeLines="0" w:afterLines="0" w:line="336" w:lineRule="auto"/>
        <w:ind w:firstLine="422" w:firstLineChars="200"/>
        <w:jc w:val="both"/>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第四条  服务内容</w:t>
      </w:r>
    </w:p>
    <w:p w14:paraId="036D68A3">
      <w:pPr>
        <w:widowControl w:val="0"/>
        <w:overflowPunct/>
        <w:bidi w:val="0"/>
        <w:adjustRightInd w:val="0"/>
        <w:snapToGrid w:val="0"/>
        <w:spacing w:beforeLines="0" w:afterLines="0" w:line="336" w:lineRule="auto"/>
        <w:ind w:firstLine="422" w:firstLineChars="200"/>
        <w:jc w:val="both"/>
        <w:outlineLvl w:val="1"/>
        <w:rPr>
          <w:rFonts w:hint="eastAsia" w:ascii="宋体" w:hAnsi="宋体" w:eastAsia="宋体" w:cs="宋体"/>
          <w:b/>
          <w:bCs/>
          <w:color w:val="auto"/>
          <w:kern w:val="2"/>
          <w:sz w:val="21"/>
          <w:szCs w:val="21"/>
          <w:highlight w:val="none"/>
          <w:lang w:val="en-US" w:eastAsia="zh-CN" w:bidi="ar-SA"/>
        </w:rPr>
      </w:pPr>
    </w:p>
    <w:p w14:paraId="296BDFA0">
      <w:pPr>
        <w:widowControl w:val="0"/>
        <w:overflowPunct/>
        <w:bidi w:val="0"/>
        <w:adjustRightInd w:val="0"/>
        <w:snapToGrid w:val="0"/>
        <w:spacing w:beforeLines="0" w:afterLines="0" w:line="336" w:lineRule="auto"/>
        <w:ind w:firstLine="422" w:firstLineChars="200"/>
        <w:jc w:val="both"/>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第五条  服务要求</w:t>
      </w:r>
    </w:p>
    <w:p w14:paraId="2BC01EB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firstLine="420" w:firstLineChars="0"/>
        <w:jc w:val="both"/>
        <w:textAlignment w:val="auto"/>
        <w:rPr>
          <w:rFonts w:hint="eastAsia" w:ascii="宋体" w:hAnsi="宋体" w:eastAsia="宋体" w:cs="宋体"/>
          <w:color w:val="auto"/>
          <w:spacing w:val="0"/>
          <w:sz w:val="21"/>
          <w:szCs w:val="21"/>
          <w:highlight w:val="none"/>
          <w:lang w:val="en-US" w:eastAsia="zh-CN"/>
        </w:rPr>
      </w:pPr>
      <w:r>
        <w:rPr>
          <w:rFonts w:hint="eastAsia" w:ascii="宋体" w:hAnsi="宋体" w:cs="宋体"/>
          <w:color w:val="auto"/>
          <w:spacing w:val="0"/>
          <w:kern w:val="2"/>
          <w:sz w:val="21"/>
          <w:szCs w:val="21"/>
          <w:highlight w:val="none"/>
          <w:lang w:val="en-US" w:eastAsia="zh-CN" w:bidi="ar-SA"/>
        </w:rPr>
        <w:t>1.</w:t>
      </w:r>
      <w:r>
        <w:rPr>
          <w:rFonts w:hint="eastAsia" w:ascii="宋体" w:hAnsi="宋体" w:eastAsia="宋体" w:cs="宋体"/>
          <w:color w:val="auto"/>
          <w:spacing w:val="0"/>
          <w:sz w:val="21"/>
          <w:szCs w:val="21"/>
          <w:highlight w:val="none"/>
          <w:lang w:val="en-US" w:eastAsia="zh-CN"/>
        </w:rPr>
        <w:t>系统国产化适配</w:t>
      </w:r>
    </w:p>
    <w:p w14:paraId="3B86911C">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系统建设须严格遵循国家信创与国产化政策要求，全面适配国产软硬件生态，实现自主可控、安全可信、合规可用。</w:t>
      </w:r>
    </w:p>
    <w:p w14:paraId="04DFC68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firstLine="420" w:firstLineChars="0"/>
        <w:jc w:val="both"/>
        <w:textAlignment w:val="auto"/>
        <w:rPr>
          <w:rFonts w:hint="eastAsia" w:ascii="宋体" w:hAnsi="宋体" w:eastAsia="宋体" w:cs="宋体"/>
          <w:color w:val="auto"/>
          <w:spacing w:val="0"/>
          <w:sz w:val="21"/>
          <w:szCs w:val="21"/>
          <w:highlight w:val="none"/>
          <w:lang w:val="en-US" w:eastAsia="zh-CN"/>
        </w:rPr>
      </w:pPr>
      <w:r>
        <w:rPr>
          <w:rFonts w:hint="eastAsia" w:ascii="宋体" w:hAnsi="宋体" w:cs="宋体"/>
          <w:color w:val="auto"/>
          <w:spacing w:val="0"/>
          <w:kern w:val="2"/>
          <w:sz w:val="21"/>
          <w:szCs w:val="21"/>
          <w:highlight w:val="none"/>
          <w:lang w:val="en-US" w:eastAsia="zh-CN" w:bidi="ar-SA"/>
        </w:rPr>
        <w:t>2.</w:t>
      </w:r>
      <w:r>
        <w:rPr>
          <w:rFonts w:hint="eastAsia" w:ascii="宋体" w:hAnsi="宋体" w:eastAsia="宋体" w:cs="宋体"/>
          <w:color w:val="auto"/>
          <w:spacing w:val="0"/>
          <w:sz w:val="21"/>
          <w:szCs w:val="21"/>
          <w:highlight w:val="none"/>
          <w:lang w:val="en-US" w:eastAsia="zh-CN"/>
        </w:rPr>
        <w:t>第三方测评</w:t>
      </w:r>
    </w:p>
    <w:p w14:paraId="3AC1464E">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20" w:firstLineChars="200"/>
        <w:jc w:val="both"/>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完成并通过网络安全等级保护第三级测评、商用密码应用安全性测评、软件测评、信创测评相关测评认证，全面满足安全合规与质量管控要求。</w:t>
      </w:r>
    </w:p>
    <w:p w14:paraId="6FCDA553">
      <w:pPr>
        <w:widowControl w:val="0"/>
        <w:overflowPunct/>
        <w:bidi w:val="0"/>
        <w:adjustRightInd w:val="0"/>
        <w:snapToGrid w:val="0"/>
        <w:spacing w:beforeLines="0" w:afterLines="0" w:line="336" w:lineRule="auto"/>
        <w:ind w:firstLine="420" w:firstLineChars="200"/>
        <w:jc w:val="both"/>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cs="宋体"/>
          <w:i w:val="0"/>
          <w:iCs w:val="0"/>
          <w:color w:val="auto"/>
          <w:kern w:val="0"/>
          <w:sz w:val="21"/>
          <w:szCs w:val="21"/>
          <w:highlight w:val="none"/>
          <w:lang w:val="en-US" w:eastAsia="zh-CN" w:bidi="ar"/>
          <w:woUserID w:val="2"/>
        </w:rPr>
        <w:t>3.对于重要大会期间，乙方提供人员保障，驻点支持人员不少于2人。</w:t>
      </w:r>
    </w:p>
    <w:p w14:paraId="6AE66DFB">
      <w:pPr>
        <w:widowControl w:val="0"/>
        <w:overflowPunct/>
        <w:bidi w:val="0"/>
        <w:adjustRightInd w:val="0"/>
        <w:snapToGrid w:val="0"/>
        <w:spacing w:beforeLines="0" w:afterLines="0" w:line="336" w:lineRule="auto"/>
        <w:ind w:firstLine="422" w:firstLineChars="200"/>
        <w:jc w:val="both"/>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第六条  验收要求</w:t>
      </w:r>
    </w:p>
    <w:p w14:paraId="307228B2">
      <w:pPr>
        <w:pageBreakBefore w:val="0"/>
        <w:kinsoku/>
        <w:overflowPunct/>
        <w:topLinePunct w:val="0"/>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1.第一阶段：合同签订后7天内，在项目需求范围内，</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进一步优化需求分析、概要设计、详细设计，</w:t>
      </w:r>
      <w:r>
        <w:rPr>
          <w:rFonts w:hint="eastAsia" w:ascii="宋体" w:hAnsi="宋体" w:cs="宋体"/>
          <w:color w:val="auto"/>
          <w:sz w:val="21"/>
          <w:szCs w:val="21"/>
          <w:highlight w:val="none"/>
          <w:lang w:val="en-US" w:eastAsia="zh-CN"/>
        </w:rPr>
        <w:t>实施方案</w:t>
      </w:r>
      <w:r>
        <w:rPr>
          <w:rFonts w:hint="eastAsia" w:ascii="宋体" w:hAnsi="宋体" w:eastAsia="宋体" w:cs="宋体"/>
          <w:color w:val="auto"/>
          <w:sz w:val="21"/>
          <w:szCs w:val="21"/>
          <w:highlight w:val="none"/>
        </w:rPr>
        <w:t>和</w:t>
      </w:r>
      <w:r>
        <w:rPr>
          <w:rFonts w:hint="eastAsia" w:ascii="宋体" w:hAnsi="宋体" w:cs="宋体"/>
          <w:color w:val="auto"/>
          <w:sz w:val="21"/>
          <w:szCs w:val="21"/>
          <w:highlight w:val="none"/>
          <w:lang w:val="en-US" w:eastAsia="zh-CN"/>
        </w:rPr>
        <w:t>软件</w:t>
      </w:r>
      <w:r>
        <w:rPr>
          <w:rFonts w:hint="eastAsia" w:ascii="宋体" w:hAnsi="宋体" w:eastAsia="宋体" w:cs="宋体"/>
          <w:color w:val="auto"/>
          <w:sz w:val="21"/>
          <w:szCs w:val="21"/>
          <w:highlight w:val="none"/>
        </w:rPr>
        <w:t>测试方案，向</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提供上述文档并经</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审查，</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可对前述内容提出修改意见，</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应按照</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的修改意见进行完善，直至满足</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要求。</w:t>
      </w:r>
    </w:p>
    <w:p w14:paraId="7DFEEA3A">
      <w:pPr>
        <w:pageBreakBefore w:val="0"/>
        <w:kinsoku/>
        <w:overflowPunct/>
        <w:topLinePunct w:val="0"/>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2.第二阶段：合同签订后</w:t>
      </w:r>
      <w:r>
        <w:rPr>
          <w:rFonts w:hint="eastAsia" w:ascii="宋体" w:hAnsi="宋体" w:cs="宋体"/>
          <w:color w:val="auto"/>
          <w:sz w:val="21"/>
          <w:szCs w:val="21"/>
          <w:highlight w:val="none"/>
          <w:lang w:val="en-US" w:eastAsia="zh-CN"/>
        </w:rPr>
        <w:t>4个月</w:t>
      </w:r>
      <w:r>
        <w:rPr>
          <w:rFonts w:hint="eastAsia" w:ascii="宋体" w:hAnsi="宋体" w:eastAsia="宋体" w:cs="宋体"/>
          <w:color w:val="auto"/>
          <w:sz w:val="21"/>
          <w:szCs w:val="21"/>
          <w:highlight w:val="none"/>
        </w:rPr>
        <w:t>内，</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完成所有系统部署、调试，并且完成培训，并由</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出具初验报告后进入试运行，验收标准按合同约定及</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要求执行。该阶段中，</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进行的每一个系统部署均须向</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进行确认，并根据</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的意见进行系统调整与完善，直至满足</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要求并出具初步验收报告后进入试运行；验收未通过的，</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有权提出相关建议和意见要求</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整改，直至</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提供的软件达到</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需求。</w:t>
      </w:r>
    </w:p>
    <w:p w14:paraId="47B2A123">
      <w:pPr>
        <w:pageBreakBefore w:val="0"/>
        <w:kinsoku/>
        <w:overflowPunct/>
        <w:topLinePunct w:val="0"/>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3.第三阶段：系统正常试运行</w:t>
      </w:r>
      <w:r>
        <w:rPr>
          <w:rFonts w:hint="eastAsia" w:ascii="宋体" w:hAnsi="宋体" w:cs="宋体"/>
          <w:color w:val="auto"/>
          <w:sz w:val="21"/>
          <w:szCs w:val="21"/>
          <w:highlight w:val="none"/>
          <w:lang w:val="en-US" w:eastAsia="zh-CN"/>
        </w:rPr>
        <w:t>6个月</w:t>
      </w:r>
      <w:r>
        <w:rPr>
          <w:rFonts w:hint="eastAsia" w:ascii="宋体" w:hAnsi="宋体" w:eastAsia="宋体" w:cs="宋体"/>
          <w:color w:val="auto"/>
          <w:sz w:val="21"/>
          <w:szCs w:val="21"/>
          <w:highlight w:val="none"/>
        </w:rPr>
        <w:t>后，</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应在5个工作日内向</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提交全部报告材料，并通过项目最终验收，验收标准按合同约定及</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要求执行。验收未通过的，</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有权提出相关建议和意见要求</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整改，直至</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提供的软件达到</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需求。系统通过最终验收并正式交付使用后，进入免费维护期（自验收合格之次日起计算）。</w:t>
      </w:r>
    </w:p>
    <w:p w14:paraId="1ACA7890">
      <w:pPr>
        <w:pageBreakBefore w:val="0"/>
        <w:kinsoku/>
        <w:overflowPunct/>
        <w:topLinePunct w:val="0"/>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4.若维保期间系统无法运行且</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无法解决，或出现重大缺陷故障等经</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修复或修复后仍时常发生的，视为</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违反合同约定，未交付合格系统。系统免费维护期过后，若因该软件本身或</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原因所出现的问题，</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仍应予以免费维护并修复。</w:t>
      </w:r>
    </w:p>
    <w:p w14:paraId="2B5045E4">
      <w:pPr>
        <w:pageBreakBefore w:val="0"/>
        <w:kinsoku/>
        <w:overflowPunct/>
        <w:topLinePunct w:val="0"/>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5.项目建设开始前，</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应提前至少3日向</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明确需求的材料，</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根据项目需求向</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提供相关材料，否则材料提供不及时或无法提供导致开发无法按时完成的责任由</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承担。</w:t>
      </w:r>
    </w:p>
    <w:p w14:paraId="454D60BA">
      <w:pPr>
        <w:pageBreakBefore w:val="0"/>
        <w:kinsoku/>
        <w:overflowPunct/>
        <w:topLinePunct w:val="0"/>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不得在其提供的程序中加插和软件功能无关的程序或预留一些危害软件安全的漏洞。</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应当保证提供的项目成果不得含有病毒，不含有色情、暴力，反动及违反国家法律规定的内容，且</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提供的项目成果所需的图片及文案等因素均不侵害第三方的合法权利。如因前述问题导致</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权益受损的，</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应承担全部赔偿责任。</w:t>
      </w:r>
    </w:p>
    <w:p w14:paraId="4C81C326">
      <w:pPr>
        <w:pageBreakBefore w:val="0"/>
        <w:kinsoku/>
        <w:overflowPunct/>
        <w:topLinePunct w:val="0"/>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应当保证其交付给</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的项目成果是完全利用自有条件自行研发，不侵犯任何第三人的合法权益，无权属纠纷。</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因所提供的软项目成果侵犯他人合法权利的，由</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承担侵权责任。</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因此实际承担责任或产生损失的，有权要求</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全额赔偿（损失赔偿范围包括但不限于：直接损失、消除或减少损失的费用、律师费、仲裁费、公证费、差旅费等，下同）。</w:t>
      </w:r>
    </w:p>
    <w:p w14:paraId="0118804B">
      <w:pPr>
        <w:pageBreakBefore w:val="0"/>
        <w:kinsoku/>
        <w:overflowPunct/>
        <w:topLinePunct w:val="0"/>
        <w:bidi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承诺所提供的软件产品不含有后门、恶意代码等任何形式的安全隐患，因此引起安全事故的，</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有权追索</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责任，并要求</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修复此等安全隐患，由此造成</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损失，</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应承担全部赔偿责任。</w:t>
      </w:r>
    </w:p>
    <w:p w14:paraId="63CC896B">
      <w:pPr>
        <w:pageBreakBefore w:val="0"/>
        <w:kinsoku/>
        <w:overflowPunct/>
        <w:topLinePunct w:val="0"/>
        <w:bidi w:val="0"/>
        <w:adjustRightInd w:val="0"/>
        <w:snapToGrid w:val="0"/>
        <w:spacing w:line="360" w:lineRule="auto"/>
        <w:ind w:firstLine="420" w:firstLineChars="200"/>
        <w:rPr>
          <w:rFonts w:hint="eastAsia" w:ascii="宋体" w:hAnsi="宋体" w:eastAsia="宋体" w:cs="宋体"/>
          <w:bCs w:val="0"/>
          <w:color w:val="auto"/>
          <w:sz w:val="21"/>
          <w:szCs w:val="21"/>
          <w:highlight w:val="none"/>
        </w:rPr>
      </w:pPr>
      <w:r>
        <w:rPr>
          <w:rFonts w:hint="eastAsia" w:ascii="宋体" w:hAnsi="宋体" w:eastAsia="宋体" w:cs="宋体"/>
          <w:color w:val="auto"/>
          <w:sz w:val="21"/>
          <w:szCs w:val="21"/>
          <w:highlight w:val="none"/>
        </w:rPr>
        <w:t>9.如因项目验收工作导致</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无法按期完成项目建设的，</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应在期限到期前5个工作日内向</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提交书面延期申请，经</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审查认定延期理由及申请延期期限合理并同意后，方可延期。</w:t>
      </w:r>
    </w:p>
    <w:p w14:paraId="04DEB857">
      <w:pPr>
        <w:widowControl w:val="0"/>
        <w:overflowPunct/>
        <w:bidi w:val="0"/>
        <w:adjustRightInd w:val="0"/>
        <w:snapToGrid w:val="0"/>
        <w:spacing w:beforeLines="0" w:afterLines="0" w:line="336" w:lineRule="auto"/>
        <w:ind w:firstLine="422" w:firstLineChars="200"/>
        <w:jc w:val="both"/>
        <w:outlineLvl w:val="1"/>
        <w:rPr>
          <w:rFonts w:hint="eastAsia" w:ascii="宋体" w:hAnsi="宋体" w:eastAsia="宋体" w:cs="宋体"/>
          <w:b/>
          <w:bCs/>
          <w:color w:val="auto"/>
          <w:kern w:val="2"/>
          <w:sz w:val="21"/>
          <w:szCs w:val="21"/>
          <w:highlight w:val="none"/>
          <w:lang w:val="en-US" w:eastAsia="zh-CN" w:bidi="ar-SA"/>
        </w:rPr>
      </w:pPr>
    </w:p>
    <w:p w14:paraId="46F02D6F">
      <w:pPr>
        <w:widowControl w:val="0"/>
        <w:overflowPunct/>
        <w:bidi w:val="0"/>
        <w:adjustRightInd w:val="0"/>
        <w:snapToGrid w:val="0"/>
        <w:spacing w:beforeLines="0" w:afterLines="0" w:line="336" w:lineRule="auto"/>
        <w:ind w:firstLine="422" w:firstLineChars="200"/>
        <w:jc w:val="both"/>
        <w:outlineLvl w:val="1"/>
        <w:rPr>
          <w:rFonts w:hint="default"/>
          <w:b w:val="0"/>
          <w:bCs w:val="0"/>
          <w:color w:val="auto"/>
          <w:highlight w:val="none"/>
          <w:lang w:val="en-US" w:eastAsia="zh-CN"/>
        </w:rPr>
      </w:pPr>
      <w:r>
        <w:rPr>
          <w:rFonts w:hint="eastAsia" w:ascii="宋体" w:hAnsi="宋体" w:eastAsia="宋体" w:cs="宋体"/>
          <w:b/>
          <w:bCs/>
          <w:color w:val="auto"/>
          <w:kern w:val="2"/>
          <w:sz w:val="21"/>
          <w:szCs w:val="21"/>
          <w:highlight w:val="none"/>
          <w:lang w:val="en-US" w:eastAsia="zh-CN" w:bidi="ar-SA"/>
        </w:rPr>
        <w:t>第七条  履约保证金：</w:t>
      </w:r>
      <w:r>
        <w:rPr>
          <w:rFonts w:hint="eastAsia" w:ascii="宋体" w:hAnsi="宋体" w:eastAsia="宋体" w:cs="宋体"/>
          <w:b w:val="0"/>
          <w:bCs w:val="0"/>
          <w:color w:val="auto"/>
          <w:kern w:val="2"/>
          <w:sz w:val="21"/>
          <w:szCs w:val="21"/>
          <w:highlight w:val="none"/>
          <w:lang w:val="en-US" w:eastAsia="zh-CN" w:bidi="ar-SA"/>
        </w:rPr>
        <w:t>无</w:t>
      </w:r>
    </w:p>
    <w:p w14:paraId="2B1EFC0C">
      <w:pPr>
        <w:widowControl w:val="0"/>
        <w:numPr>
          <w:ilvl w:val="0"/>
          <w:numId w:val="0"/>
        </w:numPr>
        <w:overflowPunct/>
        <w:bidi w:val="0"/>
        <w:adjustRightInd w:val="0"/>
        <w:snapToGrid w:val="0"/>
        <w:spacing w:beforeLines="0" w:afterLines="0" w:line="336" w:lineRule="auto"/>
        <w:ind w:firstLine="422" w:firstLineChars="200"/>
        <w:jc w:val="both"/>
        <w:outlineLvl w:val="1"/>
        <w:rPr>
          <w:rFonts w:hint="eastAsia" w:ascii="宋体" w:hAnsi="宋体" w:eastAsia="宋体" w:cs="宋体"/>
          <w:bCs/>
          <w:color w:val="auto"/>
          <w:sz w:val="21"/>
          <w:szCs w:val="21"/>
          <w:highlight w:val="none"/>
        </w:rPr>
      </w:pPr>
      <w:r>
        <w:rPr>
          <w:rFonts w:hint="eastAsia" w:ascii="宋体" w:hAnsi="宋体" w:eastAsia="宋体" w:cs="宋体"/>
          <w:b/>
          <w:bCs/>
          <w:color w:val="auto"/>
          <w:kern w:val="2"/>
          <w:sz w:val="21"/>
          <w:szCs w:val="21"/>
          <w:highlight w:val="none"/>
          <w:lang w:val="en-US" w:eastAsia="zh-CN" w:bidi="ar-SA"/>
        </w:rPr>
        <w:t xml:space="preserve">第八条 </w:t>
      </w:r>
      <w:r>
        <w:rPr>
          <w:rFonts w:hint="eastAsia" w:ascii="宋体" w:hAnsi="宋体" w:eastAsia="宋体" w:cs="宋体"/>
          <w:b/>
          <w:bCs/>
          <w:color w:val="auto"/>
          <w:sz w:val="21"/>
          <w:szCs w:val="21"/>
          <w:highlight w:val="none"/>
        </w:rPr>
        <w:t>资金</w:t>
      </w:r>
      <w:r>
        <w:rPr>
          <w:rFonts w:hint="eastAsia" w:ascii="宋体" w:hAnsi="宋体" w:eastAsia="宋体" w:cs="宋体"/>
          <w:b/>
          <w:bCs w:val="0"/>
          <w:color w:val="auto"/>
          <w:sz w:val="21"/>
          <w:szCs w:val="21"/>
          <w:highlight w:val="none"/>
        </w:rPr>
        <w:t>支付的方式、时间和条件</w:t>
      </w: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1"/>
        <w:gridCol w:w="1706"/>
      </w:tblGrid>
      <w:tr w14:paraId="6626D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1" w:type="dxa"/>
            <w:vAlign w:val="center"/>
          </w:tcPr>
          <w:p w14:paraId="3A867BF0">
            <w:pPr>
              <w:keepNext w:val="0"/>
              <w:keepLines w:val="0"/>
              <w:suppressLineNumbers w:val="0"/>
              <w:overflowPunct/>
              <w:autoSpaceDE w:val="0"/>
              <w:autoSpaceDN w:val="0"/>
              <w:bidi w:val="0"/>
              <w:adjustRightInd w:val="0"/>
              <w:snapToGrid w:val="0"/>
              <w:spacing w:before="0" w:beforeAutospacing="0" w:after="0" w:afterAutospacing="0" w:line="336" w:lineRule="auto"/>
              <w:ind w:left="200" w:leftChars="0" w:right="0"/>
              <w:jc w:val="center"/>
              <w:rPr>
                <w:rFonts w:hint="eastAsia" w:ascii="宋体" w:hAnsi="宋体" w:eastAsia="宋体" w:cs="宋体"/>
                <w:b/>
                <w:bCs w:val="0"/>
                <w:color w:val="auto"/>
                <w:sz w:val="21"/>
                <w:szCs w:val="21"/>
                <w:highlight w:val="none"/>
                <w:vertAlign w:val="baseline"/>
              </w:rPr>
            </w:pPr>
            <w:r>
              <w:rPr>
                <w:rFonts w:hint="eastAsia" w:ascii="宋体" w:hAnsi="宋体" w:eastAsia="宋体" w:cs="宋体"/>
                <w:b/>
                <w:bCs/>
                <w:color w:val="auto"/>
                <w:sz w:val="21"/>
                <w:szCs w:val="21"/>
                <w:highlight w:val="none"/>
              </w:rPr>
              <w:t>付 款 阶 段</w:t>
            </w:r>
          </w:p>
        </w:tc>
        <w:tc>
          <w:tcPr>
            <w:tcW w:w="1706" w:type="dxa"/>
            <w:vAlign w:val="center"/>
          </w:tcPr>
          <w:p w14:paraId="5F32A7AF">
            <w:pPr>
              <w:keepNext w:val="0"/>
              <w:keepLines w:val="0"/>
              <w:suppressLineNumbers w:val="0"/>
              <w:overflowPunct/>
              <w:autoSpaceDE w:val="0"/>
              <w:autoSpaceDN w:val="0"/>
              <w:bidi w:val="0"/>
              <w:adjustRightInd w:val="0"/>
              <w:snapToGrid w:val="0"/>
              <w:spacing w:before="0" w:beforeAutospacing="0" w:after="0" w:afterAutospacing="0" w:line="336" w:lineRule="auto"/>
              <w:ind w:left="0" w:right="0"/>
              <w:jc w:val="center"/>
              <w:rPr>
                <w:rFonts w:hint="eastAsia" w:ascii="宋体" w:hAnsi="宋体" w:eastAsia="宋体" w:cs="宋体"/>
                <w:b/>
                <w:bCs w:val="0"/>
                <w:color w:val="auto"/>
                <w:sz w:val="21"/>
                <w:szCs w:val="21"/>
                <w:highlight w:val="none"/>
                <w:vertAlign w:val="baseline"/>
              </w:rPr>
            </w:pPr>
            <w:r>
              <w:rPr>
                <w:rFonts w:hint="eastAsia" w:ascii="宋体" w:hAnsi="宋体" w:eastAsia="宋体" w:cs="宋体"/>
                <w:b/>
                <w:bCs/>
                <w:color w:val="auto"/>
                <w:sz w:val="21"/>
                <w:szCs w:val="21"/>
                <w:highlight w:val="none"/>
              </w:rPr>
              <w:t>付款比例</w:t>
            </w:r>
          </w:p>
        </w:tc>
      </w:tr>
      <w:tr w14:paraId="5FA9C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1" w:type="dxa"/>
            <w:vAlign w:val="top"/>
          </w:tcPr>
          <w:p w14:paraId="7216D7CF">
            <w:pPr>
              <w:keepNext w:val="0"/>
              <w:keepLines w:val="0"/>
              <w:suppressLineNumbers w:val="0"/>
              <w:tabs>
                <w:tab w:val="left" w:pos="240"/>
              </w:tabs>
              <w:overflowPunct/>
              <w:autoSpaceDE w:val="0"/>
              <w:autoSpaceDN w:val="0"/>
              <w:bidi w:val="0"/>
              <w:adjustRightInd w:val="0"/>
              <w:snapToGrid w:val="0"/>
              <w:spacing w:before="0" w:beforeAutospacing="0" w:after="0" w:afterAutospacing="0" w:line="336" w:lineRule="auto"/>
              <w:ind w:left="0" w:right="0"/>
              <w:rPr>
                <w:rFonts w:hint="eastAsia" w:ascii="宋体" w:hAnsi="宋体" w:eastAsia="宋体" w:cs="宋体"/>
                <w:b/>
                <w:bCs w:val="0"/>
                <w:color w:val="auto"/>
                <w:sz w:val="21"/>
                <w:szCs w:val="21"/>
                <w:highlight w:val="none"/>
                <w:vertAlign w:val="baseline"/>
              </w:rPr>
            </w:pPr>
            <w:r>
              <w:rPr>
                <w:rFonts w:hint="eastAsia" w:ascii="宋体" w:hAnsi="宋体" w:eastAsia="宋体" w:cs="宋体"/>
                <w:color w:val="auto"/>
                <w:sz w:val="21"/>
                <w:szCs w:val="21"/>
                <w:highlight w:val="none"/>
              </w:rPr>
              <w:t>第一期付款：</w:t>
            </w:r>
            <w:r>
              <w:rPr>
                <w:rFonts w:hint="eastAsia" w:ascii="宋体" w:hAnsi="宋体" w:eastAsia="宋体" w:cs="宋体"/>
                <w:color w:val="auto"/>
                <w:sz w:val="21"/>
                <w:szCs w:val="21"/>
                <w:highlight w:val="none"/>
                <w:lang w:val="en-US" w:eastAsia="zh-CN"/>
              </w:rPr>
              <w:t>合同生效以及具备实施条件后7日内，</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lang w:val="en-US" w:eastAsia="zh-CN"/>
              </w:rPr>
              <w:t>支付合同总价的50%作为合同预付款</w:t>
            </w:r>
            <w:r>
              <w:rPr>
                <w:rFonts w:hint="eastAsia" w:ascii="宋体" w:hAnsi="宋体" w:cs="宋体"/>
                <w:bCs/>
                <w:color w:val="auto"/>
                <w:sz w:val="21"/>
                <w:szCs w:val="21"/>
                <w:highlight w:val="none"/>
                <w:lang w:eastAsia="zh-CN"/>
              </w:rPr>
              <w:t>，</w:t>
            </w:r>
            <w:r>
              <w:rPr>
                <w:rFonts w:hint="eastAsia" w:ascii="宋体" w:hAnsi="宋体" w:eastAsia="宋体" w:cs="宋体"/>
                <w:color w:val="auto"/>
                <w:sz w:val="21"/>
                <w:szCs w:val="21"/>
                <w:highlight w:val="none"/>
              </w:rPr>
              <w:t>计</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元</w:t>
            </w:r>
            <w:r>
              <w:rPr>
                <w:rFonts w:hint="eastAsia"/>
                <w:color w:val="auto"/>
                <w:sz w:val="21"/>
                <w:szCs w:val="21"/>
                <w:highlight w:val="none"/>
                <w:lang w:eastAsia="zh-CN"/>
              </w:rPr>
              <w:t>，</w:t>
            </w:r>
            <w:r>
              <w:rPr>
                <w:rFonts w:hint="eastAsia" w:ascii="宋体" w:hAnsi="宋体" w:eastAsia="宋体" w:cs="宋体"/>
                <w:color w:val="auto"/>
                <w:sz w:val="21"/>
                <w:szCs w:val="21"/>
                <w:highlight w:val="none"/>
              </w:rPr>
              <w:t>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整。</w:t>
            </w:r>
            <w:r>
              <w:rPr>
                <w:rFonts w:hint="eastAsia" w:ascii="宋体" w:hAnsi="宋体" w:eastAsia="宋体" w:cs="宋体"/>
                <w:color w:val="auto"/>
                <w:sz w:val="21"/>
                <w:szCs w:val="21"/>
                <w:highlight w:val="none"/>
                <w:lang w:val="en-US" w:eastAsia="zh-CN"/>
              </w:rPr>
              <w:t>乙</w:t>
            </w:r>
            <w:r>
              <w:rPr>
                <w:rFonts w:hint="eastAsia" w:ascii="宋体" w:hAnsi="宋体" w:eastAsia="宋体" w:cs="宋体"/>
                <w:color w:val="auto"/>
                <w:sz w:val="21"/>
                <w:szCs w:val="21"/>
                <w:highlight w:val="none"/>
              </w:rPr>
              <w:t>方未提供等额正规发票，甲方有权</w:t>
            </w:r>
            <w:r>
              <w:rPr>
                <w:rFonts w:hint="eastAsia" w:ascii="宋体" w:hAnsi="宋体" w:eastAsia="宋体" w:cs="宋体"/>
                <w:color w:val="auto"/>
                <w:sz w:val="21"/>
                <w:szCs w:val="21"/>
                <w:highlight w:val="none"/>
                <w:lang w:val="en-US" w:eastAsia="zh-CN"/>
              </w:rPr>
              <w:t>相应顺延付款期限</w:t>
            </w:r>
            <w:r>
              <w:rPr>
                <w:rFonts w:hint="eastAsia" w:ascii="宋体" w:hAnsi="宋体" w:eastAsia="宋体" w:cs="宋体"/>
                <w:color w:val="auto"/>
                <w:sz w:val="21"/>
                <w:szCs w:val="21"/>
                <w:highlight w:val="none"/>
              </w:rPr>
              <w:t>，不视为违约。</w:t>
            </w:r>
          </w:p>
        </w:tc>
        <w:tc>
          <w:tcPr>
            <w:tcW w:w="1706" w:type="dxa"/>
            <w:vAlign w:val="center"/>
          </w:tcPr>
          <w:p w14:paraId="475F2F07">
            <w:pPr>
              <w:keepNext w:val="0"/>
              <w:keepLines w:val="0"/>
              <w:suppressLineNumbers w:val="0"/>
              <w:overflowPunct/>
              <w:autoSpaceDE w:val="0"/>
              <w:autoSpaceDN w:val="0"/>
              <w:bidi w:val="0"/>
              <w:adjustRightInd w:val="0"/>
              <w:snapToGrid w:val="0"/>
              <w:spacing w:before="0" w:beforeAutospacing="0" w:after="0" w:afterAutospacing="0" w:line="336" w:lineRule="auto"/>
              <w:ind w:left="0" w:right="0" w:firstLine="34" w:firstLineChars="0"/>
              <w:jc w:val="center"/>
              <w:rPr>
                <w:rFonts w:hint="eastAsia" w:ascii="宋体" w:hAnsi="宋体" w:eastAsia="宋体" w:cs="宋体"/>
                <w:b/>
                <w:bCs w:val="0"/>
                <w:color w:val="auto"/>
                <w:sz w:val="21"/>
                <w:szCs w:val="21"/>
                <w:highlight w:val="none"/>
                <w:vertAlign w:val="baseline"/>
              </w:rPr>
            </w:pPr>
            <w:r>
              <w:rPr>
                <w:rFonts w:hint="eastAsia" w:ascii="宋体" w:hAnsi="宋体" w:cs="宋体"/>
                <w:color w:val="auto"/>
                <w:sz w:val="21"/>
                <w:szCs w:val="21"/>
                <w:highlight w:val="none"/>
                <w:lang w:val="en-US" w:eastAsia="zh-CN"/>
              </w:rPr>
              <w:t>50</w:t>
            </w:r>
            <w:r>
              <w:rPr>
                <w:rFonts w:hint="eastAsia" w:ascii="宋体" w:hAnsi="宋体" w:eastAsia="宋体" w:cs="宋体"/>
                <w:color w:val="auto"/>
                <w:sz w:val="21"/>
                <w:szCs w:val="21"/>
                <w:highlight w:val="none"/>
              </w:rPr>
              <w:t>%</w:t>
            </w:r>
          </w:p>
        </w:tc>
      </w:tr>
      <w:tr w14:paraId="4A393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1" w:type="dxa"/>
            <w:vAlign w:val="top"/>
          </w:tcPr>
          <w:p w14:paraId="772DF4FC">
            <w:pPr>
              <w:pStyle w:val="23"/>
              <w:keepNext w:val="0"/>
              <w:keepLines w:val="0"/>
              <w:pageBreakBefore w:val="0"/>
              <w:suppressLineNumbers w:val="0"/>
              <w:wordWrap/>
              <w:overflowPunct/>
              <w:bidi w:val="0"/>
              <w:adjustRightInd w:val="0"/>
              <w:snapToGrid w:val="0"/>
              <w:spacing w:before="0" w:beforeAutospacing="0" w:after="0" w:afterAutospacing="0" w:line="336" w:lineRule="auto"/>
              <w:ind w:left="0" w:right="0"/>
              <w:rPr>
                <w:rFonts w:hint="eastAsia" w:ascii="宋体" w:hAnsi="宋体" w:eastAsia="宋体" w:cs="宋体"/>
                <w:b/>
                <w:bCs w:val="0"/>
                <w:color w:val="auto"/>
                <w:sz w:val="21"/>
                <w:szCs w:val="21"/>
                <w:highlight w:val="none"/>
                <w:vertAlign w:val="baseline"/>
              </w:rPr>
            </w:pPr>
            <w:r>
              <w:rPr>
                <w:rFonts w:hint="eastAsia" w:ascii="宋体" w:hAnsi="宋体" w:eastAsia="宋体" w:cs="宋体"/>
                <w:color w:val="auto"/>
                <w:sz w:val="21"/>
                <w:szCs w:val="21"/>
                <w:highlight w:val="none"/>
              </w:rPr>
              <w:t>第二期付款：</w:t>
            </w:r>
            <w:r>
              <w:rPr>
                <w:rFonts w:hint="eastAsia" w:ascii="宋体" w:hAnsi="宋体" w:eastAsia="宋体" w:cs="宋体"/>
                <w:bCs/>
                <w:color w:val="auto"/>
                <w:sz w:val="21"/>
                <w:szCs w:val="21"/>
                <w:highlight w:val="none"/>
              </w:rPr>
              <w:t>合同签订后</w:t>
            </w:r>
            <w:r>
              <w:rPr>
                <w:rFonts w:hint="eastAsia" w:hAnsi="宋体" w:cs="宋体"/>
                <w:bCs/>
                <w:color w:val="auto"/>
                <w:sz w:val="21"/>
                <w:szCs w:val="21"/>
                <w:highlight w:val="none"/>
                <w:lang w:val="en-US" w:eastAsia="zh-CN"/>
              </w:rPr>
              <w:t>4个月</w:t>
            </w:r>
            <w:r>
              <w:rPr>
                <w:rFonts w:hint="eastAsia" w:ascii="宋体" w:hAnsi="宋体" w:eastAsia="宋体" w:cs="宋体"/>
                <w:bCs/>
                <w:color w:val="auto"/>
                <w:sz w:val="21"/>
                <w:szCs w:val="21"/>
                <w:highlight w:val="none"/>
              </w:rPr>
              <w:t>内，</w:t>
            </w:r>
            <w:r>
              <w:rPr>
                <w:rFonts w:hint="eastAsia" w:hAnsi="宋体" w:cs="宋体"/>
                <w:bCs/>
                <w:color w:val="auto"/>
                <w:sz w:val="21"/>
                <w:szCs w:val="21"/>
                <w:highlight w:val="none"/>
                <w:lang w:eastAsia="zh-CN"/>
              </w:rPr>
              <w:t>乙方</w:t>
            </w:r>
            <w:r>
              <w:rPr>
                <w:rFonts w:hint="eastAsia" w:ascii="宋体" w:hAnsi="宋体" w:eastAsia="宋体" w:cs="宋体"/>
                <w:bCs/>
                <w:color w:val="auto"/>
                <w:sz w:val="21"/>
                <w:szCs w:val="21"/>
                <w:highlight w:val="none"/>
              </w:rPr>
              <w:t>完成所有系统的数据对接、系统开发、调试和部署工作，并且完成基础数据的录入，</w:t>
            </w:r>
            <w:r>
              <w:rPr>
                <w:rFonts w:hint="eastAsia" w:ascii="宋体" w:hAnsi="宋体" w:eastAsia="宋体" w:cs="宋体"/>
                <w:bCs/>
                <w:color w:val="auto"/>
                <w:sz w:val="21"/>
                <w:szCs w:val="21"/>
                <w:highlight w:val="none"/>
                <w:lang w:val="en-US" w:eastAsia="zh-CN"/>
              </w:rPr>
              <w:t>向</w:t>
            </w:r>
            <w:r>
              <w:rPr>
                <w:rFonts w:hint="eastAsia" w:hAnsi="宋体" w:cs="宋体"/>
                <w:bCs/>
                <w:color w:val="auto"/>
                <w:sz w:val="21"/>
                <w:szCs w:val="21"/>
                <w:highlight w:val="none"/>
                <w:lang w:val="en-US" w:eastAsia="zh-CN"/>
              </w:rPr>
              <w:t>甲方</w:t>
            </w:r>
            <w:r>
              <w:rPr>
                <w:rFonts w:hint="eastAsia" w:ascii="宋体" w:hAnsi="宋体" w:eastAsia="宋体" w:cs="宋体"/>
                <w:bCs/>
                <w:color w:val="auto"/>
                <w:sz w:val="21"/>
                <w:szCs w:val="21"/>
                <w:highlight w:val="none"/>
                <w:lang w:val="en-US" w:eastAsia="zh-CN"/>
              </w:rPr>
              <w:t>提交</w:t>
            </w:r>
            <w:r>
              <w:rPr>
                <w:rFonts w:hint="eastAsia" w:ascii="宋体" w:hAnsi="宋体" w:eastAsia="宋体" w:cs="宋体"/>
                <w:bCs/>
                <w:color w:val="auto"/>
                <w:sz w:val="21"/>
                <w:szCs w:val="21"/>
                <w:highlight w:val="none"/>
              </w:rPr>
              <w:t>提交初验申请报告和相关材料</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并通过</w:t>
            </w:r>
            <w:r>
              <w:rPr>
                <w:rFonts w:hint="eastAsia" w:hAnsi="宋体" w:cs="宋体"/>
                <w:bCs/>
                <w:color w:val="auto"/>
                <w:sz w:val="21"/>
                <w:szCs w:val="21"/>
                <w:highlight w:val="none"/>
                <w:lang w:val="en-US" w:eastAsia="zh-CN"/>
              </w:rPr>
              <w:t>甲方</w:t>
            </w:r>
            <w:r>
              <w:rPr>
                <w:rFonts w:hint="eastAsia" w:ascii="宋体" w:hAnsi="宋体" w:eastAsia="宋体" w:cs="宋体"/>
                <w:bCs/>
                <w:color w:val="auto"/>
                <w:sz w:val="21"/>
                <w:szCs w:val="21"/>
                <w:highlight w:val="none"/>
                <w:lang w:val="en-US" w:eastAsia="zh-CN"/>
              </w:rPr>
              <w:t>初验</w:t>
            </w:r>
            <w:r>
              <w:rPr>
                <w:rFonts w:hint="eastAsia" w:ascii="宋体" w:hAnsi="宋体" w:eastAsia="宋体" w:cs="宋体"/>
                <w:bCs/>
                <w:color w:val="auto"/>
                <w:sz w:val="21"/>
                <w:szCs w:val="21"/>
                <w:highlight w:val="none"/>
              </w:rPr>
              <w:t>后进入试运行</w:t>
            </w:r>
            <w:r>
              <w:rPr>
                <w:rFonts w:hint="eastAsia" w:ascii="宋体" w:hAnsi="宋体" w:eastAsia="宋体" w:cs="宋体"/>
                <w:bCs/>
                <w:color w:val="auto"/>
                <w:sz w:val="21"/>
                <w:szCs w:val="21"/>
                <w:highlight w:val="none"/>
                <w:lang w:val="en-US" w:eastAsia="zh-CN"/>
              </w:rPr>
              <w:t>，</w:t>
            </w:r>
            <w:r>
              <w:rPr>
                <w:rFonts w:hint="eastAsia" w:ascii="宋体" w:hAnsi="宋体" w:eastAsia="宋体" w:cs="宋体"/>
                <w:snapToGrid/>
                <w:color w:val="auto"/>
                <w:kern w:val="2"/>
                <w:sz w:val="21"/>
                <w:szCs w:val="21"/>
                <w:highlight w:val="none"/>
                <w:lang w:val="en-US" w:eastAsia="zh-CN" w:bidi="ar-SA"/>
              </w:rPr>
              <w:t>支付合同总金额的30%</w:t>
            </w:r>
            <w:r>
              <w:rPr>
                <w:rFonts w:hint="eastAsia" w:ascii="宋体" w:hAnsi="宋体" w:eastAsia="宋体" w:cs="宋体"/>
                <w:color w:val="auto"/>
                <w:sz w:val="21"/>
                <w:szCs w:val="21"/>
                <w:highlight w:val="none"/>
              </w:rPr>
              <w:t>，计</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lang w:val="en-US" w:eastAsia="zh-CN"/>
              </w:rPr>
              <w:t>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乙方未提供等额正规发票，甲方有权相应顺延付款期限，不视为违约。</w:t>
            </w:r>
          </w:p>
        </w:tc>
        <w:tc>
          <w:tcPr>
            <w:tcW w:w="1706" w:type="dxa"/>
            <w:vAlign w:val="center"/>
          </w:tcPr>
          <w:p w14:paraId="53EFC90E">
            <w:pPr>
              <w:keepNext w:val="0"/>
              <w:keepLines w:val="0"/>
              <w:suppressLineNumbers w:val="0"/>
              <w:overflowPunct/>
              <w:autoSpaceDE w:val="0"/>
              <w:autoSpaceDN w:val="0"/>
              <w:bidi w:val="0"/>
              <w:adjustRightInd w:val="0"/>
              <w:snapToGrid w:val="0"/>
              <w:spacing w:before="0" w:beforeAutospacing="0" w:after="0" w:afterAutospacing="0" w:line="336" w:lineRule="auto"/>
              <w:ind w:left="0" w:right="0" w:firstLine="34" w:firstLineChars="0"/>
              <w:jc w:val="center"/>
              <w:rPr>
                <w:rFonts w:hint="eastAsia" w:ascii="宋体" w:hAnsi="宋体" w:eastAsia="宋体" w:cs="宋体"/>
                <w:b/>
                <w:bCs w:val="0"/>
                <w:color w:val="auto"/>
                <w:sz w:val="21"/>
                <w:szCs w:val="21"/>
                <w:highlight w:val="none"/>
                <w:vertAlign w:val="baseline"/>
              </w:rPr>
            </w:pP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w:t>
            </w:r>
          </w:p>
        </w:tc>
      </w:tr>
      <w:tr w14:paraId="54716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1" w:type="dxa"/>
            <w:vAlign w:val="top"/>
          </w:tcPr>
          <w:p w14:paraId="3361444E">
            <w:pPr>
              <w:pStyle w:val="24"/>
              <w:keepNext w:val="0"/>
              <w:keepLines w:val="0"/>
              <w:suppressLineNumbers w:val="0"/>
              <w:spacing w:before="0" w:beforeAutospacing="0" w:after="0" w:afterAutospacing="0"/>
              <w:ind w:left="0" w:leftChars="0" w:right="0" w:firstLine="0" w:firstLineChars="0"/>
              <w:rPr>
                <w:rFonts w:hint="eastAsia" w:ascii="宋体" w:hAnsi="宋体" w:eastAsia="宋体" w:cs="宋体"/>
                <w:b/>
                <w:bCs w:val="0"/>
                <w:color w:val="auto"/>
                <w:sz w:val="21"/>
                <w:szCs w:val="21"/>
                <w:highlight w:val="none"/>
                <w:vertAlign w:val="baseline"/>
              </w:rPr>
            </w:pPr>
            <w:r>
              <w:rPr>
                <w:rFonts w:hint="eastAsia" w:ascii="宋体" w:hAnsi="宋体" w:eastAsia="宋体" w:cs="宋体"/>
                <w:color w:val="auto"/>
                <w:sz w:val="21"/>
                <w:szCs w:val="21"/>
                <w:highlight w:val="none"/>
              </w:rPr>
              <w:t>第</w:t>
            </w:r>
            <w:r>
              <w:rPr>
                <w:rFonts w:hint="eastAsia" w:hAnsi="宋体" w:cs="宋体"/>
                <w:color w:val="auto"/>
                <w:sz w:val="21"/>
                <w:szCs w:val="21"/>
                <w:highlight w:val="none"/>
                <w:lang w:eastAsia="zh-CN"/>
              </w:rPr>
              <w:t>三</w:t>
            </w:r>
            <w:r>
              <w:rPr>
                <w:rFonts w:hint="eastAsia" w:ascii="宋体" w:hAnsi="宋体" w:eastAsia="宋体" w:cs="宋体"/>
                <w:color w:val="auto"/>
                <w:sz w:val="21"/>
                <w:szCs w:val="21"/>
                <w:highlight w:val="none"/>
              </w:rPr>
              <w:t>期付款：</w:t>
            </w:r>
            <w:r>
              <w:rPr>
                <w:rFonts w:hint="eastAsia" w:ascii="宋体" w:hAnsi="宋体" w:eastAsia="宋体" w:cs="宋体"/>
                <w:bCs/>
                <w:color w:val="auto"/>
                <w:sz w:val="21"/>
                <w:szCs w:val="21"/>
                <w:highlight w:val="none"/>
              </w:rPr>
              <w:t>系统正常试运行</w:t>
            </w:r>
            <w:r>
              <w:rPr>
                <w:rFonts w:hint="eastAsia" w:hAnsi="宋体" w:cs="宋体"/>
                <w:bCs/>
                <w:color w:val="auto"/>
                <w:sz w:val="21"/>
                <w:szCs w:val="21"/>
                <w:highlight w:val="none"/>
                <w:lang w:val="en-US" w:eastAsia="zh-CN"/>
              </w:rPr>
              <w:t>6个月</w:t>
            </w:r>
            <w:r>
              <w:rPr>
                <w:rFonts w:hint="eastAsia" w:ascii="宋体" w:hAnsi="宋体" w:eastAsia="宋体" w:cs="宋体"/>
                <w:bCs/>
                <w:color w:val="auto"/>
                <w:sz w:val="21"/>
                <w:szCs w:val="21"/>
                <w:highlight w:val="none"/>
              </w:rPr>
              <w:t>后，</w:t>
            </w:r>
            <w:r>
              <w:rPr>
                <w:rFonts w:hint="eastAsia" w:hAnsi="宋体" w:cs="宋体"/>
                <w:bCs/>
                <w:color w:val="auto"/>
                <w:sz w:val="21"/>
                <w:szCs w:val="21"/>
                <w:highlight w:val="none"/>
                <w:lang w:eastAsia="zh-CN"/>
              </w:rPr>
              <w:t>乙方</w:t>
            </w:r>
            <w:r>
              <w:rPr>
                <w:rFonts w:hint="eastAsia" w:ascii="宋体" w:hAnsi="宋体" w:eastAsia="宋体" w:cs="宋体"/>
                <w:bCs/>
                <w:color w:val="auto"/>
                <w:sz w:val="21"/>
                <w:szCs w:val="21"/>
                <w:highlight w:val="none"/>
              </w:rPr>
              <w:t>向</w:t>
            </w:r>
            <w:r>
              <w:rPr>
                <w:rFonts w:hint="eastAsia" w:hAnsi="宋体" w:cs="宋体"/>
                <w:bCs/>
                <w:color w:val="auto"/>
                <w:sz w:val="21"/>
                <w:szCs w:val="21"/>
                <w:highlight w:val="none"/>
                <w:lang w:eastAsia="zh-CN"/>
              </w:rPr>
              <w:t>甲方</w:t>
            </w:r>
            <w:r>
              <w:rPr>
                <w:rFonts w:hint="eastAsia" w:ascii="宋体" w:hAnsi="宋体" w:eastAsia="宋体" w:cs="宋体"/>
                <w:bCs/>
                <w:color w:val="auto"/>
                <w:sz w:val="21"/>
                <w:szCs w:val="21"/>
                <w:highlight w:val="none"/>
              </w:rPr>
              <w:t>提交全部报告材料并通过项目</w:t>
            </w:r>
            <w:r>
              <w:rPr>
                <w:rFonts w:hint="eastAsia" w:ascii="宋体" w:hAnsi="宋体" w:eastAsia="宋体" w:cs="宋体"/>
                <w:bCs/>
                <w:color w:val="auto"/>
                <w:sz w:val="21"/>
                <w:szCs w:val="21"/>
                <w:highlight w:val="none"/>
                <w:lang w:val="en-US" w:eastAsia="zh-CN"/>
              </w:rPr>
              <w:t>终验</w:t>
            </w:r>
            <w:r>
              <w:rPr>
                <w:rFonts w:hint="eastAsia" w:ascii="宋体" w:hAnsi="宋体" w:eastAsia="宋体" w:cs="宋体"/>
                <w:bCs/>
                <w:color w:val="auto"/>
                <w:sz w:val="21"/>
                <w:szCs w:val="21"/>
                <w:highlight w:val="none"/>
              </w:rPr>
              <w:t>，</w:t>
            </w:r>
            <w:r>
              <w:rPr>
                <w:rFonts w:hint="eastAsia" w:ascii="宋体" w:hAnsi="宋体" w:eastAsia="宋体" w:cs="宋体"/>
                <w:snapToGrid/>
                <w:color w:val="auto"/>
                <w:kern w:val="2"/>
                <w:sz w:val="21"/>
                <w:szCs w:val="21"/>
                <w:highlight w:val="none"/>
                <w:lang w:val="en-US" w:eastAsia="zh-CN" w:bidi="ar-SA"/>
              </w:rPr>
              <w:t>支付合同总金额的</w:t>
            </w:r>
            <w:r>
              <w:rPr>
                <w:rFonts w:hint="eastAsia" w:ascii="宋体" w:hAnsi="宋体" w:cs="宋体"/>
                <w:snapToGrid/>
                <w:color w:val="auto"/>
                <w:kern w:val="2"/>
                <w:sz w:val="21"/>
                <w:szCs w:val="21"/>
                <w:highlight w:val="none"/>
                <w:lang w:val="en-US" w:eastAsia="zh-CN" w:bidi="ar-SA"/>
              </w:rPr>
              <w:t>20</w:t>
            </w:r>
            <w:r>
              <w:rPr>
                <w:rFonts w:hint="eastAsia" w:ascii="宋体" w:hAnsi="宋体" w:eastAsia="宋体" w:cs="宋体"/>
                <w:snapToGrid/>
                <w:color w:val="auto"/>
                <w:kern w:val="2"/>
                <w:sz w:val="21"/>
                <w:szCs w:val="21"/>
                <w:highlight w:val="none"/>
                <w:lang w:val="en-US" w:eastAsia="zh-CN" w:bidi="ar-SA"/>
              </w:rPr>
              <w:t>%</w:t>
            </w:r>
            <w:r>
              <w:rPr>
                <w:rFonts w:hint="eastAsia" w:ascii="宋体" w:hAnsi="宋体" w:eastAsia="宋体" w:cs="宋体"/>
                <w:color w:val="auto"/>
                <w:sz w:val="21"/>
                <w:szCs w:val="21"/>
                <w:highlight w:val="none"/>
              </w:rPr>
              <w:t>，计</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lang w:val="en-US" w:eastAsia="zh-CN"/>
              </w:rPr>
              <w:t>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乙方未提供等额正规发票，甲方有权相应顺延付款期限，不视为违约。</w:t>
            </w:r>
          </w:p>
        </w:tc>
        <w:tc>
          <w:tcPr>
            <w:tcW w:w="1706" w:type="dxa"/>
            <w:vAlign w:val="center"/>
          </w:tcPr>
          <w:p w14:paraId="2ABAFB6A">
            <w:pPr>
              <w:keepNext w:val="0"/>
              <w:keepLines w:val="0"/>
              <w:suppressLineNumbers w:val="0"/>
              <w:overflowPunct/>
              <w:autoSpaceDE w:val="0"/>
              <w:autoSpaceDN w:val="0"/>
              <w:bidi w:val="0"/>
              <w:adjustRightInd w:val="0"/>
              <w:snapToGrid w:val="0"/>
              <w:spacing w:before="0" w:beforeAutospacing="0" w:after="0" w:afterAutospacing="0" w:line="336" w:lineRule="auto"/>
              <w:ind w:left="0" w:right="0" w:firstLine="34" w:firstLineChars="0"/>
              <w:jc w:val="center"/>
              <w:rPr>
                <w:rFonts w:hint="eastAsia" w:ascii="宋体" w:hAnsi="宋体" w:eastAsia="宋体" w:cs="宋体"/>
                <w:b/>
                <w:bCs w:val="0"/>
                <w:color w:val="auto"/>
                <w:sz w:val="21"/>
                <w:szCs w:val="21"/>
                <w:highlight w:val="none"/>
                <w:vertAlign w:val="baseline"/>
              </w:rPr>
            </w:pPr>
            <w:r>
              <w:rPr>
                <w:rFonts w:hint="eastAsia" w:ascii="宋体" w:hAnsi="宋体" w:cs="宋体"/>
                <w:color w:val="auto"/>
                <w:sz w:val="21"/>
                <w:szCs w:val="21"/>
                <w:highlight w:val="none"/>
                <w:lang w:val="en-US" w:eastAsia="zh-CN"/>
              </w:rPr>
              <w:t>20%</w:t>
            </w:r>
          </w:p>
        </w:tc>
      </w:tr>
    </w:tbl>
    <w:p w14:paraId="4C042FC0">
      <w:pPr>
        <w:pStyle w:val="87"/>
        <w:rPr>
          <w:rFonts w:hint="eastAsia" w:ascii="宋体" w:hAnsi="宋体" w:eastAsia="宋体" w:cs="宋体"/>
          <w:b/>
          <w:bCs w:val="0"/>
          <w:color w:val="auto"/>
          <w:sz w:val="21"/>
          <w:szCs w:val="21"/>
          <w:highlight w:val="none"/>
        </w:rPr>
      </w:pPr>
    </w:p>
    <w:p w14:paraId="52C0F2DA">
      <w:pPr>
        <w:widowControl w:val="0"/>
        <w:overflowPunct/>
        <w:bidi w:val="0"/>
        <w:adjustRightInd w:val="0"/>
        <w:snapToGrid w:val="0"/>
        <w:spacing w:beforeLines="0" w:afterLines="0" w:line="336" w:lineRule="auto"/>
        <w:ind w:firstLine="422" w:firstLineChars="200"/>
        <w:jc w:val="left"/>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第九条  保密条款</w:t>
      </w:r>
    </w:p>
    <w:p w14:paraId="642AF152">
      <w:pPr>
        <w:widowControl/>
        <w:overflowPunct/>
        <w:bidi w:val="0"/>
        <w:adjustRightInd w:val="0"/>
        <w:snapToGrid w:val="0"/>
        <w:spacing w:line="336"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执行合同时，乙方未经甲方同意，不得将所接触到的技术或业务资料、数据用作其他用途或以任何形式泄露，否则乙方将承担由此引起的法律责任和甲方损失。甲、乙双方对所有本项目的有关资料，不得向第三方透露。</w:t>
      </w:r>
    </w:p>
    <w:p w14:paraId="51AAE451">
      <w:pPr>
        <w:widowControl/>
        <w:overflowPunct/>
        <w:bidi w:val="0"/>
        <w:adjustRightInd w:val="0"/>
        <w:snapToGrid w:val="0"/>
        <w:spacing w:line="336"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2.乙方人员为履行本项目而接触的甲方相关保密信息，应当予以严格保密，若乙方人员违反本保密条款，视为乙方严重违约并承担全部赔偿责任。</w:t>
      </w:r>
    </w:p>
    <w:p w14:paraId="0F0E912A">
      <w:pPr>
        <w:widowControl/>
        <w:overflowPunct/>
        <w:bidi w:val="0"/>
        <w:adjustRightInd w:val="0"/>
        <w:snapToGrid w:val="0"/>
        <w:spacing w:line="336"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3.本保密条款持续有效，不随本协议的解除或终止而失效。</w:t>
      </w:r>
    </w:p>
    <w:p w14:paraId="59311DEE">
      <w:pPr>
        <w:widowControl w:val="0"/>
        <w:overflowPunct/>
        <w:bidi w:val="0"/>
        <w:adjustRightInd w:val="0"/>
        <w:snapToGrid w:val="0"/>
        <w:spacing w:beforeLines="0" w:afterLines="0" w:line="336" w:lineRule="auto"/>
        <w:ind w:firstLine="422" w:firstLineChars="200"/>
        <w:jc w:val="left"/>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第十条  知识产权归属</w:t>
      </w:r>
    </w:p>
    <w:p w14:paraId="089E39BD">
      <w:pPr>
        <w:widowControl/>
        <w:overflowPunct/>
        <w:bidi w:val="0"/>
        <w:adjustRightInd w:val="0"/>
        <w:snapToGrid w:val="0"/>
        <w:spacing w:line="336"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1.本项目及项目成果的版权归甲方所有，乙方不得将本项目的全部或任何一部分授予第三人使用，亦不得未经甲方书面许可作本合同目的外使用。</w:t>
      </w:r>
    </w:p>
    <w:p w14:paraId="7436E170">
      <w:pPr>
        <w:widowControl/>
        <w:overflowPunct/>
        <w:bidi w:val="0"/>
        <w:adjustRightInd w:val="0"/>
        <w:snapToGrid w:val="0"/>
        <w:spacing w:line="336"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2.项目所含软件系统运行过程中采集加工的数据、资源、平台、源代码等知识产权</w:t>
      </w:r>
      <w:r>
        <w:rPr>
          <w:rFonts w:hint="eastAsia" w:ascii="宋体" w:hAnsi="宋体" w:eastAsia="宋体" w:cs="宋体"/>
          <w:color w:val="auto"/>
          <w:sz w:val="21"/>
          <w:szCs w:val="21"/>
          <w:highlight w:val="none"/>
          <w:lang w:val="en-US" w:eastAsia="zh-CN"/>
        </w:rPr>
        <w:t>及数据产权</w:t>
      </w:r>
      <w:r>
        <w:rPr>
          <w:rFonts w:hint="eastAsia" w:ascii="宋体" w:hAnsi="宋体" w:eastAsia="宋体" w:cs="宋体"/>
          <w:color w:val="auto"/>
          <w:sz w:val="21"/>
          <w:szCs w:val="21"/>
          <w:highlight w:val="none"/>
        </w:rPr>
        <w:t>归属于甲方，此外，乙方未经甲方同意不得私自留存相应数据、资源、平台、源代码等资料或信息。</w:t>
      </w:r>
    </w:p>
    <w:p w14:paraId="7E8198EF">
      <w:pPr>
        <w:widowControl/>
        <w:overflowPunct/>
        <w:bidi w:val="0"/>
        <w:adjustRightInd w:val="0"/>
        <w:snapToGrid w:val="0"/>
        <w:spacing w:line="336"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承诺，本合同义务的履行系乙方及乙方工作人员独立完成，未侵犯任何第三方的合法权益。保证乙方交付的成果不会侵犯甲方及任何第三方的知识产权或合法权益，并保证甲方及甲方利益相关方免于遭受任何第三方基于本合同交付成果而提起任何知识产权诉讼或其他异议。如果任何第三方基于本合同交付成果而针对甲方或甲方利益相关方提起任何知识产权等侵权诉讼，乙方应负责应诉，并承担所有费用，包括但不限于：诉讼费、律师费、鉴定费、保全费、罚金、赔偿金等，如甲方为自身及甲方利益相关方的利益应诉，并不免除乙方的前述义务，乙方应赔偿甲方因此遭受的前述全部损失。乙方若侵害了第三方知识产权或其他合法权益的，还应及时公开澄清相关事实，使甲方声誉免受损害。</w:t>
      </w:r>
    </w:p>
    <w:p w14:paraId="79F80B80">
      <w:pPr>
        <w:widowControl w:val="0"/>
        <w:overflowPunct/>
        <w:bidi w:val="0"/>
        <w:adjustRightInd w:val="0"/>
        <w:snapToGrid w:val="0"/>
        <w:spacing w:beforeLines="0" w:afterLines="0" w:line="336" w:lineRule="auto"/>
        <w:ind w:firstLine="422" w:firstLineChars="200"/>
        <w:jc w:val="left"/>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第十一条 相关说明</w:t>
      </w:r>
    </w:p>
    <w:p w14:paraId="691413B7">
      <w:pPr>
        <w:widowControl w:val="0"/>
        <w:overflowPunct/>
        <w:bidi w:val="0"/>
        <w:adjustRightInd w:val="0"/>
        <w:snapToGrid w:val="0"/>
        <w:spacing w:beforeLines="0" w:afterLines="0" w:line="336" w:lineRule="auto"/>
        <w:ind w:firstLine="420" w:firstLineChars="20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合同实施期间，机构名称的变化但不影响职能部门变更的，不承担额外费用，仍以合同约定内容执行。</w:t>
      </w:r>
    </w:p>
    <w:p w14:paraId="693BF8D8">
      <w:pPr>
        <w:widowControl w:val="0"/>
        <w:overflowPunct/>
        <w:bidi w:val="0"/>
        <w:adjustRightInd w:val="0"/>
        <w:snapToGrid w:val="0"/>
        <w:spacing w:beforeLines="0" w:afterLines="0" w:line="336" w:lineRule="auto"/>
        <w:ind w:firstLine="422" w:firstLineChars="200"/>
        <w:jc w:val="left"/>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第十二条  违约责任</w:t>
      </w:r>
    </w:p>
    <w:p w14:paraId="3F88040C">
      <w:pPr>
        <w:keepNext w:val="0"/>
        <w:keepLines w:val="0"/>
        <w:pageBreakBefore w:val="0"/>
        <w:widowControl w:val="0"/>
        <w:kinsoku/>
        <w:wordWrap/>
        <w:overflowPunct/>
        <w:topLinePunct w:val="0"/>
        <w:autoSpaceDE/>
        <w:autoSpaceDN/>
        <w:bidi w:val="0"/>
        <w:adjustRightInd w:val="0"/>
        <w:snapToGrid w:val="0"/>
        <w:spacing w:line="336"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逾期履行合同的，自逾期之日起，向甲方每日偿付合同总价万分之二的违约金。乙方逾期30日不能履行合同的，应向甲方支付合同总价百分之五的违约金，并就乙方未按约提供的维保服务，甲方有权不支付相应维保费，且甲方有权终止合同并追究乙方的违约责任，对违约金不足以弥补甲方损失的部分，甲方有权要求乙方继续承担赔偿责任。</w:t>
      </w:r>
    </w:p>
    <w:p w14:paraId="27677982">
      <w:pPr>
        <w:keepNext w:val="0"/>
        <w:keepLines w:val="0"/>
        <w:pageBreakBefore w:val="0"/>
        <w:widowControl w:val="0"/>
        <w:kinsoku/>
        <w:wordWrap/>
        <w:overflowPunct/>
        <w:topLinePunct w:val="0"/>
        <w:autoSpaceDE/>
        <w:autoSpaceDN/>
        <w:bidi w:val="0"/>
        <w:adjustRightInd w:val="0"/>
        <w:snapToGrid w:val="0"/>
        <w:spacing w:line="336"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未经甲方书面同意，乙方不得将本合同项下维保服务分包或转包第三方，但原厂商提供维保或者本由第三方提供的服务除外。否则，视为乙方严重违约，甲方有权不予结算维保费用，并解除本合同，按照合同总价百分之五主张违约金。</w:t>
      </w:r>
    </w:p>
    <w:p w14:paraId="638D8DE7">
      <w:pPr>
        <w:keepNext w:val="0"/>
        <w:keepLines w:val="0"/>
        <w:pageBreakBefore w:val="0"/>
        <w:widowControl w:val="0"/>
        <w:kinsoku/>
        <w:wordWrap/>
        <w:overflowPunct/>
        <w:topLinePunct w:val="0"/>
        <w:autoSpaceDE/>
        <w:autoSpaceDN/>
        <w:bidi w:val="0"/>
        <w:adjustRightInd w:val="0"/>
        <w:snapToGrid w:val="0"/>
        <w:spacing w:line="336"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未按约履行合同义务的（包括本合同、甲方的政府采购招标文件及乙方的投标文件中约定的乙方义务），甲方有权要求乙方整改或解除合同，就乙方未按约提供的维保服务，甲方有权不支付相应维保费用，并要求乙方承担甲方所支付合同总价百分之五的违约金，对于违约金不足以弥补甲方损失的部分，甲方有权要求乙方继续承担赔偿责任。</w:t>
      </w:r>
    </w:p>
    <w:p w14:paraId="4758D0AE">
      <w:pPr>
        <w:widowControl w:val="0"/>
        <w:overflowPunct/>
        <w:bidi w:val="0"/>
        <w:adjustRightInd w:val="0"/>
        <w:snapToGrid w:val="0"/>
        <w:spacing w:beforeLines="0" w:afterLines="0" w:line="336" w:lineRule="auto"/>
        <w:ind w:firstLine="420" w:firstLineChars="20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因乙方违约，甲方可主张的损失赔偿范围包括但不限于：备机费、维修费、检测费、测试费等，以及为维权而支出的诉讼费、公证费、鉴定费、调查费、保全及担保费、律师费、差旅费等合理开支。</w:t>
      </w:r>
    </w:p>
    <w:p w14:paraId="4E9152DA">
      <w:pPr>
        <w:widowControl w:val="0"/>
        <w:overflowPunct/>
        <w:bidi w:val="0"/>
        <w:adjustRightInd w:val="0"/>
        <w:snapToGrid w:val="0"/>
        <w:spacing w:beforeLines="0" w:afterLines="0" w:line="336" w:lineRule="auto"/>
        <w:ind w:firstLine="422" w:firstLineChars="200"/>
        <w:jc w:val="left"/>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第十三条  安全处罚条款</w:t>
      </w:r>
    </w:p>
    <w:p w14:paraId="53F3D89D">
      <w:pPr>
        <w:widowControl w:val="0"/>
        <w:overflowPunct/>
        <w:bidi w:val="0"/>
        <w:adjustRightInd w:val="0"/>
        <w:snapToGrid w:val="0"/>
        <w:spacing w:beforeLines="0" w:afterLines="0" w:line="336" w:lineRule="auto"/>
        <w:ind w:firstLine="420" w:firstLineChars="20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1.由于乙方原因，受到国家级安全问题通报的、或造成特别重大事故的，出现1次，每次扣除合同款5万元。</w:t>
      </w:r>
    </w:p>
    <w:p w14:paraId="6BA53BE7">
      <w:pPr>
        <w:widowControl w:val="0"/>
        <w:overflowPunct/>
        <w:bidi w:val="0"/>
        <w:adjustRightInd w:val="0"/>
        <w:snapToGrid w:val="0"/>
        <w:spacing w:beforeLines="0" w:afterLines="0" w:line="336" w:lineRule="auto"/>
        <w:ind w:firstLine="420" w:firstLineChars="20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2.由于乙方原因，受到省级安全问题通报的、或造成重大事故的，出现1次，每次扣除合同款3万元。</w:t>
      </w:r>
    </w:p>
    <w:p w14:paraId="274C33BF">
      <w:pPr>
        <w:widowControl w:val="0"/>
        <w:overflowPunct/>
        <w:bidi w:val="0"/>
        <w:adjustRightInd w:val="0"/>
        <w:snapToGrid w:val="0"/>
        <w:spacing w:beforeLines="0" w:afterLines="0" w:line="336" w:lineRule="auto"/>
        <w:ind w:firstLine="420" w:firstLineChars="20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3.由于乙方原因，受到市级安全问题通报的、或造成较大事故（一般事故）的，出现1次，每次扣除合同款1万元。</w:t>
      </w:r>
    </w:p>
    <w:p w14:paraId="1BDB6362">
      <w:pPr>
        <w:widowControl w:val="0"/>
        <w:overflowPunct/>
        <w:bidi w:val="0"/>
        <w:adjustRightInd w:val="0"/>
        <w:snapToGrid w:val="0"/>
        <w:spacing w:beforeLines="0" w:afterLines="0" w:line="336" w:lineRule="auto"/>
        <w:ind w:firstLine="420" w:firstLineChars="20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4.乙方不及时处置所属安全事件、隐患的，出现1次，每次扣除合同款1万元。</w:t>
      </w:r>
    </w:p>
    <w:p w14:paraId="3B87A474">
      <w:pPr>
        <w:widowControl w:val="0"/>
        <w:overflowPunct/>
        <w:bidi w:val="0"/>
        <w:adjustRightInd w:val="0"/>
        <w:snapToGrid w:val="0"/>
        <w:spacing w:beforeLines="0" w:afterLines="0" w:line="336" w:lineRule="auto"/>
        <w:ind w:firstLine="420" w:firstLineChars="20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5.乙方所主管的系统、云资源等账号出现弱口令的（强口令需至少包含数字、大小写字母、特殊字符等，且无明显规律），出现1次，每次扣除合同款1万元。</w:t>
      </w:r>
    </w:p>
    <w:p w14:paraId="3ECF0CEA">
      <w:pPr>
        <w:widowControl w:val="0"/>
        <w:overflowPunct/>
        <w:bidi w:val="0"/>
        <w:adjustRightInd w:val="0"/>
        <w:snapToGrid w:val="0"/>
        <w:spacing w:beforeLines="0" w:afterLines="0" w:line="336" w:lineRule="auto"/>
        <w:ind w:firstLine="420" w:firstLineChars="20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 xml:space="preserve">6.乙方未按照甲方相关要求办理入场、离场手续的，未按照甲方工作要求进行出勤的，每出现1人次扣除500元。 </w:t>
      </w:r>
    </w:p>
    <w:p w14:paraId="346E85D2">
      <w:pPr>
        <w:widowControl w:val="0"/>
        <w:overflowPunct/>
        <w:bidi w:val="0"/>
        <w:adjustRightInd w:val="0"/>
        <w:snapToGrid w:val="0"/>
        <w:spacing w:beforeLines="0" w:afterLines="0" w:line="336" w:lineRule="auto"/>
        <w:ind w:firstLine="420" w:firstLineChars="20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7.若乙方所提供的操作记录、安全日志等不完整、存在缺失的，每发现一次，扣除合同款1万元。</w:t>
      </w:r>
    </w:p>
    <w:p w14:paraId="22DA6AB2">
      <w:pPr>
        <w:widowControl w:val="0"/>
        <w:overflowPunct/>
        <w:bidi w:val="0"/>
        <w:adjustRightInd w:val="0"/>
        <w:snapToGrid w:val="0"/>
        <w:spacing w:beforeLines="0" w:afterLines="0" w:line="336" w:lineRule="auto"/>
        <w:ind w:firstLine="420" w:firstLineChars="20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8.每次通报后，乙方应及时解决并递交书面整改报告，若乙方未根据整改报告按期整改的，每次扣除合同款1万元。</w:t>
      </w:r>
    </w:p>
    <w:p w14:paraId="0347EA87">
      <w:pPr>
        <w:widowControl w:val="0"/>
        <w:overflowPunct/>
        <w:bidi w:val="0"/>
        <w:adjustRightInd w:val="0"/>
        <w:snapToGrid w:val="0"/>
        <w:spacing w:beforeLines="0" w:afterLines="0" w:line="336" w:lineRule="auto"/>
        <w:ind w:firstLine="422" w:firstLineChars="200"/>
        <w:jc w:val="left"/>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第十四条  安全责任条款</w:t>
      </w:r>
    </w:p>
    <w:p w14:paraId="67B8CE88">
      <w:pPr>
        <w:widowControl w:val="0"/>
        <w:overflowPunct/>
        <w:bidi w:val="0"/>
        <w:adjustRightInd w:val="0"/>
        <w:snapToGrid w:val="0"/>
        <w:spacing w:beforeLines="0" w:afterLines="0" w:line="336" w:lineRule="auto"/>
        <w:ind w:firstLine="420" w:firstLineChars="20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1.由于乙方自身原因，造成网络安全和数据泄露事件，受到国家级安全问题通报的，出现1次，每次扣除合同款5万元。</w:t>
      </w:r>
    </w:p>
    <w:p w14:paraId="2167FD64">
      <w:pPr>
        <w:widowControl w:val="0"/>
        <w:overflowPunct/>
        <w:bidi w:val="0"/>
        <w:adjustRightInd w:val="0"/>
        <w:snapToGrid w:val="0"/>
        <w:spacing w:beforeLines="0" w:afterLines="0" w:line="336" w:lineRule="auto"/>
        <w:ind w:firstLine="420" w:firstLineChars="20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2.由于乙方自身原因，造成网络安全和数据泄露事件，受到省级安全问题通报的，出现1次，每次扣除合同款3万元。</w:t>
      </w:r>
    </w:p>
    <w:p w14:paraId="0B4264B5">
      <w:pPr>
        <w:widowControl w:val="0"/>
        <w:overflowPunct/>
        <w:bidi w:val="0"/>
        <w:adjustRightInd w:val="0"/>
        <w:snapToGrid w:val="0"/>
        <w:spacing w:beforeLines="0" w:afterLines="0" w:line="336" w:lineRule="auto"/>
        <w:ind w:firstLine="420" w:firstLineChars="20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3.由于乙方自身原因，造成网络安全和数据泄露事件，受到市级安全问题通报的，出现1次，每次扣除合同款1万元。</w:t>
      </w:r>
    </w:p>
    <w:p w14:paraId="138101DC">
      <w:pPr>
        <w:widowControl w:val="0"/>
        <w:overflowPunct/>
        <w:bidi w:val="0"/>
        <w:adjustRightInd w:val="0"/>
        <w:snapToGrid w:val="0"/>
        <w:spacing w:beforeLines="0" w:afterLines="0" w:line="336" w:lineRule="auto"/>
        <w:ind w:firstLine="420" w:firstLineChars="20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4.乙方不及时处置所属安全事件、隐患的，经甲方书面提醒后5个工作日内仍未处置的，每出现一次扣除合同款1万元。</w:t>
      </w:r>
    </w:p>
    <w:p w14:paraId="39159312">
      <w:pPr>
        <w:widowControl w:val="0"/>
        <w:overflowPunct/>
        <w:bidi w:val="0"/>
        <w:adjustRightInd w:val="0"/>
        <w:snapToGrid w:val="0"/>
        <w:spacing w:beforeLines="0" w:afterLines="0" w:line="336" w:lineRule="auto"/>
        <w:ind w:firstLine="420" w:firstLineChars="20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5.乙方所主管的系统、云资源等账号出现弱口令的（强口令需至少包含数字、大小写字母、特殊字符等，且无明显规律），出现1次，每次扣除合同款1万元。</w:t>
      </w:r>
    </w:p>
    <w:p w14:paraId="589D8598">
      <w:pPr>
        <w:widowControl w:val="0"/>
        <w:overflowPunct/>
        <w:bidi w:val="0"/>
        <w:adjustRightInd w:val="0"/>
        <w:snapToGrid w:val="0"/>
        <w:spacing w:beforeLines="0" w:afterLines="0" w:line="336" w:lineRule="auto"/>
        <w:ind w:firstLine="420" w:firstLineChars="20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6.若乙方所提供的操作记录、安全日志等不完整、存在缺失的，每发现一次，扣除合同款1万元。</w:t>
      </w:r>
    </w:p>
    <w:p w14:paraId="1FE92B6B">
      <w:pPr>
        <w:widowControl w:val="0"/>
        <w:overflowPunct/>
        <w:bidi w:val="0"/>
        <w:adjustRightInd w:val="0"/>
        <w:snapToGrid w:val="0"/>
        <w:spacing w:beforeLines="0" w:afterLines="0" w:line="336" w:lineRule="auto"/>
        <w:ind w:firstLine="420" w:firstLineChars="20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7.每次通报后，乙方应及时解决并递交书面整改报告，若乙方未根据整改报告按期整改的，扣除合同款1万元。</w:t>
      </w:r>
    </w:p>
    <w:p w14:paraId="670F751F">
      <w:pPr>
        <w:widowControl w:val="0"/>
        <w:overflowPunct/>
        <w:bidi w:val="0"/>
        <w:adjustRightInd w:val="0"/>
        <w:snapToGrid w:val="0"/>
        <w:spacing w:beforeLines="0" w:afterLines="0" w:line="336" w:lineRule="auto"/>
        <w:ind w:firstLine="420" w:firstLineChars="200"/>
        <w:jc w:val="left"/>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8.本条前款约定情形出现后，甲方有权径直从履约保证金（如有）中抵扣金额。如最终扣除金额不足以弥补甲方损失的，甲方有权要求乙方就不足部分继续承担损失赔偿责任，赔偿范围包括但不限于直接损失、间接损失、消除或减少损失的费用、律师费、仲裁费、公证费、保全费、保全担保费、差旅费等。</w:t>
      </w:r>
    </w:p>
    <w:p w14:paraId="7EF5B5A1">
      <w:pPr>
        <w:widowControl w:val="0"/>
        <w:overflowPunct/>
        <w:bidi w:val="0"/>
        <w:adjustRightInd w:val="0"/>
        <w:snapToGrid w:val="0"/>
        <w:spacing w:beforeLines="0" w:afterLines="0" w:line="336" w:lineRule="auto"/>
        <w:ind w:firstLine="422" w:firstLineChars="200"/>
        <w:jc w:val="left"/>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第十五条  争议的解决</w:t>
      </w:r>
    </w:p>
    <w:p w14:paraId="3660F2B0">
      <w:pPr>
        <w:widowControl w:val="0"/>
        <w:overflowPunct/>
        <w:bidi w:val="0"/>
        <w:adjustRightInd w:val="0"/>
        <w:snapToGrid w:val="0"/>
        <w:spacing w:beforeLines="0" w:afterLines="0" w:line="336" w:lineRule="auto"/>
        <w:ind w:firstLine="420" w:firstLineChars="20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本合同为政府采购之合同，本合同中所指甲方享有与鉴证方同等权利，在发生服务不到位等问题时，甲方有权直接向乙方索赔，签订必要的书面处理协议。如协商不成，任何一方有权在合同签约地有管辖权的人民法院通过诉讼的途径解决。</w:t>
      </w:r>
    </w:p>
    <w:p w14:paraId="609C42F0">
      <w:pPr>
        <w:widowControl w:val="0"/>
        <w:overflowPunct/>
        <w:bidi w:val="0"/>
        <w:adjustRightInd w:val="0"/>
        <w:snapToGrid w:val="0"/>
        <w:spacing w:beforeLines="0" w:afterLines="0" w:line="336" w:lineRule="auto"/>
        <w:ind w:firstLine="422" w:firstLineChars="200"/>
        <w:jc w:val="left"/>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第十六条  转包或分包</w:t>
      </w:r>
    </w:p>
    <w:p w14:paraId="15AA9E2A">
      <w:pPr>
        <w:overflowPunct/>
        <w:bidi w:val="0"/>
        <w:adjustRightInd w:val="0"/>
        <w:snapToGrid w:val="0"/>
        <w:spacing w:line="336"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本项目不允许转包。</w:t>
      </w:r>
    </w:p>
    <w:p w14:paraId="1F3AC771">
      <w:pPr>
        <w:widowControl w:val="0"/>
        <w:overflowPunct/>
        <w:bidi w:val="0"/>
        <w:adjustRightInd w:val="0"/>
        <w:snapToGrid w:val="0"/>
        <w:spacing w:beforeLines="0" w:afterLines="0" w:line="336" w:lineRule="auto"/>
        <w:ind w:firstLine="422" w:firstLineChars="200"/>
        <w:jc w:val="left"/>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第十七条 税费</w:t>
      </w:r>
    </w:p>
    <w:p w14:paraId="3371DE76">
      <w:pPr>
        <w:overflowPunct/>
        <w:bidi w:val="0"/>
        <w:adjustRightInd w:val="0"/>
        <w:snapToGrid w:val="0"/>
        <w:spacing w:line="336"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本合同执行中相关税费均由乙方负担。</w:t>
      </w:r>
    </w:p>
    <w:p w14:paraId="25289DAF">
      <w:pPr>
        <w:widowControl w:val="0"/>
        <w:overflowPunct/>
        <w:bidi w:val="0"/>
        <w:adjustRightInd w:val="0"/>
        <w:snapToGrid w:val="0"/>
        <w:spacing w:beforeLines="0" w:afterLines="0" w:line="336" w:lineRule="auto"/>
        <w:ind w:firstLine="422" w:firstLineChars="200"/>
        <w:jc w:val="left"/>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第十八条 不可抗力事件处理</w:t>
      </w:r>
    </w:p>
    <w:p w14:paraId="6D7BFBAF">
      <w:pPr>
        <w:overflowPunct/>
        <w:bidi w:val="0"/>
        <w:adjustRightInd w:val="0"/>
        <w:snapToGrid w:val="0"/>
        <w:spacing w:line="336"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1.在合同有效期内，任何一方因不可抗力事件导致不能履行合同，则合同履行期可延长，其延长期与不可抗力影响期相同。</w:t>
      </w:r>
    </w:p>
    <w:p w14:paraId="6E4FABED">
      <w:pPr>
        <w:overflowPunct/>
        <w:bidi w:val="0"/>
        <w:adjustRightInd w:val="0"/>
        <w:snapToGrid w:val="0"/>
        <w:spacing w:line="336"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2.不可抗力事件发生后，应立即通知对方，并寄送有关权威机构出具的证明。</w:t>
      </w:r>
    </w:p>
    <w:p w14:paraId="1E6335EF">
      <w:pPr>
        <w:overflowPunct/>
        <w:bidi w:val="0"/>
        <w:adjustRightInd w:val="0"/>
        <w:snapToGrid w:val="0"/>
        <w:spacing w:line="336"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3.不可抗力事件延续120天以上，双方应通过友好协商，确定是否继续履行合同。</w:t>
      </w:r>
      <w:r>
        <w:rPr>
          <w:rFonts w:hint="eastAsia" w:ascii="宋体" w:hAnsi="宋体" w:eastAsia="宋体" w:cs="宋体"/>
          <w:bCs/>
          <w:color w:val="auto"/>
          <w:sz w:val="21"/>
          <w:szCs w:val="21"/>
          <w:highlight w:val="none"/>
        </w:rPr>
        <w:tab/>
      </w:r>
    </w:p>
    <w:p w14:paraId="7CC2F81E">
      <w:pPr>
        <w:widowControl w:val="0"/>
        <w:overflowPunct/>
        <w:bidi w:val="0"/>
        <w:adjustRightInd w:val="0"/>
        <w:snapToGrid w:val="0"/>
        <w:spacing w:beforeLines="0" w:afterLines="0" w:line="336" w:lineRule="auto"/>
        <w:ind w:firstLine="422" w:firstLineChars="200"/>
        <w:jc w:val="left"/>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第十九条  合同生效及其他</w:t>
      </w:r>
    </w:p>
    <w:p w14:paraId="28C2020B">
      <w:pPr>
        <w:overflowPunct/>
        <w:bidi w:val="0"/>
        <w:adjustRightInd w:val="0"/>
        <w:snapToGrid w:val="0"/>
        <w:spacing w:line="336"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1.本合同经甲方、乙方和鉴证方签字并</w:t>
      </w:r>
      <w:r>
        <w:rPr>
          <w:rFonts w:hint="eastAsia" w:ascii="宋体" w:hAnsi="宋体" w:eastAsia="宋体" w:cs="宋体"/>
          <w:bCs/>
          <w:color w:val="auto"/>
          <w:sz w:val="21"/>
          <w:szCs w:val="21"/>
          <w:highlight w:val="none"/>
          <w:lang w:val="en-US" w:eastAsia="zh-CN"/>
        </w:rPr>
        <w:t>加盖公</w:t>
      </w:r>
      <w:r>
        <w:rPr>
          <w:rFonts w:hint="eastAsia" w:ascii="宋体" w:hAnsi="宋体" w:eastAsia="宋体" w:cs="宋体"/>
          <w:bCs/>
          <w:color w:val="auto"/>
          <w:sz w:val="21"/>
          <w:szCs w:val="21"/>
          <w:highlight w:val="none"/>
        </w:rPr>
        <w:t>章后生效。</w:t>
      </w:r>
    </w:p>
    <w:p w14:paraId="54E93CAF">
      <w:pPr>
        <w:overflowPunct/>
        <w:bidi w:val="0"/>
        <w:adjustRightInd w:val="0"/>
        <w:snapToGrid w:val="0"/>
        <w:spacing w:line="336"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2.本合同一式</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rPr>
        <w:t>份，甲方执</w:t>
      </w:r>
      <w:r>
        <w:rPr>
          <w:rFonts w:hint="eastAsia" w:ascii="宋体" w:hAnsi="宋体" w:eastAsia="宋体" w:cs="宋体"/>
          <w:bCs/>
          <w:color w:val="auto"/>
          <w:sz w:val="21"/>
          <w:szCs w:val="21"/>
          <w:highlight w:val="none"/>
          <w:u w:val="single"/>
          <w:lang w:eastAsia="zh-CN"/>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rPr>
        <w:t>份、乙方执</w:t>
      </w:r>
      <w:r>
        <w:rPr>
          <w:rFonts w:hint="eastAsia" w:ascii="宋体" w:hAnsi="宋体" w:eastAsia="宋体" w:cs="宋体"/>
          <w:bCs/>
          <w:color w:val="auto"/>
          <w:sz w:val="21"/>
          <w:szCs w:val="21"/>
          <w:highlight w:val="none"/>
          <w:u w:val="single"/>
          <w:lang w:eastAsia="zh-CN"/>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rPr>
        <w:t>份，鉴证方执</w:t>
      </w:r>
      <w:r>
        <w:rPr>
          <w:rFonts w:hint="eastAsia" w:ascii="宋体" w:hAnsi="宋体" w:eastAsia="宋体" w:cs="宋体"/>
          <w:bCs/>
          <w:color w:val="auto"/>
          <w:sz w:val="21"/>
          <w:szCs w:val="21"/>
          <w:highlight w:val="none"/>
          <w:u w:val="single"/>
          <w:lang w:eastAsia="zh-CN"/>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rPr>
        <w:t>份。</w:t>
      </w:r>
    </w:p>
    <w:p w14:paraId="583E6210">
      <w:pPr>
        <w:overflowPunct/>
        <w:bidi w:val="0"/>
        <w:adjustRightInd w:val="0"/>
        <w:snapToGrid w:val="0"/>
        <w:spacing w:line="336"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3.甲方的政府采购文件、乙方的投标文件与本合同具有同等法律效力。本协议未尽事宜，以招标文件、投标文件内容执行。</w:t>
      </w:r>
    </w:p>
    <w:p w14:paraId="0B7BFBB3">
      <w:pPr>
        <w:pStyle w:val="33"/>
        <w:keepNext w:val="0"/>
        <w:keepLines w:val="0"/>
        <w:pageBreakBefore w:val="0"/>
        <w:kinsoku/>
        <w:wordWrap/>
        <w:overflowPunct/>
        <w:topLinePunct w:val="0"/>
        <w:bidi w:val="0"/>
        <w:adjustRightInd w:val="0"/>
        <w:snapToGrid w:val="0"/>
        <w:spacing w:line="336"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（以下无合同正文，为签署部分）</w:t>
      </w:r>
    </w:p>
    <w:tbl>
      <w:tblPr>
        <w:tblStyle w:val="62"/>
        <w:tblW w:w="8919" w:type="dxa"/>
        <w:tblInd w:w="0" w:type="dxa"/>
        <w:tblLayout w:type="fixed"/>
        <w:tblCellMar>
          <w:top w:w="0" w:type="dxa"/>
          <w:left w:w="108" w:type="dxa"/>
          <w:bottom w:w="0" w:type="dxa"/>
          <w:right w:w="108" w:type="dxa"/>
        </w:tblCellMar>
      </w:tblPr>
      <w:tblGrid>
        <w:gridCol w:w="4456"/>
        <w:gridCol w:w="4463"/>
      </w:tblGrid>
      <w:tr w14:paraId="3A1A6B6D">
        <w:tblPrEx>
          <w:tblCellMar>
            <w:top w:w="0" w:type="dxa"/>
            <w:left w:w="108" w:type="dxa"/>
            <w:bottom w:w="0" w:type="dxa"/>
            <w:right w:w="108" w:type="dxa"/>
          </w:tblCellMar>
        </w:tblPrEx>
        <w:trPr>
          <w:trHeight w:val="227" w:hRule="atLeast"/>
        </w:trPr>
        <w:tc>
          <w:tcPr>
            <w:tcW w:w="4456" w:type="dxa"/>
            <w:noWrap/>
            <w:vAlign w:val="center"/>
          </w:tcPr>
          <w:p w14:paraId="07BB382F">
            <w:pPr>
              <w:keepNext w:val="0"/>
              <w:keepLines w:val="0"/>
              <w:suppressLineNumbers w:val="0"/>
              <w:overflowPunct/>
              <w:bidi w:val="0"/>
              <w:adjustRightInd w:val="0"/>
              <w:snapToGrid w:val="0"/>
              <w:spacing w:before="0" w:beforeAutospacing="0" w:after="0" w:afterAutospacing="0" w:line="336"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甲方（盖章）：杭州市上城区数据资源管理局</w:t>
            </w:r>
          </w:p>
        </w:tc>
        <w:tc>
          <w:tcPr>
            <w:tcW w:w="4463" w:type="dxa"/>
            <w:noWrap/>
            <w:vAlign w:val="center"/>
          </w:tcPr>
          <w:p w14:paraId="34248484">
            <w:pPr>
              <w:keepNext w:val="0"/>
              <w:keepLines w:val="0"/>
              <w:suppressLineNumbers w:val="0"/>
              <w:overflowPunct/>
              <w:bidi w:val="0"/>
              <w:adjustRightInd w:val="0"/>
              <w:snapToGrid w:val="0"/>
              <w:spacing w:before="0" w:beforeAutospacing="0" w:after="0" w:afterAutospacing="0" w:line="336"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乙方（盖章）：</w:t>
            </w:r>
          </w:p>
        </w:tc>
      </w:tr>
      <w:tr w14:paraId="29E4F76F">
        <w:tblPrEx>
          <w:tblCellMar>
            <w:top w:w="0" w:type="dxa"/>
            <w:left w:w="108" w:type="dxa"/>
            <w:bottom w:w="0" w:type="dxa"/>
            <w:right w:w="108" w:type="dxa"/>
          </w:tblCellMar>
        </w:tblPrEx>
        <w:trPr>
          <w:trHeight w:val="362" w:hRule="atLeast"/>
        </w:trPr>
        <w:tc>
          <w:tcPr>
            <w:tcW w:w="4456" w:type="dxa"/>
            <w:noWrap/>
            <w:vAlign w:val="center"/>
          </w:tcPr>
          <w:p w14:paraId="341C4CD9">
            <w:pPr>
              <w:keepNext w:val="0"/>
              <w:keepLines w:val="0"/>
              <w:suppressLineNumbers w:val="0"/>
              <w:overflowPunct/>
              <w:bidi w:val="0"/>
              <w:adjustRightInd w:val="0"/>
              <w:snapToGrid w:val="0"/>
              <w:spacing w:before="0" w:beforeAutospacing="0" w:after="0" w:afterAutospacing="0" w:line="336"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14:paraId="280DA78D">
            <w:pPr>
              <w:keepNext w:val="0"/>
              <w:keepLines w:val="0"/>
              <w:suppressLineNumbers w:val="0"/>
              <w:overflowPunct/>
              <w:bidi w:val="0"/>
              <w:adjustRightInd w:val="0"/>
              <w:snapToGrid w:val="0"/>
              <w:spacing w:before="0" w:beforeAutospacing="0" w:after="0" w:afterAutospacing="0" w:line="336"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w:t>
            </w:r>
          </w:p>
          <w:p w14:paraId="4F817A63">
            <w:pPr>
              <w:keepNext w:val="0"/>
              <w:keepLines w:val="0"/>
              <w:suppressLineNumbers w:val="0"/>
              <w:overflowPunct/>
              <w:bidi w:val="0"/>
              <w:adjustRightInd w:val="0"/>
              <w:snapToGrid w:val="0"/>
              <w:spacing w:before="0" w:beforeAutospacing="0" w:after="0" w:afterAutospacing="0" w:line="336"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或受委托人</w:t>
            </w:r>
          </w:p>
        </w:tc>
        <w:tc>
          <w:tcPr>
            <w:tcW w:w="4463" w:type="dxa"/>
            <w:noWrap/>
            <w:vAlign w:val="center"/>
          </w:tcPr>
          <w:p w14:paraId="045DD6C0">
            <w:pPr>
              <w:keepNext w:val="0"/>
              <w:keepLines w:val="0"/>
              <w:suppressLineNumbers w:val="0"/>
              <w:overflowPunct/>
              <w:bidi w:val="0"/>
              <w:adjustRightInd w:val="0"/>
              <w:snapToGrid w:val="0"/>
              <w:spacing w:before="0" w:beforeAutospacing="0" w:after="0" w:afterAutospacing="0" w:line="336"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14:paraId="03D9E8B5">
            <w:pPr>
              <w:keepNext w:val="0"/>
              <w:keepLines w:val="0"/>
              <w:suppressLineNumbers w:val="0"/>
              <w:overflowPunct/>
              <w:bidi w:val="0"/>
              <w:adjustRightInd w:val="0"/>
              <w:snapToGrid w:val="0"/>
              <w:spacing w:before="0" w:beforeAutospacing="0" w:after="0" w:afterAutospacing="0" w:line="336"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w:t>
            </w:r>
          </w:p>
          <w:p w14:paraId="7773DB6A">
            <w:pPr>
              <w:keepNext w:val="0"/>
              <w:keepLines w:val="0"/>
              <w:suppressLineNumbers w:val="0"/>
              <w:overflowPunct/>
              <w:bidi w:val="0"/>
              <w:adjustRightInd w:val="0"/>
              <w:snapToGrid w:val="0"/>
              <w:spacing w:before="0" w:beforeAutospacing="0" w:after="0" w:afterAutospacing="0" w:line="336"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或受委托人</w:t>
            </w:r>
          </w:p>
        </w:tc>
      </w:tr>
      <w:tr w14:paraId="19E9A82F">
        <w:tblPrEx>
          <w:tblCellMar>
            <w:top w:w="0" w:type="dxa"/>
            <w:left w:w="108" w:type="dxa"/>
            <w:bottom w:w="0" w:type="dxa"/>
            <w:right w:w="108" w:type="dxa"/>
          </w:tblCellMar>
        </w:tblPrEx>
        <w:trPr>
          <w:trHeight w:val="133" w:hRule="atLeast"/>
        </w:trPr>
        <w:tc>
          <w:tcPr>
            <w:tcW w:w="4456" w:type="dxa"/>
            <w:noWrap/>
            <w:vAlign w:val="center"/>
          </w:tcPr>
          <w:p w14:paraId="1832C970">
            <w:pPr>
              <w:keepNext w:val="0"/>
              <w:keepLines w:val="0"/>
              <w:suppressLineNumbers w:val="0"/>
              <w:overflowPunct/>
              <w:bidi w:val="0"/>
              <w:adjustRightInd w:val="0"/>
              <w:snapToGrid w:val="0"/>
              <w:spacing w:before="0" w:beforeAutospacing="0" w:after="0" w:afterAutospacing="0" w:line="336"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联系人：（签字）</w:t>
            </w:r>
          </w:p>
        </w:tc>
        <w:tc>
          <w:tcPr>
            <w:tcW w:w="4463" w:type="dxa"/>
            <w:noWrap/>
            <w:vAlign w:val="center"/>
          </w:tcPr>
          <w:p w14:paraId="613CCAC4">
            <w:pPr>
              <w:keepNext w:val="0"/>
              <w:keepLines w:val="0"/>
              <w:suppressLineNumbers w:val="0"/>
              <w:overflowPunct/>
              <w:bidi w:val="0"/>
              <w:adjustRightInd w:val="0"/>
              <w:snapToGrid w:val="0"/>
              <w:spacing w:before="0" w:beforeAutospacing="0" w:after="0" w:afterAutospacing="0" w:line="336"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联系人：（签字）</w:t>
            </w:r>
          </w:p>
        </w:tc>
      </w:tr>
      <w:tr w14:paraId="2352053F">
        <w:tblPrEx>
          <w:tblCellMar>
            <w:top w:w="0" w:type="dxa"/>
            <w:left w:w="108" w:type="dxa"/>
            <w:bottom w:w="0" w:type="dxa"/>
            <w:right w:w="108" w:type="dxa"/>
          </w:tblCellMar>
        </w:tblPrEx>
        <w:trPr>
          <w:trHeight w:val="114" w:hRule="atLeast"/>
        </w:trPr>
        <w:tc>
          <w:tcPr>
            <w:tcW w:w="4456" w:type="dxa"/>
            <w:noWrap/>
            <w:vAlign w:val="center"/>
          </w:tcPr>
          <w:p w14:paraId="2E285128">
            <w:pPr>
              <w:keepNext w:val="0"/>
              <w:keepLines w:val="0"/>
              <w:suppressLineNumbers w:val="0"/>
              <w:overflowPunct/>
              <w:bidi w:val="0"/>
              <w:adjustRightInd w:val="0"/>
              <w:snapToGrid w:val="0"/>
              <w:spacing w:before="0" w:beforeAutospacing="0" w:after="0" w:afterAutospacing="0" w:line="336" w:lineRule="auto"/>
              <w:ind w:left="0" w:right="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lang w:val="en-US" w:eastAsia="zh-CN"/>
              </w:rPr>
              <w:t xml:space="preserve"> </w:t>
            </w:r>
          </w:p>
        </w:tc>
        <w:tc>
          <w:tcPr>
            <w:tcW w:w="4463" w:type="dxa"/>
            <w:noWrap/>
            <w:vAlign w:val="center"/>
          </w:tcPr>
          <w:p w14:paraId="4654A69E">
            <w:pPr>
              <w:keepNext w:val="0"/>
              <w:keepLines w:val="0"/>
              <w:suppressLineNumbers w:val="0"/>
              <w:overflowPunct/>
              <w:bidi w:val="0"/>
              <w:adjustRightInd w:val="0"/>
              <w:snapToGrid w:val="0"/>
              <w:spacing w:before="0" w:beforeAutospacing="0" w:after="0" w:afterAutospacing="0" w:line="336" w:lineRule="auto"/>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地址：</w:t>
            </w:r>
          </w:p>
        </w:tc>
      </w:tr>
      <w:tr w14:paraId="333F03D9">
        <w:tblPrEx>
          <w:tblCellMar>
            <w:top w:w="0" w:type="dxa"/>
            <w:left w:w="108" w:type="dxa"/>
            <w:bottom w:w="0" w:type="dxa"/>
            <w:right w:w="108" w:type="dxa"/>
          </w:tblCellMar>
        </w:tblPrEx>
        <w:trPr>
          <w:trHeight w:val="371" w:hRule="atLeast"/>
        </w:trPr>
        <w:tc>
          <w:tcPr>
            <w:tcW w:w="4456" w:type="dxa"/>
            <w:noWrap/>
            <w:vAlign w:val="center"/>
          </w:tcPr>
          <w:p w14:paraId="29B7622E">
            <w:pPr>
              <w:keepNext w:val="0"/>
              <w:keepLines w:val="0"/>
              <w:suppressLineNumbers w:val="0"/>
              <w:overflowPunct/>
              <w:bidi w:val="0"/>
              <w:adjustRightInd w:val="0"/>
              <w:snapToGrid w:val="0"/>
              <w:spacing w:before="0" w:beforeAutospacing="0" w:after="0" w:afterAutospacing="0" w:line="336" w:lineRule="auto"/>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lang w:val="en-US" w:eastAsia="zh-CN"/>
              </w:rPr>
              <w:t xml:space="preserve"> </w:t>
            </w:r>
          </w:p>
          <w:p w14:paraId="6FF86211">
            <w:pPr>
              <w:keepNext w:val="0"/>
              <w:keepLines w:val="0"/>
              <w:suppressLineNumbers w:val="0"/>
              <w:overflowPunct/>
              <w:bidi w:val="0"/>
              <w:adjustRightInd w:val="0"/>
              <w:snapToGrid w:val="0"/>
              <w:spacing w:before="0" w:beforeAutospacing="0" w:after="0" w:afterAutospacing="0" w:line="336" w:lineRule="auto"/>
              <w:ind w:left="0" w:right="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lang w:val="en-US" w:eastAsia="zh-CN"/>
              </w:rPr>
              <w:t xml:space="preserve"> </w:t>
            </w:r>
          </w:p>
          <w:p w14:paraId="0D70C99B">
            <w:pPr>
              <w:keepNext w:val="0"/>
              <w:keepLines w:val="0"/>
              <w:suppressLineNumbers w:val="0"/>
              <w:overflowPunct/>
              <w:bidi w:val="0"/>
              <w:adjustRightInd w:val="0"/>
              <w:snapToGrid w:val="0"/>
              <w:spacing w:before="0" w:beforeAutospacing="0" w:after="0" w:afterAutospacing="0" w:line="336" w:lineRule="auto"/>
              <w:ind w:left="0" w:right="0"/>
              <w:jc w:val="lef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账</w:t>
            </w:r>
            <w:r>
              <w:rPr>
                <w:rFonts w:hint="eastAsia" w:ascii="宋体" w:hAnsi="宋体" w:eastAsia="宋体" w:cs="宋体"/>
                <w:color w:val="auto"/>
                <w:sz w:val="21"/>
                <w:szCs w:val="21"/>
                <w:highlight w:val="none"/>
              </w:rPr>
              <w:t>号：</w:t>
            </w:r>
            <w:r>
              <w:rPr>
                <w:rFonts w:hint="eastAsia" w:ascii="宋体" w:hAnsi="宋体" w:eastAsia="宋体" w:cs="宋体"/>
                <w:color w:val="auto"/>
                <w:sz w:val="21"/>
                <w:szCs w:val="21"/>
                <w:highlight w:val="none"/>
                <w:lang w:val="en-US" w:eastAsia="zh-CN"/>
              </w:rPr>
              <w:t xml:space="preserve"> </w:t>
            </w:r>
          </w:p>
        </w:tc>
        <w:tc>
          <w:tcPr>
            <w:tcW w:w="4463" w:type="dxa"/>
            <w:noWrap/>
            <w:vAlign w:val="center"/>
          </w:tcPr>
          <w:p w14:paraId="7AAB58B3">
            <w:pPr>
              <w:keepNext w:val="0"/>
              <w:keepLines w:val="0"/>
              <w:suppressLineNumbers w:val="0"/>
              <w:overflowPunct/>
              <w:bidi w:val="0"/>
              <w:adjustRightInd w:val="0"/>
              <w:snapToGrid w:val="0"/>
              <w:spacing w:before="0" w:beforeAutospacing="0" w:after="0" w:afterAutospacing="0" w:line="336" w:lineRule="auto"/>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lang w:val="en-US" w:eastAsia="zh-CN"/>
              </w:rPr>
              <w:t xml:space="preserve"> </w:t>
            </w:r>
          </w:p>
          <w:p w14:paraId="2D3FC682">
            <w:pPr>
              <w:keepNext w:val="0"/>
              <w:keepLines w:val="0"/>
              <w:suppressLineNumbers w:val="0"/>
              <w:overflowPunct/>
              <w:bidi w:val="0"/>
              <w:adjustRightInd w:val="0"/>
              <w:snapToGrid w:val="0"/>
              <w:spacing w:before="0" w:beforeAutospacing="0" w:after="0" w:afterAutospacing="0" w:line="336"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p w14:paraId="0B0378A5">
            <w:pPr>
              <w:keepNext w:val="0"/>
              <w:keepLines w:val="0"/>
              <w:suppressLineNumbers w:val="0"/>
              <w:overflowPunct/>
              <w:bidi w:val="0"/>
              <w:adjustRightInd w:val="0"/>
              <w:snapToGrid w:val="0"/>
              <w:spacing w:before="0" w:beforeAutospacing="0" w:after="0" w:afterAutospacing="0" w:line="336" w:lineRule="auto"/>
              <w:ind w:left="0" w:right="0"/>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账</w:t>
            </w:r>
            <w:r>
              <w:rPr>
                <w:rFonts w:hint="eastAsia" w:ascii="宋体" w:hAnsi="宋体" w:eastAsia="宋体" w:cs="宋体"/>
                <w:color w:val="auto"/>
                <w:sz w:val="21"/>
                <w:szCs w:val="21"/>
                <w:highlight w:val="none"/>
              </w:rPr>
              <w:t>号：</w:t>
            </w:r>
          </w:p>
        </w:tc>
      </w:tr>
      <w:tr w14:paraId="689998D9">
        <w:tblPrEx>
          <w:tblCellMar>
            <w:top w:w="0" w:type="dxa"/>
            <w:left w:w="108" w:type="dxa"/>
            <w:bottom w:w="0" w:type="dxa"/>
            <w:right w:w="108" w:type="dxa"/>
          </w:tblCellMar>
        </w:tblPrEx>
        <w:trPr>
          <w:trHeight w:val="231" w:hRule="atLeast"/>
        </w:trPr>
        <w:tc>
          <w:tcPr>
            <w:tcW w:w="8919" w:type="dxa"/>
            <w:gridSpan w:val="2"/>
            <w:noWrap/>
            <w:vAlign w:val="center"/>
          </w:tcPr>
          <w:p w14:paraId="69ABA833">
            <w:pPr>
              <w:keepNext w:val="0"/>
              <w:keepLines w:val="0"/>
              <w:suppressLineNumbers w:val="0"/>
              <w:overflowPunct/>
              <w:bidi w:val="0"/>
              <w:adjustRightInd w:val="0"/>
              <w:snapToGrid w:val="0"/>
              <w:spacing w:before="0" w:beforeAutospacing="0" w:after="0" w:afterAutospacing="0" w:line="240" w:lineRule="auto"/>
              <w:ind w:left="0" w:right="0"/>
              <w:rPr>
                <w:rFonts w:hint="eastAsia" w:ascii="宋体" w:hAnsi="宋体" w:eastAsia="宋体" w:cs="宋体"/>
                <w:color w:val="auto"/>
                <w:sz w:val="21"/>
                <w:szCs w:val="21"/>
                <w:highlight w:val="none"/>
              </w:rPr>
            </w:pPr>
          </w:p>
        </w:tc>
      </w:tr>
      <w:tr w14:paraId="6C8F2039">
        <w:tblPrEx>
          <w:tblCellMar>
            <w:top w:w="0" w:type="dxa"/>
            <w:left w:w="108" w:type="dxa"/>
            <w:bottom w:w="0" w:type="dxa"/>
            <w:right w:w="108" w:type="dxa"/>
          </w:tblCellMar>
        </w:tblPrEx>
        <w:trPr>
          <w:trHeight w:val="130" w:hRule="atLeast"/>
        </w:trPr>
        <w:tc>
          <w:tcPr>
            <w:tcW w:w="8919" w:type="dxa"/>
            <w:gridSpan w:val="2"/>
            <w:noWrap/>
            <w:vAlign w:val="center"/>
          </w:tcPr>
          <w:p w14:paraId="53FEBFDA">
            <w:pPr>
              <w:keepNext w:val="0"/>
              <w:keepLines w:val="0"/>
              <w:suppressLineNumbers w:val="0"/>
              <w:overflowPunct/>
              <w:bidi w:val="0"/>
              <w:adjustRightInd w:val="0"/>
              <w:snapToGrid w:val="0"/>
              <w:spacing w:before="0" w:beforeAutospacing="0" w:after="0" w:afterAutospacing="0" w:line="336"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鉴证方（盖章）：</w:t>
            </w:r>
          </w:p>
        </w:tc>
      </w:tr>
      <w:tr w14:paraId="0CCF68EF">
        <w:tblPrEx>
          <w:tblCellMar>
            <w:top w:w="0" w:type="dxa"/>
            <w:left w:w="108" w:type="dxa"/>
            <w:bottom w:w="0" w:type="dxa"/>
            <w:right w:w="108" w:type="dxa"/>
          </w:tblCellMar>
        </w:tblPrEx>
        <w:trPr>
          <w:trHeight w:val="139" w:hRule="atLeast"/>
        </w:trPr>
        <w:tc>
          <w:tcPr>
            <w:tcW w:w="8919" w:type="dxa"/>
            <w:gridSpan w:val="2"/>
            <w:noWrap/>
            <w:vAlign w:val="center"/>
          </w:tcPr>
          <w:p w14:paraId="76D77053">
            <w:pPr>
              <w:keepNext w:val="0"/>
              <w:keepLines w:val="0"/>
              <w:suppressLineNumbers w:val="0"/>
              <w:overflowPunct/>
              <w:bidi w:val="0"/>
              <w:adjustRightInd w:val="0"/>
              <w:snapToGrid w:val="0"/>
              <w:spacing w:before="0" w:beforeAutospacing="0" w:after="0" w:afterAutospacing="0" w:line="336"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r>
      <w:tr w14:paraId="59534BD6">
        <w:tblPrEx>
          <w:tblCellMar>
            <w:top w:w="0" w:type="dxa"/>
            <w:left w:w="108" w:type="dxa"/>
            <w:bottom w:w="0" w:type="dxa"/>
            <w:right w:w="108" w:type="dxa"/>
          </w:tblCellMar>
        </w:tblPrEx>
        <w:trPr>
          <w:trHeight w:val="341" w:hRule="atLeast"/>
        </w:trPr>
        <w:tc>
          <w:tcPr>
            <w:tcW w:w="8919" w:type="dxa"/>
            <w:gridSpan w:val="2"/>
            <w:noWrap/>
            <w:vAlign w:val="center"/>
          </w:tcPr>
          <w:p w14:paraId="566DB362">
            <w:pPr>
              <w:keepNext w:val="0"/>
              <w:keepLines w:val="0"/>
              <w:suppressLineNumbers w:val="0"/>
              <w:overflowPunct/>
              <w:bidi w:val="0"/>
              <w:adjustRightInd w:val="0"/>
              <w:snapToGrid w:val="0"/>
              <w:spacing w:before="0" w:beforeAutospacing="0" w:after="0" w:afterAutospacing="0" w:line="336"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14:paraId="79AB8CBA">
            <w:pPr>
              <w:keepNext w:val="0"/>
              <w:keepLines w:val="0"/>
              <w:suppressLineNumbers w:val="0"/>
              <w:overflowPunct/>
              <w:bidi w:val="0"/>
              <w:adjustRightInd w:val="0"/>
              <w:snapToGrid w:val="0"/>
              <w:spacing w:before="0" w:beforeAutospacing="0" w:after="0" w:afterAutospacing="0" w:line="336"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w:t>
            </w:r>
          </w:p>
          <w:p w14:paraId="61CB34DB">
            <w:pPr>
              <w:keepNext w:val="0"/>
              <w:keepLines w:val="0"/>
              <w:suppressLineNumbers w:val="0"/>
              <w:overflowPunct/>
              <w:bidi w:val="0"/>
              <w:adjustRightInd w:val="0"/>
              <w:snapToGrid w:val="0"/>
              <w:spacing w:before="0" w:beforeAutospacing="0" w:after="0" w:afterAutospacing="0" w:line="336"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或受委托人</w:t>
            </w:r>
          </w:p>
        </w:tc>
      </w:tr>
      <w:tr w14:paraId="289A2B6B">
        <w:tblPrEx>
          <w:tblCellMar>
            <w:top w:w="0" w:type="dxa"/>
            <w:left w:w="108" w:type="dxa"/>
            <w:bottom w:w="0" w:type="dxa"/>
            <w:right w:w="108" w:type="dxa"/>
          </w:tblCellMar>
        </w:tblPrEx>
        <w:trPr>
          <w:trHeight w:val="146" w:hRule="atLeast"/>
        </w:trPr>
        <w:tc>
          <w:tcPr>
            <w:tcW w:w="8919" w:type="dxa"/>
            <w:gridSpan w:val="2"/>
            <w:noWrap/>
            <w:vAlign w:val="center"/>
          </w:tcPr>
          <w:p w14:paraId="747FAD23">
            <w:pPr>
              <w:keepNext w:val="0"/>
              <w:keepLines w:val="0"/>
              <w:suppressLineNumbers w:val="0"/>
              <w:overflowPunct/>
              <w:bidi w:val="0"/>
              <w:adjustRightInd w:val="0"/>
              <w:snapToGrid w:val="0"/>
              <w:spacing w:before="0" w:beforeAutospacing="0" w:after="0" w:afterAutospacing="0" w:line="336"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p>
        </w:tc>
      </w:tr>
    </w:tbl>
    <w:p w14:paraId="5E4399FC">
      <w:pPr>
        <w:widowControl w:val="0"/>
        <w:overflowPunct/>
        <w:bidi w:val="0"/>
        <w:adjustRightInd w:val="0"/>
        <w:snapToGrid w:val="0"/>
        <w:spacing w:line="336" w:lineRule="auto"/>
        <w:ind w:left="2100" w:leftChars="1000"/>
        <w:jc w:val="both"/>
        <w:rPr>
          <w:rFonts w:hint="eastAsia" w:ascii="宋体" w:hAnsi="宋体" w:eastAsia="宋体" w:cs="宋体"/>
          <w:color w:val="auto"/>
          <w:kern w:val="2"/>
          <w:sz w:val="21"/>
          <w:szCs w:val="21"/>
          <w:highlight w:val="none"/>
          <w:lang w:val="en-US" w:eastAsia="zh-CN" w:bidi="ar-SA"/>
        </w:rPr>
      </w:pPr>
    </w:p>
    <w:p w14:paraId="59F4C1B2">
      <w:pPr>
        <w:pStyle w:val="87"/>
        <w:spacing w:line="360" w:lineRule="auto"/>
        <w:rPr>
          <w:rFonts w:hint="eastAsia" w:ascii="宋体" w:hAnsi="宋体" w:eastAsia="宋体" w:cs="宋体"/>
          <w:color w:val="auto"/>
          <w:highlight w:val="none"/>
        </w:rPr>
      </w:pPr>
    </w:p>
    <w:p w14:paraId="3D101EA6">
      <w:pPr>
        <w:spacing w:line="360" w:lineRule="auto"/>
        <w:rPr>
          <w:rFonts w:hint="eastAsia" w:ascii="宋体" w:hAnsi="宋体" w:eastAsia="宋体" w:cs="宋体"/>
          <w:b/>
          <w:color w:val="auto"/>
          <w:sz w:val="36"/>
          <w:szCs w:val="20"/>
          <w:highlight w:val="none"/>
        </w:rPr>
      </w:pPr>
      <w:r>
        <w:rPr>
          <w:rFonts w:hint="eastAsia" w:ascii="宋体" w:hAnsi="宋体" w:eastAsia="宋体" w:cs="宋体"/>
          <w:b/>
          <w:color w:val="auto"/>
          <w:sz w:val="36"/>
          <w:szCs w:val="20"/>
          <w:highlight w:val="none"/>
        </w:rPr>
        <w:br w:type="page"/>
      </w:r>
    </w:p>
    <w:p w14:paraId="4FA1BE1F">
      <w:pPr>
        <w:spacing w:line="360" w:lineRule="auto"/>
        <w:ind w:left="720" w:firstLine="723" w:firstLineChars="200"/>
        <w:outlineLvl w:val="0"/>
        <w:rPr>
          <w:rFonts w:hint="eastAsia" w:ascii="宋体" w:hAnsi="宋体" w:eastAsia="宋体" w:cs="宋体"/>
          <w:b/>
          <w:color w:val="auto"/>
          <w:sz w:val="36"/>
          <w:szCs w:val="20"/>
          <w:highlight w:val="none"/>
        </w:rPr>
      </w:pPr>
      <w:bookmarkStart w:id="443" w:name="_Toc18609"/>
      <w:r>
        <w:rPr>
          <w:rFonts w:hint="eastAsia" w:ascii="宋体" w:hAnsi="宋体" w:eastAsia="宋体" w:cs="宋体"/>
          <w:b/>
          <w:color w:val="auto"/>
          <w:sz w:val="36"/>
          <w:szCs w:val="20"/>
          <w:highlight w:val="none"/>
        </w:rPr>
        <w:t>第六部分</w:t>
      </w:r>
      <w:bookmarkEnd w:id="439"/>
      <w:r>
        <w:rPr>
          <w:rFonts w:hint="eastAsia" w:ascii="宋体" w:hAnsi="宋体" w:eastAsia="宋体" w:cs="宋体"/>
          <w:b/>
          <w:color w:val="auto"/>
          <w:sz w:val="36"/>
          <w:szCs w:val="20"/>
          <w:highlight w:val="none"/>
        </w:rPr>
        <w:t xml:space="preserve"> </w:t>
      </w:r>
      <w:bookmarkEnd w:id="440"/>
      <w:r>
        <w:rPr>
          <w:rFonts w:hint="eastAsia" w:ascii="宋体" w:hAnsi="宋体" w:eastAsia="宋体" w:cs="宋体"/>
          <w:b/>
          <w:color w:val="auto"/>
          <w:sz w:val="36"/>
          <w:szCs w:val="20"/>
          <w:highlight w:val="none"/>
        </w:rPr>
        <w:t>应提交的有关格式范例</w:t>
      </w:r>
      <w:bookmarkEnd w:id="443"/>
    </w:p>
    <w:p w14:paraId="65B27ACC">
      <w:pPr>
        <w:bidi w:val="0"/>
        <w:spacing w:line="360" w:lineRule="auto"/>
        <w:rPr>
          <w:rFonts w:hint="eastAsia" w:ascii="宋体" w:hAnsi="宋体" w:eastAsia="宋体" w:cs="宋体"/>
          <w:color w:val="auto"/>
          <w:highlight w:val="none"/>
        </w:rPr>
      </w:pPr>
    </w:p>
    <w:p w14:paraId="6B83392A">
      <w:pPr>
        <w:spacing w:line="360" w:lineRule="auto"/>
        <w:jc w:val="center"/>
        <w:outlineLvl w:val="0"/>
        <w:rPr>
          <w:rFonts w:hint="eastAsia" w:ascii="宋体" w:hAnsi="宋体" w:eastAsia="宋体" w:cs="宋体"/>
          <w:b/>
          <w:color w:val="auto"/>
          <w:kern w:val="0"/>
          <w:sz w:val="36"/>
          <w:szCs w:val="36"/>
          <w:highlight w:val="none"/>
        </w:rPr>
      </w:pPr>
      <w:bookmarkStart w:id="444" w:name="_Toc128"/>
      <w:r>
        <w:rPr>
          <w:rFonts w:hint="eastAsia" w:ascii="宋体" w:hAnsi="宋体" w:eastAsia="宋体" w:cs="宋体"/>
          <w:b/>
          <w:color w:val="auto"/>
          <w:kern w:val="0"/>
          <w:sz w:val="36"/>
          <w:szCs w:val="36"/>
          <w:highlight w:val="none"/>
        </w:rPr>
        <w:t>资格文件部分</w:t>
      </w:r>
      <w:bookmarkEnd w:id="444"/>
    </w:p>
    <w:p w14:paraId="33F079E7">
      <w:pPr>
        <w:spacing w:line="360" w:lineRule="auto"/>
        <w:jc w:val="center"/>
        <w:outlineLvl w:val="0"/>
        <w:rPr>
          <w:rFonts w:hint="eastAsia" w:ascii="宋体" w:hAnsi="宋体" w:eastAsia="宋体" w:cs="宋体"/>
          <w:b/>
          <w:color w:val="auto"/>
          <w:kern w:val="0"/>
          <w:sz w:val="36"/>
          <w:szCs w:val="36"/>
          <w:highlight w:val="none"/>
        </w:rPr>
      </w:pPr>
      <w:bookmarkStart w:id="445" w:name="_Toc13197"/>
      <w:r>
        <w:rPr>
          <w:rFonts w:hint="eastAsia" w:ascii="宋体" w:hAnsi="宋体" w:eastAsia="宋体" w:cs="宋体"/>
          <w:b/>
          <w:color w:val="auto"/>
          <w:kern w:val="0"/>
          <w:sz w:val="36"/>
          <w:szCs w:val="36"/>
          <w:highlight w:val="none"/>
        </w:rPr>
        <w:t>目录</w:t>
      </w:r>
      <w:bookmarkEnd w:id="445"/>
    </w:p>
    <w:p w14:paraId="3C2CE68C">
      <w:pPr>
        <w:bidi w:val="0"/>
        <w:spacing w:line="360" w:lineRule="auto"/>
        <w:rPr>
          <w:rFonts w:hint="eastAsia" w:ascii="宋体" w:hAnsi="宋体" w:eastAsia="宋体" w:cs="宋体"/>
          <w:color w:val="auto"/>
          <w:highlight w:val="none"/>
        </w:rPr>
      </w:pPr>
    </w:p>
    <w:p w14:paraId="61BC87BD">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（1）符合参加政府采购活动应当具备的一般条件的承诺函……………（页码）</w:t>
      </w:r>
    </w:p>
    <w:p w14:paraId="0734D9B2">
      <w:pPr>
        <w:snapToGrid w:val="0"/>
        <w:spacing w:line="360" w:lineRule="auto"/>
        <w:rPr>
          <w:rFonts w:hint="eastAsia" w:ascii="宋体" w:hAnsi="宋体" w:eastAsia="宋体" w:cs="宋体"/>
          <w:color w:val="auto"/>
          <w:sz w:val="24"/>
          <w:highlight w:val="none"/>
        </w:rPr>
      </w:pPr>
      <w:r>
        <w:rPr>
          <w:rFonts w:hint="eastAsia" w:ascii="宋体" w:hAnsi="宋体" w:eastAsia="宋体" w:cs="宋体"/>
          <w:snapToGrid w:val="0"/>
          <w:color w:val="auto"/>
          <w:kern w:val="28"/>
          <w:sz w:val="24"/>
          <w:szCs w:val="20"/>
          <w:highlight w:val="none"/>
        </w:rPr>
        <w:t>（2）联合协议</w:t>
      </w:r>
      <w:r>
        <w:rPr>
          <w:rFonts w:hint="eastAsia" w:ascii="宋体" w:hAnsi="宋体" w:eastAsia="宋体" w:cs="宋体"/>
          <w:color w:val="auto"/>
          <w:sz w:val="24"/>
          <w:highlight w:val="none"/>
        </w:rPr>
        <w:t>………………………………………………………………（页码）</w:t>
      </w:r>
    </w:p>
    <w:p w14:paraId="2EBC52EB">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（3）落实政府采购政策需满足的资格要求………………………………（页码）</w:t>
      </w:r>
    </w:p>
    <w:p w14:paraId="62181A14">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（4）本项目的特定资格要求………………………………………………（页码）</w:t>
      </w:r>
    </w:p>
    <w:p w14:paraId="06F25E60">
      <w:pPr>
        <w:snapToGrid w:val="0"/>
        <w:spacing w:line="360" w:lineRule="auto"/>
        <w:ind w:firstLine="480" w:firstLineChars="200"/>
        <w:rPr>
          <w:rFonts w:hint="eastAsia" w:ascii="宋体" w:hAnsi="宋体" w:eastAsia="宋体" w:cs="宋体"/>
          <w:color w:val="auto"/>
          <w:sz w:val="24"/>
          <w:highlight w:val="none"/>
        </w:rPr>
      </w:pPr>
    </w:p>
    <w:p w14:paraId="4AEEAD46">
      <w:pPr>
        <w:spacing w:line="360" w:lineRule="auto"/>
        <w:ind w:firstLine="480" w:firstLineChars="200"/>
        <w:rPr>
          <w:rFonts w:hint="eastAsia" w:ascii="宋体" w:hAnsi="宋体" w:eastAsia="宋体" w:cs="宋体"/>
          <w:color w:val="auto"/>
          <w:sz w:val="24"/>
          <w:highlight w:val="none"/>
        </w:rPr>
      </w:pPr>
    </w:p>
    <w:p w14:paraId="027F5C4A">
      <w:pPr>
        <w:spacing w:line="360" w:lineRule="auto"/>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br w:type="page"/>
      </w:r>
    </w:p>
    <w:p w14:paraId="1E569CA2">
      <w:pPr>
        <w:spacing w:line="360" w:lineRule="auto"/>
        <w:jc w:val="center"/>
        <w:outlineLvl w:val="0"/>
        <w:rPr>
          <w:rFonts w:hint="eastAsia" w:ascii="宋体" w:hAnsi="宋体" w:eastAsia="宋体" w:cs="宋体"/>
          <w:b/>
          <w:color w:val="auto"/>
          <w:kern w:val="0"/>
          <w:sz w:val="28"/>
          <w:szCs w:val="28"/>
          <w:highlight w:val="none"/>
        </w:rPr>
      </w:pPr>
      <w:bookmarkStart w:id="446" w:name="_Toc24102"/>
      <w:r>
        <w:rPr>
          <w:rFonts w:hint="eastAsia" w:ascii="宋体" w:hAnsi="宋体" w:eastAsia="宋体" w:cs="宋体"/>
          <w:b/>
          <w:color w:val="auto"/>
          <w:kern w:val="0"/>
          <w:sz w:val="28"/>
          <w:szCs w:val="28"/>
          <w:highlight w:val="none"/>
        </w:rPr>
        <w:t>一、符合参加政府采购活动应当具备的一般条件的承诺函</w:t>
      </w:r>
      <w:bookmarkEnd w:id="446"/>
    </w:p>
    <w:p w14:paraId="00550A33">
      <w:pPr>
        <w:snapToGrid w:val="0"/>
        <w:spacing w:line="360" w:lineRule="auto"/>
        <w:rPr>
          <w:rFonts w:hint="eastAsia" w:ascii="宋体" w:hAnsi="宋体" w:eastAsia="宋体" w:cs="宋体"/>
          <w:color w:val="auto"/>
          <w:sz w:val="21"/>
          <w:szCs w:val="21"/>
          <w:highlight w:val="none"/>
          <w:u w:val="single"/>
        </w:rPr>
      </w:pPr>
      <w:r>
        <w:rPr>
          <w:rFonts w:hint="eastAsia" w:ascii="宋体" w:hAnsi="宋体" w:cs="宋体"/>
          <w:color w:val="auto"/>
          <w:sz w:val="21"/>
          <w:szCs w:val="21"/>
          <w:highlight w:val="none"/>
          <w:u w:val="single"/>
          <w:lang w:eastAsia="zh-CN"/>
        </w:rPr>
        <w:t>浙江省工商业联合会</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eastAsia="zh-CN"/>
        </w:rPr>
        <w:t>浙江国际招投标有限公司</w:t>
      </w:r>
      <w:r>
        <w:rPr>
          <w:rFonts w:hint="eastAsia" w:ascii="宋体" w:hAnsi="宋体" w:eastAsia="宋体" w:cs="宋体"/>
          <w:color w:val="auto"/>
          <w:sz w:val="21"/>
          <w:szCs w:val="21"/>
          <w:highlight w:val="none"/>
          <w:u w:val="single"/>
        </w:rPr>
        <w:t>：</w:t>
      </w:r>
    </w:p>
    <w:p w14:paraId="2A1B1343">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我方参与</w:t>
      </w:r>
      <w:r>
        <w:rPr>
          <w:rFonts w:hint="eastAsia" w:ascii="宋体" w:hAnsi="宋体" w:cs="宋体"/>
          <w:color w:val="auto"/>
          <w:sz w:val="21"/>
          <w:szCs w:val="21"/>
          <w:highlight w:val="none"/>
          <w:u w:val="single"/>
          <w:lang w:eastAsia="zh-CN"/>
        </w:rPr>
        <w:t>浙江省工商业联合会浙里惠企政策精准直达系统</w:t>
      </w:r>
      <w:r>
        <w:rPr>
          <w:rFonts w:hint="eastAsia" w:ascii="宋体" w:hAnsi="宋体" w:eastAsia="宋体" w:cs="宋体"/>
          <w:color w:val="auto"/>
          <w:sz w:val="21"/>
          <w:szCs w:val="21"/>
          <w:highlight w:val="none"/>
          <w:u w:val="single"/>
          <w:lang w:eastAsia="zh-CN"/>
        </w:rPr>
        <w:t>项目</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编号：</w:t>
      </w:r>
      <w:r>
        <w:rPr>
          <w:rFonts w:hint="eastAsia" w:ascii="宋体" w:hAnsi="宋体" w:cs="宋体"/>
          <w:color w:val="auto"/>
          <w:sz w:val="21"/>
          <w:szCs w:val="21"/>
          <w:highlight w:val="none"/>
          <w:lang w:val="en-US" w:eastAsia="zh-CN"/>
        </w:rPr>
        <w:t>330000266080010000040-ZJ-2621091</w:t>
      </w:r>
      <w:r>
        <w:rPr>
          <w:rFonts w:hint="eastAsia" w:ascii="宋体" w:hAnsi="宋体" w:eastAsia="宋体" w:cs="宋体"/>
          <w:color w:val="auto"/>
          <w:sz w:val="21"/>
          <w:szCs w:val="21"/>
          <w:highlight w:val="none"/>
        </w:rPr>
        <w:t>】政府采购活动，郑重承诺：</w:t>
      </w:r>
    </w:p>
    <w:p w14:paraId="727CBCC4">
      <w:pPr>
        <w:snapToGrid w:val="0"/>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（一）具备《中华人民共和国政府采购法》第二十二条第一款规定的条件：</w:t>
      </w:r>
    </w:p>
    <w:p w14:paraId="03C60F67">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具有独立承担民事责任的能力；</w:t>
      </w:r>
    </w:p>
    <w:p w14:paraId="6BB14164">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 xml:space="preserve">具有良好的商业信誉和健全的财务会计制度； </w:t>
      </w:r>
    </w:p>
    <w:p w14:paraId="0E464E0B">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具有履行合同所必需的设备和专业技术能力；</w:t>
      </w:r>
    </w:p>
    <w:p w14:paraId="643525AD">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有依法缴纳税收和社会保障资金的良好记录；</w:t>
      </w:r>
    </w:p>
    <w:p w14:paraId="5E3D15B2">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参加政府采购活动前三年内，在经营活动中没有重大违法记录；</w:t>
      </w:r>
    </w:p>
    <w:p w14:paraId="357FA496">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具有法律、行政法规规定的其他条件。</w:t>
      </w:r>
    </w:p>
    <w:p w14:paraId="162DD33A">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（二）未被信用中国（www.creditchina.gov.cn)、中国政府采购网（www.ccgp.gov.cn）列入失信被执行人、重大税收违法案件当事人名单、政府采购严重违法失信行为记录名单。</w:t>
      </w:r>
    </w:p>
    <w:p w14:paraId="3037F2C1">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（三）不存在以下情况：</w:t>
      </w:r>
    </w:p>
    <w:p w14:paraId="620E758F">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单位负责人为同一人或者存在直接控股、管理关系的不同供应商参加同一合同项下的政府采购活动的；</w:t>
      </w:r>
    </w:p>
    <w:p w14:paraId="1C945E28">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为采购项目提供整体设计、规范编制或者项目管理、监理、检测等服务后再参加该采购项目的其他采购活动的。</w:t>
      </w:r>
    </w:p>
    <w:p w14:paraId="4D811D68">
      <w:pPr>
        <w:pStyle w:val="33"/>
        <w:spacing w:line="360" w:lineRule="auto"/>
        <w:rPr>
          <w:rFonts w:hint="eastAsia" w:ascii="宋体" w:hAnsi="宋体" w:eastAsia="宋体" w:cs="宋体"/>
          <w:color w:val="auto"/>
          <w:sz w:val="21"/>
          <w:szCs w:val="21"/>
          <w:highlight w:val="none"/>
        </w:rPr>
      </w:pPr>
    </w:p>
    <w:p w14:paraId="35A4E0EA">
      <w:pPr>
        <w:spacing w:line="360" w:lineRule="auto"/>
        <w:rPr>
          <w:rFonts w:hint="eastAsia" w:ascii="宋体" w:hAnsi="宋体" w:eastAsia="宋体" w:cs="宋体"/>
          <w:color w:val="auto"/>
          <w:highlight w:val="none"/>
        </w:rPr>
      </w:pPr>
    </w:p>
    <w:p w14:paraId="117344C8">
      <w:pPr>
        <w:snapToGrid w:val="0"/>
        <w:spacing w:line="360" w:lineRule="auto"/>
        <w:ind w:firstLine="4830" w:firstLineChars="23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投标人名称(电子签名)：</w:t>
      </w:r>
    </w:p>
    <w:p w14:paraId="20649483">
      <w:pPr>
        <w:snapToGri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 xml:space="preserve">                        </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日期</w:t>
      </w:r>
      <w:r>
        <w:rPr>
          <w:rFonts w:hint="eastAsia" w:ascii="宋体" w:hAnsi="宋体" w:eastAsia="宋体" w:cs="宋体"/>
          <w:color w:val="auto"/>
          <w:kern w:val="0"/>
          <w:sz w:val="21"/>
          <w:szCs w:val="21"/>
          <w:highlight w:val="none"/>
        </w:rPr>
        <w:t xml:space="preserve">：  年  </w:t>
      </w:r>
      <w:r>
        <w:rPr>
          <w:rFonts w:hint="eastAsia" w:ascii="宋体" w:hAnsi="宋体" w:eastAsia="宋体" w:cs="宋体"/>
          <w:color w:val="auto"/>
          <w:kern w:val="0"/>
          <w:sz w:val="21"/>
          <w:szCs w:val="21"/>
          <w:highlight w:val="none"/>
          <w:lang w:val="zh-CN"/>
        </w:rPr>
        <w:t>月</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日</w:t>
      </w:r>
    </w:p>
    <w:p w14:paraId="253BEB92">
      <w:pPr>
        <w:snapToGrid w:val="0"/>
        <w:spacing w:line="360" w:lineRule="auto"/>
        <w:ind w:right="480"/>
        <w:jc w:val="center"/>
        <w:rPr>
          <w:rFonts w:hint="eastAsia" w:ascii="宋体" w:hAnsi="宋体" w:eastAsia="宋体" w:cs="宋体"/>
          <w:b/>
          <w:color w:val="auto"/>
          <w:kern w:val="0"/>
          <w:sz w:val="32"/>
          <w:szCs w:val="32"/>
          <w:highlight w:val="none"/>
        </w:rPr>
      </w:pPr>
    </w:p>
    <w:p w14:paraId="6272A1E1">
      <w:pPr>
        <w:snapToGrid w:val="0"/>
        <w:spacing w:line="360" w:lineRule="auto"/>
        <w:ind w:right="480"/>
        <w:jc w:val="center"/>
        <w:rPr>
          <w:rFonts w:hint="eastAsia" w:ascii="宋体" w:hAnsi="宋体" w:eastAsia="宋体" w:cs="宋体"/>
          <w:b/>
          <w:color w:val="auto"/>
          <w:kern w:val="0"/>
          <w:sz w:val="32"/>
          <w:szCs w:val="32"/>
          <w:highlight w:val="none"/>
        </w:rPr>
      </w:pPr>
    </w:p>
    <w:p w14:paraId="4D5ECF8A">
      <w:pPr>
        <w:snapToGrid w:val="0"/>
        <w:spacing w:line="360" w:lineRule="auto"/>
        <w:ind w:right="480"/>
        <w:jc w:val="center"/>
        <w:rPr>
          <w:rFonts w:hint="eastAsia" w:ascii="宋体" w:hAnsi="宋体" w:eastAsia="宋体" w:cs="宋体"/>
          <w:b/>
          <w:color w:val="auto"/>
          <w:kern w:val="0"/>
          <w:sz w:val="32"/>
          <w:szCs w:val="32"/>
          <w:highlight w:val="none"/>
        </w:rPr>
      </w:pPr>
    </w:p>
    <w:p w14:paraId="40170078">
      <w:pPr>
        <w:spacing w:line="360" w:lineRule="auto"/>
        <w:rPr>
          <w:rFonts w:hint="eastAsia" w:ascii="宋体" w:hAnsi="宋体" w:eastAsia="宋体" w:cs="宋体"/>
          <w:color w:val="auto"/>
          <w:highlight w:val="none"/>
        </w:rPr>
      </w:pPr>
    </w:p>
    <w:p w14:paraId="2DD405AE">
      <w:pPr>
        <w:snapToGrid w:val="0"/>
        <w:spacing w:line="360" w:lineRule="auto"/>
        <w:ind w:right="480"/>
        <w:jc w:val="center"/>
        <w:rPr>
          <w:rFonts w:hint="eastAsia" w:ascii="宋体" w:hAnsi="宋体" w:eastAsia="宋体" w:cs="宋体"/>
          <w:b/>
          <w:color w:val="auto"/>
          <w:kern w:val="0"/>
          <w:sz w:val="32"/>
          <w:szCs w:val="32"/>
          <w:highlight w:val="none"/>
        </w:rPr>
      </w:pPr>
    </w:p>
    <w:p w14:paraId="76866F4E">
      <w:pPr>
        <w:widowControl/>
        <w:spacing w:line="360" w:lineRule="auto"/>
        <w:ind w:firstLine="0" w:firstLineChars="0"/>
        <w:jc w:val="left"/>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0744CB60">
      <w:pPr>
        <w:spacing w:line="360" w:lineRule="auto"/>
        <w:jc w:val="center"/>
        <w:outlineLvl w:val="0"/>
        <w:rPr>
          <w:rFonts w:hint="eastAsia" w:ascii="宋体" w:hAnsi="宋体" w:eastAsia="宋体" w:cs="宋体"/>
          <w:b/>
          <w:color w:val="auto"/>
          <w:kern w:val="0"/>
          <w:sz w:val="28"/>
          <w:szCs w:val="28"/>
          <w:highlight w:val="none"/>
        </w:rPr>
      </w:pPr>
      <w:bookmarkStart w:id="447" w:name="_Toc22928"/>
      <w:r>
        <w:rPr>
          <w:rFonts w:hint="eastAsia" w:ascii="宋体" w:hAnsi="宋体" w:eastAsia="宋体" w:cs="宋体"/>
          <w:b/>
          <w:color w:val="auto"/>
          <w:kern w:val="0"/>
          <w:sz w:val="28"/>
          <w:szCs w:val="28"/>
          <w:highlight w:val="none"/>
        </w:rPr>
        <w:t>二、联合协议（如果有）</w:t>
      </w:r>
      <w:bookmarkEnd w:id="447"/>
    </w:p>
    <w:p w14:paraId="036BC8D6">
      <w:pPr>
        <w:widowControl/>
        <w:spacing w:line="360" w:lineRule="auto"/>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[以联合体形式投标的，提供联合协议（附件5）；本项目不接受联合体投标或者投标人不以联合体形式投标的，则不需要提供]</w:t>
      </w:r>
    </w:p>
    <w:p w14:paraId="63DF20FE">
      <w:pPr>
        <w:snapToGrid w:val="0"/>
        <w:spacing w:line="360" w:lineRule="auto"/>
        <w:ind w:right="480"/>
        <w:jc w:val="center"/>
        <w:rPr>
          <w:rFonts w:hint="eastAsia" w:ascii="宋体" w:hAnsi="宋体" w:eastAsia="宋体" w:cs="宋体"/>
          <w:b/>
          <w:color w:val="auto"/>
          <w:kern w:val="0"/>
          <w:sz w:val="32"/>
          <w:szCs w:val="32"/>
          <w:highlight w:val="none"/>
        </w:rPr>
      </w:pPr>
    </w:p>
    <w:p w14:paraId="7037133E">
      <w:pPr>
        <w:snapToGrid w:val="0"/>
        <w:spacing w:line="360" w:lineRule="auto"/>
        <w:ind w:right="480"/>
        <w:jc w:val="center"/>
        <w:rPr>
          <w:rFonts w:hint="eastAsia" w:ascii="宋体" w:hAnsi="宋体" w:eastAsia="宋体" w:cs="宋体"/>
          <w:b/>
          <w:color w:val="auto"/>
          <w:kern w:val="0"/>
          <w:sz w:val="32"/>
          <w:szCs w:val="32"/>
          <w:highlight w:val="none"/>
        </w:rPr>
      </w:pPr>
    </w:p>
    <w:p w14:paraId="72E88542">
      <w:pPr>
        <w:spacing w:line="360" w:lineRule="auto"/>
        <w:jc w:val="center"/>
        <w:outlineLvl w:val="0"/>
        <w:rPr>
          <w:rFonts w:hint="eastAsia" w:ascii="宋体" w:hAnsi="宋体" w:eastAsia="宋体" w:cs="宋体"/>
          <w:b/>
          <w:color w:val="auto"/>
          <w:kern w:val="0"/>
          <w:sz w:val="28"/>
          <w:szCs w:val="28"/>
          <w:highlight w:val="none"/>
        </w:rPr>
      </w:pPr>
      <w:bookmarkStart w:id="448" w:name="_Toc25191"/>
      <w:r>
        <w:rPr>
          <w:rFonts w:hint="eastAsia" w:ascii="宋体" w:hAnsi="宋体" w:eastAsia="宋体" w:cs="宋体"/>
          <w:b/>
          <w:color w:val="auto"/>
          <w:kern w:val="0"/>
          <w:sz w:val="28"/>
          <w:szCs w:val="28"/>
          <w:highlight w:val="none"/>
        </w:rPr>
        <w:t>三、落实政府采购政策需满足的资格要求</w:t>
      </w:r>
      <w:bookmarkEnd w:id="448"/>
    </w:p>
    <w:p w14:paraId="753692F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（根据招标公告落实政府采购政策需满足的资格要求选择提供相应的材料；未要求的，无需提供）</w:t>
      </w:r>
    </w:p>
    <w:p w14:paraId="7228213C">
      <w:pPr>
        <w:snapToGrid w:val="0"/>
        <w:spacing w:before="50" w:after="50" w:line="360" w:lineRule="auto"/>
        <w:ind w:firstLine="413" w:firstLineChars="196"/>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A</w:t>
      </w:r>
      <w:r>
        <w:rPr>
          <w:rFonts w:hint="eastAsia" w:ascii="宋体" w:hAnsi="宋体" w:eastAsia="宋体" w:cs="宋体"/>
          <w:color w:val="auto"/>
          <w:sz w:val="21"/>
          <w:szCs w:val="21"/>
          <w:highlight w:val="none"/>
        </w:rPr>
        <w:t xml:space="preserve">.专门面向中小企业，货物全部由符合政策要求的中小企业（或小微企业）制造的，提供相应的中小企业声明函（附件7）。 </w:t>
      </w:r>
    </w:p>
    <w:p w14:paraId="248E4895">
      <w:pPr>
        <w:widowControl/>
        <w:spacing w:line="360" w:lineRule="auto"/>
        <w:ind w:firstLine="480"/>
        <w:jc w:val="left"/>
        <w:rPr>
          <w:rFonts w:hint="eastAsia" w:ascii="宋体" w:hAnsi="宋体" w:eastAsia="宋体" w:cs="宋体"/>
          <w:color w:val="auto"/>
          <w:sz w:val="21"/>
          <w:szCs w:val="21"/>
          <w:highlight w:val="none"/>
        </w:rPr>
      </w:pPr>
    </w:p>
    <w:p w14:paraId="15A93712">
      <w:pPr>
        <w:widowControl/>
        <w:spacing w:line="360" w:lineRule="auto"/>
        <w:ind w:firstLine="413" w:firstLineChars="196"/>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B.</w:t>
      </w:r>
      <w:r>
        <w:rPr>
          <w:rFonts w:hint="eastAsia" w:ascii="宋体" w:hAnsi="宋体" w:eastAsia="宋体" w:cs="宋体"/>
          <w:color w:val="auto"/>
          <w:sz w:val="21"/>
          <w:szCs w:val="21"/>
          <w:highlight w:val="none"/>
        </w:rPr>
        <w:t>要求以联合体形式参加的，提供联合协议（附件5）和中小企业声明函（附件7），联合协议中中小企业合同金额应当达到招标公告载明的比例；如果供应商本身提供所有标的均由中小企业制造的，</w:t>
      </w:r>
      <w:r>
        <w:rPr>
          <w:rFonts w:hint="eastAsia" w:ascii="宋体" w:hAnsi="宋体" w:eastAsia="宋体" w:cs="宋体"/>
          <w:color w:val="auto"/>
          <w:spacing w:val="8"/>
          <w:kern w:val="0"/>
          <w:sz w:val="21"/>
          <w:szCs w:val="21"/>
          <w:highlight w:val="none"/>
        </w:rPr>
        <w:t>并相应达到了前述比例要求，</w:t>
      </w:r>
      <w:r>
        <w:rPr>
          <w:rFonts w:hint="eastAsia" w:ascii="宋体" w:hAnsi="宋体" w:eastAsia="宋体" w:cs="宋体"/>
          <w:color w:val="auto"/>
          <w:sz w:val="21"/>
          <w:szCs w:val="21"/>
          <w:highlight w:val="none"/>
        </w:rPr>
        <w:t>视同符合了资格条件，无需再与其他中小企业组成联合体参加政府采购活动，无需提供联合协议。</w:t>
      </w:r>
    </w:p>
    <w:p w14:paraId="194B1B5B">
      <w:pPr>
        <w:snapToGrid w:val="0"/>
        <w:spacing w:before="50" w:after="50" w:line="360" w:lineRule="auto"/>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    </w:t>
      </w:r>
    </w:p>
    <w:p w14:paraId="528C07E1">
      <w:pPr>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C</w:t>
      </w:r>
      <w:r>
        <w:rPr>
          <w:rFonts w:hint="eastAsia" w:ascii="宋体" w:hAnsi="宋体" w:eastAsia="宋体" w:cs="宋体"/>
          <w:b/>
          <w:color w:val="auto"/>
          <w:sz w:val="21"/>
          <w:szCs w:val="21"/>
          <w:highlight w:val="none"/>
          <w:lang w:eastAsia="zh-CN"/>
        </w:rPr>
        <w:t>.</w:t>
      </w:r>
      <w:r>
        <w:rPr>
          <w:rFonts w:hint="eastAsia" w:ascii="宋体" w:hAnsi="宋体" w:eastAsia="宋体" w:cs="宋体"/>
          <w:color w:val="auto"/>
          <w:sz w:val="21"/>
          <w:szCs w:val="21"/>
          <w:highlight w:val="none"/>
        </w:rPr>
        <w:t>要求合同分包的，提供分包意向协议（附件6）和中小企业声明函（附件7），分包意向协议中中小企业合同金额应当达到招标公告载明的比例；如果供应商本身提供所有标的均由中小企业制造的，</w:t>
      </w:r>
      <w:r>
        <w:rPr>
          <w:rFonts w:hint="eastAsia" w:ascii="宋体" w:hAnsi="宋体" w:eastAsia="宋体" w:cs="宋体"/>
          <w:color w:val="auto"/>
          <w:spacing w:val="8"/>
          <w:kern w:val="0"/>
          <w:sz w:val="21"/>
          <w:szCs w:val="21"/>
          <w:highlight w:val="none"/>
        </w:rPr>
        <w:t>并相应达到了前述比例要求，</w:t>
      </w:r>
      <w:r>
        <w:rPr>
          <w:rFonts w:hint="eastAsia" w:ascii="宋体" w:hAnsi="宋体" w:eastAsia="宋体" w:cs="宋体"/>
          <w:color w:val="auto"/>
          <w:sz w:val="21"/>
          <w:szCs w:val="21"/>
          <w:highlight w:val="none"/>
        </w:rPr>
        <w:t>视同符合了资格条件，无需再向中小企业分包，无需提供分包意向协议。</w:t>
      </w:r>
    </w:p>
    <w:p w14:paraId="1B876FB3">
      <w:pPr>
        <w:widowControl/>
        <w:spacing w:line="360" w:lineRule="auto"/>
        <w:ind w:left="150"/>
        <w:jc w:val="center"/>
        <w:rPr>
          <w:rFonts w:hint="eastAsia" w:ascii="宋体" w:hAnsi="宋体" w:eastAsia="宋体" w:cs="宋体"/>
          <w:b/>
          <w:color w:val="auto"/>
          <w:kern w:val="0"/>
          <w:sz w:val="21"/>
          <w:szCs w:val="21"/>
          <w:highlight w:val="none"/>
        </w:rPr>
      </w:pPr>
    </w:p>
    <w:p w14:paraId="0053A535">
      <w:pPr>
        <w:spacing w:line="360" w:lineRule="auto"/>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四、本项目的特定资格要求</w:t>
      </w:r>
    </w:p>
    <w:p w14:paraId="1683D5EE">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（根据招标公告本项目的特定资格要求提供相应的材料；未要求的，无需提供）</w:t>
      </w:r>
    </w:p>
    <w:p w14:paraId="4C8AFD5D">
      <w:pPr>
        <w:spacing w:line="360" w:lineRule="auto"/>
        <w:rPr>
          <w:rFonts w:hint="eastAsia" w:ascii="宋体" w:hAnsi="宋体" w:eastAsia="宋体" w:cs="宋体"/>
          <w:b/>
          <w:color w:val="auto"/>
          <w:kern w:val="0"/>
          <w:sz w:val="40"/>
          <w:szCs w:val="40"/>
          <w:highlight w:val="none"/>
        </w:rPr>
      </w:pPr>
      <w:r>
        <w:rPr>
          <w:rFonts w:hint="eastAsia" w:ascii="宋体" w:hAnsi="宋体" w:eastAsia="宋体" w:cs="宋体"/>
          <w:b/>
          <w:color w:val="auto"/>
          <w:kern w:val="0"/>
          <w:sz w:val="40"/>
          <w:szCs w:val="40"/>
          <w:highlight w:val="none"/>
        </w:rPr>
        <w:br w:type="page"/>
      </w:r>
    </w:p>
    <w:p w14:paraId="6A725533">
      <w:pPr>
        <w:widowControl/>
        <w:adjustRightInd/>
        <w:spacing w:line="360" w:lineRule="auto"/>
        <w:jc w:val="center"/>
        <w:rPr>
          <w:rFonts w:hint="eastAsia" w:ascii="宋体" w:hAnsi="宋体" w:eastAsia="宋体" w:cs="宋体"/>
          <w:b/>
          <w:color w:val="auto"/>
          <w:kern w:val="0"/>
          <w:sz w:val="40"/>
          <w:szCs w:val="40"/>
          <w:highlight w:val="none"/>
        </w:rPr>
      </w:pPr>
      <w:r>
        <w:rPr>
          <w:rFonts w:hint="eastAsia" w:ascii="宋体" w:hAnsi="宋体" w:eastAsia="宋体" w:cs="宋体"/>
          <w:b/>
          <w:color w:val="auto"/>
          <w:kern w:val="0"/>
          <w:sz w:val="40"/>
          <w:szCs w:val="40"/>
          <w:highlight w:val="none"/>
        </w:rPr>
        <w:t>商务技术文件部分</w:t>
      </w:r>
    </w:p>
    <w:p w14:paraId="67A32EE2">
      <w:pPr>
        <w:spacing w:line="360" w:lineRule="auto"/>
        <w:jc w:val="center"/>
        <w:outlineLvl w:val="0"/>
        <w:rPr>
          <w:rFonts w:hint="eastAsia" w:ascii="宋体" w:hAnsi="宋体" w:eastAsia="宋体" w:cs="宋体"/>
          <w:b/>
          <w:color w:val="auto"/>
          <w:kern w:val="0"/>
          <w:sz w:val="28"/>
          <w:szCs w:val="28"/>
          <w:highlight w:val="none"/>
        </w:rPr>
      </w:pPr>
    </w:p>
    <w:p w14:paraId="69DA9C04">
      <w:pPr>
        <w:spacing w:line="360" w:lineRule="auto"/>
        <w:jc w:val="center"/>
        <w:outlineLvl w:val="0"/>
        <w:rPr>
          <w:rFonts w:hint="eastAsia" w:ascii="宋体" w:hAnsi="宋体" w:eastAsia="宋体" w:cs="宋体"/>
          <w:b/>
          <w:color w:val="auto"/>
          <w:kern w:val="0"/>
          <w:sz w:val="28"/>
          <w:szCs w:val="28"/>
          <w:highlight w:val="none"/>
        </w:rPr>
      </w:pPr>
      <w:bookmarkStart w:id="449" w:name="_Toc20623"/>
      <w:r>
        <w:rPr>
          <w:rFonts w:hint="eastAsia" w:ascii="宋体" w:hAnsi="宋体" w:eastAsia="宋体" w:cs="宋体"/>
          <w:b/>
          <w:color w:val="auto"/>
          <w:kern w:val="0"/>
          <w:sz w:val="28"/>
          <w:szCs w:val="28"/>
          <w:highlight w:val="none"/>
        </w:rPr>
        <w:t>目录</w:t>
      </w:r>
      <w:bookmarkEnd w:id="449"/>
    </w:p>
    <w:p w14:paraId="5D470B13">
      <w:pPr>
        <w:pStyle w:val="5"/>
        <w:spacing w:line="360" w:lineRule="auto"/>
        <w:rPr>
          <w:rFonts w:hint="eastAsia" w:ascii="宋体" w:hAnsi="宋体" w:eastAsia="宋体" w:cs="宋体"/>
          <w:color w:val="auto"/>
          <w:highlight w:val="none"/>
        </w:rPr>
      </w:pPr>
    </w:p>
    <w:p w14:paraId="78AC158B">
      <w:pPr>
        <w:snapToGrid w:val="0"/>
        <w:spacing w:line="360" w:lineRule="auto"/>
        <w:ind w:left="479" w:leftChars="228"/>
        <w:rPr>
          <w:rFonts w:hint="eastAsia" w:ascii="宋体" w:hAnsi="宋体" w:eastAsia="宋体" w:cs="宋体"/>
          <w:color w:val="auto"/>
          <w:highlight w:val="none"/>
        </w:rPr>
      </w:pPr>
      <w:r>
        <w:rPr>
          <w:rFonts w:hint="eastAsia" w:ascii="宋体" w:hAnsi="宋体" w:eastAsia="宋体" w:cs="宋体"/>
          <w:color w:val="auto"/>
          <w:sz w:val="24"/>
          <w:highlight w:val="none"/>
        </w:rPr>
        <w:t>（1）投标函</w:t>
      </w:r>
      <w:r>
        <w:rPr>
          <w:rFonts w:hint="eastAsia" w:ascii="宋体" w:hAnsi="宋体" w:eastAsia="宋体" w:cs="宋体"/>
          <w:color w:val="auto"/>
          <w:highlight w:val="none"/>
        </w:rPr>
        <w:t>…………………………………………………………………………………（页码）</w:t>
      </w:r>
      <w:r>
        <w:rPr>
          <w:rFonts w:hint="eastAsia" w:ascii="宋体" w:hAnsi="宋体" w:eastAsia="宋体" w:cs="宋体"/>
          <w:color w:val="auto"/>
          <w:sz w:val="24"/>
          <w:highlight w:val="none"/>
        </w:rPr>
        <w:t>（2）授权委托书或法定代表人（单位负责人、自然人本人）身份证明</w:t>
      </w:r>
      <w:r>
        <w:rPr>
          <w:rFonts w:hint="eastAsia" w:ascii="宋体" w:hAnsi="宋体" w:eastAsia="宋体" w:cs="宋体"/>
          <w:color w:val="auto"/>
          <w:highlight w:val="none"/>
        </w:rPr>
        <w:t>……（页码）</w:t>
      </w:r>
    </w:p>
    <w:p w14:paraId="61A4309F">
      <w:pPr>
        <w:snapToGrid w:val="0"/>
        <w:spacing w:line="360" w:lineRule="auto"/>
        <w:ind w:left="479" w:leftChars="228"/>
        <w:rPr>
          <w:rFonts w:hint="eastAsia" w:ascii="宋体" w:hAnsi="宋体" w:eastAsia="宋体" w:cs="宋体"/>
          <w:color w:val="auto"/>
          <w:highlight w:val="none"/>
        </w:rPr>
      </w:pPr>
      <w:r>
        <w:rPr>
          <w:rFonts w:hint="eastAsia" w:ascii="宋体" w:hAnsi="宋体" w:eastAsia="宋体" w:cs="宋体"/>
          <w:color w:val="auto"/>
          <w:sz w:val="24"/>
          <w:highlight w:val="none"/>
        </w:rPr>
        <w:t>（3）分包意向协议</w:t>
      </w:r>
      <w:r>
        <w:rPr>
          <w:rFonts w:hint="eastAsia" w:ascii="宋体" w:hAnsi="宋体" w:eastAsia="宋体" w:cs="宋体"/>
          <w:color w:val="auto"/>
          <w:highlight w:val="none"/>
        </w:rPr>
        <w:t>………………………………………………………………………（页码）</w:t>
      </w:r>
    </w:p>
    <w:p w14:paraId="40BCB095">
      <w:pPr>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（4）符合性审查资料</w:t>
      </w:r>
      <w:r>
        <w:rPr>
          <w:rFonts w:hint="eastAsia" w:ascii="宋体" w:hAnsi="宋体" w:eastAsia="宋体" w:cs="宋体"/>
          <w:color w:val="auto"/>
          <w:highlight w:val="none"/>
        </w:rPr>
        <w:t>……………………………………………………………………（页码）</w:t>
      </w:r>
    </w:p>
    <w:p w14:paraId="341B831E">
      <w:pPr>
        <w:snapToGrid w:val="0"/>
        <w:spacing w:line="360" w:lineRule="auto"/>
        <w:ind w:left="479" w:leftChars="228"/>
        <w:rPr>
          <w:rFonts w:hint="eastAsia" w:ascii="宋体" w:hAnsi="宋体" w:eastAsia="宋体" w:cs="宋体"/>
          <w:color w:val="auto"/>
          <w:highlight w:val="none"/>
        </w:rPr>
      </w:pPr>
      <w:r>
        <w:rPr>
          <w:rFonts w:hint="eastAsia" w:ascii="宋体" w:hAnsi="宋体" w:eastAsia="宋体" w:cs="宋体"/>
          <w:color w:val="auto"/>
          <w:sz w:val="24"/>
          <w:highlight w:val="none"/>
        </w:rPr>
        <w:t>（5）评标标准相应的商务技术资料</w:t>
      </w:r>
      <w:r>
        <w:rPr>
          <w:rFonts w:hint="eastAsia" w:ascii="宋体" w:hAnsi="宋体" w:eastAsia="宋体" w:cs="宋体"/>
          <w:color w:val="auto"/>
          <w:highlight w:val="none"/>
        </w:rPr>
        <w:t>…………………………</w:t>
      </w:r>
      <w:r>
        <w:rPr>
          <w:rFonts w:hint="eastAsia" w:ascii="宋体" w:hAnsi="宋体" w:eastAsia="宋体" w:cs="宋体"/>
          <w:color w:val="auto"/>
          <w:sz w:val="24"/>
          <w:highlight w:val="none"/>
        </w:rPr>
        <w:t>………</w:t>
      </w:r>
      <w:r>
        <w:rPr>
          <w:rFonts w:hint="eastAsia" w:ascii="宋体" w:hAnsi="宋体" w:eastAsia="宋体" w:cs="宋体"/>
          <w:color w:val="auto"/>
          <w:highlight w:val="none"/>
        </w:rPr>
        <w:t>…</w:t>
      </w:r>
      <w:r>
        <w:rPr>
          <w:rFonts w:hint="eastAsia" w:ascii="宋体" w:hAnsi="宋体" w:eastAsia="宋体" w:cs="宋体"/>
          <w:color w:val="auto"/>
          <w:sz w:val="24"/>
          <w:highlight w:val="none"/>
        </w:rPr>
        <w:t>…</w:t>
      </w:r>
      <w:r>
        <w:rPr>
          <w:rFonts w:hint="eastAsia" w:ascii="宋体" w:hAnsi="宋体" w:eastAsia="宋体" w:cs="宋体"/>
          <w:color w:val="auto"/>
          <w:highlight w:val="none"/>
        </w:rPr>
        <w:t>…………（页码）</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）商务技术偏离表</w:t>
      </w:r>
      <w:r>
        <w:rPr>
          <w:rFonts w:hint="eastAsia" w:ascii="宋体" w:hAnsi="宋体" w:eastAsia="宋体" w:cs="宋体"/>
          <w:color w:val="auto"/>
          <w:highlight w:val="none"/>
        </w:rPr>
        <w:t>……………………………………………………………………（页码）</w:t>
      </w:r>
    </w:p>
    <w:p w14:paraId="14D0E992">
      <w:pPr>
        <w:snapToGrid w:val="0"/>
        <w:spacing w:line="360" w:lineRule="auto"/>
        <w:ind w:left="479" w:leftChars="228"/>
        <w:rPr>
          <w:rFonts w:hint="eastAsia" w:ascii="宋体" w:hAnsi="宋体" w:eastAsia="宋体" w:cs="宋体"/>
          <w:color w:val="auto"/>
          <w:highlight w:val="none"/>
        </w:rPr>
      </w:pPr>
      <w:r>
        <w:rPr>
          <w:rFonts w:hint="eastAsia" w:ascii="宋体" w:hAnsi="宋体" w:eastAsia="宋体" w:cs="宋体"/>
          <w:color w:val="auto"/>
          <w:sz w:val="24"/>
          <w:highlight w:val="none"/>
          <w:lang w:val="zh-CN"/>
        </w:rPr>
        <w:t>（</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zh-CN"/>
        </w:rPr>
        <w:t>）政府采购供应商廉洁自律承诺书</w:t>
      </w:r>
      <w:r>
        <w:rPr>
          <w:rFonts w:hint="eastAsia" w:ascii="宋体" w:hAnsi="宋体" w:eastAsia="宋体" w:cs="宋体"/>
          <w:color w:val="auto"/>
          <w:highlight w:val="none"/>
        </w:rPr>
        <w:t>………………………………………………（页码）</w:t>
      </w:r>
    </w:p>
    <w:p w14:paraId="24B17923">
      <w:pPr>
        <w:bidi w:val="0"/>
        <w:spacing w:line="360" w:lineRule="auto"/>
        <w:rPr>
          <w:rFonts w:hint="eastAsia" w:ascii="宋体" w:hAnsi="宋体" w:eastAsia="宋体" w:cs="宋体"/>
          <w:color w:val="auto"/>
          <w:highlight w:val="none"/>
        </w:rPr>
      </w:pPr>
    </w:p>
    <w:p w14:paraId="1046126C">
      <w:pPr>
        <w:spacing w:line="360" w:lineRule="auto"/>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br w:type="page"/>
      </w:r>
    </w:p>
    <w:p w14:paraId="1FED5D88">
      <w:pPr>
        <w:snapToGrid/>
        <w:spacing w:line="360" w:lineRule="auto"/>
        <w:ind w:firstLine="0" w:firstLineChars="0"/>
        <w:jc w:val="center"/>
        <w:outlineLvl w:val="9"/>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一、投标函</w:t>
      </w:r>
    </w:p>
    <w:p w14:paraId="1CD5D8E3">
      <w:pPr>
        <w:snapToGrid w:val="0"/>
        <w:spacing w:line="360" w:lineRule="auto"/>
        <w:rPr>
          <w:rFonts w:hint="eastAsia" w:ascii="宋体" w:hAnsi="宋体" w:eastAsia="宋体" w:cs="宋体"/>
          <w:color w:val="auto"/>
          <w:sz w:val="21"/>
          <w:szCs w:val="21"/>
          <w:highlight w:val="none"/>
          <w:u w:val="single"/>
        </w:rPr>
      </w:pPr>
      <w:r>
        <w:rPr>
          <w:rFonts w:hint="eastAsia" w:ascii="宋体" w:hAnsi="宋体" w:cs="宋体"/>
          <w:color w:val="auto"/>
          <w:sz w:val="21"/>
          <w:szCs w:val="21"/>
          <w:highlight w:val="none"/>
          <w:u w:val="single"/>
          <w:lang w:eastAsia="zh-CN"/>
        </w:rPr>
        <w:t>浙江省工商业联合会</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eastAsia="zh-CN"/>
        </w:rPr>
        <w:t>浙江国际招投标有限公司</w:t>
      </w:r>
      <w:r>
        <w:rPr>
          <w:rFonts w:hint="eastAsia" w:ascii="宋体" w:hAnsi="宋体" w:eastAsia="宋体" w:cs="宋体"/>
          <w:color w:val="auto"/>
          <w:sz w:val="21"/>
          <w:szCs w:val="21"/>
          <w:highlight w:val="none"/>
          <w:u w:val="single"/>
        </w:rPr>
        <w:t>：</w:t>
      </w:r>
    </w:p>
    <w:p w14:paraId="45E54BB1">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我方参加你方组织的</w:t>
      </w:r>
      <w:r>
        <w:rPr>
          <w:rFonts w:hint="eastAsia" w:ascii="宋体" w:hAnsi="宋体" w:cs="宋体"/>
          <w:color w:val="auto"/>
          <w:sz w:val="21"/>
          <w:szCs w:val="21"/>
          <w:highlight w:val="none"/>
          <w:u w:val="single"/>
          <w:lang w:eastAsia="zh-CN"/>
        </w:rPr>
        <w:t>浙江省工商业联合会浙里惠企政策精准直达系统</w:t>
      </w:r>
      <w:r>
        <w:rPr>
          <w:rFonts w:hint="eastAsia" w:ascii="宋体" w:hAnsi="宋体" w:eastAsia="宋体" w:cs="宋体"/>
          <w:color w:val="auto"/>
          <w:sz w:val="21"/>
          <w:szCs w:val="21"/>
          <w:highlight w:val="none"/>
          <w:u w:val="single"/>
          <w:lang w:eastAsia="zh-CN"/>
        </w:rPr>
        <w:t>项目</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项目</w:t>
      </w:r>
      <w:r>
        <w:rPr>
          <w:rFonts w:hint="eastAsia" w:ascii="宋体" w:hAnsi="宋体" w:eastAsia="宋体" w:cs="宋体"/>
          <w:color w:val="auto"/>
          <w:sz w:val="21"/>
          <w:szCs w:val="21"/>
          <w:highlight w:val="none"/>
          <w:u w:val="single"/>
        </w:rPr>
        <w:t>编号：</w:t>
      </w:r>
      <w:r>
        <w:rPr>
          <w:rFonts w:hint="eastAsia" w:ascii="宋体" w:hAnsi="宋体" w:cs="宋体"/>
          <w:color w:val="auto"/>
          <w:sz w:val="21"/>
          <w:szCs w:val="21"/>
          <w:highlight w:val="none"/>
          <w:u w:val="single"/>
          <w:lang w:val="en-US" w:eastAsia="zh-CN"/>
        </w:rPr>
        <w:t>330000266080010000040-ZJ-2621091</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招标的有关活动，并对此项目进行投标。为此：</w:t>
      </w:r>
    </w:p>
    <w:p w14:paraId="5A5ECD34">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我方承诺投标有效期从提交投标文件的截止之日起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天（不少于90天），本投标文件在投标有效期满之前均具有约束力。</w:t>
      </w:r>
    </w:p>
    <w:p w14:paraId="5B358A56">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我方的投标文件包括以下内容：</w:t>
      </w:r>
    </w:p>
    <w:p w14:paraId="66AEE09A">
      <w:pPr>
        <w:snapToGrid w:val="0"/>
        <w:spacing w:line="360" w:lineRule="auto"/>
        <w:ind w:left="210" w:leftChars="1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2.1资格文件：</w:t>
      </w:r>
    </w:p>
    <w:p w14:paraId="4549F878">
      <w:pPr>
        <w:snapToGrid w:val="0"/>
        <w:spacing w:line="360" w:lineRule="auto"/>
        <w:ind w:left="420" w:leftChars="2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2.1.1承诺函；</w:t>
      </w:r>
    </w:p>
    <w:p w14:paraId="27B84602">
      <w:pPr>
        <w:snapToGrid w:val="0"/>
        <w:spacing w:line="360" w:lineRule="auto"/>
        <w:ind w:left="420" w:leftChars="2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w:t>
      </w:r>
      <w:r>
        <w:rPr>
          <w:rFonts w:hint="eastAsia" w:ascii="宋体" w:hAnsi="宋体" w:eastAsia="宋体" w:cs="宋体"/>
          <w:snapToGrid w:val="0"/>
          <w:color w:val="auto"/>
          <w:kern w:val="28"/>
          <w:sz w:val="21"/>
          <w:szCs w:val="21"/>
          <w:highlight w:val="none"/>
        </w:rPr>
        <w:t>联合协议（如果有)；</w:t>
      </w:r>
    </w:p>
    <w:p w14:paraId="08AAA532">
      <w:pPr>
        <w:snapToGrid w:val="0"/>
        <w:spacing w:line="360" w:lineRule="auto"/>
        <w:ind w:left="420" w:leftChars="2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2.1.3落实政府采购政策需满足的资格要求</w:t>
      </w:r>
      <w:r>
        <w:rPr>
          <w:rFonts w:hint="eastAsia" w:ascii="宋体" w:hAnsi="宋体" w:eastAsia="宋体" w:cs="宋体"/>
          <w:snapToGrid w:val="0"/>
          <w:color w:val="auto"/>
          <w:kern w:val="28"/>
          <w:sz w:val="21"/>
          <w:szCs w:val="21"/>
          <w:highlight w:val="none"/>
          <w:lang w:eastAsia="zh-CN"/>
        </w:rPr>
        <w:t>：</w:t>
      </w:r>
      <w:r>
        <w:rPr>
          <w:rFonts w:hint="eastAsia" w:ascii="宋体" w:hAnsi="宋体" w:cs="宋体"/>
          <w:snapToGrid w:val="0"/>
          <w:color w:val="auto"/>
          <w:kern w:val="28"/>
          <w:sz w:val="21"/>
          <w:szCs w:val="21"/>
          <w:highlight w:val="none"/>
          <w:lang w:val="en-US" w:eastAsia="zh-CN"/>
        </w:rPr>
        <w:t>中小企业声明函</w:t>
      </w:r>
      <w:r>
        <w:rPr>
          <w:rFonts w:hint="eastAsia" w:ascii="宋体" w:hAnsi="宋体" w:eastAsia="宋体" w:cs="宋体"/>
          <w:color w:val="auto"/>
          <w:sz w:val="21"/>
          <w:szCs w:val="21"/>
          <w:highlight w:val="none"/>
        </w:rPr>
        <w:t>；</w:t>
      </w:r>
    </w:p>
    <w:p w14:paraId="16C56822">
      <w:pPr>
        <w:snapToGrid w:val="0"/>
        <w:spacing w:line="360" w:lineRule="auto"/>
        <w:ind w:left="420" w:leftChars="2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2.1.4本项目的特定资格要求</w:t>
      </w:r>
      <w:r>
        <w:rPr>
          <w:rFonts w:hint="eastAsia" w:ascii="宋体" w:hAnsi="宋体" w:eastAsia="宋体" w:cs="宋体"/>
          <w:snapToGrid w:val="0"/>
          <w:color w:val="auto"/>
          <w:kern w:val="28"/>
          <w:sz w:val="21"/>
          <w:szCs w:val="21"/>
          <w:highlight w:val="none"/>
        </w:rPr>
        <w:t>（如果有）</w:t>
      </w:r>
      <w:r>
        <w:rPr>
          <w:rFonts w:hint="eastAsia" w:ascii="宋体" w:hAnsi="宋体" w:eastAsia="宋体" w:cs="宋体"/>
          <w:color w:val="auto"/>
          <w:sz w:val="21"/>
          <w:szCs w:val="21"/>
          <w:highlight w:val="none"/>
        </w:rPr>
        <w:t>。</w:t>
      </w:r>
    </w:p>
    <w:p w14:paraId="1B691EF7">
      <w:pPr>
        <w:snapToGrid w:val="0"/>
        <w:spacing w:line="360" w:lineRule="auto"/>
        <w:ind w:left="210" w:leftChars="10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zh-CN"/>
        </w:rPr>
        <w:t xml:space="preserve"> </w:t>
      </w:r>
      <w:r>
        <w:rPr>
          <w:rFonts w:hint="eastAsia" w:ascii="宋体" w:hAnsi="宋体" w:eastAsia="宋体" w:cs="宋体"/>
          <w:color w:val="auto"/>
          <w:sz w:val="21"/>
          <w:szCs w:val="21"/>
          <w:highlight w:val="none"/>
        </w:rPr>
        <w:t>商务技术</w:t>
      </w:r>
      <w:r>
        <w:rPr>
          <w:rFonts w:hint="eastAsia" w:ascii="宋体" w:hAnsi="宋体" w:eastAsia="宋体" w:cs="宋体"/>
          <w:color w:val="auto"/>
          <w:sz w:val="21"/>
          <w:szCs w:val="21"/>
          <w:highlight w:val="none"/>
          <w:lang w:val="zh-CN"/>
        </w:rPr>
        <w:t>文件：</w:t>
      </w:r>
    </w:p>
    <w:p w14:paraId="2B23C51C">
      <w:pPr>
        <w:snapToGrid w:val="0"/>
        <w:spacing w:line="360" w:lineRule="auto"/>
        <w:ind w:left="420" w:leftChars="2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2.2.1投标函；</w:t>
      </w:r>
      <w:r>
        <w:rPr>
          <w:rFonts w:hint="eastAsia" w:ascii="宋体" w:hAnsi="宋体" w:eastAsia="宋体" w:cs="宋体"/>
          <w:color w:val="auto"/>
          <w:sz w:val="21"/>
          <w:szCs w:val="21"/>
          <w:highlight w:val="none"/>
          <w:lang w:val="zh-CN"/>
        </w:rPr>
        <w:t xml:space="preserve"> </w:t>
      </w:r>
    </w:p>
    <w:p w14:paraId="3F6C41D2">
      <w:pPr>
        <w:snapToGrid w:val="0"/>
        <w:spacing w:line="360" w:lineRule="auto"/>
        <w:ind w:left="420" w:leftChars="2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2.2.2授权委托书或法定代表人（单位负责人）身份证明；</w:t>
      </w:r>
    </w:p>
    <w:p w14:paraId="1E47ECA3">
      <w:pPr>
        <w:snapToGrid w:val="0"/>
        <w:spacing w:line="360" w:lineRule="auto"/>
        <w:ind w:left="420" w:leftChars="2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2.2.3分包意向协议</w:t>
      </w:r>
      <w:r>
        <w:rPr>
          <w:rFonts w:hint="eastAsia" w:ascii="宋体" w:hAnsi="宋体" w:eastAsia="宋体" w:cs="宋体"/>
          <w:snapToGrid w:val="0"/>
          <w:color w:val="auto"/>
          <w:kern w:val="28"/>
          <w:sz w:val="21"/>
          <w:szCs w:val="21"/>
          <w:highlight w:val="none"/>
        </w:rPr>
        <w:t>（如果有）</w:t>
      </w:r>
      <w:r>
        <w:rPr>
          <w:rFonts w:hint="eastAsia" w:ascii="宋体" w:hAnsi="宋体" w:eastAsia="宋体" w:cs="宋体"/>
          <w:color w:val="auto"/>
          <w:sz w:val="21"/>
          <w:szCs w:val="21"/>
          <w:highlight w:val="none"/>
        </w:rPr>
        <w:t>；</w:t>
      </w:r>
    </w:p>
    <w:p w14:paraId="5C5A6962">
      <w:pPr>
        <w:snapToGrid w:val="0"/>
        <w:spacing w:line="360" w:lineRule="auto"/>
        <w:ind w:left="420" w:leftChars="2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2.2.4符合性审查资料；</w:t>
      </w:r>
    </w:p>
    <w:p w14:paraId="02C56BB5">
      <w:pPr>
        <w:snapToGrid w:val="0"/>
        <w:spacing w:line="360" w:lineRule="auto"/>
        <w:ind w:left="420" w:leftChars="2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2.2.5评标标准相应的商务技术资料；</w:t>
      </w:r>
    </w:p>
    <w:p w14:paraId="19298C8F">
      <w:pPr>
        <w:snapToGrid w:val="0"/>
        <w:spacing w:line="360" w:lineRule="auto"/>
        <w:ind w:left="420" w:leftChars="2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2.2.6商务技术偏离表；</w:t>
      </w:r>
    </w:p>
    <w:p w14:paraId="6C14EBEC">
      <w:pPr>
        <w:snapToGrid w:val="0"/>
        <w:spacing w:line="360" w:lineRule="auto"/>
        <w:ind w:left="420" w:leftChars="200"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zh-CN"/>
        </w:rPr>
        <w:t>政府采购供应商廉洁自律承诺书；</w:t>
      </w:r>
    </w:p>
    <w:p w14:paraId="315648BA">
      <w:pPr>
        <w:snapToGrid w:val="0"/>
        <w:spacing w:line="360" w:lineRule="auto"/>
        <w:ind w:left="210" w:leftChars="1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3报价文件</w:t>
      </w:r>
    </w:p>
    <w:p w14:paraId="55D7DE49">
      <w:pPr>
        <w:snapToGrid w:val="0"/>
        <w:spacing w:line="360" w:lineRule="auto"/>
        <w:ind w:left="420" w:leftChars="2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2.3.1开标一览表（报价表）；</w:t>
      </w:r>
    </w:p>
    <w:p w14:paraId="6F00A902">
      <w:pPr>
        <w:snapToGrid w:val="0"/>
        <w:spacing w:line="360" w:lineRule="auto"/>
        <w:ind w:left="420" w:leftChars="20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2.3.2报价情况说明和</w:t>
      </w:r>
      <w:r>
        <w:rPr>
          <w:rFonts w:hint="eastAsia" w:ascii="宋体" w:hAnsi="宋体" w:eastAsia="宋体" w:cs="宋体"/>
          <w:color w:val="auto"/>
          <w:sz w:val="21"/>
          <w:szCs w:val="21"/>
          <w:highlight w:val="none"/>
          <w:lang w:eastAsia="zh-CN"/>
        </w:rPr>
        <w:t>相关证明材料</w:t>
      </w:r>
      <w:r>
        <w:rPr>
          <w:rFonts w:hint="eastAsia" w:ascii="宋体" w:hAnsi="宋体" w:eastAsia="宋体" w:cs="宋体"/>
          <w:color w:val="auto"/>
          <w:sz w:val="21"/>
          <w:szCs w:val="21"/>
          <w:highlight w:val="none"/>
          <w:lang w:val="en-US" w:eastAsia="zh-CN"/>
        </w:rPr>
        <w:t>（如果有）；</w:t>
      </w:r>
    </w:p>
    <w:p w14:paraId="75A21FE2">
      <w:pPr>
        <w:snapToGrid w:val="0"/>
        <w:spacing w:line="360" w:lineRule="auto"/>
        <w:ind w:left="420" w:leftChars="20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2.3.</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关于符合本国产品标准的声明函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如果有）</w:t>
      </w:r>
      <w:r>
        <w:rPr>
          <w:rFonts w:hint="eastAsia" w:ascii="宋体" w:hAnsi="宋体" w:eastAsia="宋体" w:cs="宋体"/>
          <w:color w:val="auto"/>
          <w:sz w:val="21"/>
          <w:szCs w:val="21"/>
          <w:highlight w:val="none"/>
          <w:lang w:eastAsia="zh-CN"/>
        </w:rPr>
        <w:t>。</w:t>
      </w:r>
    </w:p>
    <w:p w14:paraId="2408D528">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我方承诺除商务技术偏离表列出的偏离外，我方响应招标文件的全部要求。对投标文件中材料的真实性、合法性负责，积极配合采购人、采购代理机构复核投标文件中的资料。</w:t>
      </w:r>
    </w:p>
    <w:p w14:paraId="4692AC6E">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如我方中标，我方承诺：</w:t>
      </w:r>
    </w:p>
    <w:p w14:paraId="4585EF83">
      <w:pPr>
        <w:snapToGrid w:val="0"/>
        <w:spacing w:line="360" w:lineRule="auto"/>
        <w:ind w:left="210" w:leftChars="1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4.1在收到中标通知书后，在中标通知书规定的期限内与你方签订合同； </w:t>
      </w:r>
    </w:p>
    <w:p w14:paraId="2F8EECD8">
      <w:pPr>
        <w:snapToGrid w:val="0"/>
        <w:spacing w:line="360" w:lineRule="auto"/>
        <w:ind w:left="210" w:leftChars="1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4.2在签订合同时不向你方提出附加条件；</w:t>
      </w:r>
    </w:p>
    <w:p w14:paraId="12590830">
      <w:pPr>
        <w:snapToGrid w:val="0"/>
        <w:spacing w:line="360" w:lineRule="auto"/>
        <w:ind w:left="210" w:leftChars="1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4.3按照招标文件要求提交履约保证金；</w:t>
      </w:r>
    </w:p>
    <w:p w14:paraId="576C1CAB">
      <w:pPr>
        <w:snapToGrid w:val="0"/>
        <w:spacing w:line="360" w:lineRule="auto"/>
        <w:ind w:left="210" w:leftChars="1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4.4在合同约定的期限内完成合同规定的全部义务。 </w:t>
      </w:r>
    </w:p>
    <w:p w14:paraId="61672A67">
      <w:pPr>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对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77EECCFC">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其他补充说明: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2B023BE">
      <w:pPr>
        <w:spacing w:line="360" w:lineRule="auto"/>
        <w:ind w:firstLine="3150" w:firstLineChars="1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投标人名称（电子签名）：                          </w:t>
      </w:r>
    </w:p>
    <w:p w14:paraId="0779C10E">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日期：  年   月   日</w:t>
      </w:r>
    </w:p>
    <w:p w14:paraId="2C7DF7ED">
      <w:pPr>
        <w:snapToGrid w:val="0"/>
        <w:spacing w:line="360" w:lineRule="auto"/>
        <w:ind w:left="420" w:leftChars="200" w:firstLine="3675" w:firstLineChars="1750"/>
        <w:rPr>
          <w:rFonts w:hint="eastAsia" w:ascii="宋体" w:hAnsi="宋体" w:eastAsia="宋体" w:cs="宋体"/>
          <w:color w:val="auto"/>
          <w:kern w:val="0"/>
          <w:sz w:val="21"/>
          <w:szCs w:val="21"/>
          <w:highlight w:val="none"/>
          <w:u w:val="single"/>
        </w:rPr>
      </w:pPr>
    </w:p>
    <w:p w14:paraId="504E21E6">
      <w:pPr>
        <w:spacing w:line="360" w:lineRule="auto"/>
        <w:ind w:righ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注：按本格式和要求提供。</w:t>
      </w:r>
    </w:p>
    <w:p w14:paraId="7E02C127">
      <w:pPr>
        <w:snapToGrid w:val="0"/>
        <w:spacing w:line="360" w:lineRule="auto"/>
        <w:jc w:val="center"/>
        <w:rPr>
          <w:rFonts w:hint="eastAsia" w:ascii="宋体" w:hAnsi="宋体" w:eastAsia="宋体" w:cs="宋体"/>
          <w:b/>
          <w:color w:val="auto"/>
          <w:kern w:val="0"/>
          <w:sz w:val="32"/>
          <w:szCs w:val="32"/>
          <w:highlight w:val="none"/>
        </w:rPr>
      </w:pPr>
    </w:p>
    <w:p w14:paraId="3B4B5581">
      <w:pPr>
        <w:snapToGrid w:val="0"/>
        <w:spacing w:line="360" w:lineRule="auto"/>
        <w:rPr>
          <w:rFonts w:hint="eastAsia" w:ascii="宋体" w:hAnsi="宋体" w:eastAsia="宋体" w:cs="宋体"/>
          <w:color w:val="auto"/>
          <w:sz w:val="24"/>
          <w:highlight w:val="none"/>
        </w:rPr>
      </w:pPr>
    </w:p>
    <w:p w14:paraId="121BC6D4">
      <w:pPr>
        <w:spacing w:line="360" w:lineRule="auto"/>
        <w:jc w:val="center"/>
        <w:rPr>
          <w:rFonts w:hint="eastAsia" w:ascii="宋体" w:hAnsi="宋体" w:eastAsia="宋体" w:cs="宋体"/>
          <w:b/>
          <w:color w:val="auto"/>
          <w:kern w:val="0"/>
          <w:sz w:val="32"/>
          <w:szCs w:val="32"/>
          <w:highlight w:val="none"/>
        </w:rPr>
      </w:pPr>
    </w:p>
    <w:p w14:paraId="3DEEC78E">
      <w:pPr>
        <w:spacing w:line="360" w:lineRule="auto"/>
        <w:jc w:val="center"/>
        <w:rPr>
          <w:rFonts w:hint="eastAsia" w:ascii="宋体" w:hAnsi="宋体" w:eastAsia="宋体" w:cs="宋体"/>
          <w:b/>
          <w:color w:val="auto"/>
          <w:kern w:val="0"/>
          <w:sz w:val="32"/>
          <w:szCs w:val="32"/>
          <w:highlight w:val="none"/>
        </w:rPr>
      </w:pPr>
    </w:p>
    <w:p w14:paraId="17F11298">
      <w:pPr>
        <w:spacing w:line="360" w:lineRule="auto"/>
        <w:jc w:val="center"/>
        <w:rPr>
          <w:rFonts w:hint="eastAsia" w:ascii="宋体" w:hAnsi="宋体" w:eastAsia="宋体" w:cs="宋体"/>
          <w:b/>
          <w:color w:val="auto"/>
          <w:kern w:val="0"/>
          <w:sz w:val="32"/>
          <w:szCs w:val="32"/>
          <w:highlight w:val="none"/>
        </w:rPr>
      </w:pPr>
    </w:p>
    <w:p w14:paraId="0C8EE824">
      <w:pPr>
        <w:spacing w:line="360" w:lineRule="auto"/>
        <w:jc w:val="center"/>
        <w:rPr>
          <w:rFonts w:hint="eastAsia" w:ascii="宋体" w:hAnsi="宋体" w:eastAsia="宋体" w:cs="宋体"/>
          <w:b/>
          <w:color w:val="auto"/>
          <w:kern w:val="0"/>
          <w:sz w:val="32"/>
          <w:szCs w:val="32"/>
          <w:highlight w:val="none"/>
        </w:rPr>
      </w:pPr>
    </w:p>
    <w:p w14:paraId="359E270B">
      <w:pPr>
        <w:spacing w:line="360" w:lineRule="auto"/>
        <w:rPr>
          <w:rFonts w:hint="eastAsia" w:ascii="宋体" w:hAnsi="宋体" w:eastAsia="宋体" w:cs="宋体"/>
          <w:b/>
          <w:color w:val="auto"/>
          <w:kern w:val="0"/>
          <w:sz w:val="28"/>
          <w:szCs w:val="28"/>
          <w:highlight w:val="none"/>
          <w:lang w:val="zh-CN"/>
        </w:rPr>
      </w:pPr>
      <w:r>
        <w:rPr>
          <w:rFonts w:hint="eastAsia" w:ascii="宋体" w:hAnsi="宋体" w:eastAsia="宋体" w:cs="宋体"/>
          <w:b/>
          <w:color w:val="auto"/>
          <w:kern w:val="0"/>
          <w:sz w:val="28"/>
          <w:szCs w:val="28"/>
          <w:highlight w:val="none"/>
          <w:lang w:val="zh-CN"/>
        </w:rPr>
        <w:br w:type="page"/>
      </w:r>
    </w:p>
    <w:p w14:paraId="1972B819">
      <w:pPr>
        <w:spacing w:line="360" w:lineRule="auto"/>
        <w:jc w:val="center"/>
        <w:outlineLvl w:val="0"/>
        <w:rPr>
          <w:rFonts w:hint="eastAsia" w:ascii="宋体" w:hAnsi="宋体" w:eastAsia="宋体" w:cs="宋体"/>
          <w:b/>
          <w:color w:val="auto"/>
          <w:kern w:val="0"/>
          <w:sz w:val="28"/>
          <w:szCs w:val="28"/>
          <w:highlight w:val="none"/>
          <w:lang w:val="zh-CN"/>
        </w:rPr>
      </w:pPr>
      <w:bookmarkStart w:id="450" w:name="_Toc15933"/>
      <w:r>
        <w:rPr>
          <w:rFonts w:hint="eastAsia" w:ascii="宋体" w:hAnsi="宋体" w:eastAsia="宋体" w:cs="宋体"/>
          <w:b/>
          <w:color w:val="auto"/>
          <w:kern w:val="0"/>
          <w:sz w:val="28"/>
          <w:szCs w:val="28"/>
          <w:highlight w:val="none"/>
          <w:lang w:val="zh-CN"/>
        </w:rPr>
        <w:t>二、授权委托书或法定代表人（单位负责人、自然人本人）身份证明</w:t>
      </w:r>
      <w:bookmarkEnd w:id="450"/>
    </w:p>
    <w:p w14:paraId="3C7F85C6">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486C02CF">
      <w:pPr>
        <w:snapToGrid w:val="0"/>
        <w:spacing w:line="360" w:lineRule="auto"/>
        <w:jc w:val="center"/>
        <w:rPr>
          <w:rFonts w:hint="eastAsia" w:ascii="宋体" w:hAnsi="宋体" w:eastAsia="宋体" w:cs="宋体"/>
          <w:color w:val="auto"/>
          <w:highlight w:val="none"/>
        </w:rPr>
      </w:pPr>
      <w:r>
        <w:rPr>
          <w:rFonts w:hint="eastAsia" w:ascii="宋体" w:hAnsi="宋体" w:eastAsia="宋体" w:cs="宋体"/>
          <w:b/>
          <w:color w:val="auto"/>
          <w:kern w:val="0"/>
          <w:sz w:val="32"/>
          <w:szCs w:val="32"/>
          <w:highlight w:val="none"/>
          <w:lang w:val="zh-CN"/>
        </w:rPr>
        <w:t>授权委托书（适用于非联合体投标）</w:t>
      </w:r>
    </w:p>
    <w:p w14:paraId="10B91930">
      <w:pPr>
        <w:snapToGrid w:val="0"/>
        <w:spacing w:line="360" w:lineRule="auto"/>
        <w:rPr>
          <w:rFonts w:hint="eastAsia" w:ascii="宋体" w:hAnsi="宋体" w:eastAsia="宋体" w:cs="宋体"/>
          <w:color w:val="auto"/>
          <w:kern w:val="0"/>
          <w:sz w:val="21"/>
          <w:szCs w:val="21"/>
          <w:highlight w:val="none"/>
          <w:u w:val="single"/>
        </w:rPr>
      </w:pPr>
      <w:r>
        <w:rPr>
          <w:rFonts w:hint="eastAsia" w:ascii="宋体" w:hAnsi="宋体" w:cs="宋体"/>
          <w:color w:val="auto"/>
          <w:sz w:val="21"/>
          <w:szCs w:val="21"/>
          <w:highlight w:val="none"/>
          <w:u w:val="single"/>
          <w:lang w:eastAsia="zh-CN"/>
        </w:rPr>
        <w:t>浙江省工商业联合会</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eastAsia="zh-CN"/>
        </w:rPr>
        <w:t>浙江国际招投标有限公司</w:t>
      </w:r>
      <w:r>
        <w:rPr>
          <w:rFonts w:hint="eastAsia" w:ascii="宋体" w:hAnsi="宋体" w:eastAsia="宋体" w:cs="宋体"/>
          <w:color w:val="auto"/>
          <w:kern w:val="0"/>
          <w:sz w:val="21"/>
          <w:szCs w:val="21"/>
          <w:highlight w:val="none"/>
          <w:u w:val="single"/>
          <w:lang w:val="zh-CN"/>
        </w:rPr>
        <w:t>：</w:t>
      </w:r>
    </w:p>
    <w:p w14:paraId="47C06B9B">
      <w:pPr>
        <w:snapToGrid w:val="0"/>
        <w:spacing w:line="360" w:lineRule="auto"/>
        <w:ind w:firstLine="576"/>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现</w:t>
      </w:r>
      <w:r>
        <w:rPr>
          <w:rFonts w:hint="eastAsia" w:ascii="宋体" w:hAnsi="宋体" w:eastAsia="宋体" w:cs="宋体"/>
          <w:color w:val="auto"/>
          <w:kern w:val="0"/>
          <w:sz w:val="21"/>
          <w:szCs w:val="21"/>
          <w:highlight w:val="none"/>
          <w:lang w:val="zh-CN"/>
        </w:rPr>
        <w:t>委托</w:t>
      </w: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kern w:val="0"/>
          <w:sz w:val="21"/>
          <w:szCs w:val="21"/>
          <w:highlight w:val="none"/>
          <w:lang w:val="zh-CN"/>
        </w:rPr>
        <w:t>（姓名）为我方代理人（身份证号码：</w:t>
      </w: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kern w:val="0"/>
          <w:sz w:val="21"/>
          <w:szCs w:val="21"/>
          <w:highlight w:val="none"/>
          <w:lang w:val="zh-CN"/>
        </w:rPr>
        <w:t>，手机：</w:t>
      </w: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none"/>
          <w:lang w:val="en-US" w:eastAsia="zh-CN"/>
        </w:rPr>
        <w:t>，所在单位：</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lang w:val="zh-CN"/>
        </w:rPr>
        <w:t>），以我方名义处理</w:t>
      </w:r>
      <w:r>
        <w:rPr>
          <w:rFonts w:hint="eastAsia" w:ascii="宋体" w:hAnsi="宋体" w:cs="宋体"/>
          <w:color w:val="auto"/>
          <w:sz w:val="21"/>
          <w:szCs w:val="21"/>
          <w:highlight w:val="none"/>
          <w:u w:val="single"/>
          <w:lang w:eastAsia="zh-CN"/>
        </w:rPr>
        <w:t>浙江省工商业联合会浙里惠企政策精准直达系统</w:t>
      </w:r>
      <w:r>
        <w:rPr>
          <w:rFonts w:hint="eastAsia" w:ascii="宋体" w:hAnsi="宋体" w:eastAsia="宋体" w:cs="宋体"/>
          <w:color w:val="auto"/>
          <w:sz w:val="21"/>
          <w:szCs w:val="21"/>
          <w:highlight w:val="none"/>
          <w:u w:val="single"/>
          <w:lang w:eastAsia="zh-CN"/>
        </w:rPr>
        <w:t>项目</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编号：</w:t>
      </w:r>
      <w:r>
        <w:rPr>
          <w:rFonts w:hint="eastAsia" w:ascii="宋体" w:hAnsi="宋体" w:cs="宋体"/>
          <w:color w:val="auto"/>
          <w:sz w:val="21"/>
          <w:szCs w:val="21"/>
          <w:highlight w:val="none"/>
          <w:u w:val="single"/>
          <w:lang w:val="en-US" w:eastAsia="zh-CN"/>
        </w:rPr>
        <w:t>330000266080010000040-ZJ-2621091</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lang w:val="zh-CN"/>
        </w:rPr>
        <w:t>政府采购投标的一切事项，其法律后果由我方承担。</w:t>
      </w:r>
    </w:p>
    <w:p w14:paraId="3AD1DD6B">
      <w:pPr>
        <w:snapToGri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委托期限</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自</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年</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月</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日起至</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年</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月</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日止。</w:t>
      </w:r>
    </w:p>
    <w:p w14:paraId="657FDBDB">
      <w:pPr>
        <w:snapToGri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特此告知。</w:t>
      </w:r>
    </w:p>
    <w:p w14:paraId="0E1528AB">
      <w:pPr>
        <w:snapToGri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4"/>
          <w:highlight w:val="none"/>
          <w:lang w:val="zh-CN"/>
        </w:rPr>
        <w:t xml:space="preserve">                                                 </w:t>
      </w:r>
      <w:r>
        <w:rPr>
          <w:rFonts w:hint="eastAsia" w:ascii="宋体" w:hAnsi="宋体" w:eastAsia="宋体" w:cs="宋体"/>
          <w:color w:val="auto"/>
          <w:kern w:val="0"/>
          <w:sz w:val="21"/>
          <w:szCs w:val="21"/>
          <w:highlight w:val="none"/>
          <w:lang w:val="zh-CN"/>
        </w:rPr>
        <w:t>投标人名称(电子签名)：</w:t>
      </w:r>
    </w:p>
    <w:p w14:paraId="36193698">
      <w:pPr>
        <w:snapToGrid w:val="0"/>
        <w:spacing w:line="360" w:lineRule="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1"/>
          <w:szCs w:val="21"/>
          <w:highlight w:val="none"/>
          <w:lang w:val="zh-CN"/>
        </w:rPr>
        <w:t xml:space="preserve">                                               </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val="zh-CN"/>
        </w:rPr>
        <w:t xml:space="preserve">  签发日期：  年  月   日</w:t>
      </w:r>
    </w:p>
    <w:p w14:paraId="63B2AAE8">
      <w:pPr>
        <w:snapToGrid w:val="0"/>
        <w:spacing w:line="360" w:lineRule="auto"/>
        <w:rPr>
          <w:rFonts w:hint="eastAsia" w:ascii="宋体" w:hAnsi="宋体" w:eastAsia="宋体" w:cs="宋体"/>
          <w:color w:val="auto"/>
          <w:sz w:val="24"/>
          <w:highlight w:val="none"/>
        </w:rPr>
      </w:pPr>
    </w:p>
    <w:p w14:paraId="2CD977B7">
      <w:pPr>
        <w:spacing w:line="360" w:lineRule="auto"/>
        <w:jc w:val="center"/>
        <w:rPr>
          <w:rFonts w:hint="eastAsia" w:ascii="宋体" w:hAnsi="宋体" w:eastAsia="宋体" w:cs="宋体"/>
          <w:b/>
          <w:color w:val="auto"/>
          <w:kern w:val="0"/>
          <w:sz w:val="32"/>
          <w:szCs w:val="32"/>
          <w:highlight w:val="none"/>
          <w:lang w:val="zh-CN"/>
        </w:rPr>
      </w:pPr>
      <w:r>
        <w:rPr>
          <w:rFonts w:hint="eastAsia" w:ascii="宋体" w:hAnsi="宋体" w:eastAsia="宋体" w:cs="宋体"/>
          <w:b/>
          <w:color w:val="auto"/>
          <w:kern w:val="0"/>
          <w:sz w:val="32"/>
          <w:szCs w:val="32"/>
          <w:highlight w:val="none"/>
          <w:lang w:val="zh-CN"/>
        </w:rPr>
        <w:t xml:space="preserve">     </w:t>
      </w:r>
    </w:p>
    <w:p w14:paraId="4EA53FAD">
      <w:pPr>
        <w:spacing w:line="360" w:lineRule="auto"/>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zh-CN"/>
        </w:rPr>
        <w:t xml:space="preserve"> </w:t>
      </w:r>
      <w:r>
        <w:rPr>
          <w:rFonts w:hint="eastAsia" w:ascii="宋体" w:hAnsi="宋体" w:eastAsia="宋体" w:cs="宋体"/>
          <w:b/>
          <w:color w:val="auto"/>
          <w:kern w:val="0"/>
          <w:sz w:val="32"/>
          <w:szCs w:val="32"/>
          <w:highlight w:val="none"/>
        </w:rPr>
        <w:t xml:space="preserve"> </w:t>
      </w:r>
      <w:r>
        <w:rPr>
          <w:rFonts w:hint="eastAsia" w:ascii="宋体" w:hAnsi="宋体" w:eastAsia="宋体" w:cs="宋体"/>
          <w:b/>
          <w:color w:val="auto"/>
          <w:kern w:val="0"/>
          <w:sz w:val="32"/>
          <w:szCs w:val="32"/>
          <w:highlight w:val="none"/>
          <w:lang w:val="zh-CN"/>
        </w:rPr>
        <w:t>授权委托书（适用于联合体投标）</w:t>
      </w:r>
    </w:p>
    <w:p w14:paraId="049BFC22">
      <w:pPr>
        <w:snapToGrid w:val="0"/>
        <w:spacing w:line="360" w:lineRule="auto"/>
        <w:rPr>
          <w:rFonts w:hint="eastAsia" w:ascii="宋体" w:hAnsi="宋体" w:eastAsia="宋体" w:cs="宋体"/>
          <w:color w:val="auto"/>
          <w:sz w:val="21"/>
          <w:szCs w:val="21"/>
          <w:highlight w:val="none"/>
          <w:u w:val="single"/>
          <w:lang w:eastAsia="zh-CN"/>
        </w:rPr>
      </w:pPr>
    </w:p>
    <w:p w14:paraId="53F8DC8C">
      <w:pPr>
        <w:snapToGrid w:val="0"/>
        <w:spacing w:line="360" w:lineRule="auto"/>
        <w:rPr>
          <w:rFonts w:hint="eastAsia" w:ascii="宋体" w:hAnsi="宋体" w:eastAsia="宋体" w:cs="宋体"/>
          <w:color w:val="auto"/>
          <w:kern w:val="0"/>
          <w:sz w:val="21"/>
          <w:szCs w:val="21"/>
          <w:highlight w:val="none"/>
          <w:u w:val="single"/>
        </w:rPr>
      </w:pPr>
      <w:r>
        <w:rPr>
          <w:rFonts w:hint="eastAsia" w:ascii="宋体" w:hAnsi="宋体" w:cs="宋体"/>
          <w:color w:val="auto"/>
          <w:sz w:val="21"/>
          <w:szCs w:val="21"/>
          <w:highlight w:val="none"/>
          <w:u w:val="single"/>
          <w:lang w:eastAsia="zh-CN"/>
        </w:rPr>
        <w:t>浙江省工商业联合会</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eastAsia="zh-CN"/>
        </w:rPr>
        <w:t>浙江国际招投标有限公司</w:t>
      </w:r>
      <w:r>
        <w:rPr>
          <w:rFonts w:hint="eastAsia" w:ascii="宋体" w:hAnsi="宋体" w:eastAsia="宋体" w:cs="宋体"/>
          <w:color w:val="auto"/>
          <w:kern w:val="0"/>
          <w:sz w:val="21"/>
          <w:szCs w:val="21"/>
          <w:highlight w:val="none"/>
          <w:u w:val="single"/>
          <w:lang w:val="zh-CN"/>
        </w:rPr>
        <w:t>：</w:t>
      </w:r>
    </w:p>
    <w:p w14:paraId="0224DB5D">
      <w:pPr>
        <w:snapToGrid w:val="0"/>
        <w:spacing w:line="360" w:lineRule="auto"/>
        <w:ind w:firstLine="576"/>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现</w:t>
      </w:r>
      <w:r>
        <w:rPr>
          <w:rFonts w:hint="eastAsia" w:ascii="宋体" w:hAnsi="宋体" w:eastAsia="宋体" w:cs="宋体"/>
          <w:color w:val="auto"/>
          <w:kern w:val="0"/>
          <w:sz w:val="21"/>
          <w:szCs w:val="21"/>
          <w:highlight w:val="none"/>
          <w:lang w:val="zh-CN"/>
        </w:rPr>
        <w:t>委托</w:t>
      </w: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kern w:val="0"/>
          <w:sz w:val="21"/>
          <w:szCs w:val="21"/>
          <w:highlight w:val="none"/>
          <w:lang w:val="zh-CN"/>
        </w:rPr>
        <w:t>（姓名）为我方代理人（身份证号码：</w:t>
      </w: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kern w:val="0"/>
          <w:sz w:val="21"/>
          <w:szCs w:val="21"/>
          <w:highlight w:val="none"/>
          <w:lang w:val="zh-CN"/>
        </w:rPr>
        <w:t>，手机：</w:t>
      </w: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none"/>
          <w:lang w:val="en-US" w:eastAsia="zh-CN"/>
        </w:rPr>
        <w:t>，所在单位：</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lang w:val="zh-CN"/>
        </w:rPr>
        <w:t>），以我方名义处理</w:t>
      </w:r>
      <w:r>
        <w:rPr>
          <w:rFonts w:hint="eastAsia" w:ascii="宋体" w:hAnsi="宋体" w:cs="宋体"/>
          <w:color w:val="auto"/>
          <w:sz w:val="21"/>
          <w:szCs w:val="21"/>
          <w:highlight w:val="none"/>
          <w:u w:val="single"/>
          <w:lang w:eastAsia="zh-CN"/>
        </w:rPr>
        <w:t>浙江省工商业联合会浙里惠企政策精准直达系统</w:t>
      </w:r>
      <w:r>
        <w:rPr>
          <w:rFonts w:hint="eastAsia" w:ascii="宋体" w:hAnsi="宋体" w:eastAsia="宋体" w:cs="宋体"/>
          <w:color w:val="auto"/>
          <w:sz w:val="21"/>
          <w:szCs w:val="21"/>
          <w:highlight w:val="none"/>
          <w:u w:val="single"/>
          <w:lang w:eastAsia="zh-CN"/>
        </w:rPr>
        <w:t>项目</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编号：</w:t>
      </w:r>
      <w:r>
        <w:rPr>
          <w:rFonts w:hint="eastAsia" w:ascii="宋体" w:hAnsi="宋体" w:cs="宋体"/>
          <w:color w:val="auto"/>
          <w:sz w:val="21"/>
          <w:szCs w:val="21"/>
          <w:highlight w:val="none"/>
          <w:u w:val="single"/>
          <w:lang w:val="en-US" w:eastAsia="zh-CN"/>
        </w:rPr>
        <w:t>330000266080010000040-ZJ-2621091</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lang w:val="zh-CN"/>
        </w:rPr>
        <w:t>政府采购投标的一切事项，其法律后果由我方承担。</w:t>
      </w:r>
    </w:p>
    <w:p w14:paraId="6892E682">
      <w:pPr>
        <w:snapToGri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委托期限</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自</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年</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月</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日起至</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年</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月</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日止。</w:t>
      </w:r>
    </w:p>
    <w:p w14:paraId="54F8BD75">
      <w:pPr>
        <w:snapToGri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特此告知。</w:t>
      </w:r>
    </w:p>
    <w:p w14:paraId="07AFD339">
      <w:pPr>
        <w:spacing w:line="360" w:lineRule="auto"/>
        <w:jc w:val="center"/>
        <w:rPr>
          <w:rFonts w:hint="eastAsia" w:ascii="宋体" w:hAnsi="宋体" w:eastAsia="宋体" w:cs="宋体"/>
          <w:b/>
          <w:color w:val="auto"/>
          <w:kern w:val="0"/>
          <w:sz w:val="21"/>
          <w:szCs w:val="21"/>
          <w:highlight w:val="none"/>
        </w:rPr>
      </w:pPr>
    </w:p>
    <w:p w14:paraId="7D28A0EA">
      <w:pPr>
        <w:spacing w:line="360" w:lineRule="auto"/>
        <w:jc w:val="center"/>
        <w:rPr>
          <w:rFonts w:hint="eastAsia" w:ascii="宋体" w:hAnsi="宋体" w:eastAsia="宋体" w:cs="宋体"/>
          <w:b/>
          <w:color w:val="auto"/>
          <w:kern w:val="0"/>
          <w:sz w:val="21"/>
          <w:szCs w:val="21"/>
          <w:highlight w:val="none"/>
        </w:rPr>
      </w:pPr>
    </w:p>
    <w:p w14:paraId="1A5E50FB">
      <w:pPr>
        <w:spacing w:line="360" w:lineRule="auto"/>
        <w:jc w:val="center"/>
        <w:rPr>
          <w:rFonts w:hint="eastAsia" w:ascii="宋体" w:hAnsi="宋体" w:eastAsia="宋体" w:cs="宋体"/>
          <w:b/>
          <w:color w:val="auto"/>
          <w:kern w:val="0"/>
          <w:sz w:val="21"/>
          <w:szCs w:val="21"/>
          <w:highlight w:val="none"/>
        </w:rPr>
      </w:pPr>
    </w:p>
    <w:p w14:paraId="6CB03D58">
      <w:pPr>
        <w:spacing w:line="360" w:lineRule="auto"/>
        <w:rPr>
          <w:rFonts w:hint="eastAsia" w:ascii="宋体" w:hAnsi="宋体" w:eastAsia="宋体" w:cs="宋体"/>
          <w:color w:val="auto"/>
          <w:sz w:val="21"/>
          <w:szCs w:val="21"/>
          <w:highlight w:val="none"/>
        </w:rPr>
      </w:pPr>
    </w:p>
    <w:p w14:paraId="3BD6D493">
      <w:pPr>
        <w:snapToGrid w:val="0"/>
        <w:spacing w:line="360" w:lineRule="auto"/>
        <w:ind w:firstLine="4410" w:firstLineChars="21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联合体成员名称(电子签名/公章)：</w:t>
      </w:r>
    </w:p>
    <w:p w14:paraId="03B029FC">
      <w:pPr>
        <w:snapToGrid w:val="0"/>
        <w:spacing w:line="360" w:lineRule="auto"/>
        <w:ind w:firstLine="4410" w:firstLineChars="21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联合体成员名称(电子签名/公章)：</w:t>
      </w:r>
    </w:p>
    <w:p w14:paraId="20BCC88D">
      <w:pPr>
        <w:snapToGrid w:val="0"/>
        <w:spacing w:line="360" w:lineRule="auto"/>
        <w:ind w:firstLine="5040" w:firstLineChars="24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w:t>
      </w:r>
    </w:p>
    <w:p w14:paraId="520AB6DB">
      <w:pPr>
        <w:snapToGrid w:val="0"/>
        <w:spacing w:line="360" w:lineRule="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                                               日期：  年  月   日</w:t>
      </w:r>
    </w:p>
    <w:p w14:paraId="79980224">
      <w:pPr>
        <w:spacing w:line="360" w:lineRule="auto"/>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zh-CN"/>
        </w:rPr>
        <w:br w:type="page"/>
      </w:r>
    </w:p>
    <w:p w14:paraId="1AB71CD0">
      <w:pPr>
        <w:autoSpaceDE/>
        <w:autoSpaceDN/>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kern w:val="0"/>
          <w:sz w:val="32"/>
          <w:szCs w:val="32"/>
          <w:highlight w:val="none"/>
          <w:lang w:val="zh-CN"/>
        </w:rPr>
        <w:t>法定代表人、单位负责人或自然人本人</w:t>
      </w:r>
      <w:r>
        <w:rPr>
          <w:rFonts w:hint="eastAsia" w:ascii="宋体" w:hAnsi="宋体" w:eastAsia="宋体" w:cs="宋体"/>
          <w:b/>
          <w:color w:val="auto"/>
          <w:sz w:val="30"/>
          <w:szCs w:val="30"/>
          <w:highlight w:val="none"/>
        </w:rPr>
        <w:t>的身份证明（适用于法定代表人、单位负责人或者自然人本人代表投标人参加投标）</w:t>
      </w:r>
    </w:p>
    <w:p w14:paraId="6FD69528">
      <w:pPr>
        <w:pStyle w:val="157"/>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身份证件扫描件：</w:t>
      </w:r>
    </w:p>
    <w:tbl>
      <w:tblPr>
        <w:tblStyle w:val="62"/>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23A6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1B219904">
            <w:pPr>
              <w:pStyle w:val="157"/>
              <w:keepNext w:val="0"/>
              <w:keepLines w:val="0"/>
              <w:suppressLineNumbers w:val="0"/>
              <w:adjustRightInd w:val="0"/>
              <w:spacing w:before="0" w:beforeAutospacing="0" w:after="0" w:afterAutospacing="0" w:line="360" w:lineRule="auto"/>
              <w:ind w:left="0" w:right="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正面：                                 反面：</w:t>
            </w:r>
          </w:p>
          <w:p w14:paraId="06E41605">
            <w:pPr>
              <w:pStyle w:val="157"/>
              <w:keepNext w:val="0"/>
              <w:keepLines w:val="0"/>
              <w:suppressLineNumbers w:val="0"/>
              <w:adjustRightInd w:val="0"/>
              <w:spacing w:before="0" w:beforeAutospacing="0" w:after="0" w:afterAutospacing="0" w:line="360" w:lineRule="auto"/>
              <w:ind w:left="0" w:right="0"/>
              <w:rPr>
                <w:rFonts w:hint="eastAsia" w:ascii="宋体" w:hAnsi="宋体" w:eastAsia="宋体" w:cs="宋体"/>
                <w:bCs/>
                <w:color w:val="auto"/>
                <w:sz w:val="24"/>
                <w:highlight w:val="none"/>
              </w:rPr>
            </w:pPr>
          </w:p>
        </w:tc>
      </w:tr>
    </w:tbl>
    <w:p w14:paraId="0B39F288">
      <w:pPr>
        <w:snapToGrid w:val="0"/>
        <w:spacing w:line="360" w:lineRule="auto"/>
        <w:ind w:firstLine="576"/>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w:t>
      </w:r>
    </w:p>
    <w:p w14:paraId="23B9D627">
      <w:pPr>
        <w:snapToGrid w:val="0"/>
        <w:spacing w:line="360" w:lineRule="auto"/>
        <w:ind w:firstLine="576"/>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投标人名称(电子签名)：                              </w:t>
      </w:r>
    </w:p>
    <w:p w14:paraId="385D31D8">
      <w:pPr>
        <w:spacing w:line="360" w:lineRule="auto"/>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日期：  年  月  日</w:t>
      </w:r>
    </w:p>
    <w:p w14:paraId="1C86E5A7">
      <w:pPr>
        <w:spacing w:line="360" w:lineRule="auto"/>
        <w:jc w:val="center"/>
        <w:rPr>
          <w:rFonts w:hint="eastAsia" w:ascii="宋体" w:hAnsi="宋体" w:eastAsia="宋体" w:cs="宋体"/>
          <w:b/>
          <w:color w:val="auto"/>
          <w:kern w:val="0"/>
          <w:sz w:val="32"/>
          <w:szCs w:val="32"/>
          <w:highlight w:val="none"/>
        </w:rPr>
      </w:pPr>
    </w:p>
    <w:p w14:paraId="798B0D4A">
      <w:pPr>
        <w:spacing w:line="360" w:lineRule="auto"/>
        <w:jc w:val="center"/>
        <w:rPr>
          <w:rFonts w:hint="eastAsia" w:ascii="宋体" w:hAnsi="宋体" w:eastAsia="宋体" w:cs="宋体"/>
          <w:b/>
          <w:color w:val="auto"/>
          <w:kern w:val="0"/>
          <w:sz w:val="32"/>
          <w:szCs w:val="32"/>
          <w:highlight w:val="none"/>
        </w:rPr>
      </w:pPr>
    </w:p>
    <w:p w14:paraId="386C236E">
      <w:pPr>
        <w:spacing w:line="360" w:lineRule="auto"/>
        <w:jc w:val="center"/>
        <w:rPr>
          <w:rFonts w:hint="eastAsia" w:ascii="宋体" w:hAnsi="宋体" w:eastAsia="宋体" w:cs="宋体"/>
          <w:b/>
          <w:color w:val="auto"/>
          <w:kern w:val="0"/>
          <w:sz w:val="32"/>
          <w:szCs w:val="32"/>
          <w:highlight w:val="none"/>
        </w:rPr>
      </w:pPr>
    </w:p>
    <w:p w14:paraId="78E06449">
      <w:pPr>
        <w:spacing w:line="360" w:lineRule="auto"/>
        <w:jc w:val="center"/>
        <w:rPr>
          <w:rFonts w:hint="eastAsia" w:ascii="宋体" w:hAnsi="宋体" w:eastAsia="宋体" w:cs="宋体"/>
          <w:b/>
          <w:color w:val="auto"/>
          <w:kern w:val="0"/>
          <w:sz w:val="32"/>
          <w:szCs w:val="32"/>
          <w:highlight w:val="none"/>
        </w:rPr>
      </w:pPr>
    </w:p>
    <w:p w14:paraId="16F64AB7">
      <w:pPr>
        <w:spacing w:line="360" w:lineRule="auto"/>
        <w:jc w:val="center"/>
        <w:rPr>
          <w:rFonts w:hint="eastAsia" w:ascii="宋体" w:hAnsi="宋体" w:eastAsia="宋体" w:cs="宋体"/>
          <w:b/>
          <w:color w:val="auto"/>
          <w:kern w:val="0"/>
          <w:sz w:val="32"/>
          <w:szCs w:val="32"/>
          <w:highlight w:val="none"/>
        </w:rPr>
      </w:pPr>
    </w:p>
    <w:p w14:paraId="1344926B">
      <w:pPr>
        <w:spacing w:line="360" w:lineRule="auto"/>
        <w:jc w:val="center"/>
        <w:rPr>
          <w:rFonts w:hint="eastAsia" w:ascii="宋体" w:hAnsi="宋体" w:eastAsia="宋体" w:cs="宋体"/>
          <w:b/>
          <w:color w:val="auto"/>
          <w:kern w:val="0"/>
          <w:sz w:val="32"/>
          <w:szCs w:val="32"/>
          <w:highlight w:val="none"/>
        </w:rPr>
      </w:pPr>
    </w:p>
    <w:p w14:paraId="135F4D38">
      <w:pPr>
        <w:spacing w:line="360" w:lineRule="auto"/>
        <w:jc w:val="center"/>
        <w:rPr>
          <w:rFonts w:hint="eastAsia" w:ascii="宋体" w:hAnsi="宋体" w:eastAsia="宋体" w:cs="宋体"/>
          <w:b/>
          <w:color w:val="auto"/>
          <w:kern w:val="0"/>
          <w:sz w:val="32"/>
          <w:szCs w:val="32"/>
          <w:highlight w:val="none"/>
        </w:rPr>
      </w:pPr>
    </w:p>
    <w:p w14:paraId="766C0A5A">
      <w:pPr>
        <w:spacing w:line="360" w:lineRule="auto"/>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br w:type="page"/>
      </w:r>
    </w:p>
    <w:p w14:paraId="63FF5476">
      <w:pPr>
        <w:spacing w:line="360" w:lineRule="auto"/>
        <w:jc w:val="center"/>
        <w:outlineLvl w:val="0"/>
        <w:rPr>
          <w:rFonts w:hint="eastAsia" w:ascii="宋体" w:hAnsi="宋体" w:eastAsia="宋体" w:cs="宋体"/>
          <w:b/>
          <w:color w:val="auto"/>
          <w:kern w:val="0"/>
          <w:sz w:val="28"/>
          <w:szCs w:val="28"/>
          <w:highlight w:val="none"/>
        </w:rPr>
      </w:pPr>
      <w:bookmarkStart w:id="451" w:name="_Toc5687"/>
      <w:r>
        <w:rPr>
          <w:rFonts w:hint="eastAsia" w:ascii="宋体" w:hAnsi="宋体" w:eastAsia="宋体" w:cs="宋体"/>
          <w:b/>
          <w:color w:val="auto"/>
          <w:kern w:val="0"/>
          <w:sz w:val="28"/>
          <w:szCs w:val="28"/>
          <w:highlight w:val="none"/>
        </w:rPr>
        <w:t>三、分包意向协议（如果有）</w:t>
      </w:r>
      <w:bookmarkEnd w:id="451"/>
    </w:p>
    <w:p w14:paraId="583E1198">
      <w:pPr>
        <w:widowControl/>
        <w:spacing w:line="360" w:lineRule="auto"/>
        <w:ind w:firstLine="120" w:firstLineChars="50"/>
        <w:jc w:val="left"/>
        <w:rPr>
          <w:rFonts w:hint="eastAsia" w:ascii="宋体" w:hAnsi="宋体" w:eastAsia="宋体" w:cs="宋体"/>
          <w:color w:val="auto"/>
          <w:kern w:val="0"/>
          <w:sz w:val="24"/>
          <w:highlight w:val="none"/>
        </w:rPr>
      </w:pPr>
      <w:bookmarkStart w:id="452" w:name="_Hlk101169080"/>
      <w:r>
        <w:rPr>
          <w:rFonts w:hint="eastAsia" w:ascii="宋体" w:hAnsi="宋体" w:eastAsia="宋体" w:cs="宋体"/>
          <w:color w:val="auto"/>
          <w:sz w:val="24"/>
          <w:highlight w:val="none"/>
        </w:rPr>
        <w:t>[</w:t>
      </w:r>
      <w:r>
        <w:rPr>
          <w:rFonts w:hint="eastAsia" w:ascii="宋体" w:hAnsi="宋体" w:eastAsia="宋体" w:cs="宋体"/>
          <w:b/>
          <w:color w:val="auto"/>
          <w:sz w:val="24"/>
          <w:highlight w:val="none"/>
        </w:rPr>
        <w:t>中标后以分包方式履行合同的，提供分包意向协议(附件6)；采购人不同意分包或者投标人中标后不以分包方式履行合同的，则不需要提供。</w:t>
      </w:r>
      <w:r>
        <w:rPr>
          <w:rFonts w:hint="eastAsia" w:ascii="宋体" w:hAnsi="宋体" w:eastAsia="宋体" w:cs="宋体"/>
          <w:color w:val="auto"/>
          <w:sz w:val="24"/>
          <w:highlight w:val="none"/>
        </w:rPr>
        <w:t>]</w:t>
      </w:r>
      <w:bookmarkEnd w:id="452"/>
    </w:p>
    <w:p w14:paraId="293978F3">
      <w:pPr>
        <w:spacing w:line="360" w:lineRule="auto"/>
        <w:jc w:val="center"/>
        <w:rPr>
          <w:rFonts w:hint="eastAsia" w:ascii="宋体" w:hAnsi="宋体" w:eastAsia="宋体" w:cs="宋体"/>
          <w:b/>
          <w:color w:val="auto"/>
          <w:kern w:val="0"/>
          <w:sz w:val="32"/>
          <w:szCs w:val="32"/>
          <w:highlight w:val="none"/>
        </w:rPr>
      </w:pPr>
    </w:p>
    <w:p w14:paraId="568C8FFC">
      <w:pPr>
        <w:spacing w:line="360" w:lineRule="auto"/>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br w:type="page"/>
      </w:r>
    </w:p>
    <w:p w14:paraId="2771BEDC">
      <w:pPr>
        <w:spacing w:line="360" w:lineRule="auto"/>
        <w:jc w:val="center"/>
        <w:outlineLvl w:val="0"/>
        <w:rPr>
          <w:rFonts w:hint="eastAsia" w:ascii="宋体" w:hAnsi="宋体" w:eastAsia="宋体" w:cs="宋体"/>
          <w:b/>
          <w:color w:val="auto"/>
          <w:kern w:val="0"/>
          <w:sz w:val="28"/>
          <w:szCs w:val="28"/>
          <w:highlight w:val="none"/>
        </w:rPr>
      </w:pPr>
      <w:bookmarkStart w:id="453" w:name="_Toc3817"/>
      <w:r>
        <w:rPr>
          <w:rFonts w:hint="eastAsia" w:ascii="宋体" w:hAnsi="宋体" w:eastAsia="宋体" w:cs="宋体"/>
          <w:b/>
          <w:color w:val="auto"/>
          <w:kern w:val="0"/>
          <w:sz w:val="28"/>
          <w:szCs w:val="28"/>
          <w:highlight w:val="none"/>
        </w:rPr>
        <w:t>四、符合性审查资料</w:t>
      </w:r>
      <w:bookmarkEnd w:id="453"/>
    </w:p>
    <w:tbl>
      <w:tblPr>
        <w:tblStyle w:val="62"/>
        <w:tblW w:w="90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684"/>
        <w:gridCol w:w="2635"/>
        <w:gridCol w:w="2047"/>
      </w:tblGrid>
      <w:tr w14:paraId="64F92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369910F5">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3684" w:type="dxa"/>
            <w:vAlign w:val="center"/>
          </w:tcPr>
          <w:p w14:paraId="4BE57F1D">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实质性要求</w:t>
            </w:r>
          </w:p>
        </w:tc>
        <w:tc>
          <w:tcPr>
            <w:tcW w:w="2635" w:type="dxa"/>
            <w:vAlign w:val="center"/>
          </w:tcPr>
          <w:p w14:paraId="083A2FE9">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需要提供的符合性审查资料</w:t>
            </w:r>
          </w:p>
        </w:tc>
        <w:tc>
          <w:tcPr>
            <w:tcW w:w="2047" w:type="dxa"/>
            <w:vAlign w:val="center"/>
          </w:tcPr>
          <w:p w14:paraId="08C45FBA">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投标文件中的</w:t>
            </w:r>
          </w:p>
          <w:p w14:paraId="4992C985">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页码位置</w:t>
            </w:r>
          </w:p>
        </w:tc>
      </w:tr>
      <w:tr w14:paraId="29EDF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D0007A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3684" w:type="dxa"/>
            <w:vAlign w:val="center"/>
          </w:tcPr>
          <w:p w14:paraId="0E0BFEFC">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投标文件按照招标文件要求签署、盖章。</w:t>
            </w:r>
          </w:p>
        </w:tc>
        <w:tc>
          <w:tcPr>
            <w:tcW w:w="2635" w:type="dxa"/>
            <w:vAlign w:val="center"/>
          </w:tcPr>
          <w:p w14:paraId="371931D3">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需要使用电子签名或者签字盖章的投标文件的组成部分</w:t>
            </w:r>
          </w:p>
        </w:tc>
        <w:tc>
          <w:tcPr>
            <w:tcW w:w="2047" w:type="dxa"/>
          </w:tcPr>
          <w:p w14:paraId="19443E83">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highlight w:val="none"/>
              </w:rPr>
            </w:pPr>
          </w:p>
          <w:p w14:paraId="09C4058D">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见投标文件</w:t>
            </w:r>
          </w:p>
          <w:p w14:paraId="3CB05F0C">
            <w:pPr>
              <w:keepNext w:val="0"/>
              <w:keepLines w:val="0"/>
              <w:suppressLineNumbers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sz w:val="24"/>
                <w:highlight w:val="none"/>
              </w:rPr>
              <w:t>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页</w:t>
            </w:r>
          </w:p>
        </w:tc>
      </w:tr>
      <w:tr w14:paraId="74F64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279B72D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3684" w:type="dxa"/>
            <w:vAlign w:val="center"/>
          </w:tcPr>
          <w:p w14:paraId="790E6E06">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投标文件中承诺的投标有效期不少于招标文件中载明的投标有效期。</w:t>
            </w:r>
          </w:p>
        </w:tc>
        <w:tc>
          <w:tcPr>
            <w:tcW w:w="2635" w:type="dxa"/>
            <w:vAlign w:val="center"/>
          </w:tcPr>
          <w:p w14:paraId="7E5F2134">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投标函</w:t>
            </w:r>
          </w:p>
        </w:tc>
        <w:tc>
          <w:tcPr>
            <w:tcW w:w="2047" w:type="dxa"/>
          </w:tcPr>
          <w:p w14:paraId="61F0D1F7">
            <w:pPr>
              <w:keepNext w:val="0"/>
              <w:keepLines w:val="0"/>
              <w:suppressLineNumbers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sz w:val="24"/>
                <w:highlight w:val="none"/>
              </w:rPr>
              <w:t>见投标文件第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页</w:t>
            </w:r>
          </w:p>
        </w:tc>
      </w:tr>
      <w:tr w14:paraId="431EC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171D3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b w:val="0"/>
                <w:bCs w:val="0"/>
                <w:color w:val="auto"/>
                <w:sz w:val="24"/>
                <w:highlight w:val="none"/>
                <w:lang w:val="en-US" w:eastAsia="zh-CN"/>
              </w:rPr>
              <w:t>3</w:t>
            </w:r>
          </w:p>
        </w:tc>
        <w:tc>
          <w:tcPr>
            <w:tcW w:w="3684" w:type="dxa"/>
            <w:vAlign w:val="center"/>
          </w:tcPr>
          <w:p w14:paraId="4D67A6FB">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4"/>
                <w:highlight w:val="none"/>
              </w:rPr>
            </w:pPr>
            <w:r>
              <w:rPr>
                <w:rFonts w:hint="eastAsia" w:ascii="宋体" w:hAnsi="宋体" w:eastAsia="宋体" w:cs="宋体"/>
                <w:b w:val="0"/>
                <w:bCs w:val="0"/>
                <w:snapToGrid w:val="0"/>
                <w:color w:val="auto"/>
                <w:sz w:val="24"/>
                <w:highlight w:val="none"/>
                <w:lang w:val="en-US" w:eastAsia="zh-CN"/>
              </w:rPr>
              <w:t>其他实质性要求1：</w:t>
            </w:r>
          </w:p>
        </w:tc>
        <w:tc>
          <w:tcPr>
            <w:tcW w:w="2635" w:type="dxa"/>
            <w:vMerge w:val="restart"/>
            <w:vAlign w:val="center"/>
          </w:tcPr>
          <w:p w14:paraId="10F21152">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highlight w:val="none"/>
              </w:rPr>
            </w:pPr>
            <w:r>
              <w:rPr>
                <w:rFonts w:hint="eastAsia" w:ascii="宋体" w:hAnsi="宋体" w:eastAsia="宋体" w:cs="宋体"/>
                <w:b w:val="0"/>
                <w:bCs w:val="0"/>
                <w:color w:val="auto"/>
                <w:kern w:val="0"/>
                <w:sz w:val="24"/>
                <w:highlight w:val="none"/>
              </w:rPr>
              <w:t>招标文件</w:t>
            </w:r>
            <w:r>
              <w:rPr>
                <w:rFonts w:hint="eastAsia" w:ascii="宋体" w:hAnsi="宋体" w:eastAsia="宋体" w:cs="宋体"/>
                <w:b w:val="0"/>
                <w:bCs w:val="0"/>
                <w:color w:val="auto"/>
                <w:kern w:val="0"/>
                <w:sz w:val="24"/>
                <w:highlight w:val="none"/>
                <w:lang w:eastAsia="zh-CN"/>
              </w:rPr>
              <w:t>其他</w:t>
            </w:r>
            <w:r>
              <w:rPr>
                <w:rFonts w:hint="eastAsia" w:ascii="宋体" w:hAnsi="宋体" w:eastAsia="宋体" w:cs="宋体"/>
                <w:b w:val="0"/>
                <w:bCs w:val="0"/>
                <w:color w:val="auto"/>
                <w:kern w:val="0"/>
                <w:sz w:val="24"/>
                <w:highlight w:val="none"/>
              </w:rPr>
              <w:t>实质性要求相应的材料（“▲” 系指实质性要求条款，招标文件</w:t>
            </w:r>
            <w:r>
              <w:rPr>
                <w:rFonts w:hint="eastAsia" w:ascii="宋体" w:hAnsi="宋体" w:eastAsia="宋体" w:cs="宋体"/>
                <w:b w:val="0"/>
                <w:bCs w:val="0"/>
                <w:color w:val="auto"/>
                <w:kern w:val="0"/>
                <w:sz w:val="24"/>
                <w:highlight w:val="none"/>
                <w:lang w:eastAsia="zh-CN"/>
              </w:rPr>
              <w:t>无其他</w:t>
            </w:r>
            <w:r>
              <w:rPr>
                <w:rFonts w:hint="eastAsia" w:ascii="宋体" w:hAnsi="宋体" w:eastAsia="宋体" w:cs="宋体"/>
                <w:b w:val="0"/>
                <w:bCs w:val="0"/>
                <w:color w:val="auto"/>
                <w:kern w:val="0"/>
                <w:sz w:val="24"/>
                <w:highlight w:val="none"/>
              </w:rPr>
              <w:t>实质性要求的，无需提供）</w:t>
            </w:r>
          </w:p>
        </w:tc>
        <w:tc>
          <w:tcPr>
            <w:tcW w:w="2047" w:type="dxa"/>
          </w:tcPr>
          <w:p w14:paraId="38D4522A">
            <w:pPr>
              <w:keepNext w:val="0"/>
              <w:keepLines w:val="0"/>
              <w:suppressLineNumbers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b w:val="0"/>
                <w:bCs w:val="0"/>
                <w:color w:val="auto"/>
                <w:sz w:val="24"/>
                <w:highlight w:val="none"/>
              </w:rPr>
              <w:t>见投标文件第</w:t>
            </w:r>
            <w:r>
              <w:rPr>
                <w:rFonts w:hint="eastAsia" w:ascii="宋体" w:hAnsi="宋体" w:eastAsia="宋体" w:cs="宋体"/>
                <w:b w:val="0"/>
                <w:bCs w:val="0"/>
                <w:color w:val="auto"/>
                <w:sz w:val="24"/>
                <w:highlight w:val="none"/>
                <w:u w:val="single"/>
              </w:rPr>
              <w:t xml:space="preserve">  </w:t>
            </w:r>
            <w:r>
              <w:rPr>
                <w:rFonts w:hint="eastAsia" w:ascii="宋体" w:hAnsi="宋体" w:eastAsia="宋体" w:cs="宋体"/>
                <w:b w:val="0"/>
                <w:bCs w:val="0"/>
                <w:color w:val="auto"/>
                <w:sz w:val="24"/>
                <w:highlight w:val="none"/>
              </w:rPr>
              <w:t>页</w:t>
            </w:r>
          </w:p>
        </w:tc>
      </w:tr>
      <w:tr w14:paraId="4583C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874F934">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4</w:t>
            </w:r>
          </w:p>
        </w:tc>
        <w:tc>
          <w:tcPr>
            <w:tcW w:w="3684" w:type="dxa"/>
            <w:vAlign w:val="center"/>
          </w:tcPr>
          <w:p w14:paraId="55B2D07F">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4"/>
                <w:highlight w:val="none"/>
              </w:rPr>
            </w:pPr>
            <w:r>
              <w:rPr>
                <w:rFonts w:hint="eastAsia" w:ascii="宋体" w:hAnsi="宋体" w:eastAsia="宋体" w:cs="宋体"/>
                <w:b w:val="0"/>
                <w:bCs w:val="0"/>
                <w:snapToGrid w:val="0"/>
                <w:color w:val="auto"/>
                <w:sz w:val="24"/>
                <w:highlight w:val="none"/>
                <w:lang w:val="en-US" w:eastAsia="zh-CN"/>
              </w:rPr>
              <w:t>其他实质性要求2：</w:t>
            </w:r>
          </w:p>
        </w:tc>
        <w:tc>
          <w:tcPr>
            <w:tcW w:w="2635" w:type="dxa"/>
            <w:vMerge w:val="continue"/>
            <w:vAlign w:val="center"/>
          </w:tcPr>
          <w:p w14:paraId="6B364DD9">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highlight w:val="none"/>
                <w:lang w:val="en-US" w:eastAsia="zh-CN"/>
              </w:rPr>
            </w:pPr>
          </w:p>
        </w:tc>
        <w:tc>
          <w:tcPr>
            <w:tcW w:w="2047" w:type="dxa"/>
          </w:tcPr>
          <w:p w14:paraId="5FFC4D5F">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rPr>
              <w:t>见投标文件第</w:t>
            </w:r>
            <w:r>
              <w:rPr>
                <w:rFonts w:hint="eastAsia" w:ascii="宋体" w:hAnsi="宋体" w:eastAsia="宋体" w:cs="宋体"/>
                <w:b w:val="0"/>
                <w:bCs w:val="0"/>
                <w:color w:val="auto"/>
                <w:sz w:val="24"/>
                <w:highlight w:val="none"/>
                <w:u w:val="single"/>
              </w:rPr>
              <w:t xml:space="preserve">  </w:t>
            </w:r>
            <w:r>
              <w:rPr>
                <w:rFonts w:hint="eastAsia" w:ascii="宋体" w:hAnsi="宋体" w:eastAsia="宋体" w:cs="宋体"/>
                <w:b w:val="0"/>
                <w:bCs w:val="0"/>
                <w:color w:val="auto"/>
                <w:sz w:val="24"/>
                <w:highlight w:val="none"/>
              </w:rPr>
              <w:t>页</w:t>
            </w:r>
          </w:p>
        </w:tc>
      </w:tr>
      <w:tr w14:paraId="58093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DBE0672">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highlight w:val="none"/>
                <w:lang w:val="en-US" w:eastAsia="zh-CN"/>
              </w:rPr>
            </w:pPr>
          </w:p>
        </w:tc>
        <w:tc>
          <w:tcPr>
            <w:tcW w:w="3684" w:type="dxa"/>
            <w:vAlign w:val="center"/>
          </w:tcPr>
          <w:p w14:paraId="5D692DB6">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4"/>
                <w:highlight w:val="none"/>
              </w:rPr>
            </w:pPr>
            <w:r>
              <w:rPr>
                <w:rFonts w:hint="eastAsia" w:ascii="宋体" w:hAnsi="宋体" w:eastAsia="宋体" w:cs="宋体"/>
                <w:b w:val="0"/>
                <w:bCs w:val="0"/>
                <w:snapToGrid w:val="0"/>
                <w:color w:val="auto"/>
                <w:sz w:val="24"/>
                <w:highlight w:val="none"/>
                <w:lang w:val="en-US" w:eastAsia="zh-CN"/>
              </w:rPr>
              <w:t>其他实质性要求</w:t>
            </w:r>
            <w:r>
              <w:rPr>
                <w:rFonts w:hint="eastAsia" w:ascii="宋体" w:hAnsi="宋体" w:eastAsia="宋体" w:cs="宋体"/>
                <w:color w:val="auto"/>
                <w:kern w:val="0"/>
                <w:sz w:val="24"/>
                <w:highlight w:val="none"/>
              </w:rPr>
              <w:t>……</w:t>
            </w:r>
            <w:r>
              <w:rPr>
                <w:rFonts w:hint="eastAsia" w:ascii="宋体" w:hAnsi="宋体" w:eastAsia="宋体" w:cs="宋体"/>
                <w:b w:val="0"/>
                <w:bCs w:val="0"/>
                <w:snapToGrid w:val="0"/>
                <w:color w:val="auto"/>
                <w:sz w:val="24"/>
                <w:highlight w:val="none"/>
                <w:lang w:val="en-US" w:eastAsia="zh-CN"/>
              </w:rPr>
              <w:t>：</w:t>
            </w:r>
          </w:p>
        </w:tc>
        <w:tc>
          <w:tcPr>
            <w:tcW w:w="2635" w:type="dxa"/>
            <w:vMerge w:val="continue"/>
            <w:vAlign w:val="center"/>
          </w:tcPr>
          <w:p w14:paraId="4EAAB01C">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highlight w:val="none"/>
                <w:lang w:val="en-US" w:eastAsia="zh-CN"/>
              </w:rPr>
            </w:pPr>
          </w:p>
        </w:tc>
        <w:tc>
          <w:tcPr>
            <w:tcW w:w="2047" w:type="dxa"/>
          </w:tcPr>
          <w:p w14:paraId="525FA885">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rPr>
              <w:t>见投标文件第</w:t>
            </w:r>
            <w:r>
              <w:rPr>
                <w:rFonts w:hint="eastAsia" w:ascii="宋体" w:hAnsi="宋体" w:eastAsia="宋体" w:cs="宋体"/>
                <w:b w:val="0"/>
                <w:bCs w:val="0"/>
                <w:color w:val="auto"/>
                <w:sz w:val="24"/>
                <w:highlight w:val="none"/>
                <w:u w:val="single"/>
              </w:rPr>
              <w:t xml:space="preserve">  </w:t>
            </w:r>
            <w:r>
              <w:rPr>
                <w:rFonts w:hint="eastAsia" w:ascii="宋体" w:hAnsi="宋体" w:eastAsia="宋体" w:cs="宋体"/>
                <w:b w:val="0"/>
                <w:bCs w:val="0"/>
                <w:color w:val="auto"/>
                <w:sz w:val="24"/>
                <w:highlight w:val="none"/>
              </w:rPr>
              <w:t>页</w:t>
            </w:r>
          </w:p>
        </w:tc>
      </w:tr>
    </w:tbl>
    <w:p w14:paraId="5FA8843A">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按本格式和要求提供。</w:t>
      </w:r>
    </w:p>
    <w:p w14:paraId="69F182C1">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招标文件中实质性要求必须明确响应。</w:t>
      </w:r>
    </w:p>
    <w:p w14:paraId="438E40D3">
      <w:pPr>
        <w:pStyle w:val="87"/>
        <w:spacing w:line="360" w:lineRule="auto"/>
        <w:rPr>
          <w:rFonts w:hint="eastAsia" w:ascii="宋体" w:hAnsi="宋体" w:eastAsia="宋体" w:cs="宋体"/>
          <w:color w:val="auto"/>
          <w:highlight w:val="none"/>
        </w:rPr>
      </w:pPr>
    </w:p>
    <w:p w14:paraId="6455B2D8">
      <w:pPr>
        <w:spacing w:line="360" w:lineRule="auto"/>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五、评标标准相应的商务技术资料</w:t>
      </w:r>
    </w:p>
    <w:p w14:paraId="246C463E">
      <w:pPr>
        <w:snapToGrid w:val="0"/>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（按招标文件第四部分评标办法前附表中“投标文件中评标标准相应的商务技术资料目录”提供资料。）</w:t>
      </w:r>
    </w:p>
    <w:tbl>
      <w:tblPr>
        <w:tblStyle w:val="63"/>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5283"/>
        <w:gridCol w:w="2943"/>
      </w:tblGrid>
      <w:tr w14:paraId="29654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772" w:type="dxa"/>
          </w:tcPr>
          <w:p w14:paraId="3A7EB9A0">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序号</w:t>
            </w:r>
          </w:p>
        </w:tc>
        <w:tc>
          <w:tcPr>
            <w:tcW w:w="5283" w:type="dxa"/>
          </w:tcPr>
          <w:p w14:paraId="480AA939">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b w:val="0"/>
                <w:bCs/>
                <w:color w:val="auto"/>
                <w:sz w:val="24"/>
                <w:highlight w:val="none"/>
                <w:vertAlign w:val="baseline"/>
              </w:rPr>
            </w:pPr>
            <w:r>
              <w:rPr>
                <w:rFonts w:hint="eastAsia" w:ascii="宋体" w:hAnsi="宋体" w:eastAsia="宋体" w:cs="宋体"/>
                <w:b w:val="0"/>
                <w:bCs/>
                <w:color w:val="auto"/>
                <w:sz w:val="24"/>
                <w:highlight w:val="none"/>
              </w:rPr>
              <w:t>投标文件中评标标准相应的商务技术资料目录*</w:t>
            </w:r>
          </w:p>
        </w:tc>
        <w:tc>
          <w:tcPr>
            <w:tcW w:w="2943" w:type="dxa"/>
          </w:tcPr>
          <w:p w14:paraId="00E93126">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b w:val="0"/>
                <w:bCs/>
                <w:color w:val="auto"/>
                <w:sz w:val="24"/>
                <w:highlight w:val="none"/>
                <w:vertAlign w:val="baseline"/>
                <w:lang w:val="en-US" w:eastAsia="zh-CN"/>
              </w:rPr>
            </w:pPr>
            <w:r>
              <w:rPr>
                <w:rFonts w:hint="eastAsia" w:ascii="宋体" w:hAnsi="宋体" w:eastAsia="宋体" w:cs="宋体"/>
                <w:b w:val="0"/>
                <w:bCs/>
                <w:color w:val="auto"/>
                <w:sz w:val="24"/>
                <w:highlight w:val="none"/>
              </w:rPr>
              <w:t>投标文件中的页码位置</w:t>
            </w:r>
          </w:p>
        </w:tc>
      </w:tr>
      <w:tr w14:paraId="49057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772" w:type="dxa"/>
          </w:tcPr>
          <w:p w14:paraId="7F6D2F49">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b w:val="0"/>
                <w:bCs/>
                <w:color w:val="auto"/>
                <w:sz w:val="24"/>
                <w:highlight w:val="none"/>
                <w:vertAlign w:val="baseline"/>
                <w:lang w:val="en-US" w:eastAsia="zh-CN"/>
              </w:rPr>
            </w:pPr>
            <w:r>
              <w:rPr>
                <w:rFonts w:hint="eastAsia" w:ascii="宋体" w:hAnsi="宋体" w:eastAsia="宋体" w:cs="宋体"/>
                <w:b w:val="0"/>
                <w:bCs/>
                <w:color w:val="auto"/>
                <w:sz w:val="24"/>
                <w:highlight w:val="none"/>
                <w:vertAlign w:val="baseline"/>
                <w:lang w:val="en-US" w:eastAsia="zh-CN"/>
              </w:rPr>
              <w:t>1</w:t>
            </w:r>
          </w:p>
        </w:tc>
        <w:tc>
          <w:tcPr>
            <w:tcW w:w="5283" w:type="dxa"/>
          </w:tcPr>
          <w:p w14:paraId="184A1BDC">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b w:val="0"/>
                <w:bCs/>
                <w:color w:val="auto"/>
                <w:sz w:val="24"/>
                <w:highlight w:val="none"/>
                <w:vertAlign w:val="baseline"/>
                <w:lang w:val="en-US" w:eastAsia="zh-CN"/>
              </w:rPr>
            </w:pPr>
            <w:r>
              <w:rPr>
                <w:rFonts w:hint="eastAsia" w:ascii="宋体" w:hAnsi="宋体" w:eastAsia="宋体" w:cs="宋体"/>
                <w:b w:val="0"/>
                <w:bCs/>
                <w:color w:val="auto"/>
                <w:sz w:val="24"/>
                <w:highlight w:val="none"/>
                <w:vertAlign w:val="baseline"/>
                <w:lang w:val="en-US" w:eastAsia="zh-CN"/>
              </w:rPr>
              <w:t>XXX（预先填写）</w:t>
            </w:r>
          </w:p>
        </w:tc>
        <w:tc>
          <w:tcPr>
            <w:tcW w:w="2943" w:type="dxa"/>
          </w:tcPr>
          <w:p w14:paraId="5BF49609">
            <w:pPr>
              <w:keepNext w:val="0"/>
              <w:keepLines w:val="0"/>
              <w:suppressLineNumbers w:val="0"/>
              <w:snapToGrid/>
              <w:spacing w:before="0" w:beforeAutospacing="0" w:after="0" w:afterAutospacing="0" w:line="360" w:lineRule="auto"/>
              <w:ind w:left="0" w:right="0"/>
              <w:jc w:val="center"/>
              <w:rPr>
                <w:rFonts w:hint="eastAsia" w:ascii="宋体" w:hAnsi="宋体" w:eastAsia="宋体" w:cs="宋体"/>
                <w:b w:val="0"/>
                <w:bCs/>
                <w:color w:val="auto"/>
                <w:sz w:val="24"/>
                <w:highlight w:val="none"/>
                <w:vertAlign w:val="baseline"/>
              </w:rPr>
            </w:pPr>
            <w:r>
              <w:rPr>
                <w:rFonts w:hint="eastAsia" w:ascii="宋体" w:hAnsi="宋体" w:eastAsia="宋体" w:cs="宋体"/>
                <w:b w:val="0"/>
                <w:bCs/>
                <w:color w:val="auto"/>
                <w:sz w:val="24"/>
                <w:highlight w:val="none"/>
              </w:rPr>
              <w:t>见投标文件第</w:t>
            </w:r>
            <w:r>
              <w:rPr>
                <w:rFonts w:hint="eastAsia" w:ascii="宋体" w:hAnsi="宋体" w:eastAsia="宋体" w:cs="宋体"/>
                <w:b w:val="0"/>
                <w:bCs/>
                <w:color w:val="auto"/>
                <w:sz w:val="24"/>
                <w:highlight w:val="none"/>
                <w:u w:val="single"/>
              </w:rPr>
              <w:t xml:space="preserve">  </w:t>
            </w:r>
            <w:r>
              <w:rPr>
                <w:rFonts w:hint="eastAsia" w:ascii="宋体" w:hAnsi="宋体" w:eastAsia="宋体" w:cs="宋体"/>
                <w:b w:val="0"/>
                <w:bCs/>
                <w:color w:val="auto"/>
                <w:sz w:val="24"/>
                <w:highlight w:val="none"/>
              </w:rPr>
              <w:t>页</w:t>
            </w:r>
          </w:p>
        </w:tc>
      </w:tr>
      <w:tr w14:paraId="7E51E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772" w:type="dxa"/>
          </w:tcPr>
          <w:p w14:paraId="01320B87">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b w:val="0"/>
                <w:bCs/>
                <w:color w:val="auto"/>
                <w:sz w:val="24"/>
                <w:highlight w:val="none"/>
                <w:vertAlign w:val="baseline"/>
                <w:lang w:val="en-US" w:eastAsia="zh-CN"/>
              </w:rPr>
            </w:pPr>
            <w:r>
              <w:rPr>
                <w:rFonts w:hint="eastAsia" w:ascii="宋体" w:hAnsi="宋体" w:eastAsia="宋体" w:cs="宋体"/>
                <w:b w:val="0"/>
                <w:bCs/>
                <w:color w:val="auto"/>
                <w:sz w:val="24"/>
                <w:highlight w:val="none"/>
                <w:vertAlign w:val="baseline"/>
                <w:lang w:val="en-US" w:eastAsia="zh-CN"/>
              </w:rPr>
              <w:t>2</w:t>
            </w:r>
          </w:p>
        </w:tc>
        <w:tc>
          <w:tcPr>
            <w:tcW w:w="5283" w:type="dxa"/>
          </w:tcPr>
          <w:p w14:paraId="4E3956CC">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b w:val="0"/>
                <w:bCs/>
                <w:color w:val="auto"/>
                <w:sz w:val="24"/>
                <w:highlight w:val="none"/>
                <w:vertAlign w:val="baseline"/>
                <w:lang w:val="en-US" w:eastAsia="zh-CN"/>
              </w:rPr>
            </w:pPr>
            <w:r>
              <w:rPr>
                <w:rFonts w:hint="eastAsia" w:ascii="宋体" w:hAnsi="宋体" w:eastAsia="宋体" w:cs="宋体"/>
                <w:b w:val="0"/>
                <w:bCs/>
                <w:color w:val="auto"/>
                <w:sz w:val="24"/>
                <w:highlight w:val="none"/>
                <w:vertAlign w:val="baseline"/>
                <w:lang w:val="en-US" w:eastAsia="zh-CN"/>
              </w:rPr>
              <w:t>XXX</w:t>
            </w:r>
          </w:p>
        </w:tc>
        <w:tc>
          <w:tcPr>
            <w:tcW w:w="2943" w:type="dxa"/>
          </w:tcPr>
          <w:p w14:paraId="1F39E8B9">
            <w:pPr>
              <w:keepNext w:val="0"/>
              <w:keepLines w:val="0"/>
              <w:suppressLineNumbers w:val="0"/>
              <w:snapToGrid/>
              <w:spacing w:before="0" w:beforeAutospacing="0" w:after="0" w:afterAutospacing="0" w:line="360" w:lineRule="auto"/>
              <w:ind w:left="0" w:right="0"/>
              <w:jc w:val="center"/>
              <w:rPr>
                <w:rFonts w:hint="eastAsia" w:ascii="宋体" w:hAnsi="宋体" w:eastAsia="宋体" w:cs="宋体"/>
                <w:b w:val="0"/>
                <w:bCs/>
                <w:color w:val="auto"/>
                <w:sz w:val="24"/>
                <w:highlight w:val="none"/>
                <w:vertAlign w:val="baseline"/>
              </w:rPr>
            </w:pPr>
            <w:r>
              <w:rPr>
                <w:rFonts w:hint="eastAsia" w:ascii="宋体" w:hAnsi="宋体" w:eastAsia="宋体" w:cs="宋体"/>
                <w:b w:val="0"/>
                <w:bCs/>
                <w:color w:val="auto"/>
                <w:sz w:val="24"/>
                <w:highlight w:val="none"/>
              </w:rPr>
              <w:t>见投标文件第</w:t>
            </w:r>
            <w:r>
              <w:rPr>
                <w:rFonts w:hint="eastAsia" w:ascii="宋体" w:hAnsi="宋体" w:eastAsia="宋体" w:cs="宋体"/>
                <w:b w:val="0"/>
                <w:bCs/>
                <w:color w:val="auto"/>
                <w:sz w:val="24"/>
                <w:highlight w:val="none"/>
                <w:u w:val="single"/>
              </w:rPr>
              <w:t xml:space="preserve">  </w:t>
            </w:r>
            <w:r>
              <w:rPr>
                <w:rFonts w:hint="eastAsia" w:ascii="宋体" w:hAnsi="宋体" w:eastAsia="宋体" w:cs="宋体"/>
                <w:b w:val="0"/>
                <w:bCs/>
                <w:color w:val="auto"/>
                <w:sz w:val="24"/>
                <w:highlight w:val="none"/>
              </w:rPr>
              <w:t>页</w:t>
            </w:r>
          </w:p>
        </w:tc>
      </w:tr>
      <w:tr w14:paraId="68196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772" w:type="dxa"/>
          </w:tcPr>
          <w:p w14:paraId="65AAFC0C">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b w:val="0"/>
                <w:bCs/>
                <w:color w:val="auto"/>
                <w:sz w:val="24"/>
                <w:highlight w:val="none"/>
                <w:vertAlign w:val="baseline"/>
                <w:lang w:val="en-US" w:eastAsia="zh-CN"/>
              </w:rPr>
            </w:pPr>
            <w:r>
              <w:rPr>
                <w:rFonts w:hint="eastAsia" w:ascii="宋体" w:hAnsi="宋体" w:eastAsia="宋体" w:cs="宋体"/>
                <w:color w:val="auto"/>
                <w:kern w:val="0"/>
                <w:sz w:val="24"/>
                <w:highlight w:val="none"/>
              </w:rPr>
              <w:t>……</w:t>
            </w:r>
          </w:p>
        </w:tc>
        <w:tc>
          <w:tcPr>
            <w:tcW w:w="5283" w:type="dxa"/>
          </w:tcPr>
          <w:p w14:paraId="0496ED72">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b w:val="0"/>
                <w:bCs/>
                <w:color w:val="auto"/>
                <w:sz w:val="24"/>
                <w:highlight w:val="none"/>
                <w:vertAlign w:val="baseline"/>
              </w:rPr>
            </w:pPr>
          </w:p>
        </w:tc>
        <w:tc>
          <w:tcPr>
            <w:tcW w:w="2943" w:type="dxa"/>
          </w:tcPr>
          <w:p w14:paraId="32471DD2">
            <w:pPr>
              <w:keepNext w:val="0"/>
              <w:keepLines w:val="0"/>
              <w:suppressLineNumbers w:val="0"/>
              <w:snapToGrid/>
              <w:spacing w:before="0" w:beforeAutospacing="0" w:after="0" w:afterAutospacing="0" w:line="360" w:lineRule="auto"/>
              <w:ind w:left="0" w:right="0"/>
              <w:jc w:val="center"/>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见投标文件第</w:t>
            </w:r>
            <w:r>
              <w:rPr>
                <w:rFonts w:hint="eastAsia" w:ascii="宋体" w:hAnsi="宋体" w:eastAsia="宋体" w:cs="宋体"/>
                <w:b w:val="0"/>
                <w:bCs/>
                <w:color w:val="auto"/>
                <w:sz w:val="24"/>
                <w:highlight w:val="none"/>
                <w:u w:val="single"/>
              </w:rPr>
              <w:t xml:space="preserve">  </w:t>
            </w:r>
            <w:r>
              <w:rPr>
                <w:rFonts w:hint="eastAsia" w:ascii="宋体" w:hAnsi="宋体" w:eastAsia="宋体" w:cs="宋体"/>
                <w:b w:val="0"/>
                <w:bCs/>
                <w:color w:val="auto"/>
                <w:sz w:val="24"/>
                <w:highlight w:val="none"/>
              </w:rPr>
              <w:t>页</w:t>
            </w:r>
          </w:p>
        </w:tc>
      </w:tr>
    </w:tbl>
    <w:p w14:paraId="133C40DF">
      <w:pPr>
        <w:pStyle w:val="87"/>
        <w:spacing w:line="360" w:lineRule="auto"/>
        <w:rPr>
          <w:rFonts w:hint="eastAsia" w:ascii="宋体" w:hAnsi="宋体" w:eastAsia="宋体" w:cs="宋体"/>
          <w:color w:val="auto"/>
          <w:highlight w:val="none"/>
        </w:rPr>
      </w:pPr>
    </w:p>
    <w:p w14:paraId="3E42E633">
      <w:pPr>
        <w:spacing w:line="360" w:lineRule="auto"/>
        <w:jc w:val="center"/>
        <w:rPr>
          <w:rFonts w:hint="eastAsia" w:ascii="宋体" w:hAnsi="宋体" w:eastAsia="宋体" w:cs="宋体"/>
          <w:b/>
          <w:color w:val="auto"/>
          <w:kern w:val="0"/>
          <w:sz w:val="32"/>
          <w:szCs w:val="32"/>
          <w:highlight w:val="none"/>
        </w:rPr>
      </w:pPr>
    </w:p>
    <w:p w14:paraId="3786AA45">
      <w:pPr>
        <w:spacing w:line="360" w:lineRule="auto"/>
        <w:jc w:val="center"/>
        <w:rPr>
          <w:rFonts w:hint="eastAsia" w:ascii="宋体" w:hAnsi="宋体" w:eastAsia="宋体" w:cs="宋体"/>
          <w:b/>
          <w:color w:val="auto"/>
          <w:kern w:val="0"/>
          <w:sz w:val="21"/>
          <w:szCs w:val="21"/>
          <w:highlight w:val="none"/>
        </w:rPr>
      </w:pPr>
      <w:bookmarkStart w:id="454" w:name="_Toc1273"/>
      <w:r>
        <w:rPr>
          <w:rFonts w:hint="eastAsia" w:ascii="宋体" w:hAnsi="宋体" w:cs="宋体"/>
          <w:b/>
          <w:color w:val="auto"/>
          <w:kern w:val="0"/>
          <w:sz w:val="28"/>
          <w:szCs w:val="28"/>
          <w:highlight w:val="none"/>
          <w:lang w:val="en-US" w:eastAsia="zh-CN"/>
        </w:rPr>
        <w:t>六</w:t>
      </w:r>
      <w:r>
        <w:rPr>
          <w:rFonts w:hint="eastAsia" w:ascii="宋体" w:hAnsi="宋体" w:eastAsia="宋体" w:cs="宋体"/>
          <w:b/>
          <w:color w:val="auto"/>
          <w:kern w:val="0"/>
          <w:sz w:val="28"/>
          <w:szCs w:val="28"/>
          <w:highlight w:val="none"/>
        </w:rPr>
        <w:t>、商务技术偏离表</w:t>
      </w:r>
      <w:bookmarkEnd w:id="454"/>
    </w:p>
    <w:tbl>
      <w:tblPr>
        <w:tblStyle w:val="63"/>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3556"/>
        <w:gridCol w:w="3424"/>
        <w:gridCol w:w="1232"/>
      </w:tblGrid>
      <w:tr w14:paraId="32E3C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926" w:type="dxa"/>
          </w:tcPr>
          <w:p w14:paraId="6C2ED20A">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3556" w:type="dxa"/>
          </w:tcPr>
          <w:p w14:paraId="7FF693C8">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招标文件章节及具体内容</w:t>
            </w:r>
          </w:p>
        </w:tc>
        <w:tc>
          <w:tcPr>
            <w:tcW w:w="3424" w:type="dxa"/>
          </w:tcPr>
          <w:p w14:paraId="5E1CBCD6">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投标文件章节及具体内容</w:t>
            </w:r>
          </w:p>
        </w:tc>
        <w:tc>
          <w:tcPr>
            <w:tcW w:w="1232" w:type="dxa"/>
          </w:tcPr>
          <w:p w14:paraId="277E51A8">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偏离说明</w:t>
            </w:r>
          </w:p>
        </w:tc>
      </w:tr>
      <w:tr w14:paraId="0D4B7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926" w:type="dxa"/>
          </w:tcPr>
          <w:p w14:paraId="5C9A9CB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3556" w:type="dxa"/>
          </w:tcPr>
          <w:p w14:paraId="7C5865C6">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kern w:val="0"/>
                <w:sz w:val="21"/>
                <w:szCs w:val="21"/>
                <w:highlight w:val="none"/>
              </w:rPr>
            </w:pPr>
          </w:p>
        </w:tc>
        <w:tc>
          <w:tcPr>
            <w:tcW w:w="3424" w:type="dxa"/>
          </w:tcPr>
          <w:p w14:paraId="3A2C973E">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kern w:val="0"/>
                <w:sz w:val="21"/>
                <w:szCs w:val="21"/>
                <w:highlight w:val="none"/>
              </w:rPr>
            </w:pPr>
          </w:p>
        </w:tc>
        <w:tc>
          <w:tcPr>
            <w:tcW w:w="1232" w:type="dxa"/>
          </w:tcPr>
          <w:p w14:paraId="76DFD613">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kern w:val="0"/>
                <w:sz w:val="21"/>
                <w:szCs w:val="21"/>
                <w:highlight w:val="none"/>
              </w:rPr>
            </w:pPr>
          </w:p>
        </w:tc>
      </w:tr>
      <w:tr w14:paraId="63C8B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926" w:type="dxa"/>
          </w:tcPr>
          <w:p w14:paraId="1AE95A2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3556" w:type="dxa"/>
          </w:tcPr>
          <w:p w14:paraId="69ECFB93">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kern w:val="0"/>
                <w:sz w:val="21"/>
                <w:szCs w:val="21"/>
                <w:highlight w:val="none"/>
              </w:rPr>
            </w:pPr>
          </w:p>
        </w:tc>
        <w:tc>
          <w:tcPr>
            <w:tcW w:w="3424" w:type="dxa"/>
          </w:tcPr>
          <w:p w14:paraId="7131B4A5">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kern w:val="0"/>
                <w:sz w:val="21"/>
                <w:szCs w:val="21"/>
                <w:highlight w:val="none"/>
              </w:rPr>
            </w:pPr>
          </w:p>
        </w:tc>
        <w:tc>
          <w:tcPr>
            <w:tcW w:w="1232" w:type="dxa"/>
          </w:tcPr>
          <w:p w14:paraId="4C97108D">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kern w:val="0"/>
                <w:sz w:val="21"/>
                <w:szCs w:val="21"/>
                <w:highlight w:val="none"/>
              </w:rPr>
            </w:pPr>
          </w:p>
        </w:tc>
      </w:tr>
      <w:tr w14:paraId="02169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926" w:type="dxa"/>
          </w:tcPr>
          <w:p w14:paraId="5B581B3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3556" w:type="dxa"/>
          </w:tcPr>
          <w:p w14:paraId="1A29C558">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kern w:val="0"/>
                <w:sz w:val="21"/>
                <w:szCs w:val="21"/>
                <w:highlight w:val="none"/>
              </w:rPr>
            </w:pPr>
          </w:p>
        </w:tc>
        <w:tc>
          <w:tcPr>
            <w:tcW w:w="3424" w:type="dxa"/>
          </w:tcPr>
          <w:p w14:paraId="10D7F01C">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kern w:val="0"/>
                <w:sz w:val="21"/>
                <w:szCs w:val="21"/>
                <w:highlight w:val="none"/>
              </w:rPr>
            </w:pPr>
          </w:p>
        </w:tc>
        <w:tc>
          <w:tcPr>
            <w:tcW w:w="1232" w:type="dxa"/>
          </w:tcPr>
          <w:p w14:paraId="624AF961">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kern w:val="0"/>
                <w:sz w:val="21"/>
                <w:szCs w:val="21"/>
                <w:highlight w:val="none"/>
              </w:rPr>
            </w:pPr>
          </w:p>
        </w:tc>
      </w:tr>
    </w:tbl>
    <w:p w14:paraId="6B12BD6D">
      <w:pPr>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投标人保证：除商务技术偏离表列出的偏离外，投标人响应招标文件的全部要求</w:t>
      </w:r>
    </w:p>
    <w:p w14:paraId="37F2117E">
      <w:pPr>
        <w:spacing w:line="360" w:lineRule="auto"/>
        <w:jc w:val="center"/>
        <w:rPr>
          <w:rFonts w:hint="eastAsia" w:ascii="宋体" w:hAnsi="宋体" w:eastAsia="宋体" w:cs="宋体"/>
          <w:b/>
          <w:color w:val="auto"/>
          <w:kern w:val="0"/>
          <w:sz w:val="21"/>
          <w:szCs w:val="21"/>
          <w:highlight w:val="none"/>
        </w:rPr>
      </w:pPr>
    </w:p>
    <w:p w14:paraId="51B1A850">
      <w:pPr>
        <w:spacing w:line="360" w:lineRule="auto"/>
        <w:ind w:righ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按本格式和要求提供。</w:t>
      </w:r>
    </w:p>
    <w:p w14:paraId="1DD25101">
      <w:pPr>
        <w:spacing w:line="360" w:lineRule="auto"/>
        <w:ind w:right="42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2.本表格所反映的偏离情况与“符合性审查资料”、“评标标准相应的商务技术资料”不一致的，以“符合性审查资料”、“评标标准相应的商务技术资料”为准。</w:t>
      </w:r>
    </w:p>
    <w:p w14:paraId="2EC9B5D1">
      <w:pPr>
        <w:spacing w:line="360" w:lineRule="auto"/>
        <w:ind w:right="42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3.投标人须保证：除商务技术偏离表列出的偏离外，投标人响应招标文件的全部非实质性要求。</w:t>
      </w:r>
    </w:p>
    <w:p w14:paraId="70458656">
      <w:pPr>
        <w:pStyle w:val="87"/>
        <w:spacing w:line="360" w:lineRule="auto"/>
        <w:rPr>
          <w:rFonts w:hint="eastAsia" w:ascii="宋体" w:hAnsi="宋体" w:eastAsia="宋体" w:cs="宋体"/>
          <w:color w:val="auto"/>
          <w:highlight w:val="none"/>
          <w:lang w:val="en-US" w:eastAsia="zh-CN"/>
        </w:rPr>
      </w:pPr>
    </w:p>
    <w:p w14:paraId="05282217">
      <w:pPr>
        <w:spacing w:line="360" w:lineRule="auto"/>
        <w:ind w:firstLine="1911" w:firstLineChars="595"/>
        <w:rPr>
          <w:rFonts w:hint="eastAsia" w:ascii="宋体" w:hAnsi="宋体" w:eastAsia="宋体" w:cs="宋体"/>
          <w:b/>
          <w:bCs/>
          <w:color w:val="auto"/>
          <w:sz w:val="32"/>
          <w:szCs w:val="32"/>
          <w:highlight w:val="none"/>
        </w:rPr>
      </w:pPr>
    </w:p>
    <w:p w14:paraId="548D8DFD">
      <w:pPr>
        <w:spacing w:line="360" w:lineRule="auto"/>
        <w:ind w:firstLine="1911" w:firstLineChars="595"/>
        <w:rPr>
          <w:rFonts w:hint="eastAsia" w:ascii="宋体" w:hAnsi="宋体" w:eastAsia="宋体" w:cs="宋体"/>
          <w:b/>
          <w:bCs/>
          <w:color w:val="auto"/>
          <w:sz w:val="32"/>
          <w:szCs w:val="32"/>
          <w:highlight w:val="none"/>
        </w:rPr>
      </w:pPr>
    </w:p>
    <w:p w14:paraId="28E09789">
      <w:pPr>
        <w:spacing w:line="360" w:lineRule="auto"/>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br w:type="page"/>
      </w:r>
    </w:p>
    <w:p w14:paraId="1A73A9F4">
      <w:pPr>
        <w:spacing w:line="360" w:lineRule="auto"/>
        <w:jc w:val="center"/>
        <w:outlineLvl w:val="0"/>
        <w:rPr>
          <w:rFonts w:hint="eastAsia" w:ascii="宋体" w:hAnsi="宋体" w:eastAsia="宋体" w:cs="宋体"/>
          <w:b/>
          <w:color w:val="auto"/>
          <w:kern w:val="0"/>
          <w:sz w:val="28"/>
          <w:szCs w:val="28"/>
          <w:highlight w:val="none"/>
        </w:rPr>
      </w:pPr>
      <w:bookmarkStart w:id="455" w:name="_Toc538"/>
      <w:r>
        <w:rPr>
          <w:rFonts w:hint="eastAsia" w:ascii="宋体" w:hAnsi="宋体" w:eastAsia="宋体" w:cs="宋体"/>
          <w:b/>
          <w:color w:val="auto"/>
          <w:kern w:val="0"/>
          <w:sz w:val="28"/>
          <w:szCs w:val="28"/>
          <w:highlight w:val="none"/>
        </w:rPr>
        <w:t>八、</w:t>
      </w:r>
      <w:r>
        <w:rPr>
          <w:rFonts w:hint="eastAsia" w:ascii="宋体" w:hAnsi="宋体" w:eastAsia="宋体" w:cs="宋体"/>
          <w:b/>
          <w:color w:val="auto"/>
          <w:kern w:val="0"/>
          <w:sz w:val="28"/>
          <w:szCs w:val="28"/>
          <w:highlight w:val="none"/>
          <w:lang w:val="zh-CN"/>
        </w:rPr>
        <w:t>政府采购供应商廉洁自律承诺书</w:t>
      </w:r>
      <w:bookmarkEnd w:id="455"/>
    </w:p>
    <w:p w14:paraId="4155E144">
      <w:pPr>
        <w:snapToGrid w:val="0"/>
        <w:spacing w:line="360" w:lineRule="auto"/>
        <w:rPr>
          <w:rFonts w:hint="eastAsia" w:ascii="宋体" w:hAnsi="宋体" w:eastAsia="宋体" w:cs="宋体"/>
          <w:color w:val="auto"/>
          <w:sz w:val="24"/>
          <w:highlight w:val="none"/>
        </w:rPr>
      </w:pPr>
    </w:p>
    <w:p w14:paraId="60A5327E">
      <w:pPr>
        <w:snapToGrid w:val="0"/>
        <w:spacing w:line="360" w:lineRule="auto"/>
        <w:rPr>
          <w:rFonts w:hint="eastAsia" w:ascii="宋体" w:hAnsi="宋体" w:eastAsia="宋体" w:cs="宋体"/>
          <w:color w:val="auto"/>
          <w:kern w:val="0"/>
          <w:sz w:val="21"/>
          <w:szCs w:val="21"/>
          <w:highlight w:val="none"/>
          <w:u w:val="single"/>
        </w:rPr>
      </w:pPr>
      <w:r>
        <w:rPr>
          <w:rFonts w:hint="eastAsia" w:ascii="宋体" w:hAnsi="宋体" w:cs="宋体"/>
          <w:color w:val="auto"/>
          <w:sz w:val="21"/>
          <w:szCs w:val="21"/>
          <w:highlight w:val="none"/>
          <w:u w:val="single"/>
          <w:lang w:eastAsia="zh-CN"/>
        </w:rPr>
        <w:t>浙江省工商业联合会</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eastAsia="zh-CN"/>
        </w:rPr>
        <w:t>浙江国际招投标有限公司</w:t>
      </w:r>
      <w:r>
        <w:rPr>
          <w:rFonts w:hint="eastAsia" w:ascii="宋体" w:hAnsi="宋体" w:eastAsia="宋体" w:cs="宋体"/>
          <w:color w:val="auto"/>
          <w:kern w:val="0"/>
          <w:sz w:val="21"/>
          <w:szCs w:val="21"/>
          <w:highlight w:val="none"/>
          <w:u w:val="single"/>
          <w:lang w:val="zh-CN"/>
        </w:rPr>
        <w:t>：</w:t>
      </w:r>
    </w:p>
    <w:p w14:paraId="376EF984">
      <w:pPr>
        <w:keepNext w:val="0"/>
        <w:keepLines w:val="0"/>
        <w:pageBreakBefore w:val="0"/>
        <w:widowControl w:val="0"/>
        <w:kinsoku/>
        <w:wordWrap/>
        <w:overflowPunct/>
        <w:topLinePunct w:val="0"/>
        <w:autoSpaceDE w:val="0"/>
        <w:autoSpaceDN w:val="0"/>
        <w:bidi w:val="0"/>
        <w:adjustRightInd w:val="0"/>
        <w:snapToGrid w:val="0"/>
        <w:spacing w:line="360" w:lineRule="auto"/>
        <w:ind w:left="2" w:leftChars="1" w:firstLine="420" w:firstLineChars="20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我单位响应你</w:t>
      </w:r>
      <w:r>
        <w:rPr>
          <w:rFonts w:hint="eastAsia" w:ascii="宋体" w:hAnsi="宋体" w:eastAsia="宋体" w:cs="宋体"/>
          <w:color w:val="auto"/>
          <w:sz w:val="21"/>
          <w:szCs w:val="21"/>
          <w:highlight w:val="none"/>
        </w:rPr>
        <w:t>单位</w:t>
      </w:r>
      <w:r>
        <w:rPr>
          <w:rFonts w:hint="eastAsia" w:ascii="宋体" w:hAnsi="宋体" w:eastAsia="宋体" w:cs="宋体"/>
          <w:color w:val="auto"/>
          <w:kern w:val="0"/>
          <w:sz w:val="21"/>
          <w:szCs w:val="21"/>
          <w:highlight w:val="none"/>
          <w:lang w:val="zh-CN"/>
        </w:rPr>
        <w:t>项目招标要求参加投标。在这次投标过程中和中标后，我们将严格遵守国家法律法规要求，并郑重承诺：</w:t>
      </w:r>
    </w:p>
    <w:p w14:paraId="482BABD7">
      <w:pPr>
        <w:keepNext w:val="0"/>
        <w:keepLines w:val="0"/>
        <w:pageBreakBefore w:val="0"/>
        <w:widowControl w:val="0"/>
        <w:kinsoku/>
        <w:wordWrap/>
        <w:overflowPunct/>
        <w:topLinePunct w:val="0"/>
        <w:autoSpaceDE w:val="0"/>
        <w:autoSpaceDN w:val="0"/>
        <w:bidi w:val="0"/>
        <w:adjustRightInd w:val="0"/>
        <w:snapToGrid w:val="0"/>
        <w:spacing w:line="360" w:lineRule="auto"/>
        <w:ind w:left="2" w:leftChars="1" w:firstLine="420" w:firstLineChars="20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一、不向项目有关人员及部门赠送礼金礼物、有价证券、回扣以及中介费、介绍费、咨询费等好处费； </w:t>
      </w:r>
    </w:p>
    <w:p w14:paraId="5CBA92A7">
      <w:pPr>
        <w:keepNext w:val="0"/>
        <w:keepLines w:val="0"/>
        <w:pageBreakBefore w:val="0"/>
        <w:widowControl w:val="0"/>
        <w:kinsoku/>
        <w:wordWrap/>
        <w:overflowPunct/>
        <w:topLinePunct w:val="0"/>
        <w:autoSpaceDE w:val="0"/>
        <w:autoSpaceDN w:val="0"/>
        <w:bidi w:val="0"/>
        <w:adjustRightInd w:val="0"/>
        <w:snapToGrid w:val="0"/>
        <w:spacing w:line="360" w:lineRule="auto"/>
        <w:ind w:left="2" w:leftChars="1" w:firstLine="420" w:firstLineChars="20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二、不为项目有关人员及部门报销应由你方单位或个人支付的费用； </w:t>
      </w:r>
    </w:p>
    <w:p w14:paraId="1EFFBA92">
      <w:pPr>
        <w:keepNext w:val="0"/>
        <w:keepLines w:val="0"/>
        <w:pageBreakBefore w:val="0"/>
        <w:widowControl w:val="0"/>
        <w:kinsoku/>
        <w:wordWrap/>
        <w:overflowPunct/>
        <w:topLinePunct w:val="0"/>
        <w:autoSpaceDE w:val="0"/>
        <w:autoSpaceDN w:val="0"/>
        <w:bidi w:val="0"/>
        <w:adjustRightInd w:val="0"/>
        <w:snapToGrid w:val="0"/>
        <w:spacing w:line="360" w:lineRule="auto"/>
        <w:ind w:left="2" w:leftChars="1" w:firstLine="420" w:firstLineChars="20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三、不向项目有关人员及部门提供有可能影响公正的宴请和健身娱乐等活动； </w:t>
      </w:r>
    </w:p>
    <w:p w14:paraId="79993956">
      <w:pPr>
        <w:keepNext w:val="0"/>
        <w:keepLines w:val="0"/>
        <w:pageBreakBefore w:val="0"/>
        <w:widowControl w:val="0"/>
        <w:kinsoku/>
        <w:wordWrap/>
        <w:overflowPunct/>
        <w:topLinePunct w:val="0"/>
        <w:autoSpaceDE w:val="0"/>
        <w:autoSpaceDN w:val="0"/>
        <w:bidi w:val="0"/>
        <w:adjustRightInd w:val="0"/>
        <w:snapToGrid w:val="0"/>
        <w:spacing w:line="360" w:lineRule="auto"/>
        <w:ind w:left="2" w:leftChars="1" w:firstLine="420" w:firstLineChars="20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四、不为项目有关人员及部门出国（境）、旅游等提供方便；</w:t>
      </w:r>
    </w:p>
    <w:p w14:paraId="4F87CE83">
      <w:pPr>
        <w:keepNext w:val="0"/>
        <w:keepLines w:val="0"/>
        <w:pageBreakBefore w:val="0"/>
        <w:widowControl w:val="0"/>
        <w:kinsoku/>
        <w:wordWrap/>
        <w:overflowPunct/>
        <w:topLinePunct w:val="0"/>
        <w:autoSpaceDE w:val="0"/>
        <w:autoSpaceDN w:val="0"/>
        <w:bidi w:val="0"/>
        <w:adjustRightInd w:val="0"/>
        <w:snapToGrid w:val="0"/>
        <w:spacing w:line="360" w:lineRule="auto"/>
        <w:ind w:left="481" w:leftChars="229"/>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五、不为项目有关人员个人装修住房、婚丧嫁娶、配偶子女工作安排等提供好处；</w:t>
      </w:r>
    </w:p>
    <w:p w14:paraId="77A04964">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20" w:firstLineChars="20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六、严格遵守《</w:t>
      </w:r>
      <w:r>
        <w:rPr>
          <w:rFonts w:hint="eastAsia" w:ascii="宋体" w:hAnsi="宋体" w:eastAsia="宋体" w:cs="宋体"/>
          <w:color w:val="auto"/>
          <w:sz w:val="21"/>
          <w:szCs w:val="21"/>
          <w:highlight w:val="none"/>
          <w:lang w:val="zh-CN"/>
        </w:rPr>
        <w:t>中华人民共和国</w:t>
      </w:r>
      <w:r>
        <w:rPr>
          <w:rFonts w:hint="eastAsia" w:ascii="宋体" w:hAnsi="宋体" w:eastAsia="宋体" w:cs="宋体"/>
          <w:color w:val="auto"/>
          <w:kern w:val="0"/>
          <w:sz w:val="21"/>
          <w:szCs w:val="21"/>
          <w:highlight w:val="none"/>
          <w:lang w:val="zh-CN"/>
        </w:rPr>
        <w:t>政府采购法》《</w:t>
      </w:r>
      <w:r>
        <w:rPr>
          <w:rFonts w:hint="eastAsia" w:ascii="宋体" w:hAnsi="宋体" w:eastAsia="宋体" w:cs="宋体"/>
          <w:color w:val="auto"/>
          <w:sz w:val="21"/>
          <w:szCs w:val="21"/>
          <w:highlight w:val="none"/>
          <w:lang w:val="zh-CN"/>
        </w:rPr>
        <w:t>中华人民共和国</w:t>
      </w:r>
      <w:r>
        <w:rPr>
          <w:rFonts w:hint="eastAsia" w:ascii="宋体" w:hAnsi="宋体" w:eastAsia="宋体" w:cs="宋体"/>
          <w:color w:val="auto"/>
          <w:kern w:val="0"/>
          <w:sz w:val="21"/>
          <w:szCs w:val="21"/>
          <w:highlight w:val="none"/>
          <w:lang w:val="zh-CN"/>
        </w:rPr>
        <w:t>招标投标法》</w:t>
      </w:r>
      <w:r>
        <w:rPr>
          <w:rFonts w:hint="eastAsia" w:ascii="宋体" w:hAnsi="宋体" w:eastAsia="宋体" w:cs="宋体"/>
          <w:color w:val="auto"/>
          <w:sz w:val="21"/>
          <w:szCs w:val="21"/>
          <w:highlight w:val="none"/>
          <w:lang w:val="zh-CN"/>
        </w:rPr>
        <w:t>《中华人民共和国民法典》</w:t>
      </w:r>
      <w:r>
        <w:rPr>
          <w:rFonts w:hint="eastAsia" w:ascii="宋体" w:hAnsi="宋体" w:eastAsia="宋体" w:cs="宋体"/>
          <w:color w:val="auto"/>
          <w:kern w:val="0"/>
          <w:sz w:val="21"/>
          <w:szCs w:val="21"/>
          <w:highlight w:val="none"/>
          <w:lang w:val="zh-CN"/>
        </w:rPr>
        <w:t xml:space="preserve">等法律法规，诚实守信，合法经营，坚决抵制各种违法违纪行为。 </w:t>
      </w:r>
    </w:p>
    <w:p w14:paraId="2B12631F">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如违反上述承诺，你</w:t>
      </w:r>
      <w:r>
        <w:rPr>
          <w:rFonts w:hint="eastAsia" w:ascii="宋体" w:hAnsi="宋体" w:eastAsia="宋体" w:cs="宋体"/>
          <w:color w:val="auto"/>
          <w:sz w:val="21"/>
          <w:szCs w:val="21"/>
          <w:highlight w:val="none"/>
        </w:rPr>
        <w:t>单位</w:t>
      </w:r>
      <w:r>
        <w:rPr>
          <w:rFonts w:hint="eastAsia" w:ascii="宋体" w:hAnsi="宋体" w:eastAsia="宋体" w:cs="宋体"/>
          <w:color w:val="auto"/>
          <w:kern w:val="0"/>
          <w:sz w:val="21"/>
          <w:szCs w:val="21"/>
          <w:highlight w:val="none"/>
          <w:lang w:val="zh-CN"/>
        </w:rPr>
        <w:t>有权立即取消我单位投标、中标或在建项目的建设资格，有权拒绝我单位在一定时期内进入你</w:t>
      </w:r>
      <w:r>
        <w:rPr>
          <w:rFonts w:hint="eastAsia" w:ascii="宋体" w:hAnsi="宋体" w:eastAsia="宋体" w:cs="宋体"/>
          <w:color w:val="auto"/>
          <w:sz w:val="21"/>
          <w:szCs w:val="21"/>
          <w:highlight w:val="none"/>
        </w:rPr>
        <w:t>单位</w:t>
      </w:r>
      <w:r>
        <w:rPr>
          <w:rFonts w:hint="eastAsia" w:ascii="宋体" w:hAnsi="宋体" w:eastAsia="宋体" w:cs="宋体"/>
          <w:color w:val="auto"/>
          <w:kern w:val="0"/>
          <w:sz w:val="21"/>
          <w:szCs w:val="21"/>
          <w:highlight w:val="none"/>
          <w:lang w:val="zh-CN"/>
        </w:rPr>
        <w:t>进行项目建设或其他经营活动，并通报市财政局。由此引起的相应损失均由我单位承担。</w:t>
      </w:r>
    </w:p>
    <w:p w14:paraId="15BAC2E1">
      <w:pPr>
        <w:autoSpaceDE w:val="0"/>
        <w:autoSpaceDN w:val="0"/>
        <w:spacing w:line="360" w:lineRule="auto"/>
        <w:ind w:left="2"/>
        <w:jc w:val="left"/>
        <w:rPr>
          <w:rFonts w:hint="eastAsia" w:ascii="宋体" w:hAnsi="宋体" w:eastAsia="宋体" w:cs="宋体"/>
          <w:color w:val="auto"/>
          <w:kern w:val="0"/>
          <w:sz w:val="21"/>
          <w:szCs w:val="21"/>
          <w:highlight w:val="none"/>
          <w:lang w:val="zh-CN"/>
        </w:rPr>
      </w:pPr>
    </w:p>
    <w:p w14:paraId="481F6894">
      <w:pPr>
        <w:autoSpaceDE w:val="0"/>
        <w:autoSpaceDN w:val="0"/>
        <w:spacing w:line="360" w:lineRule="auto"/>
        <w:ind w:left="2"/>
        <w:jc w:val="left"/>
        <w:rPr>
          <w:rFonts w:hint="eastAsia" w:ascii="宋体" w:hAnsi="宋体" w:eastAsia="宋体" w:cs="宋体"/>
          <w:color w:val="auto"/>
          <w:kern w:val="0"/>
          <w:sz w:val="21"/>
          <w:szCs w:val="21"/>
          <w:highlight w:val="none"/>
          <w:lang w:val="zh-CN"/>
        </w:rPr>
      </w:pPr>
    </w:p>
    <w:p w14:paraId="1362772D">
      <w:pPr>
        <w:autoSpaceDE w:val="0"/>
        <w:autoSpaceDN w:val="0"/>
        <w:spacing w:line="360" w:lineRule="auto"/>
        <w:ind w:left="2"/>
        <w:jc w:val="left"/>
        <w:rPr>
          <w:rFonts w:hint="eastAsia" w:ascii="宋体" w:hAnsi="宋体" w:eastAsia="宋体" w:cs="宋体"/>
          <w:color w:val="auto"/>
          <w:kern w:val="0"/>
          <w:sz w:val="21"/>
          <w:szCs w:val="21"/>
          <w:highlight w:val="none"/>
          <w:lang w:val="zh-CN"/>
        </w:rPr>
      </w:pPr>
    </w:p>
    <w:p w14:paraId="1FB20512">
      <w:pPr>
        <w:autoSpaceDE w:val="0"/>
        <w:autoSpaceDN w:val="0"/>
        <w:spacing w:line="360" w:lineRule="auto"/>
        <w:ind w:left="2" w:leftChars="1" w:right="1120" w:firstLine="4620" w:firstLineChars="2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投标人名称（</w:t>
      </w:r>
      <w:r>
        <w:rPr>
          <w:rFonts w:hint="eastAsia" w:ascii="宋体" w:hAnsi="宋体" w:eastAsia="宋体" w:cs="宋体"/>
          <w:color w:val="auto"/>
          <w:sz w:val="21"/>
          <w:szCs w:val="21"/>
          <w:highlight w:val="none"/>
        </w:rPr>
        <w:t>电子签名</w:t>
      </w:r>
      <w:r>
        <w:rPr>
          <w:rFonts w:hint="eastAsia" w:ascii="宋体" w:hAnsi="宋体" w:eastAsia="宋体" w:cs="宋体"/>
          <w:color w:val="auto"/>
          <w:kern w:val="0"/>
          <w:sz w:val="21"/>
          <w:szCs w:val="21"/>
          <w:highlight w:val="none"/>
          <w:lang w:val="zh-CN"/>
        </w:rPr>
        <w:t xml:space="preserve">）：                                                                                                                                                                                                               </w:t>
      </w:r>
    </w:p>
    <w:p w14:paraId="194838F3">
      <w:pPr>
        <w:spacing w:line="360" w:lineRule="auto"/>
        <w:ind w:left="4620" w:leftChars="2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日期</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 xml:space="preserve">   年   月   日</w:t>
      </w:r>
    </w:p>
    <w:p w14:paraId="4F00D7DE">
      <w:pPr>
        <w:spacing w:line="360" w:lineRule="auto"/>
        <w:jc w:val="center"/>
        <w:rPr>
          <w:rFonts w:hint="eastAsia" w:ascii="宋体" w:hAnsi="宋体" w:eastAsia="宋体" w:cs="宋体"/>
          <w:b/>
          <w:bCs/>
          <w:color w:val="auto"/>
          <w:sz w:val="21"/>
          <w:szCs w:val="21"/>
          <w:highlight w:val="none"/>
        </w:rPr>
      </w:pPr>
    </w:p>
    <w:p w14:paraId="2BBCE1F2">
      <w:pPr>
        <w:spacing w:line="360" w:lineRule="auto"/>
        <w:ind w:righ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注：按本格式和要求提供。</w:t>
      </w:r>
    </w:p>
    <w:p w14:paraId="799D41FC">
      <w:pPr>
        <w:spacing w:line="360" w:lineRule="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br w:type="page"/>
      </w:r>
    </w:p>
    <w:p w14:paraId="24CBC146">
      <w:pPr>
        <w:spacing w:line="360" w:lineRule="auto"/>
        <w:jc w:val="center"/>
        <w:outlineLvl w:val="0"/>
        <w:rPr>
          <w:rFonts w:hint="eastAsia" w:ascii="宋体" w:hAnsi="宋体" w:eastAsia="宋体" w:cs="宋体"/>
          <w:b/>
          <w:color w:val="auto"/>
          <w:kern w:val="0"/>
          <w:sz w:val="36"/>
          <w:szCs w:val="36"/>
          <w:highlight w:val="none"/>
        </w:rPr>
      </w:pPr>
      <w:bookmarkStart w:id="456" w:name="_Toc26686"/>
      <w:r>
        <w:rPr>
          <w:rFonts w:hint="eastAsia" w:ascii="宋体" w:hAnsi="宋体" w:eastAsia="宋体" w:cs="宋体"/>
          <w:b/>
          <w:color w:val="auto"/>
          <w:kern w:val="0"/>
          <w:sz w:val="36"/>
          <w:szCs w:val="36"/>
          <w:highlight w:val="none"/>
        </w:rPr>
        <w:t>报价文件部分</w:t>
      </w:r>
      <w:bookmarkEnd w:id="456"/>
    </w:p>
    <w:p w14:paraId="3048AAB7">
      <w:pPr>
        <w:spacing w:line="360" w:lineRule="auto"/>
        <w:jc w:val="center"/>
        <w:outlineLvl w:val="0"/>
        <w:rPr>
          <w:rFonts w:hint="eastAsia" w:ascii="宋体" w:hAnsi="宋体" w:eastAsia="宋体" w:cs="宋体"/>
          <w:b/>
          <w:color w:val="auto"/>
          <w:kern w:val="0"/>
          <w:sz w:val="28"/>
          <w:szCs w:val="28"/>
          <w:highlight w:val="none"/>
        </w:rPr>
      </w:pPr>
      <w:bookmarkStart w:id="457" w:name="_Toc15659"/>
      <w:r>
        <w:rPr>
          <w:rFonts w:hint="eastAsia" w:ascii="宋体" w:hAnsi="宋体" w:eastAsia="宋体" w:cs="宋体"/>
          <w:b/>
          <w:color w:val="auto"/>
          <w:kern w:val="0"/>
          <w:sz w:val="28"/>
          <w:szCs w:val="28"/>
          <w:highlight w:val="none"/>
        </w:rPr>
        <w:t>目录</w:t>
      </w:r>
      <w:bookmarkEnd w:id="457"/>
    </w:p>
    <w:p w14:paraId="6E2A6BB9">
      <w:pPr>
        <w:bidi w:val="0"/>
        <w:spacing w:line="360" w:lineRule="auto"/>
        <w:rPr>
          <w:rFonts w:hint="eastAsia" w:ascii="宋体" w:hAnsi="宋体" w:eastAsia="宋体" w:cs="宋体"/>
          <w:color w:val="auto"/>
          <w:highlight w:val="none"/>
        </w:rPr>
      </w:pPr>
    </w:p>
    <w:p w14:paraId="7961EFE4">
      <w:pPr>
        <w:numPr>
          <w:ilvl w:val="0"/>
          <w:numId w:val="0"/>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kern w:val="2"/>
          <w:sz w:val="21"/>
          <w:szCs w:val="24"/>
          <w:highlight w:val="none"/>
          <w:lang w:val="en-US" w:eastAsia="zh-CN" w:bidi="ar-SA"/>
        </w:rPr>
        <w:t>（1）</w:t>
      </w:r>
      <w:r>
        <w:rPr>
          <w:rFonts w:hint="eastAsia" w:ascii="宋体" w:hAnsi="宋体" w:eastAsia="宋体" w:cs="宋体"/>
          <w:color w:val="auto"/>
          <w:sz w:val="21"/>
          <w:szCs w:val="21"/>
          <w:highlight w:val="none"/>
        </w:rPr>
        <w:t>开标一览表（报价表）………………………………………………………………（页码）</w:t>
      </w:r>
    </w:p>
    <w:p w14:paraId="215D3810">
      <w:pPr>
        <w:numPr>
          <w:ilvl w:val="0"/>
          <w:numId w:val="0"/>
        </w:numPr>
        <w:snapToGrid w:val="0"/>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lang w:val="en-US" w:eastAsia="zh-CN"/>
        </w:rPr>
        <w:t>报价情况说明和</w:t>
      </w:r>
      <w:r>
        <w:rPr>
          <w:rFonts w:hint="eastAsia" w:ascii="宋体" w:hAnsi="宋体" w:eastAsia="宋体" w:cs="宋体"/>
          <w:color w:val="auto"/>
          <w:sz w:val="21"/>
          <w:szCs w:val="21"/>
          <w:highlight w:val="none"/>
          <w:lang w:eastAsia="zh-CN"/>
        </w:rPr>
        <w:t>相关证明材料（如果有）</w:t>
      </w:r>
      <w:r>
        <w:rPr>
          <w:rFonts w:hint="eastAsia" w:ascii="宋体" w:hAnsi="宋体" w:eastAsia="宋体" w:cs="宋体"/>
          <w:color w:val="auto"/>
          <w:sz w:val="21"/>
          <w:szCs w:val="21"/>
          <w:highlight w:val="none"/>
        </w:rPr>
        <w:t>…………………………………………（页码）</w:t>
      </w:r>
    </w:p>
    <w:p w14:paraId="71C6D3A8">
      <w:pPr>
        <w:spacing w:line="360" w:lineRule="auto"/>
        <w:rPr>
          <w:rFonts w:hint="eastAsia" w:ascii="宋体" w:hAnsi="宋体" w:eastAsia="宋体" w:cs="宋体"/>
          <w:b/>
          <w:color w:val="auto"/>
          <w:kern w:val="0"/>
          <w:sz w:val="28"/>
          <w:szCs w:val="28"/>
          <w:highlight w:val="none"/>
          <w:lang w:val="en-US" w:eastAsia="zh-CN"/>
        </w:rPr>
      </w:pPr>
      <w:r>
        <w:rPr>
          <w:rFonts w:hint="eastAsia" w:ascii="宋体" w:hAnsi="宋体" w:eastAsia="宋体" w:cs="宋体"/>
          <w:b/>
          <w:color w:val="auto"/>
          <w:kern w:val="0"/>
          <w:sz w:val="28"/>
          <w:szCs w:val="28"/>
          <w:highlight w:val="none"/>
          <w:lang w:val="en-US" w:eastAsia="zh-CN"/>
        </w:rPr>
        <w:br w:type="page"/>
      </w:r>
    </w:p>
    <w:p w14:paraId="188205EA">
      <w:pPr>
        <w:spacing w:line="360" w:lineRule="auto"/>
        <w:jc w:val="center"/>
        <w:outlineLvl w:val="0"/>
        <w:rPr>
          <w:rFonts w:hint="eastAsia" w:ascii="宋体" w:hAnsi="宋体" w:eastAsia="宋体" w:cs="宋体"/>
          <w:b/>
          <w:color w:val="auto"/>
          <w:kern w:val="0"/>
          <w:sz w:val="28"/>
          <w:szCs w:val="28"/>
          <w:highlight w:val="none"/>
        </w:rPr>
      </w:pPr>
      <w:bookmarkStart w:id="458" w:name="_Toc2182"/>
      <w:r>
        <w:rPr>
          <w:rFonts w:hint="eastAsia" w:ascii="宋体" w:hAnsi="宋体" w:eastAsia="宋体" w:cs="宋体"/>
          <w:b/>
          <w:color w:val="auto"/>
          <w:kern w:val="0"/>
          <w:sz w:val="28"/>
          <w:szCs w:val="28"/>
          <w:highlight w:val="none"/>
          <w:lang w:val="en-US" w:eastAsia="zh-CN"/>
        </w:rPr>
        <w:t>一</w:t>
      </w:r>
      <w:r>
        <w:rPr>
          <w:rFonts w:hint="eastAsia" w:ascii="宋体" w:hAnsi="宋体" w:eastAsia="宋体" w:cs="宋体"/>
          <w:b/>
          <w:color w:val="auto"/>
          <w:kern w:val="0"/>
          <w:sz w:val="28"/>
          <w:szCs w:val="28"/>
          <w:highlight w:val="none"/>
        </w:rPr>
        <w:t>、开标一览表（报价表）</w:t>
      </w:r>
      <w:bookmarkEnd w:id="458"/>
    </w:p>
    <w:p w14:paraId="46D89B25">
      <w:pPr>
        <w:snapToGrid w:val="0"/>
        <w:spacing w:line="360" w:lineRule="auto"/>
        <w:rPr>
          <w:rFonts w:hint="eastAsia" w:ascii="宋体" w:hAnsi="宋体" w:eastAsia="宋体" w:cs="宋体"/>
          <w:color w:val="auto"/>
          <w:kern w:val="0"/>
          <w:sz w:val="21"/>
          <w:szCs w:val="21"/>
          <w:highlight w:val="none"/>
        </w:rPr>
      </w:pPr>
      <w:r>
        <w:rPr>
          <w:rFonts w:hint="eastAsia" w:ascii="宋体" w:hAnsi="宋体" w:cs="宋体"/>
          <w:color w:val="auto"/>
          <w:sz w:val="21"/>
          <w:szCs w:val="21"/>
          <w:highlight w:val="none"/>
          <w:lang w:eastAsia="zh-CN"/>
        </w:rPr>
        <w:t>浙江省工商业联合会</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浙江国际招投标有限公司</w:t>
      </w:r>
      <w:r>
        <w:rPr>
          <w:rFonts w:hint="eastAsia" w:ascii="宋体" w:hAnsi="宋体" w:eastAsia="宋体" w:cs="宋体"/>
          <w:color w:val="auto"/>
          <w:kern w:val="0"/>
          <w:sz w:val="21"/>
          <w:szCs w:val="21"/>
          <w:highlight w:val="none"/>
          <w:lang w:val="zh-CN"/>
        </w:rPr>
        <w:t>：</w:t>
      </w:r>
    </w:p>
    <w:p w14:paraId="01AFCB1F">
      <w:pPr>
        <w:snapToGrid w:val="0"/>
        <w:spacing w:line="360" w:lineRule="auto"/>
        <w:ind w:firstLine="482"/>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cs="宋体"/>
          <w:color w:val="auto"/>
          <w:sz w:val="21"/>
          <w:szCs w:val="21"/>
          <w:highlight w:val="none"/>
          <w:u w:val="single"/>
          <w:lang w:eastAsia="zh-CN"/>
        </w:rPr>
        <w:t>浙江省工商业联合会浙里惠企政策精准直达系统</w:t>
      </w:r>
      <w:r>
        <w:rPr>
          <w:rFonts w:hint="eastAsia" w:ascii="宋体" w:hAnsi="宋体" w:eastAsia="宋体" w:cs="宋体"/>
          <w:color w:val="auto"/>
          <w:sz w:val="21"/>
          <w:szCs w:val="21"/>
          <w:highlight w:val="none"/>
          <w:u w:val="single"/>
          <w:lang w:eastAsia="zh-CN"/>
        </w:rPr>
        <w:t>项目</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kern w:val="0"/>
          <w:sz w:val="21"/>
          <w:szCs w:val="21"/>
          <w:highlight w:val="none"/>
          <w:lang w:val="en-US" w:eastAsia="zh-CN"/>
        </w:rPr>
        <w:t>项目</w:t>
      </w:r>
      <w:r>
        <w:rPr>
          <w:rFonts w:hint="eastAsia" w:ascii="宋体" w:hAnsi="宋体" w:eastAsia="宋体" w:cs="宋体"/>
          <w:color w:val="auto"/>
          <w:kern w:val="0"/>
          <w:sz w:val="21"/>
          <w:szCs w:val="21"/>
          <w:highlight w:val="none"/>
          <w:lang w:val="zh-CN"/>
        </w:rPr>
        <w:t>编号：</w:t>
      </w:r>
      <w:r>
        <w:rPr>
          <w:rFonts w:hint="eastAsia" w:ascii="宋体" w:hAnsi="宋体" w:cs="宋体"/>
          <w:color w:val="auto"/>
          <w:sz w:val="21"/>
          <w:szCs w:val="21"/>
          <w:highlight w:val="none"/>
          <w:u w:val="single"/>
          <w:lang w:val="en-US" w:eastAsia="zh-CN"/>
        </w:rPr>
        <w:t>330000266080010000040-ZJ-2621091</w:t>
      </w:r>
      <w:r>
        <w:rPr>
          <w:rFonts w:hint="eastAsia" w:ascii="宋体" w:hAnsi="宋体" w:eastAsia="宋体" w:cs="宋体"/>
          <w:color w:val="auto"/>
          <w:sz w:val="21"/>
          <w:szCs w:val="21"/>
          <w:highlight w:val="none"/>
        </w:rPr>
        <w:t>】的实施</w:t>
      </w:r>
      <w:r>
        <w:rPr>
          <w:rFonts w:hint="eastAsia" w:ascii="宋体" w:hAnsi="宋体" w:eastAsia="宋体" w:cs="宋体"/>
          <w:color w:val="auto"/>
          <w:kern w:val="0"/>
          <w:sz w:val="21"/>
          <w:szCs w:val="21"/>
          <w:highlight w:val="none"/>
          <w:lang w:val="zh-CN"/>
        </w:rPr>
        <w:t>。</w:t>
      </w:r>
    </w:p>
    <w:p w14:paraId="41160C62">
      <w:pPr>
        <w:spacing w:line="360" w:lineRule="auto"/>
        <w:jc w:val="center"/>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zh-CN"/>
        </w:rPr>
        <w:t>开标一览表（报价表）(单位均为人民币元)</w:t>
      </w:r>
    </w:p>
    <w:tbl>
      <w:tblPr>
        <w:tblStyle w:val="62"/>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375"/>
        <w:gridCol w:w="2125"/>
        <w:gridCol w:w="1187"/>
        <w:gridCol w:w="1067"/>
        <w:gridCol w:w="1715"/>
      </w:tblGrid>
      <w:tr w14:paraId="0C30A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706" w:type="dxa"/>
            <w:vAlign w:val="center"/>
          </w:tcPr>
          <w:p w14:paraId="7F2A099F">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2375" w:type="dxa"/>
            <w:vAlign w:val="center"/>
          </w:tcPr>
          <w:p w14:paraId="2C56D133">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名称</w:t>
            </w:r>
          </w:p>
        </w:tc>
        <w:tc>
          <w:tcPr>
            <w:tcW w:w="2125" w:type="dxa"/>
            <w:vAlign w:val="center"/>
          </w:tcPr>
          <w:p w14:paraId="217BEC29">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服务内容</w:t>
            </w:r>
          </w:p>
        </w:tc>
        <w:tc>
          <w:tcPr>
            <w:tcW w:w="1187" w:type="dxa"/>
            <w:vAlign w:val="center"/>
          </w:tcPr>
          <w:p w14:paraId="73683CB4">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1067" w:type="dxa"/>
            <w:vAlign w:val="center"/>
          </w:tcPr>
          <w:p w14:paraId="119E9BC3">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单价</w:t>
            </w:r>
          </w:p>
        </w:tc>
        <w:tc>
          <w:tcPr>
            <w:tcW w:w="1715" w:type="dxa"/>
            <w:vAlign w:val="center"/>
          </w:tcPr>
          <w:p w14:paraId="51C1395A">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合计</w:t>
            </w:r>
          </w:p>
        </w:tc>
      </w:tr>
      <w:tr w14:paraId="4D584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706" w:type="dxa"/>
            <w:vAlign w:val="center"/>
          </w:tcPr>
          <w:p w14:paraId="3414001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375" w:type="dxa"/>
            <w:vAlign w:val="center"/>
          </w:tcPr>
          <w:p w14:paraId="54BCC39A">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浙里惠企政策精准直达系统</w:t>
            </w:r>
          </w:p>
        </w:tc>
        <w:tc>
          <w:tcPr>
            <w:tcW w:w="2125" w:type="dxa"/>
            <w:vAlign w:val="center"/>
          </w:tcPr>
          <w:p w14:paraId="6820FBB4">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187" w:type="dxa"/>
            <w:vAlign w:val="center"/>
          </w:tcPr>
          <w:p w14:paraId="21512CB2">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067" w:type="dxa"/>
            <w:vAlign w:val="center"/>
          </w:tcPr>
          <w:p w14:paraId="301C1DF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715" w:type="dxa"/>
            <w:vAlign w:val="center"/>
          </w:tcPr>
          <w:p w14:paraId="38F6506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1790B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5206" w:type="dxa"/>
            <w:gridSpan w:val="3"/>
            <w:vAlign w:val="center"/>
          </w:tcPr>
          <w:p w14:paraId="6332C14D">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投标报价（小写）</w:t>
            </w:r>
          </w:p>
        </w:tc>
        <w:tc>
          <w:tcPr>
            <w:tcW w:w="3969" w:type="dxa"/>
            <w:gridSpan w:val="3"/>
            <w:vAlign w:val="center"/>
          </w:tcPr>
          <w:p w14:paraId="6E04A5C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3C14F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206" w:type="dxa"/>
            <w:gridSpan w:val="3"/>
            <w:vAlign w:val="center"/>
          </w:tcPr>
          <w:p w14:paraId="102DA150">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投标报价（大写）</w:t>
            </w:r>
          </w:p>
        </w:tc>
        <w:tc>
          <w:tcPr>
            <w:tcW w:w="3969" w:type="dxa"/>
            <w:gridSpan w:val="3"/>
            <w:vAlign w:val="center"/>
          </w:tcPr>
          <w:p w14:paraId="7B73466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bl>
    <w:p w14:paraId="13C61EFE">
      <w:pPr>
        <w:snapToGrid w:val="0"/>
        <w:spacing w:line="360" w:lineRule="auto"/>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zh-CN"/>
        </w:rPr>
        <w:t>注：</w:t>
      </w:r>
    </w:p>
    <w:p w14:paraId="3AF9BA37">
      <w:pPr>
        <w:spacing w:line="360" w:lineRule="auto"/>
        <w:ind w:left="-2" w:leftChars="-1"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1.投标人需按本表格式填写</w:t>
      </w:r>
      <w:r>
        <w:rPr>
          <w:rFonts w:hint="eastAsia" w:ascii="宋体" w:hAnsi="宋体" w:eastAsia="宋体" w:cs="宋体"/>
          <w:b/>
          <w:color w:val="auto"/>
          <w:kern w:val="0"/>
          <w:sz w:val="21"/>
          <w:szCs w:val="21"/>
          <w:highlight w:val="none"/>
          <w:lang w:val="zh-CN"/>
        </w:rPr>
        <w:t>，</w:t>
      </w:r>
      <w:r>
        <w:rPr>
          <w:rFonts w:hint="eastAsia" w:ascii="宋体" w:hAnsi="宋体" w:eastAsia="宋体" w:cs="宋体"/>
          <w:b/>
          <w:color w:val="auto"/>
          <w:kern w:val="0"/>
          <w:sz w:val="21"/>
          <w:szCs w:val="21"/>
          <w:highlight w:val="none"/>
        </w:rPr>
        <w:t>否则视为</w:t>
      </w:r>
      <w:r>
        <w:rPr>
          <w:rFonts w:hint="eastAsia" w:ascii="宋体" w:hAnsi="宋体" w:eastAsia="宋体" w:cs="宋体"/>
          <w:b/>
          <w:color w:val="auto"/>
          <w:sz w:val="21"/>
          <w:szCs w:val="21"/>
          <w:highlight w:val="none"/>
        </w:rPr>
        <w:t>投标文件含有采购人不能接受的附加条件，投标无效</w:t>
      </w:r>
      <w:r>
        <w:rPr>
          <w:rFonts w:hint="eastAsia" w:ascii="宋体" w:hAnsi="宋体" w:eastAsia="宋体" w:cs="宋体"/>
          <w:color w:val="auto"/>
          <w:kern w:val="0"/>
          <w:sz w:val="21"/>
          <w:szCs w:val="21"/>
          <w:highlight w:val="none"/>
          <w:lang w:val="zh-CN"/>
        </w:rPr>
        <w:t>。</w:t>
      </w:r>
    </w:p>
    <w:p w14:paraId="05148075">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2.有关本项目实施所涉及的一切费用均计入报价。</w:t>
      </w:r>
      <w:r>
        <w:rPr>
          <w:rFonts w:hint="eastAsia" w:ascii="宋体" w:hAnsi="宋体" w:eastAsia="宋体" w:cs="宋体"/>
          <w:color w:val="auto"/>
          <w:kern w:val="0"/>
          <w:sz w:val="21"/>
          <w:szCs w:val="21"/>
          <w:highlight w:val="none"/>
          <w:lang w:val="en-US" w:eastAsia="zh-CN"/>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签订条件；</w:t>
      </w:r>
      <w:r>
        <w:rPr>
          <w:rFonts w:hint="eastAsia" w:ascii="宋体" w:hAnsi="宋体" w:eastAsia="宋体" w:cs="宋体"/>
          <w:color w:val="auto"/>
          <w:spacing w:val="0"/>
          <w:kern w:val="0"/>
          <w:sz w:val="21"/>
          <w:szCs w:val="21"/>
          <w:highlight w:val="none"/>
        </w:rPr>
        <w:t>总价</w:t>
      </w:r>
      <w:r>
        <w:rPr>
          <w:rFonts w:hint="eastAsia" w:ascii="宋体" w:hAnsi="宋体" w:eastAsia="宋体" w:cs="宋体"/>
          <w:color w:val="auto"/>
          <w:spacing w:val="0"/>
          <w:kern w:val="0"/>
          <w:sz w:val="21"/>
          <w:szCs w:val="21"/>
          <w:highlight w:val="none"/>
          <w:lang w:eastAsia="zh-CN"/>
        </w:rPr>
        <w:t>不为零</w:t>
      </w:r>
      <w:r>
        <w:rPr>
          <w:rFonts w:hint="eastAsia" w:ascii="宋体" w:hAnsi="宋体" w:eastAsia="宋体" w:cs="宋体"/>
          <w:color w:val="auto"/>
          <w:spacing w:val="0"/>
          <w:kern w:val="0"/>
          <w:sz w:val="21"/>
          <w:szCs w:val="21"/>
          <w:highlight w:val="none"/>
        </w:rPr>
        <w:t>，</w:t>
      </w:r>
      <w:r>
        <w:rPr>
          <w:rFonts w:hint="eastAsia" w:ascii="宋体" w:hAnsi="宋体" w:eastAsia="宋体" w:cs="宋体"/>
          <w:color w:val="auto"/>
          <w:spacing w:val="0"/>
          <w:kern w:val="0"/>
          <w:sz w:val="21"/>
          <w:szCs w:val="21"/>
          <w:highlight w:val="none"/>
          <w:lang w:eastAsia="zh-CN"/>
        </w:rPr>
        <w:t>部分</w:t>
      </w:r>
      <w:r>
        <w:rPr>
          <w:rFonts w:hint="eastAsia" w:ascii="宋体" w:hAnsi="宋体" w:eastAsia="宋体" w:cs="宋体"/>
          <w:color w:val="auto"/>
          <w:spacing w:val="0"/>
          <w:kern w:val="0"/>
          <w:sz w:val="21"/>
          <w:szCs w:val="21"/>
          <w:highlight w:val="none"/>
        </w:rPr>
        <w:t>产品、服务单价为零的，视作已包含在总价中</w:t>
      </w:r>
      <w:r>
        <w:rPr>
          <w:rFonts w:hint="eastAsia" w:ascii="宋体" w:hAnsi="宋体" w:eastAsia="宋体" w:cs="宋体"/>
          <w:color w:val="auto"/>
          <w:spacing w:val="0"/>
          <w:kern w:val="0"/>
          <w:sz w:val="21"/>
          <w:szCs w:val="21"/>
          <w:highlight w:val="none"/>
          <w:lang w:eastAsia="zh-CN"/>
        </w:rPr>
        <w:t>。</w:t>
      </w:r>
      <w:r>
        <w:rPr>
          <w:rFonts w:hint="eastAsia" w:ascii="宋体" w:hAnsi="宋体" w:eastAsia="宋体" w:cs="宋体"/>
          <w:b/>
          <w:color w:val="auto"/>
          <w:kern w:val="0"/>
          <w:sz w:val="21"/>
          <w:szCs w:val="21"/>
          <w:highlight w:val="none"/>
          <w:lang w:val="zh-CN"/>
        </w:rPr>
        <w:t>采购内容未包含在《开标一览表（报价表）》名称栏中，投标人不能作出合理解释的，</w:t>
      </w:r>
      <w:r>
        <w:rPr>
          <w:rFonts w:hint="eastAsia" w:ascii="宋体" w:hAnsi="宋体" w:eastAsia="宋体" w:cs="宋体"/>
          <w:b/>
          <w:color w:val="auto"/>
          <w:kern w:val="0"/>
          <w:sz w:val="21"/>
          <w:szCs w:val="21"/>
          <w:highlight w:val="none"/>
        </w:rPr>
        <w:t>视为</w:t>
      </w:r>
      <w:r>
        <w:rPr>
          <w:rFonts w:hint="eastAsia" w:ascii="宋体" w:hAnsi="宋体" w:eastAsia="宋体" w:cs="宋体"/>
          <w:b/>
          <w:color w:val="auto"/>
          <w:sz w:val="21"/>
          <w:szCs w:val="21"/>
          <w:highlight w:val="none"/>
        </w:rPr>
        <w:t>投标文件含有采购人不能接受的附加条件的，投标无效。</w:t>
      </w:r>
    </w:p>
    <w:p w14:paraId="3394E14D">
      <w:pPr>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3.特别提示：采购代理机构将对项目名称和项目编号，中标人名称、地址和中标金额，主要中标标的名称、品牌（如果有）、规格型号、数量、单价等予以公示。</w:t>
      </w:r>
    </w:p>
    <w:p w14:paraId="4959AF2F">
      <w:pPr>
        <w:snapToGrid w:val="0"/>
        <w:spacing w:line="360" w:lineRule="auto"/>
        <w:ind w:firstLine="480" w:firstLineChars="200"/>
        <w:jc w:val="left"/>
        <w:rPr>
          <w:rFonts w:hint="eastAsia" w:ascii="宋体" w:hAnsi="宋体" w:eastAsia="宋体" w:cs="宋体"/>
          <w:color w:val="auto"/>
          <w:kern w:val="0"/>
          <w:sz w:val="24"/>
          <w:highlight w:val="none"/>
          <w:lang w:val="zh-CN"/>
        </w:rPr>
      </w:pPr>
    </w:p>
    <w:p w14:paraId="336F4465">
      <w:pPr>
        <w:spacing w:line="360" w:lineRule="auto"/>
        <w:rPr>
          <w:rFonts w:hint="eastAsia" w:ascii="宋体" w:hAnsi="宋体" w:eastAsia="宋体" w:cs="宋体"/>
          <w:b/>
          <w:color w:val="auto"/>
          <w:kern w:val="0"/>
          <w:sz w:val="28"/>
          <w:szCs w:val="28"/>
          <w:highlight w:val="none"/>
          <w:lang w:val="en-US" w:eastAsia="zh-CN"/>
        </w:rPr>
      </w:pPr>
      <w:r>
        <w:rPr>
          <w:rFonts w:hint="eastAsia" w:ascii="宋体" w:hAnsi="宋体" w:eastAsia="宋体" w:cs="宋体"/>
          <w:b/>
          <w:color w:val="auto"/>
          <w:kern w:val="0"/>
          <w:sz w:val="28"/>
          <w:szCs w:val="28"/>
          <w:highlight w:val="none"/>
          <w:lang w:val="en-US" w:eastAsia="zh-CN"/>
        </w:rPr>
        <w:br w:type="page"/>
      </w:r>
    </w:p>
    <w:p w14:paraId="1D238FE8">
      <w:pPr>
        <w:spacing w:line="360" w:lineRule="auto"/>
        <w:jc w:val="center"/>
        <w:outlineLvl w:val="0"/>
        <w:rPr>
          <w:rFonts w:hint="eastAsia" w:ascii="宋体" w:hAnsi="宋体" w:eastAsia="宋体" w:cs="宋体"/>
          <w:b/>
          <w:color w:val="auto"/>
          <w:kern w:val="0"/>
          <w:sz w:val="28"/>
          <w:szCs w:val="28"/>
          <w:highlight w:val="none"/>
        </w:rPr>
      </w:pPr>
      <w:bookmarkStart w:id="459" w:name="_Toc26496"/>
      <w:r>
        <w:rPr>
          <w:rFonts w:hint="eastAsia" w:ascii="宋体" w:hAnsi="宋体" w:eastAsia="宋体" w:cs="宋体"/>
          <w:b/>
          <w:color w:val="auto"/>
          <w:kern w:val="0"/>
          <w:sz w:val="28"/>
          <w:szCs w:val="28"/>
          <w:highlight w:val="none"/>
          <w:lang w:val="en-US" w:eastAsia="zh-CN"/>
        </w:rPr>
        <w:t>二</w:t>
      </w:r>
      <w:r>
        <w:rPr>
          <w:rFonts w:hint="eastAsia" w:ascii="宋体" w:hAnsi="宋体" w:eastAsia="宋体" w:cs="宋体"/>
          <w:b/>
          <w:color w:val="auto"/>
          <w:kern w:val="0"/>
          <w:sz w:val="28"/>
          <w:szCs w:val="28"/>
          <w:highlight w:val="none"/>
        </w:rPr>
        <w:t>、报价情况说明和相关证明材料（如果有）</w:t>
      </w:r>
      <w:bookmarkEnd w:id="459"/>
    </w:p>
    <w:p w14:paraId="68B15097">
      <w:pPr>
        <w:spacing w:line="360" w:lineRule="auto"/>
        <w:rPr>
          <w:rFonts w:hint="eastAsia" w:ascii="宋体" w:hAnsi="宋体" w:eastAsia="宋体" w:cs="宋体"/>
          <w:b/>
          <w:bCs/>
          <w:color w:val="auto"/>
          <w:kern w:val="0"/>
          <w:sz w:val="28"/>
          <w:szCs w:val="28"/>
          <w:highlight w:val="none"/>
          <w:lang w:val="en-US"/>
        </w:rPr>
      </w:pPr>
      <w:r>
        <w:rPr>
          <w:rFonts w:hint="eastAsia" w:ascii="宋体" w:hAnsi="宋体" w:eastAsia="宋体" w:cs="宋体"/>
          <w:b/>
          <w:bCs/>
          <w:color w:val="auto"/>
          <w:sz w:val="24"/>
          <w:highlight w:val="none"/>
          <w:lang w:val="en-US" w:eastAsia="zh-CN"/>
        </w:rPr>
        <w:t>[投标报价低于采购项目最高限价45%的，即投标报价＜采购项目最高限价×45%，应提供项目具体成本测算等与报价合理性相关的书面说明及必要的证明材料。]</w:t>
      </w:r>
    </w:p>
    <w:p w14:paraId="031F39FF">
      <w:pPr>
        <w:spacing w:line="360" w:lineRule="auto"/>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br w:type="page"/>
      </w:r>
    </w:p>
    <w:p w14:paraId="5195629D">
      <w:pPr>
        <w:pStyle w:val="2"/>
        <w:keepNext w:val="0"/>
        <w:keepLines w:val="0"/>
        <w:pageBreakBefore/>
        <w:widowControl/>
        <w:spacing w:before="100" w:beforeAutospacing="1" w:after="100" w:afterAutospacing="1" w:line="360" w:lineRule="auto"/>
        <w:ind w:left="1290" w:firstLine="3092" w:firstLineChars="700"/>
        <w:rPr>
          <w:rFonts w:hint="eastAsia" w:ascii="宋体" w:hAnsi="宋体" w:eastAsia="宋体" w:cs="宋体"/>
          <w:color w:val="auto"/>
          <w:highlight w:val="none"/>
        </w:rPr>
      </w:pPr>
      <w:bookmarkStart w:id="460" w:name="_Toc465665161"/>
      <w:bookmarkStart w:id="461" w:name="_Toc9567"/>
      <w:r>
        <w:rPr>
          <w:rFonts w:hint="eastAsia" w:ascii="宋体" w:hAnsi="宋体" w:eastAsia="宋体" w:cs="宋体"/>
          <w:color w:val="auto"/>
          <w:highlight w:val="none"/>
        </w:rPr>
        <w:t>附件</w:t>
      </w:r>
      <w:bookmarkEnd w:id="460"/>
      <w:bookmarkEnd w:id="461"/>
    </w:p>
    <w:p w14:paraId="237A6071">
      <w:pPr>
        <w:keepNext w:val="0"/>
        <w:keepLines w:val="0"/>
        <w:pageBreakBefore w:val="0"/>
        <w:widowControl w:val="0"/>
        <w:kinsoku/>
        <w:wordWrap/>
        <w:overflowPunct/>
        <w:topLinePunct w:val="0"/>
        <w:autoSpaceDE/>
        <w:autoSpaceDN/>
        <w:bidi w:val="0"/>
        <w:adjustRightInd w:val="0"/>
        <w:snapToGrid/>
        <w:spacing w:line="360" w:lineRule="auto"/>
        <w:textAlignment w:val="auto"/>
        <w:outlineLvl w:val="1"/>
        <w:rPr>
          <w:rFonts w:hint="eastAsia" w:ascii="宋体" w:hAnsi="宋体" w:eastAsia="宋体" w:cs="宋体"/>
          <w:b/>
          <w:color w:val="auto"/>
          <w:spacing w:val="6"/>
          <w:sz w:val="32"/>
          <w:szCs w:val="32"/>
          <w:highlight w:val="none"/>
        </w:rPr>
      </w:pPr>
      <w:bookmarkStart w:id="462" w:name="_Toc32463"/>
      <w:r>
        <w:rPr>
          <w:rFonts w:hint="eastAsia" w:ascii="宋体" w:hAnsi="宋体" w:eastAsia="宋体" w:cs="宋体"/>
          <w:b/>
          <w:color w:val="auto"/>
          <w:spacing w:val="6"/>
          <w:sz w:val="32"/>
          <w:szCs w:val="32"/>
          <w:highlight w:val="none"/>
        </w:rPr>
        <w:t>附件1：</w:t>
      </w:r>
      <w:bookmarkEnd w:id="462"/>
    </w:p>
    <w:p w14:paraId="4E59D217">
      <w:pPr>
        <w:spacing w:line="360" w:lineRule="auto"/>
        <w:jc w:val="center"/>
        <w:rPr>
          <w:rFonts w:hint="eastAsia" w:ascii="宋体" w:hAnsi="宋体" w:eastAsia="宋体" w:cs="宋体"/>
          <w:b/>
          <w:color w:val="auto"/>
          <w:spacing w:val="6"/>
          <w:sz w:val="32"/>
          <w:szCs w:val="32"/>
          <w:highlight w:val="none"/>
        </w:rPr>
      </w:pPr>
      <w:bookmarkStart w:id="463" w:name="OLE_LINK13"/>
      <w:bookmarkStart w:id="464" w:name="OLE_LINK14"/>
      <w:r>
        <w:rPr>
          <w:rFonts w:hint="eastAsia" w:ascii="宋体" w:hAnsi="宋体" w:eastAsia="宋体" w:cs="宋体"/>
          <w:b/>
          <w:color w:val="auto"/>
          <w:spacing w:val="6"/>
          <w:sz w:val="32"/>
          <w:szCs w:val="32"/>
          <w:highlight w:val="none"/>
        </w:rPr>
        <w:t>残疾人福利性单位声明函</w:t>
      </w:r>
    </w:p>
    <w:bookmarkEnd w:id="463"/>
    <w:bookmarkEnd w:id="464"/>
    <w:p w14:paraId="5CC4F304">
      <w:pPr>
        <w:spacing w:line="360" w:lineRule="auto"/>
        <w:rPr>
          <w:rFonts w:hint="eastAsia" w:ascii="宋体" w:hAnsi="宋体" w:eastAsia="宋体" w:cs="宋体"/>
          <w:b/>
          <w:color w:val="auto"/>
          <w:spacing w:val="6"/>
          <w:sz w:val="30"/>
          <w:szCs w:val="30"/>
          <w:highlight w:val="none"/>
        </w:rPr>
      </w:pPr>
    </w:p>
    <w:p w14:paraId="1D6C8AA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本单位郑重声明，根据《财政部 民政部 中国残疾人联合会关于促进残疾人就业政府采购政策的通知》（财库〔2017〕 141号）的规定，本单位为符合条件的残疾人福利性单位，且本单位参加_</w:t>
      </w:r>
      <w:r>
        <w:rPr>
          <w:rFonts w:hint="eastAsia" w:ascii="宋体" w:hAnsi="宋体" w:cs="宋体"/>
          <w:color w:val="auto"/>
          <w:sz w:val="21"/>
          <w:szCs w:val="21"/>
          <w:highlight w:val="none"/>
          <w:u w:val="single"/>
          <w:lang w:eastAsia="zh-CN"/>
        </w:rPr>
        <w:t>浙江省工商业联合会</w:t>
      </w:r>
      <w:r>
        <w:rPr>
          <w:rFonts w:hint="eastAsia" w:ascii="宋体" w:hAnsi="宋体" w:eastAsia="宋体" w:cs="宋体"/>
          <w:color w:val="auto"/>
          <w:sz w:val="21"/>
          <w:szCs w:val="21"/>
          <w:highlight w:val="none"/>
        </w:rPr>
        <w:t>_单位的_</w:t>
      </w:r>
      <w:r>
        <w:rPr>
          <w:rFonts w:hint="eastAsia" w:ascii="宋体" w:hAnsi="宋体" w:cs="宋体"/>
          <w:color w:val="auto"/>
          <w:sz w:val="21"/>
          <w:szCs w:val="21"/>
          <w:highlight w:val="none"/>
          <w:u w:val="single"/>
          <w:lang w:eastAsia="zh-CN"/>
        </w:rPr>
        <w:t>浙江省工商业联合会浙里惠企政策精准直达系统</w:t>
      </w:r>
      <w:r>
        <w:rPr>
          <w:rFonts w:hint="eastAsia" w:ascii="宋体" w:hAnsi="宋体" w:eastAsia="宋体" w:cs="宋体"/>
          <w:color w:val="auto"/>
          <w:sz w:val="21"/>
          <w:szCs w:val="21"/>
          <w:highlight w:val="none"/>
          <w:u w:val="single"/>
          <w:lang w:eastAsia="zh-CN"/>
        </w:rPr>
        <w:t>项目</w:t>
      </w:r>
      <w:r>
        <w:rPr>
          <w:rFonts w:hint="eastAsia" w:ascii="宋体" w:hAnsi="宋体" w:eastAsia="宋体" w:cs="宋体"/>
          <w:color w:val="auto"/>
          <w:sz w:val="21"/>
          <w:szCs w:val="21"/>
          <w:highlight w:val="none"/>
        </w:rPr>
        <w:t>__项目采购活动提供本单位制造的货物（由本单位承担工程/提供服务），或者提供其他残疾人福利性单位制造的货物（不包括使用非残疾人福利性单位注册商标的货物）。</w:t>
      </w:r>
    </w:p>
    <w:p w14:paraId="4D1EFFE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本单位对上述声明的真实性负责。如有虚假，将依法承担相应责任。</w:t>
      </w:r>
    </w:p>
    <w:p w14:paraId="4B7A4576">
      <w:pPr>
        <w:spacing w:line="360" w:lineRule="auto"/>
        <w:ind w:firstLine="420" w:firstLineChars="200"/>
        <w:rPr>
          <w:rFonts w:hint="eastAsia" w:ascii="宋体" w:hAnsi="宋体" w:eastAsia="宋体" w:cs="宋体"/>
          <w:color w:val="auto"/>
          <w:sz w:val="21"/>
          <w:szCs w:val="21"/>
          <w:highlight w:val="none"/>
        </w:rPr>
      </w:pPr>
    </w:p>
    <w:p w14:paraId="2529D8F6">
      <w:pPr>
        <w:spacing w:line="360" w:lineRule="auto"/>
        <w:ind w:firstLine="420" w:firstLineChars="200"/>
        <w:rPr>
          <w:rFonts w:hint="eastAsia" w:ascii="宋体" w:hAnsi="宋体" w:eastAsia="宋体" w:cs="宋体"/>
          <w:color w:val="auto"/>
          <w:sz w:val="21"/>
          <w:szCs w:val="21"/>
          <w:highlight w:val="none"/>
        </w:rPr>
      </w:pPr>
    </w:p>
    <w:p w14:paraId="4153A4DA">
      <w:pPr>
        <w:tabs>
          <w:tab w:val="left" w:pos="4860"/>
        </w:tabs>
        <w:spacing w:line="360" w:lineRule="auto"/>
        <w:ind w:right="1560"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1"/>
          <w:szCs w:val="21"/>
          <w:highlight w:val="none"/>
          <w:lang w:val="zh-CN"/>
        </w:rPr>
        <w:t>投标人名称（电子签名）</w:t>
      </w:r>
      <w:r>
        <w:rPr>
          <w:rFonts w:hint="eastAsia" w:ascii="宋体" w:hAnsi="宋体" w:eastAsia="宋体" w:cs="宋体"/>
          <w:color w:val="auto"/>
          <w:sz w:val="21"/>
          <w:szCs w:val="21"/>
          <w:highlight w:val="none"/>
        </w:rPr>
        <w:t>：</w:t>
      </w:r>
    </w:p>
    <w:p w14:paraId="2E2A84AF">
      <w:pPr>
        <w:tabs>
          <w:tab w:val="left" w:pos="4860"/>
        </w:tabs>
        <w:spacing w:line="360" w:lineRule="auto"/>
        <w:ind w:right="1560"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日  期：</w:t>
      </w:r>
    </w:p>
    <w:p w14:paraId="39A75D26">
      <w:pPr>
        <w:spacing w:line="360" w:lineRule="auto"/>
        <w:ind w:firstLine="480" w:firstLineChars="200"/>
        <w:rPr>
          <w:rFonts w:hint="eastAsia" w:ascii="宋体" w:hAnsi="宋体" w:eastAsia="宋体" w:cs="宋体"/>
          <w:color w:val="auto"/>
          <w:sz w:val="24"/>
          <w:highlight w:val="none"/>
        </w:rPr>
      </w:pPr>
    </w:p>
    <w:p w14:paraId="7597E9D7">
      <w:pPr>
        <w:spacing w:line="360" w:lineRule="auto"/>
        <w:ind w:firstLine="420" w:firstLineChars="200"/>
        <w:rPr>
          <w:rFonts w:hint="eastAsia" w:ascii="宋体" w:hAnsi="宋体" w:eastAsia="宋体" w:cs="宋体"/>
          <w:color w:val="auto"/>
          <w:highlight w:val="none"/>
        </w:rPr>
      </w:pPr>
    </w:p>
    <w:p w14:paraId="448AECB2">
      <w:pPr>
        <w:spacing w:line="360" w:lineRule="auto"/>
        <w:ind w:firstLine="420" w:firstLineChars="200"/>
        <w:rPr>
          <w:rFonts w:hint="eastAsia" w:ascii="宋体" w:hAnsi="宋体" w:eastAsia="宋体" w:cs="宋体"/>
          <w:color w:val="auto"/>
          <w:highlight w:val="none"/>
        </w:rPr>
      </w:pPr>
    </w:p>
    <w:p w14:paraId="4B06C558">
      <w:pPr>
        <w:spacing w:line="360" w:lineRule="auto"/>
        <w:ind w:firstLine="420" w:firstLineChars="200"/>
        <w:rPr>
          <w:rFonts w:hint="eastAsia" w:ascii="宋体" w:hAnsi="宋体" w:eastAsia="宋体" w:cs="宋体"/>
          <w:color w:val="auto"/>
          <w:highlight w:val="none"/>
        </w:rPr>
      </w:pPr>
    </w:p>
    <w:p w14:paraId="28A4097C">
      <w:pPr>
        <w:spacing w:line="360" w:lineRule="auto"/>
        <w:ind w:firstLine="420" w:firstLineChars="200"/>
        <w:rPr>
          <w:rFonts w:hint="eastAsia" w:ascii="宋体" w:hAnsi="宋体" w:eastAsia="宋体" w:cs="宋体"/>
          <w:color w:val="auto"/>
          <w:highlight w:val="none"/>
        </w:rPr>
      </w:pPr>
    </w:p>
    <w:p w14:paraId="1FD470FB">
      <w:pPr>
        <w:spacing w:line="360" w:lineRule="auto"/>
        <w:rPr>
          <w:rFonts w:hint="eastAsia" w:ascii="宋体" w:hAnsi="宋体" w:eastAsia="宋体" w:cs="宋体"/>
          <w:b/>
          <w:color w:val="auto"/>
          <w:sz w:val="24"/>
          <w:highlight w:val="none"/>
        </w:rPr>
      </w:pPr>
    </w:p>
    <w:p w14:paraId="58D407BA">
      <w:pPr>
        <w:spacing w:line="360" w:lineRule="auto"/>
        <w:rPr>
          <w:rFonts w:hint="eastAsia" w:ascii="宋体" w:hAnsi="宋体" w:eastAsia="宋体" w:cs="宋体"/>
          <w:b/>
          <w:color w:val="auto"/>
          <w:sz w:val="24"/>
          <w:highlight w:val="none"/>
        </w:rPr>
      </w:pPr>
    </w:p>
    <w:p w14:paraId="6A9BD834">
      <w:pPr>
        <w:spacing w:line="360" w:lineRule="auto"/>
        <w:rPr>
          <w:rFonts w:hint="eastAsia" w:ascii="宋体" w:hAnsi="宋体" w:eastAsia="宋体" w:cs="宋体"/>
          <w:b/>
          <w:color w:val="auto"/>
          <w:sz w:val="24"/>
          <w:highlight w:val="none"/>
        </w:rPr>
      </w:pPr>
    </w:p>
    <w:p w14:paraId="5FDE772B">
      <w:pPr>
        <w:spacing w:line="360" w:lineRule="auto"/>
        <w:rPr>
          <w:rFonts w:hint="eastAsia" w:ascii="宋体" w:hAnsi="宋体" w:eastAsia="宋体" w:cs="宋体"/>
          <w:b/>
          <w:color w:val="auto"/>
          <w:sz w:val="24"/>
          <w:highlight w:val="none"/>
        </w:rPr>
      </w:pPr>
    </w:p>
    <w:p w14:paraId="2E3A49B5">
      <w:pPr>
        <w:spacing w:line="360" w:lineRule="auto"/>
        <w:rPr>
          <w:rFonts w:hint="eastAsia" w:ascii="宋体" w:hAnsi="宋体" w:eastAsia="宋体" w:cs="宋体"/>
          <w:b/>
          <w:color w:val="auto"/>
          <w:sz w:val="24"/>
          <w:highlight w:val="none"/>
        </w:rPr>
      </w:pPr>
    </w:p>
    <w:p w14:paraId="358160A6">
      <w:pPr>
        <w:spacing w:line="360" w:lineRule="auto"/>
        <w:rPr>
          <w:rFonts w:hint="eastAsia" w:ascii="宋体" w:hAnsi="宋体" w:eastAsia="宋体" w:cs="宋体"/>
          <w:b/>
          <w:color w:val="auto"/>
          <w:sz w:val="24"/>
          <w:highlight w:val="none"/>
        </w:rPr>
      </w:pPr>
    </w:p>
    <w:p w14:paraId="47720202">
      <w:pPr>
        <w:spacing w:line="360" w:lineRule="auto"/>
        <w:jc w:val="left"/>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br w:type="page"/>
      </w:r>
    </w:p>
    <w:p w14:paraId="506B3DC5">
      <w:pPr>
        <w:keepNext w:val="0"/>
        <w:keepLines w:val="0"/>
        <w:pageBreakBefore w:val="0"/>
        <w:widowControl w:val="0"/>
        <w:kinsoku/>
        <w:wordWrap/>
        <w:overflowPunct/>
        <w:topLinePunct w:val="0"/>
        <w:autoSpaceDE/>
        <w:autoSpaceDN/>
        <w:bidi w:val="0"/>
        <w:adjustRightInd w:val="0"/>
        <w:snapToGrid/>
        <w:spacing w:line="360" w:lineRule="auto"/>
        <w:textAlignment w:val="auto"/>
        <w:outlineLvl w:val="1"/>
        <w:rPr>
          <w:rFonts w:hint="eastAsia" w:ascii="宋体" w:hAnsi="宋体" w:eastAsia="宋体" w:cs="宋体"/>
          <w:b/>
          <w:color w:val="auto"/>
          <w:spacing w:val="6"/>
          <w:sz w:val="32"/>
          <w:szCs w:val="32"/>
          <w:highlight w:val="none"/>
        </w:rPr>
      </w:pPr>
      <w:bookmarkStart w:id="465" w:name="_Toc16103"/>
      <w:r>
        <w:rPr>
          <w:rFonts w:hint="eastAsia" w:ascii="宋体" w:hAnsi="宋体" w:eastAsia="宋体" w:cs="宋体"/>
          <w:b/>
          <w:color w:val="auto"/>
          <w:spacing w:val="6"/>
          <w:sz w:val="32"/>
          <w:szCs w:val="32"/>
          <w:highlight w:val="none"/>
        </w:rPr>
        <w:t>附件2：质疑函范本及制作说明</w:t>
      </w:r>
      <w:bookmarkEnd w:id="465"/>
    </w:p>
    <w:p w14:paraId="333D2604">
      <w:pPr>
        <w:spacing w:line="360" w:lineRule="auto"/>
        <w:jc w:val="cente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质疑函范本</w:t>
      </w:r>
    </w:p>
    <w:p w14:paraId="5CAB8267">
      <w:pPr>
        <w:snapToGrid w:val="0"/>
        <w:spacing w:before="240" w:beforeLines="100"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一、质疑供应商基本信息</w:t>
      </w:r>
    </w:p>
    <w:p w14:paraId="16ECC415">
      <w:pPr>
        <w:snapToGrid w:val="0"/>
        <w:spacing w:line="360" w:lineRule="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质疑供应商：</w:t>
      </w:r>
      <w:r>
        <w:rPr>
          <w:rFonts w:hint="eastAsia" w:ascii="宋体" w:hAnsi="宋体" w:eastAsia="宋体" w:cs="宋体"/>
          <w:color w:val="auto"/>
          <w:sz w:val="21"/>
          <w:szCs w:val="21"/>
          <w:highlight w:val="none"/>
          <w:u w:val="dotted"/>
        </w:rPr>
        <w:t xml:space="preserve">                                        </w:t>
      </w:r>
    </w:p>
    <w:p w14:paraId="06D2A45E">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p>
    <w:p w14:paraId="2414A8CF">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p>
    <w:p w14:paraId="1A0FBD31">
      <w:pPr>
        <w:snapToGrid w:val="0"/>
        <w:spacing w:line="360" w:lineRule="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授权代表：</w:t>
      </w:r>
      <w:r>
        <w:rPr>
          <w:rFonts w:hint="eastAsia" w:ascii="宋体" w:hAnsi="宋体" w:eastAsia="宋体" w:cs="宋体"/>
          <w:color w:val="auto"/>
          <w:sz w:val="21"/>
          <w:szCs w:val="21"/>
          <w:highlight w:val="none"/>
          <w:u w:val="dotted"/>
        </w:rPr>
        <w:t xml:space="preserve">                                          </w:t>
      </w:r>
    </w:p>
    <w:p w14:paraId="5C954033">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 xml:space="preserve"> </w:t>
      </w:r>
    </w:p>
    <w:p w14:paraId="51EC4F1A">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地址： </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p>
    <w:p w14:paraId="4C520F2C">
      <w:pPr>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二、质疑项目基本情况</w:t>
      </w:r>
    </w:p>
    <w:p w14:paraId="215F6968">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质疑项目的名称：</w:t>
      </w:r>
      <w:r>
        <w:rPr>
          <w:rFonts w:hint="eastAsia" w:ascii="宋体" w:hAnsi="宋体" w:eastAsia="宋体" w:cs="宋体"/>
          <w:color w:val="auto"/>
          <w:sz w:val="21"/>
          <w:szCs w:val="21"/>
          <w:highlight w:val="none"/>
          <w:u w:val="dotted"/>
        </w:rPr>
        <w:t xml:space="preserve">                                      </w:t>
      </w:r>
    </w:p>
    <w:p w14:paraId="56B1C6C3">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质疑项目的编号：</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包号：</w:t>
      </w:r>
      <w:r>
        <w:rPr>
          <w:rFonts w:hint="eastAsia" w:ascii="宋体" w:hAnsi="宋体" w:eastAsia="宋体" w:cs="宋体"/>
          <w:color w:val="auto"/>
          <w:sz w:val="21"/>
          <w:szCs w:val="21"/>
          <w:highlight w:val="none"/>
          <w:u w:val="dotted"/>
        </w:rPr>
        <w:t xml:space="preserve">                 </w:t>
      </w:r>
    </w:p>
    <w:p w14:paraId="252D7EA4">
      <w:pPr>
        <w:snapToGrid w:val="0"/>
        <w:spacing w:line="360" w:lineRule="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采购人名称：</w:t>
      </w:r>
      <w:r>
        <w:rPr>
          <w:rFonts w:hint="eastAsia" w:ascii="宋体" w:hAnsi="宋体" w:eastAsia="宋体" w:cs="宋体"/>
          <w:color w:val="auto"/>
          <w:sz w:val="21"/>
          <w:szCs w:val="21"/>
          <w:highlight w:val="none"/>
          <w:u w:val="dotted"/>
        </w:rPr>
        <w:t xml:space="preserve">                                         </w:t>
      </w:r>
    </w:p>
    <w:p w14:paraId="2FC8E19B">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采购文件获取日期：</w:t>
      </w:r>
      <w:r>
        <w:rPr>
          <w:rFonts w:hint="eastAsia" w:ascii="宋体" w:hAnsi="宋体" w:eastAsia="宋体" w:cs="宋体"/>
          <w:color w:val="auto"/>
          <w:sz w:val="21"/>
          <w:szCs w:val="21"/>
          <w:highlight w:val="none"/>
          <w:u w:val="dotted"/>
        </w:rPr>
        <w:t xml:space="preserve">                                           </w:t>
      </w:r>
    </w:p>
    <w:p w14:paraId="11AC7518">
      <w:pPr>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三、质疑事项具体内容</w:t>
      </w:r>
    </w:p>
    <w:p w14:paraId="5395976E">
      <w:pPr>
        <w:snapToGrid w:val="0"/>
        <w:spacing w:line="360" w:lineRule="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质疑事项1：</w:t>
      </w:r>
      <w:r>
        <w:rPr>
          <w:rFonts w:hint="eastAsia" w:ascii="宋体" w:hAnsi="宋体" w:eastAsia="宋体" w:cs="宋体"/>
          <w:color w:val="auto"/>
          <w:sz w:val="21"/>
          <w:szCs w:val="21"/>
          <w:highlight w:val="none"/>
          <w:u w:val="dotted"/>
        </w:rPr>
        <w:t xml:space="preserve">                                         </w:t>
      </w:r>
    </w:p>
    <w:p w14:paraId="4311FC5D">
      <w:pPr>
        <w:snapToGrid w:val="0"/>
        <w:spacing w:line="360" w:lineRule="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事实依据：</w:t>
      </w:r>
      <w:r>
        <w:rPr>
          <w:rFonts w:hint="eastAsia" w:ascii="宋体" w:hAnsi="宋体" w:eastAsia="宋体" w:cs="宋体"/>
          <w:color w:val="auto"/>
          <w:sz w:val="21"/>
          <w:szCs w:val="21"/>
          <w:highlight w:val="none"/>
          <w:u w:val="dotted"/>
        </w:rPr>
        <w:t xml:space="preserve">                                          </w:t>
      </w:r>
    </w:p>
    <w:p w14:paraId="3117B5A5">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dotted"/>
        </w:rPr>
        <w:t xml:space="preserve">                                                       </w:t>
      </w:r>
    </w:p>
    <w:p w14:paraId="2F0543FC">
      <w:pPr>
        <w:snapToGrid w:val="0"/>
        <w:spacing w:line="360" w:lineRule="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法律依据：</w:t>
      </w:r>
      <w:r>
        <w:rPr>
          <w:rFonts w:hint="eastAsia" w:ascii="宋体" w:hAnsi="宋体" w:eastAsia="宋体" w:cs="宋体"/>
          <w:color w:val="auto"/>
          <w:sz w:val="21"/>
          <w:szCs w:val="21"/>
          <w:highlight w:val="none"/>
          <w:u w:val="dotted"/>
        </w:rPr>
        <w:t xml:space="preserve">                                          </w:t>
      </w:r>
    </w:p>
    <w:p w14:paraId="4F612C5B">
      <w:pPr>
        <w:snapToGrid w:val="0"/>
        <w:spacing w:line="360" w:lineRule="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u w:val="dotted"/>
        </w:rPr>
        <w:t xml:space="preserve">                                                     </w:t>
      </w:r>
    </w:p>
    <w:p w14:paraId="2612B359">
      <w:pPr>
        <w:snapToGrid w:val="0"/>
        <w:spacing w:line="360" w:lineRule="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质疑事项2</w:t>
      </w:r>
    </w:p>
    <w:p w14:paraId="7E2EB9D7">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394C32CE">
      <w:pPr>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四、与质疑事项相关的质疑请求</w:t>
      </w:r>
    </w:p>
    <w:p w14:paraId="1F0A7D2C">
      <w:pPr>
        <w:snapToGrid w:val="0"/>
        <w:spacing w:line="360" w:lineRule="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请求：</w:t>
      </w:r>
      <w:r>
        <w:rPr>
          <w:rFonts w:hint="eastAsia" w:ascii="宋体" w:hAnsi="宋体" w:eastAsia="宋体" w:cs="宋体"/>
          <w:color w:val="auto"/>
          <w:sz w:val="21"/>
          <w:szCs w:val="21"/>
          <w:highlight w:val="none"/>
          <w:u w:val="dotted"/>
        </w:rPr>
        <w:t xml:space="preserve">                                               </w:t>
      </w:r>
    </w:p>
    <w:p w14:paraId="1C8A4FD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签字(签章)：                   公章：                      </w:t>
      </w:r>
    </w:p>
    <w:p w14:paraId="451E66D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日期：    </w:t>
      </w:r>
    </w:p>
    <w:p w14:paraId="7501F721">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质疑函制作说明：</w:t>
      </w:r>
    </w:p>
    <w:p w14:paraId="5523DE08">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1.供应商提出质疑时，应提交质疑函和必要的证明材料。</w:t>
      </w:r>
    </w:p>
    <w:p w14:paraId="5D7CE896">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21"/>
          <w:szCs w:val="21"/>
          <w:highlight w:val="none"/>
        </w:rPr>
        <w:t>供应商签署的授权委托书。授权委托书应载明代理人的姓名或者名称、代理事项、具体权限、期限和相关事项。</w:t>
      </w:r>
    </w:p>
    <w:p w14:paraId="40A14788">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3.质疑供应商若对项目的某一分包进行质疑，质疑函中应列明具体分包号。</w:t>
      </w:r>
    </w:p>
    <w:p w14:paraId="13F0B644">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4.质疑函的质疑事项应具体、明确，并有必要的事实依据和法律依据。</w:t>
      </w:r>
    </w:p>
    <w:p w14:paraId="18F693F7">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5.质疑函的质疑请求应与质疑事项相关。</w:t>
      </w:r>
    </w:p>
    <w:p w14:paraId="4580ABF5">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6.质疑供应商为自然人的，质疑函应由本人签字；质疑供应商为法人或者其他组织的，质疑函应由法定代表人、主要负责人，或者其授权代表签字或者盖章，并加盖公章。</w:t>
      </w:r>
    </w:p>
    <w:p w14:paraId="73460B13">
      <w:pPr>
        <w:widowControl/>
        <w:spacing w:line="360" w:lineRule="auto"/>
        <w:ind w:firstLine="600" w:firstLineChars="200"/>
        <w:jc w:val="left"/>
        <w:rPr>
          <w:rFonts w:hint="eastAsia" w:ascii="宋体" w:hAnsi="宋体" w:eastAsia="宋体" w:cs="宋体"/>
          <w:color w:val="auto"/>
          <w:sz w:val="30"/>
          <w:szCs w:val="30"/>
          <w:highlight w:val="none"/>
        </w:rPr>
      </w:pPr>
    </w:p>
    <w:p w14:paraId="1CA3F5C2">
      <w:pPr>
        <w:spacing w:line="360" w:lineRule="auto"/>
        <w:jc w:val="center"/>
        <w:rPr>
          <w:rFonts w:hint="eastAsia" w:ascii="宋体" w:hAnsi="宋体" w:eastAsia="宋体" w:cs="宋体"/>
          <w:b/>
          <w:color w:val="auto"/>
          <w:spacing w:val="6"/>
          <w:sz w:val="32"/>
          <w:szCs w:val="32"/>
          <w:highlight w:val="none"/>
        </w:rPr>
      </w:pPr>
    </w:p>
    <w:p w14:paraId="6B48B816">
      <w:pPr>
        <w:spacing w:line="360" w:lineRule="auto"/>
        <w:jc w:val="center"/>
        <w:rPr>
          <w:rFonts w:hint="eastAsia" w:ascii="宋体" w:hAnsi="宋体" w:eastAsia="宋体" w:cs="宋体"/>
          <w:b/>
          <w:color w:val="auto"/>
          <w:spacing w:val="6"/>
          <w:sz w:val="32"/>
          <w:szCs w:val="32"/>
          <w:highlight w:val="none"/>
        </w:rPr>
      </w:pPr>
    </w:p>
    <w:p w14:paraId="1EDD593D">
      <w:pPr>
        <w:spacing w:line="360" w:lineRule="auto"/>
        <w:jc w:val="center"/>
        <w:rPr>
          <w:rFonts w:hint="eastAsia" w:ascii="宋体" w:hAnsi="宋体" w:eastAsia="宋体" w:cs="宋体"/>
          <w:b/>
          <w:color w:val="auto"/>
          <w:spacing w:val="6"/>
          <w:sz w:val="32"/>
          <w:szCs w:val="32"/>
          <w:highlight w:val="none"/>
        </w:rPr>
      </w:pPr>
    </w:p>
    <w:p w14:paraId="7C7EA8E5">
      <w:pPr>
        <w:spacing w:line="360" w:lineRule="auto"/>
        <w:jc w:val="center"/>
        <w:rPr>
          <w:rFonts w:hint="eastAsia" w:ascii="宋体" w:hAnsi="宋体" w:eastAsia="宋体" w:cs="宋体"/>
          <w:b/>
          <w:color w:val="auto"/>
          <w:spacing w:val="6"/>
          <w:sz w:val="32"/>
          <w:szCs w:val="32"/>
          <w:highlight w:val="none"/>
        </w:rPr>
      </w:pPr>
    </w:p>
    <w:p w14:paraId="5416C40C">
      <w:pPr>
        <w:spacing w:line="360" w:lineRule="auto"/>
        <w:jc w:val="center"/>
        <w:rPr>
          <w:rFonts w:hint="eastAsia" w:ascii="宋体" w:hAnsi="宋体" w:eastAsia="宋体" w:cs="宋体"/>
          <w:b/>
          <w:color w:val="auto"/>
          <w:spacing w:val="6"/>
          <w:sz w:val="32"/>
          <w:szCs w:val="32"/>
          <w:highlight w:val="none"/>
        </w:rPr>
      </w:pPr>
    </w:p>
    <w:p w14:paraId="37D45E08">
      <w:pPr>
        <w:spacing w:line="360" w:lineRule="auto"/>
        <w:jc w:val="center"/>
        <w:rPr>
          <w:rFonts w:hint="eastAsia" w:ascii="宋体" w:hAnsi="宋体" w:eastAsia="宋体" w:cs="宋体"/>
          <w:b/>
          <w:color w:val="auto"/>
          <w:spacing w:val="6"/>
          <w:sz w:val="32"/>
          <w:szCs w:val="32"/>
          <w:highlight w:val="none"/>
        </w:rPr>
      </w:pPr>
    </w:p>
    <w:p w14:paraId="6CBCAC32">
      <w:pPr>
        <w:spacing w:line="360" w:lineRule="auto"/>
        <w:jc w:val="center"/>
        <w:rPr>
          <w:rFonts w:hint="eastAsia" w:ascii="宋体" w:hAnsi="宋体" w:eastAsia="宋体" w:cs="宋体"/>
          <w:b/>
          <w:color w:val="auto"/>
          <w:spacing w:val="6"/>
          <w:sz w:val="32"/>
          <w:szCs w:val="32"/>
          <w:highlight w:val="none"/>
        </w:rPr>
      </w:pPr>
    </w:p>
    <w:p w14:paraId="4A9EE9F0">
      <w:pPr>
        <w:spacing w:line="360" w:lineRule="auto"/>
        <w:jc w:val="left"/>
        <w:rPr>
          <w:rFonts w:hint="eastAsia" w:ascii="宋体" w:hAnsi="宋体" w:eastAsia="宋体" w:cs="宋体"/>
          <w:b/>
          <w:color w:val="auto"/>
          <w:spacing w:val="6"/>
          <w:sz w:val="32"/>
          <w:szCs w:val="32"/>
          <w:highlight w:val="none"/>
        </w:rPr>
      </w:pPr>
    </w:p>
    <w:p w14:paraId="2CF50F8A">
      <w:pPr>
        <w:pStyle w:val="87"/>
        <w:spacing w:line="360" w:lineRule="auto"/>
        <w:rPr>
          <w:rFonts w:hint="eastAsia" w:ascii="宋体" w:hAnsi="宋体" w:eastAsia="宋体" w:cs="宋体"/>
          <w:b/>
          <w:color w:val="auto"/>
          <w:spacing w:val="6"/>
          <w:sz w:val="32"/>
          <w:szCs w:val="32"/>
          <w:highlight w:val="none"/>
        </w:rPr>
      </w:pPr>
    </w:p>
    <w:p w14:paraId="5DD19AC4">
      <w:pPr>
        <w:pStyle w:val="87"/>
        <w:spacing w:line="360" w:lineRule="auto"/>
        <w:rPr>
          <w:rFonts w:hint="eastAsia" w:ascii="宋体" w:hAnsi="宋体" w:eastAsia="宋体" w:cs="宋体"/>
          <w:b/>
          <w:color w:val="auto"/>
          <w:spacing w:val="6"/>
          <w:sz w:val="32"/>
          <w:szCs w:val="32"/>
          <w:highlight w:val="none"/>
        </w:rPr>
      </w:pPr>
    </w:p>
    <w:p w14:paraId="5C659288">
      <w:pPr>
        <w:pStyle w:val="87"/>
        <w:spacing w:line="360" w:lineRule="auto"/>
        <w:rPr>
          <w:rFonts w:hint="eastAsia" w:ascii="宋体" w:hAnsi="宋体" w:eastAsia="宋体" w:cs="宋体"/>
          <w:b/>
          <w:color w:val="auto"/>
          <w:spacing w:val="6"/>
          <w:sz w:val="32"/>
          <w:szCs w:val="32"/>
          <w:highlight w:val="none"/>
        </w:rPr>
      </w:pPr>
    </w:p>
    <w:p w14:paraId="21CBCEF9">
      <w:pPr>
        <w:pStyle w:val="87"/>
        <w:spacing w:line="360" w:lineRule="auto"/>
        <w:rPr>
          <w:rFonts w:hint="eastAsia" w:ascii="宋体" w:hAnsi="宋体" w:eastAsia="宋体" w:cs="宋体"/>
          <w:b/>
          <w:color w:val="auto"/>
          <w:spacing w:val="6"/>
          <w:sz w:val="32"/>
          <w:szCs w:val="32"/>
          <w:highlight w:val="none"/>
        </w:rPr>
      </w:pPr>
    </w:p>
    <w:p w14:paraId="69D2A1A8">
      <w:pPr>
        <w:pStyle w:val="87"/>
        <w:spacing w:line="360" w:lineRule="auto"/>
        <w:rPr>
          <w:rFonts w:hint="eastAsia" w:ascii="宋体" w:hAnsi="宋体" w:eastAsia="宋体" w:cs="宋体"/>
          <w:b/>
          <w:color w:val="auto"/>
          <w:spacing w:val="6"/>
          <w:sz w:val="32"/>
          <w:szCs w:val="32"/>
          <w:highlight w:val="none"/>
        </w:rPr>
      </w:pPr>
    </w:p>
    <w:p w14:paraId="044823DE">
      <w:pPr>
        <w:spacing w:line="360" w:lineRule="auto"/>
        <w:jc w:val="left"/>
        <w:rPr>
          <w:rFonts w:hint="eastAsia" w:ascii="宋体" w:hAnsi="宋体" w:eastAsia="宋体" w:cs="宋体"/>
          <w:b/>
          <w:color w:val="auto"/>
          <w:spacing w:val="6"/>
          <w:sz w:val="32"/>
          <w:szCs w:val="32"/>
          <w:highlight w:val="none"/>
        </w:rPr>
      </w:pPr>
    </w:p>
    <w:p w14:paraId="3C49328D">
      <w:pPr>
        <w:spacing w:line="360" w:lineRule="auto"/>
        <w:jc w:val="left"/>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br w:type="page"/>
      </w:r>
    </w:p>
    <w:p w14:paraId="239A546F">
      <w:pPr>
        <w:keepNext w:val="0"/>
        <w:keepLines w:val="0"/>
        <w:pageBreakBefore w:val="0"/>
        <w:widowControl w:val="0"/>
        <w:kinsoku/>
        <w:wordWrap/>
        <w:overflowPunct/>
        <w:topLinePunct w:val="0"/>
        <w:autoSpaceDE/>
        <w:autoSpaceDN/>
        <w:bidi w:val="0"/>
        <w:adjustRightInd w:val="0"/>
        <w:snapToGrid/>
        <w:spacing w:line="360" w:lineRule="auto"/>
        <w:textAlignment w:val="auto"/>
        <w:outlineLvl w:val="1"/>
        <w:rPr>
          <w:rFonts w:hint="eastAsia" w:ascii="宋体" w:hAnsi="宋体" w:eastAsia="宋体" w:cs="宋体"/>
          <w:b/>
          <w:color w:val="auto"/>
          <w:spacing w:val="6"/>
          <w:sz w:val="32"/>
          <w:szCs w:val="32"/>
          <w:highlight w:val="none"/>
        </w:rPr>
      </w:pPr>
      <w:bookmarkStart w:id="466" w:name="_Toc8020"/>
      <w:r>
        <w:rPr>
          <w:rFonts w:hint="eastAsia" w:ascii="宋体" w:hAnsi="宋体" w:eastAsia="宋体" w:cs="宋体"/>
          <w:b/>
          <w:color w:val="auto"/>
          <w:spacing w:val="6"/>
          <w:sz w:val="32"/>
          <w:szCs w:val="32"/>
          <w:highlight w:val="none"/>
        </w:rPr>
        <w:t>附件3：投诉书范本及制作说明</w:t>
      </w:r>
      <w:bookmarkEnd w:id="466"/>
    </w:p>
    <w:p w14:paraId="120E4BA3">
      <w:pPr>
        <w:spacing w:line="360" w:lineRule="auto"/>
        <w:jc w:val="center"/>
        <w:rPr>
          <w:rFonts w:hint="eastAsia" w:ascii="宋体" w:hAnsi="宋体" w:eastAsia="宋体" w:cs="宋体"/>
          <w:b/>
          <w:color w:val="auto"/>
          <w:sz w:val="24"/>
          <w:highlight w:val="none"/>
        </w:rPr>
      </w:pPr>
    </w:p>
    <w:p w14:paraId="68C4BB67">
      <w:pPr>
        <w:spacing w:line="360" w:lineRule="auto"/>
        <w:jc w:val="cente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投诉书范本</w:t>
      </w:r>
    </w:p>
    <w:p w14:paraId="5CA2116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一、投诉相关主体基本情况</w:t>
      </w:r>
    </w:p>
    <w:p w14:paraId="45EDE2FB">
      <w:pPr>
        <w:spacing w:line="360" w:lineRule="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投诉人：</w:t>
      </w:r>
      <w:r>
        <w:rPr>
          <w:rFonts w:hint="eastAsia" w:ascii="宋体" w:hAnsi="宋体" w:eastAsia="宋体" w:cs="宋体"/>
          <w:color w:val="auto"/>
          <w:sz w:val="21"/>
          <w:szCs w:val="21"/>
          <w:highlight w:val="none"/>
          <w:u w:val="dotted"/>
        </w:rPr>
        <w:t xml:space="preserve">                                               </w:t>
      </w:r>
    </w:p>
    <w:p w14:paraId="646230C7">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u w:val="single"/>
        </w:rPr>
        <w:t xml:space="preserve">   </w:t>
      </w:r>
    </w:p>
    <w:p w14:paraId="429E49B6">
      <w:pPr>
        <w:tabs>
          <w:tab w:val="left" w:pos="6510"/>
        </w:tabs>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法定代表人/主要负责人：</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 xml:space="preserve">  </w:t>
      </w:r>
    </w:p>
    <w:p w14:paraId="36DC8A81">
      <w:pPr>
        <w:tabs>
          <w:tab w:val="left" w:pos="6510"/>
        </w:tabs>
        <w:spacing w:line="360" w:lineRule="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p>
    <w:p w14:paraId="126C65EA">
      <w:pPr>
        <w:spacing w:line="360" w:lineRule="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授权代表：</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p>
    <w:p w14:paraId="73D9F8D9">
      <w:pPr>
        <w:spacing w:line="360" w:lineRule="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dotted"/>
        </w:rPr>
        <w:t xml:space="preserve">                   </w:t>
      </w:r>
    </w:p>
    <w:p w14:paraId="74866418">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被投诉人1：</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u w:val="single"/>
        </w:rPr>
        <w:t xml:space="preserve">  </w:t>
      </w:r>
    </w:p>
    <w:p w14:paraId="4D1D22C1">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u w:val="single"/>
        </w:rPr>
        <w:t xml:space="preserve"> </w:t>
      </w:r>
    </w:p>
    <w:p w14:paraId="403311DA">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u w:val="single"/>
        </w:rPr>
        <w:t xml:space="preserve"> </w:t>
      </w:r>
    </w:p>
    <w:p w14:paraId="647E17B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被投诉人2</w:t>
      </w:r>
    </w:p>
    <w:p w14:paraId="221C24E5">
      <w:pPr>
        <w:spacing w:line="360" w:lineRule="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w:t>
      </w:r>
    </w:p>
    <w:p w14:paraId="0919E7BB">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相关供应商：</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u w:val="single"/>
        </w:rPr>
        <w:t xml:space="preserve">    </w:t>
      </w:r>
    </w:p>
    <w:p w14:paraId="36CF4988">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u w:val="single"/>
        </w:rPr>
        <w:t xml:space="preserve"> </w:t>
      </w:r>
    </w:p>
    <w:p w14:paraId="190D6E0A">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u w:val="single"/>
        </w:rPr>
        <w:t xml:space="preserve">      </w:t>
      </w:r>
    </w:p>
    <w:p w14:paraId="6F454A7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二、投诉项目基本情况</w:t>
      </w:r>
    </w:p>
    <w:p w14:paraId="05968795">
      <w:pPr>
        <w:spacing w:line="360" w:lineRule="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采购项目名称：</w:t>
      </w:r>
      <w:r>
        <w:rPr>
          <w:rFonts w:hint="eastAsia" w:ascii="宋体" w:hAnsi="宋体" w:eastAsia="宋体" w:cs="宋体"/>
          <w:color w:val="auto"/>
          <w:sz w:val="21"/>
          <w:szCs w:val="21"/>
          <w:highlight w:val="none"/>
          <w:u w:val="dotted"/>
        </w:rPr>
        <w:t xml:space="preserve">                                        </w:t>
      </w:r>
    </w:p>
    <w:p w14:paraId="3AE18134">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采购项目编号：</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包号：</w:t>
      </w:r>
      <w:r>
        <w:rPr>
          <w:rFonts w:hint="eastAsia" w:ascii="宋体" w:hAnsi="宋体" w:eastAsia="宋体" w:cs="宋体"/>
          <w:color w:val="auto"/>
          <w:sz w:val="21"/>
          <w:szCs w:val="21"/>
          <w:highlight w:val="none"/>
          <w:u w:val="dotted"/>
        </w:rPr>
        <w:t xml:space="preserve">              </w:t>
      </w:r>
    </w:p>
    <w:p w14:paraId="2BF77E1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采购人名称：</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u w:val="single"/>
        </w:rPr>
        <w:t xml:space="preserve">  </w:t>
      </w:r>
    </w:p>
    <w:p w14:paraId="0664EE62">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代理机构名称：</w:t>
      </w:r>
      <w:r>
        <w:rPr>
          <w:rFonts w:hint="eastAsia" w:ascii="宋体" w:hAnsi="宋体" w:eastAsia="宋体" w:cs="宋体"/>
          <w:color w:val="auto"/>
          <w:sz w:val="21"/>
          <w:szCs w:val="21"/>
          <w:highlight w:val="none"/>
          <w:u w:val="dotted"/>
        </w:rPr>
        <w:t xml:space="preserve">                                         </w:t>
      </w:r>
    </w:p>
    <w:p w14:paraId="128897FA">
      <w:pPr>
        <w:spacing w:line="360" w:lineRule="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采购文件公告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dotted"/>
        </w:rPr>
        <w:t xml:space="preserve">是/否 </w:t>
      </w:r>
      <w:r>
        <w:rPr>
          <w:rFonts w:hint="eastAsia" w:ascii="宋体" w:hAnsi="宋体" w:eastAsia="宋体" w:cs="宋体"/>
          <w:color w:val="auto"/>
          <w:sz w:val="21"/>
          <w:szCs w:val="21"/>
          <w:highlight w:val="none"/>
        </w:rPr>
        <w:t>公告期限：</w:t>
      </w:r>
      <w:r>
        <w:rPr>
          <w:rFonts w:hint="eastAsia" w:ascii="宋体" w:hAnsi="宋体" w:eastAsia="宋体" w:cs="宋体"/>
          <w:color w:val="auto"/>
          <w:sz w:val="21"/>
          <w:szCs w:val="21"/>
          <w:highlight w:val="none"/>
          <w:u w:val="dotted"/>
        </w:rPr>
        <w:t xml:space="preserve">                                 </w:t>
      </w:r>
    </w:p>
    <w:p w14:paraId="04D28045">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采购结果公告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dotted"/>
        </w:rPr>
        <w:t xml:space="preserve">是/否 </w:t>
      </w:r>
      <w:r>
        <w:rPr>
          <w:rFonts w:hint="eastAsia" w:ascii="宋体" w:hAnsi="宋体" w:eastAsia="宋体" w:cs="宋体"/>
          <w:color w:val="auto"/>
          <w:sz w:val="21"/>
          <w:szCs w:val="21"/>
          <w:highlight w:val="none"/>
        </w:rPr>
        <w:t>公告期限：</w:t>
      </w:r>
      <w:r>
        <w:rPr>
          <w:rFonts w:hint="eastAsia" w:ascii="宋体" w:hAnsi="宋体" w:eastAsia="宋体" w:cs="宋体"/>
          <w:color w:val="auto"/>
          <w:sz w:val="21"/>
          <w:szCs w:val="21"/>
          <w:highlight w:val="none"/>
          <w:u w:val="dotted"/>
        </w:rPr>
        <w:t xml:space="preserve">                        </w:t>
      </w:r>
    </w:p>
    <w:p w14:paraId="7E5A74D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三、质疑基本情况</w:t>
      </w:r>
    </w:p>
    <w:p w14:paraId="02D67239">
      <w:pPr>
        <w:spacing w:line="360" w:lineRule="auto"/>
        <w:ind w:firstLine="420" w:firstLineChars="200"/>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投诉人于</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向</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提出质疑，质疑事项为：</w:t>
      </w:r>
      <w:r>
        <w:rPr>
          <w:rFonts w:hint="eastAsia" w:ascii="宋体" w:hAnsi="宋体" w:eastAsia="宋体" w:cs="宋体"/>
          <w:color w:val="auto"/>
          <w:sz w:val="21"/>
          <w:szCs w:val="21"/>
          <w:highlight w:val="none"/>
          <w:u w:val="dotted"/>
        </w:rPr>
        <w:t xml:space="preserve">                                </w:t>
      </w:r>
    </w:p>
    <w:p w14:paraId="74F8861F">
      <w:pPr>
        <w:spacing w:line="360" w:lineRule="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 xml:space="preserve">  </w:t>
      </w:r>
    </w:p>
    <w:p w14:paraId="67753F08">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dotted"/>
        </w:rPr>
        <w:t>采购人/代理机构</w:t>
      </w:r>
      <w:r>
        <w:rPr>
          <w:rFonts w:hint="eastAsia" w:ascii="宋体" w:hAnsi="宋体" w:eastAsia="宋体" w:cs="宋体"/>
          <w:color w:val="auto"/>
          <w:sz w:val="21"/>
          <w:szCs w:val="21"/>
          <w:highlight w:val="none"/>
        </w:rPr>
        <w:t>于</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就质疑事项作出了答复/没有在法定期限内作出答复。</w:t>
      </w:r>
    </w:p>
    <w:p w14:paraId="639BED0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四、投诉事项具体内容</w:t>
      </w:r>
    </w:p>
    <w:p w14:paraId="1577D886">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投诉事项 1：</w:t>
      </w:r>
      <w:r>
        <w:rPr>
          <w:rFonts w:hint="eastAsia" w:ascii="宋体" w:hAnsi="宋体" w:eastAsia="宋体" w:cs="宋体"/>
          <w:color w:val="auto"/>
          <w:sz w:val="21"/>
          <w:szCs w:val="21"/>
          <w:highlight w:val="none"/>
          <w:u w:val="dotted"/>
        </w:rPr>
        <w:t xml:space="preserve">                                       </w:t>
      </w:r>
    </w:p>
    <w:p w14:paraId="17DC5E6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事实依据：</w:t>
      </w:r>
      <w:r>
        <w:rPr>
          <w:rFonts w:hint="eastAsia" w:ascii="宋体" w:hAnsi="宋体" w:eastAsia="宋体" w:cs="宋体"/>
          <w:color w:val="auto"/>
          <w:sz w:val="21"/>
          <w:szCs w:val="21"/>
          <w:highlight w:val="none"/>
          <w:u w:val="dotted"/>
        </w:rPr>
        <w:t xml:space="preserve">                                         </w:t>
      </w:r>
    </w:p>
    <w:p w14:paraId="01BCBF36">
      <w:pPr>
        <w:spacing w:line="360" w:lineRule="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u w:val="dotted"/>
        </w:rPr>
        <w:t xml:space="preserve">                                                      </w:t>
      </w:r>
    </w:p>
    <w:p w14:paraId="2144378D">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法律依据：</w:t>
      </w:r>
      <w:r>
        <w:rPr>
          <w:rFonts w:hint="eastAsia" w:ascii="宋体" w:hAnsi="宋体" w:eastAsia="宋体" w:cs="宋体"/>
          <w:color w:val="auto"/>
          <w:sz w:val="21"/>
          <w:szCs w:val="21"/>
          <w:highlight w:val="none"/>
          <w:u w:val="dotted"/>
        </w:rPr>
        <w:t xml:space="preserve">                                          </w:t>
      </w:r>
    </w:p>
    <w:p w14:paraId="609F55BA">
      <w:pPr>
        <w:spacing w:line="360" w:lineRule="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u w:val="dotted"/>
        </w:rPr>
        <w:t xml:space="preserve">                                                      </w:t>
      </w:r>
    </w:p>
    <w:p w14:paraId="7D84002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投诉事项2</w:t>
      </w:r>
    </w:p>
    <w:p w14:paraId="6C25B4CC">
      <w:pPr>
        <w:spacing w:line="360" w:lineRule="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w:t>
      </w:r>
    </w:p>
    <w:p w14:paraId="36A81EC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五、与投诉事项相关的投诉请求</w:t>
      </w:r>
    </w:p>
    <w:p w14:paraId="7A6F622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请求：</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 xml:space="preserve"> </w:t>
      </w:r>
    </w:p>
    <w:p w14:paraId="4D4958C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签字(签章)：                   公章：                      </w:t>
      </w:r>
    </w:p>
    <w:p w14:paraId="51F8623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日期：    </w:t>
      </w:r>
    </w:p>
    <w:p w14:paraId="07195BE3">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投诉书制作说明：</w:t>
      </w:r>
    </w:p>
    <w:p w14:paraId="577C14E4">
      <w:pPr>
        <w:widowControl/>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1.投诉人提起投诉时，应当提交投诉书和必要的证明材料，并按照被投诉人和与投诉事项有关的供应商数量提供投诉书副本。</w:t>
      </w:r>
    </w:p>
    <w:p w14:paraId="4182766A">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2.投诉人若委托代理人进行投诉的，投诉书应按照要求列明“授权代表”的有关内容，并在附件中提交由</w:t>
      </w:r>
      <w:r>
        <w:rPr>
          <w:rFonts w:hint="eastAsia" w:ascii="宋体" w:hAnsi="宋体" w:eastAsia="宋体" w:cs="宋体"/>
          <w:color w:val="auto"/>
          <w:kern w:val="0"/>
          <w:sz w:val="21"/>
          <w:szCs w:val="21"/>
          <w:highlight w:val="none"/>
        </w:rPr>
        <w:t>投诉人签署的授权委托书。授权委托书应当载明代理人的姓名或者名称、代理事项、具体权限、期限和相关事项。</w:t>
      </w:r>
    </w:p>
    <w:p w14:paraId="03C25B95">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3.投诉人若对项目的某一分包进行投诉，投诉书应列明具体分包号。</w:t>
      </w:r>
    </w:p>
    <w:p w14:paraId="243F9D39">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4.投诉书应简要列明质疑事项，质疑函、质疑答复等作为附件材料提供。</w:t>
      </w:r>
    </w:p>
    <w:p w14:paraId="45819BCB">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5.投诉书的投诉事项应具体、明确，并有必要的事实依据和法律依据。</w:t>
      </w:r>
    </w:p>
    <w:p w14:paraId="7584BB2A">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6.投诉书的投诉请求应与投诉事项相关。</w:t>
      </w:r>
    </w:p>
    <w:p w14:paraId="3030E7DD">
      <w:pPr>
        <w:widowControl/>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7.投诉人为自然人的，投诉书应当由本人签字；投诉人为法人或者其他组织的，投诉书应当由法定代表人、主要负责人，或者其授权代表签字或者盖章，并加盖公章。</w:t>
      </w:r>
    </w:p>
    <w:p w14:paraId="44EC7F89">
      <w:pPr>
        <w:autoSpaceDE/>
        <w:autoSpaceDN/>
        <w:spacing w:line="360" w:lineRule="auto"/>
        <w:jc w:val="left"/>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br w:type="page"/>
      </w:r>
    </w:p>
    <w:p w14:paraId="40564A4F">
      <w:pPr>
        <w:keepNext w:val="0"/>
        <w:keepLines w:val="0"/>
        <w:pageBreakBefore w:val="0"/>
        <w:widowControl w:val="0"/>
        <w:kinsoku/>
        <w:wordWrap/>
        <w:overflowPunct/>
        <w:topLinePunct w:val="0"/>
        <w:autoSpaceDE/>
        <w:autoSpaceDN/>
        <w:bidi w:val="0"/>
        <w:adjustRightInd w:val="0"/>
        <w:snapToGrid/>
        <w:spacing w:line="360" w:lineRule="auto"/>
        <w:textAlignment w:val="auto"/>
        <w:outlineLvl w:val="1"/>
        <w:rPr>
          <w:rFonts w:hint="eastAsia" w:ascii="宋体" w:hAnsi="宋体" w:eastAsia="宋体" w:cs="宋体"/>
          <w:b/>
          <w:color w:val="auto"/>
          <w:spacing w:val="6"/>
          <w:sz w:val="32"/>
          <w:szCs w:val="32"/>
          <w:highlight w:val="none"/>
        </w:rPr>
      </w:pPr>
      <w:bookmarkStart w:id="467" w:name="_Toc18972"/>
      <w:r>
        <w:rPr>
          <w:rFonts w:hint="eastAsia" w:ascii="宋体" w:hAnsi="宋体" w:eastAsia="宋体" w:cs="宋体"/>
          <w:b/>
          <w:color w:val="auto"/>
          <w:spacing w:val="6"/>
          <w:sz w:val="32"/>
          <w:szCs w:val="32"/>
          <w:highlight w:val="none"/>
        </w:rPr>
        <w:t>附件4：业务专用章使用说明函</w:t>
      </w:r>
      <w:bookmarkEnd w:id="467"/>
    </w:p>
    <w:p w14:paraId="6597A5F1">
      <w:pPr>
        <w:spacing w:line="360" w:lineRule="auto"/>
        <w:rPr>
          <w:rFonts w:hint="eastAsia" w:ascii="宋体" w:hAnsi="宋体" w:eastAsia="宋体" w:cs="宋体"/>
          <w:color w:val="auto"/>
          <w:sz w:val="24"/>
          <w:highlight w:val="none"/>
          <w:u w:val="single"/>
        </w:rPr>
      </w:pPr>
    </w:p>
    <w:p w14:paraId="448721C5">
      <w:pPr>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u w:val="single"/>
          <w:lang w:eastAsia="zh-CN"/>
        </w:rPr>
        <w:t>浙江省工商业联合会</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eastAsia="zh-CN"/>
        </w:rPr>
        <w:t>浙江国际招投标有限公司</w:t>
      </w:r>
      <w:r>
        <w:rPr>
          <w:rFonts w:hint="eastAsia" w:ascii="宋体" w:hAnsi="宋体" w:eastAsia="宋体" w:cs="宋体"/>
          <w:color w:val="auto"/>
          <w:sz w:val="21"/>
          <w:szCs w:val="21"/>
          <w:highlight w:val="none"/>
          <w:u w:val="single"/>
        </w:rPr>
        <w:t>：</w:t>
      </w:r>
    </w:p>
    <w:p w14:paraId="53D1167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我方</w:t>
      </w: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sz w:val="21"/>
          <w:szCs w:val="21"/>
          <w:highlight w:val="none"/>
        </w:rPr>
        <w:t>(投标人全称)是中华人民共和国依法登记注册的合法企业，</w:t>
      </w:r>
      <w:r>
        <w:rPr>
          <w:rFonts w:hint="eastAsia" w:ascii="宋体" w:hAnsi="宋体" w:eastAsia="宋体" w:cs="宋体"/>
          <w:bCs/>
          <w:color w:val="auto"/>
          <w:sz w:val="21"/>
          <w:szCs w:val="21"/>
          <w:highlight w:val="none"/>
        </w:rPr>
        <w:t>在参加</w:t>
      </w:r>
      <w:r>
        <w:rPr>
          <w:rFonts w:hint="eastAsia" w:ascii="宋体" w:hAnsi="宋体" w:eastAsia="宋体" w:cs="宋体"/>
          <w:color w:val="auto"/>
          <w:sz w:val="21"/>
          <w:szCs w:val="21"/>
          <w:highlight w:val="none"/>
        </w:rPr>
        <w:t>你方组织的</w:t>
      </w:r>
      <w:r>
        <w:rPr>
          <w:rFonts w:hint="eastAsia" w:ascii="宋体" w:hAnsi="宋体" w:cs="宋体"/>
          <w:color w:val="auto"/>
          <w:sz w:val="21"/>
          <w:szCs w:val="21"/>
          <w:highlight w:val="none"/>
          <w:lang w:eastAsia="zh-CN"/>
        </w:rPr>
        <w:t>浙江省工商业联合会浙里惠企政策精准直达系统</w:t>
      </w:r>
      <w:r>
        <w:rPr>
          <w:rFonts w:hint="eastAsia" w:ascii="宋体" w:hAnsi="宋体" w:eastAsia="宋体" w:cs="宋体"/>
          <w:color w:val="auto"/>
          <w:sz w:val="21"/>
          <w:szCs w:val="21"/>
          <w:highlight w:val="none"/>
          <w:lang w:eastAsia="zh-CN"/>
        </w:rPr>
        <w:t>项目</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编号：</w:t>
      </w:r>
      <w:r>
        <w:rPr>
          <w:rFonts w:hint="eastAsia" w:ascii="宋体" w:hAnsi="宋体" w:eastAsia="宋体" w:cs="宋体"/>
          <w:color w:val="auto"/>
          <w:sz w:val="21"/>
          <w:szCs w:val="21"/>
          <w:highlight w:val="none"/>
          <w:u w:val="single"/>
          <w:lang w:val="en-US" w:eastAsia="zh-CN"/>
        </w:rPr>
        <w:t>330000266080010000040-ZJ-2621091</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投标活动中作如下说明：</w:t>
      </w:r>
      <w:r>
        <w:rPr>
          <w:rFonts w:hint="eastAsia" w:ascii="宋体" w:hAnsi="宋体" w:eastAsia="宋体" w:cs="宋体"/>
          <w:color w:val="auto"/>
          <w:sz w:val="21"/>
          <w:szCs w:val="21"/>
          <w:highlight w:val="none"/>
        </w:rPr>
        <w:t xml:space="preserve">我方所使用的“XX专用章”与法定名称章具有同等的法律效力，对使用“XX专用章”的行为予以完全承认，并愿意承担相应责任。   </w:t>
      </w:r>
    </w:p>
    <w:p w14:paraId="7B17BC0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特此说明。</w:t>
      </w:r>
    </w:p>
    <w:p w14:paraId="1AFDD2F4">
      <w:pPr>
        <w:spacing w:line="360" w:lineRule="auto"/>
        <w:ind w:firstLine="494"/>
        <w:rPr>
          <w:rFonts w:hint="eastAsia" w:ascii="宋体" w:hAnsi="宋体" w:eastAsia="宋体" w:cs="宋体"/>
          <w:color w:val="auto"/>
          <w:sz w:val="21"/>
          <w:szCs w:val="21"/>
          <w:highlight w:val="none"/>
        </w:rPr>
      </w:pPr>
    </w:p>
    <w:p w14:paraId="3DEFC0D9">
      <w:pPr>
        <w:spacing w:line="360" w:lineRule="auto"/>
        <w:ind w:firstLine="494"/>
        <w:rPr>
          <w:rFonts w:hint="eastAsia" w:ascii="宋体" w:hAnsi="宋体" w:eastAsia="宋体" w:cs="宋体"/>
          <w:color w:val="auto"/>
          <w:sz w:val="21"/>
          <w:szCs w:val="21"/>
          <w:highlight w:val="none"/>
        </w:rPr>
      </w:pPr>
    </w:p>
    <w:p w14:paraId="484E48BB">
      <w:pPr>
        <w:spacing w:line="360" w:lineRule="auto"/>
        <w:ind w:firstLine="494"/>
        <w:rPr>
          <w:rFonts w:hint="eastAsia" w:ascii="宋体" w:hAnsi="宋体" w:eastAsia="宋体" w:cs="宋体"/>
          <w:color w:val="auto"/>
          <w:sz w:val="21"/>
          <w:szCs w:val="21"/>
          <w:highlight w:val="none"/>
        </w:rPr>
      </w:pPr>
    </w:p>
    <w:p w14:paraId="79E722FC">
      <w:pPr>
        <w:spacing w:line="360" w:lineRule="auto"/>
        <w:ind w:right="480" w:firstLine="3570" w:firstLineChars="17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投标单位（法定名称章）：</w:t>
      </w:r>
    </w:p>
    <w:p w14:paraId="4AD99098">
      <w:pPr>
        <w:spacing w:line="360" w:lineRule="auto"/>
        <w:ind w:right="1440" w:firstLine="49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日期：       年     月     日</w:t>
      </w:r>
    </w:p>
    <w:p w14:paraId="4FCEE92D">
      <w:pPr>
        <w:spacing w:line="360"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附：</w:t>
      </w:r>
    </w:p>
    <w:p w14:paraId="12425A7B">
      <w:pPr>
        <w:spacing w:line="360" w:lineRule="auto"/>
        <w:rPr>
          <w:rFonts w:hint="eastAsia" w:ascii="宋体" w:hAnsi="宋体" w:eastAsia="宋体" w:cs="宋体"/>
          <w:bCs/>
          <w:color w:val="auto"/>
          <w:sz w:val="21"/>
          <w:szCs w:val="21"/>
          <w:highlight w:val="none"/>
        </w:rPr>
      </w:pPr>
      <w:r>
        <w:rPr>
          <w:rFonts w:hint="eastAsia" w:ascii="宋体" w:hAnsi="宋体" w:eastAsia="宋体" w:cs="宋体"/>
          <w:b/>
          <w:bCs/>
          <w:color w:val="auto"/>
          <w:sz w:val="21"/>
          <w:szCs w:val="21"/>
          <w:highlight w:val="none"/>
        </w:rPr>
        <mc:AlternateContent>
          <mc:Choice Requires="wps">
            <w:drawing>
              <wp:anchor distT="0" distB="0" distL="0" distR="0" simplePos="0" relativeHeight="251660288" behindDoc="1" locked="0" layoutInCell="1" allowOverlap="1">
                <wp:simplePos x="0" y="0"/>
                <wp:positionH relativeFrom="column">
                  <wp:posOffset>3034030</wp:posOffset>
                </wp:positionH>
                <wp:positionV relativeFrom="paragraph">
                  <wp:posOffset>356235</wp:posOffset>
                </wp:positionV>
                <wp:extent cx="2704465" cy="2253615"/>
                <wp:effectExtent l="10160" t="13334" r="9525" b="9525"/>
                <wp:wrapNone/>
                <wp:docPr id="1026" name="Rectangle 17"/>
                <wp:cNvGraphicFramePr/>
                <a:graphic xmlns:a="http://schemas.openxmlformats.org/drawingml/2006/main">
                  <a:graphicData uri="http://schemas.microsoft.com/office/word/2010/wordprocessingShape">
                    <wps:wsp>
                      <wps:cNvSpPr/>
                      <wps:spPr>
                        <a:xfrm>
                          <a:off x="0" y="0"/>
                          <a:ext cx="2704465" cy="2253615"/>
                        </a:xfrm>
                        <a:prstGeom prst="rect">
                          <a:avLst/>
                        </a:prstGeom>
                        <a:solidFill>
                          <a:srgbClr val="FFFFFF"/>
                        </a:solidFill>
                        <a:ln w="9525" cap="flat" cmpd="sng">
                          <a:solidFill>
                            <a:srgbClr val="000000"/>
                          </a:solidFill>
                          <a:prstDash val="solid"/>
                          <a:miter/>
                        </a:ln>
                      </wps:spPr>
                      <wps:bodyPr/>
                    </wps:wsp>
                  </a:graphicData>
                </a:graphic>
              </wp:anchor>
            </w:drawing>
          </mc:Choice>
          <mc:Fallback>
            <w:pict>
              <v:rect id="Rectangle 17" o:spid="_x0000_s1026" o:spt="1" style="position:absolute;left:0pt;margin-left:238.9pt;margin-top:28.05pt;height:177.45pt;width:212.95pt;z-index:-251656192;mso-width-relative:page;mso-height-relative:page;" fillcolor="#FFFFFF" filled="t" stroked="t" coordsize="21600,21600" o:gfxdata="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xz/jB2AAAAAoBAAAPAAAAAAAAAAEAIAAAACIAAABk&#10;cnMvZG93bnJldi54bWxQSwECFAAUAAAACACHTuJAC9UheM0BAADGAwAADgAAAAAAAAABACAAAAAn&#10;AQAAZHJzL2Uyb0RvYy54bWxQSwUGAAAAAAYABgBZAQAAZgUAAAAA&#10;">
                <v:fill on="t" focussize="0,0"/>
                <v:stroke color="#000000" joinstyle="miter"/>
                <v:imagedata o:title=""/>
                <o:lock v:ext="edit" aspectratio="f"/>
              </v:rect>
            </w:pict>
          </mc:Fallback>
        </mc:AlternateContent>
      </w:r>
      <w:r>
        <w:rPr>
          <w:rFonts w:hint="eastAsia" w:ascii="宋体" w:hAnsi="宋体" w:eastAsia="宋体" w:cs="宋体"/>
          <w:b/>
          <w:bCs/>
          <w:color w:val="auto"/>
          <w:sz w:val="21"/>
          <w:szCs w:val="21"/>
          <w:highlight w:val="none"/>
        </w:rPr>
        <mc:AlternateContent>
          <mc:Choice Requires="wps">
            <w:drawing>
              <wp:anchor distT="0" distB="0" distL="0" distR="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4" r="10160" b="9525"/>
                <wp:wrapNone/>
                <wp:docPr id="1027" name="Rectangle 16"/>
                <wp:cNvGraphicFramePr/>
                <a:graphic xmlns:a="http://schemas.openxmlformats.org/drawingml/2006/main">
                  <a:graphicData uri="http://schemas.microsoft.com/office/word/2010/wordprocessingShape">
                    <wps:wsp>
                      <wps:cNvSpPr/>
                      <wps:spPr>
                        <a:xfrm>
                          <a:off x="0" y="0"/>
                          <a:ext cx="2647950" cy="2253615"/>
                        </a:xfrm>
                        <a:prstGeom prst="rect">
                          <a:avLst/>
                        </a:prstGeom>
                        <a:solidFill>
                          <a:srgbClr val="FFFFFF"/>
                        </a:solidFill>
                        <a:ln w="9525" cap="flat" cmpd="sng">
                          <a:solidFill>
                            <a:srgbClr val="000000"/>
                          </a:solidFill>
                          <a:prstDash val="solid"/>
                          <a:miter/>
                        </a:ln>
                      </wps:spPr>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d07BY2AAAAAoBAAAPAAAAAAAAAAEAIAAAACIAAABk&#10;cnMvZG93bnJldi54bWxQSwECFAAUAAAACACHTuJAD8HNp80BAADGAwAADgAAAAAAAAABACAAAAAn&#10;AQAAZHJzL2Uyb0RvYy54bWxQSwUGAAAAAAYABgBZAQAAZgUAAAAA&#10;">
                <v:fill on="t" focussize="0,0"/>
                <v:stroke color="#000000" joinstyle="miter"/>
                <v:imagedata o:title=""/>
                <o:lock v:ext="edit" aspectratio="f"/>
              </v:rect>
            </w:pict>
          </mc:Fallback>
        </mc:AlternateContent>
      </w:r>
      <w:r>
        <w:rPr>
          <w:rFonts w:hint="eastAsia" w:ascii="宋体" w:hAnsi="宋体" w:eastAsia="宋体" w:cs="宋体"/>
          <w:color w:val="auto"/>
          <w:sz w:val="21"/>
          <w:szCs w:val="21"/>
          <w:highlight w:val="none"/>
        </w:rPr>
        <w:t>投标单位法定名称章（印模）                投标单位“XX专用章”（印模）</w:t>
      </w:r>
    </w:p>
    <w:p w14:paraId="73A6726E">
      <w:pPr>
        <w:autoSpaceDE w:val="0"/>
        <w:autoSpaceDN w:val="0"/>
        <w:spacing w:line="360" w:lineRule="auto"/>
        <w:jc w:val="center"/>
        <w:rPr>
          <w:rFonts w:hint="eastAsia" w:ascii="宋体" w:hAnsi="宋体" w:eastAsia="宋体" w:cs="宋体"/>
          <w:b/>
          <w:color w:val="auto"/>
          <w:spacing w:val="6"/>
          <w:sz w:val="32"/>
          <w:szCs w:val="32"/>
          <w:highlight w:val="none"/>
        </w:rPr>
      </w:pPr>
    </w:p>
    <w:p w14:paraId="6608A410">
      <w:pPr>
        <w:autoSpaceDE w:val="0"/>
        <w:autoSpaceDN w:val="0"/>
        <w:spacing w:line="360" w:lineRule="auto"/>
        <w:jc w:val="center"/>
        <w:rPr>
          <w:rFonts w:hint="eastAsia" w:ascii="宋体" w:hAnsi="宋体" w:eastAsia="宋体" w:cs="宋体"/>
          <w:b/>
          <w:color w:val="auto"/>
          <w:spacing w:val="6"/>
          <w:sz w:val="32"/>
          <w:szCs w:val="32"/>
          <w:highlight w:val="none"/>
        </w:rPr>
      </w:pPr>
    </w:p>
    <w:p w14:paraId="0D2F5440">
      <w:pPr>
        <w:autoSpaceDE w:val="0"/>
        <w:autoSpaceDN w:val="0"/>
        <w:spacing w:line="360" w:lineRule="auto"/>
        <w:jc w:val="center"/>
        <w:rPr>
          <w:rFonts w:hint="eastAsia" w:ascii="宋体" w:hAnsi="宋体" w:eastAsia="宋体" w:cs="宋体"/>
          <w:b/>
          <w:color w:val="auto"/>
          <w:spacing w:val="6"/>
          <w:sz w:val="32"/>
          <w:szCs w:val="32"/>
          <w:highlight w:val="none"/>
        </w:rPr>
      </w:pPr>
    </w:p>
    <w:p w14:paraId="607E0591">
      <w:pPr>
        <w:autoSpaceDE w:val="0"/>
        <w:autoSpaceDN w:val="0"/>
        <w:spacing w:line="360" w:lineRule="auto"/>
        <w:jc w:val="center"/>
        <w:rPr>
          <w:rFonts w:hint="eastAsia" w:ascii="宋体" w:hAnsi="宋体" w:eastAsia="宋体" w:cs="宋体"/>
          <w:b/>
          <w:color w:val="auto"/>
          <w:spacing w:val="6"/>
          <w:sz w:val="32"/>
          <w:szCs w:val="32"/>
          <w:highlight w:val="none"/>
        </w:rPr>
      </w:pPr>
    </w:p>
    <w:p w14:paraId="1E6409F4">
      <w:pPr>
        <w:autoSpaceDE w:val="0"/>
        <w:autoSpaceDN w:val="0"/>
        <w:spacing w:line="360" w:lineRule="auto"/>
        <w:jc w:val="center"/>
        <w:rPr>
          <w:rFonts w:hint="eastAsia" w:ascii="宋体" w:hAnsi="宋体" w:eastAsia="宋体" w:cs="宋体"/>
          <w:b/>
          <w:color w:val="auto"/>
          <w:spacing w:val="6"/>
          <w:sz w:val="32"/>
          <w:szCs w:val="32"/>
          <w:highlight w:val="none"/>
        </w:rPr>
      </w:pPr>
    </w:p>
    <w:p w14:paraId="27A63C10">
      <w:pPr>
        <w:autoSpaceDE w:val="0"/>
        <w:autoSpaceDN w:val="0"/>
        <w:spacing w:line="360" w:lineRule="auto"/>
        <w:jc w:val="center"/>
        <w:rPr>
          <w:rFonts w:hint="eastAsia" w:ascii="宋体" w:hAnsi="宋体" w:eastAsia="宋体" w:cs="宋体"/>
          <w:b/>
          <w:color w:val="auto"/>
          <w:spacing w:val="6"/>
          <w:sz w:val="32"/>
          <w:szCs w:val="32"/>
          <w:highlight w:val="none"/>
        </w:rPr>
      </w:pPr>
    </w:p>
    <w:p w14:paraId="28FFD21E">
      <w:pPr>
        <w:autoSpaceDE w:val="0"/>
        <w:autoSpaceDN w:val="0"/>
        <w:spacing w:line="360" w:lineRule="auto"/>
        <w:jc w:val="center"/>
        <w:rPr>
          <w:rFonts w:hint="eastAsia" w:ascii="宋体" w:hAnsi="宋体" w:eastAsia="宋体" w:cs="宋体"/>
          <w:b/>
          <w:color w:val="auto"/>
          <w:spacing w:val="6"/>
          <w:sz w:val="32"/>
          <w:szCs w:val="32"/>
          <w:highlight w:val="none"/>
        </w:rPr>
      </w:pPr>
    </w:p>
    <w:p w14:paraId="46B6278F">
      <w:pPr>
        <w:autoSpaceDE w:val="0"/>
        <w:autoSpaceDN w:val="0"/>
        <w:spacing w:line="360" w:lineRule="auto"/>
        <w:jc w:val="center"/>
        <w:rPr>
          <w:rFonts w:hint="eastAsia" w:ascii="宋体" w:hAnsi="宋体" w:eastAsia="宋体" w:cs="宋体"/>
          <w:b/>
          <w:color w:val="auto"/>
          <w:spacing w:val="6"/>
          <w:sz w:val="32"/>
          <w:szCs w:val="32"/>
          <w:highlight w:val="none"/>
        </w:rPr>
      </w:pPr>
    </w:p>
    <w:p w14:paraId="48616100">
      <w:pPr>
        <w:autoSpaceDE w:val="0"/>
        <w:autoSpaceDN w:val="0"/>
        <w:spacing w:line="360" w:lineRule="auto"/>
        <w:jc w:val="center"/>
        <w:rPr>
          <w:rFonts w:hint="eastAsia" w:ascii="宋体" w:hAnsi="宋体" w:eastAsia="宋体" w:cs="宋体"/>
          <w:b/>
          <w:color w:val="auto"/>
          <w:spacing w:val="6"/>
          <w:sz w:val="32"/>
          <w:szCs w:val="32"/>
          <w:highlight w:val="none"/>
        </w:rPr>
      </w:pPr>
    </w:p>
    <w:p w14:paraId="5C95E395">
      <w:pPr>
        <w:autoSpaceDE w:val="0"/>
        <w:autoSpaceDN w:val="0"/>
        <w:spacing w:line="360" w:lineRule="auto"/>
        <w:jc w:val="center"/>
        <w:rPr>
          <w:rFonts w:hint="eastAsia" w:ascii="宋体" w:hAnsi="宋体" w:eastAsia="宋体" w:cs="宋体"/>
          <w:b/>
          <w:color w:val="auto"/>
          <w:spacing w:val="6"/>
          <w:sz w:val="32"/>
          <w:szCs w:val="32"/>
          <w:highlight w:val="none"/>
        </w:rPr>
      </w:pPr>
    </w:p>
    <w:p w14:paraId="143A2838">
      <w:pPr>
        <w:autoSpaceDE w:val="0"/>
        <w:autoSpaceDN w:val="0"/>
        <w:spacing w:line="360" w:lineRule="auto"/>
        <w:jc w:val="center"/>
        <w:rPr>
          <w:rFonts w:hint="eastAsia" w:ascii="宋体" w:hAnsi="宋体" w:eastAsia="宋体" w:cs="宋体"/>
          <w:b/>
          <w:color w:val="auto"/>
          <w:spacing w:val="6"/>
          <w:sz w:val="32"/>
          <w:szCs w:val="32"/>
          <w:highlight w:val="none"/>
        </w:rPr>
      </w:pPr>
    </w:p>
    <w:p w14:paraId="35F32A00">
      <w:pPr>
        <w:autoSpaceDE w:val="0"/>
        <w:autoSpaceDN w:val="0"/>
        <w:spacing w:line="360" w:lineRule="auto"/>
        <w:jc w:val="center"/>
        <w:rPr>
          <w:rFonts w:hint="eastAsia" w:ascii="宋体" w:hAnsi="宋体" w:eastAsia="宋体" w:cs="宋体"/>
          <w:b/>
          <w:color w:val="auto"/>
          <w:spacing w:val="6"/>
          <w:sz w:val="32"/>
          <w:szCs w:val="32"/>
          <w:highlight w:val="none"/>
        </w:rPr>
      </w:pPr>
    </w:p>
    <w:p w14:paraId="1ED11F86">
      <w:pPr>
        <w:keepNext w:val="0"/>
        <w:keepLines w:val="0"/>
        <w:pageBreakBefore w:val="0"/>
        <w:widowControl w:val="0"/>
        <w:kinsoku/>
        <w:wordWrap/>
        <w:overflowPunct/>
        <w:topLinePunct w:val="0"/>
        <w:autoSpaceDE/>
        <w:autoSpaceDN/>
        <w:bidi w:val="0"/>
        <w:adjustRightInd w:val="0"/>
        <w:snapToGrid/>
        <w:spacing w:line="360" w:lineRule="auto"/>
        <w:textAlignment w:val="auto"/>
        <w:outlineLvl w:val="1"/>
        <w:rPr>
          <w:rFonts w:hint="eastAsia" w:ascii="宋体" w:hAnsi="宋体" w:eastAsia="宋体" w:cs="宋体"/>
          <w:b/>
          <w:color w:val="auto"/>
          <w:spacing w:val="6"/>
          <w:sz w:val="32"/>
          <w:szCs w:val="32"/>
          <w:highlight w:val="none"/>
        </w:rPr>
      </w:pPr>
      <w:bookmarkStart w:id="468" w:name="_Toc6922"/>
      <w:r>
        <w:rPr>
          <w:rFonts w:hint="eastAsia" w:ascii="宋体" w:hAnsi="宋体" w:eastAsia="宋体" w:cs="宋体"/>
          <w:b/>
          <w:color w:val="auto"/>
          <w:spacing w:val="6"/>
          <w:sz w:val="32"/>
          <w:szCs w:val="32"/>
          <w:highlight w:val="none"/>
        </w:rPr>
        <w:t>附件5：联合协议</w:t>
      </w:r>
      <w:bookmarkEnd w:id="468"/>
    </w:p>
    <w:p w14:paraId="3CDA8C71">
      <w:pPr>
        <w:keepNext w:val="0"/>
        <w:keepLines w:val="0"/>
        <w:pageBreakBefore w:val="0"/>
        <w:widowControl/>
        <w:kinsoku/>
        <w:wordWrap/>
        <w:overflowPunct/>
        <w:topLinePunct w:val="0"/>
        <w:autoSpaceDE/>
        <w:autoSpaceDN/>
        <w:bidi w:val="0"/>
        <w:adjustRightInd w:val="0"/>
        <w:spacing w:line="360" w:lineRule="auto"/>
        <w:ind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（以联合体形式投标的，提供联合协议；本项目不接受联合体投标或者投标人不以联合体形式投标的，则不需要提供）</w:t>
      </w:r>
    </w:p>
    <w:p w14:paraId="1C051460">
      <w:pPr>
        <w:keepNext w:val="0"/>
        <w:keepLines w:val="0"/>
        <w:pageBreakBefore w:val="0"/>
        <w:kinsoku/>
        <w:wordWrap/>
        <w:overflowPunct/>
        <w:topLinePunct w:val="0"/>
        <w:autoSpaceDE/>
        <w:autoSpaceDN/>
        <w:bidi w:val="0"/>
        <w:adjustRightInd w:val="0"/>
        <w:snapToGrid w:val="0"/>
        <w:spacing w:line="360" w:lineRule="auto"/>
        <w:ind w:firstLine="576"/>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u w:val="single"/>
        </w:rPr>
        <w:t>（联合体所有成员名称）</w:t>
      </w:r>
      <w:r>
        <w:rPr>
          <w:rFonts w:hint="eastAsia" w:ascii="宋体" w:hAnsi="宋体" w:eastAsia="宋体" w:cs="宋体"/>
          <w:color w:val="auto"/>
          <w:kern w:val="0"/>
          <w:sz w:val="21"/>
          <w:szCs w:val="21"/>
          <w:highlight w:val="none"/>
        </w:rPr>
        <w:t>自愿</w:t>
      </w:r>
      <w:r>
        <w:rPr>
          <w:rFonts w:hint="eastAsia" w:ascii="宋体" w:hAnsi="宋体" w:eastAsia="宋体" w:cs="宋体"/>
          <w:color w:val="auto"/>
          <w:kern w:val="0"/>
          <w:sz w:val="21"/>
          <w:szCs w:val="21"/>
          <w:highlight w:val="none"/>
          <w:lang w:val="zh-CN"/>
        </w:rPr>
        <w:t>组成一个联合体，以一个投标人的身份</w:t>
      </w:r>
      <w:r>
        <w:rPr>
          <w:rFonts w:hint="eastAsia" w:ascii="宋体" w:hAnsi="宋体" w:eastAsia="宋体" w:cs="宋体"/>
          <w:color w:val="auto"/>
          <w:kern w:val="0"/>
          <w:sz w:val="21"/>
          <w:szCs w:val="21"/>
          <w:highlight w:val="none"/>
        </w:rPr>
        <w:t>参加</w:t>
      </w:r>
      <w:r>
        <w:rPr>
          <w:rFonts w:hint="eastAsia" w:ascii="宋体" w:hAnsi="宋体" w:cs="宋体"/>
          <w:color w:val="auto"/>
          <w:sz w:val="21"/>
          <w:szCs w:val="21"/>
          <w:highlight w:val="none"/>
          <w:lang w:eastAsia="zh-CN"/>
        </w:rPr>
        <w:t>浙江省工商业联合会浙里惠企政策精准直达系统</w:t>
      </w:r>
      <w:r>
        <w:rPr>
          <w:rFonts w:hint="eastAsia" w:ascii="宋体" w:hAnsi="宋体" w:eastAsia="宋体" w:cs="宋体"/>
          <w:color w:val="auto"/>
          <w:sz w:val="21"/>
          <w:szCs w:val="21"/>
          <w:highlight w:val="none"/>
          <w:lang w:eastAsia="zh-CN"/>
        </w:rPr>
        <w:t>项目</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编号：</w:t>
      </w:r>
      <w:r>
        <w:rPr>
          <w:rFonts w:hint="eastAsia" w:ascii="宋体" w:hAnsi="宋体" w:eastAsia="宋体" w:cs="宋体"/>
          <w:color w:val="auto"/>
          <w:sz w:val="21"/>
          <w:szCs w:val="21"/>
          <w:highlight w:val="none"/>
          <w:u w:val="single"/>
          <w:lang w:val="en-US" w:eastAsia="zh-CN"/>
        </w:rPr>
        <w:t>330000266080010000040-ZJ-2621091</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lang w:val="zh-CN"/>
        </w:rPr>
        <w:t xml:space="preserve">投标。 </w:t>
      </w:r>
    </w:p>
    <w:p w14:paraId="345AD2E9">
      <w:pPr>
        <w:keepNext w:val="0"/>
        <w:keepLines w:val="0"/>
        <w:pageBreakBefore w:val="0"/>
        <w:kinsoku/>
        <w:wordWrap/>
        <w:overflowPunct/>
        <w:topLinePunct w:val="0"/>
        <w:autoSpaceDE/>
        <w:autoSpaceDN/>
        <w:bidi w:val="0"/>
        <w:adjustRightInd w:val="0"/>
        <w:snapToGrid w:val="0"/>
        <w:spacing w:line="360" w:lineRule="auto"/>
        <w:ind w:firstLine="576"/>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一、各方一致决定，</w:t>
      </w:r>
      <w:r>
        <w:rPr>
          <w:rFonts w:hint="eastAsia" w:ascii="宋体" w:hAnsi="宋体" w:eastAsia="宋体" w:cs="宋体"/>
          <w:color w:val="auto"/>
          <w:kern w:val="0"/>
          <w:sz w:val="21"/>
          <w:szCs w:val="21"/>
          <w:highlight w:val="none"/>
          <w:u w:val="single"/>
        </w:rPr>
        <w:t>（某联合体成员名称）</w:t>
      </w:r>
      <w:r>
        <w:rPr>
          <w:rFonts w:hint="eastAsia" w:ascii="宋体" w:hAnsi="宋体" w:eastAsia="宋体" w:cs="宋体"/>
          <w:color w:val="auto"/>
          <w:kern w:val="0"/>
          <w:sz w:val="21"/>
          <w:szCs w:val="21"/>
          <w:highlight w:val="none"/>
        </w:rPr>
        <w:t>为联合体</w:t>
      </w:r>
      <w:r>
        <w:rPr>
          <w:rFonts w:hint="eastAsia" w:ascii="宋体" w:hAnsi="宋体" w:eastAsia="宋体" w:cs="宋体"/>
          <w:color w:val="auto"/>
          <w:kern w:val="0"/>
          <w:sz w:val="21"/>
          <w:szCs w:val="21"/>
          <w:highlight w:val="none"/>
          <w:lang w:val="zh-CN"/>
        </w:rPr>
        <w:t>牵头人</w:t>
      </w:r>
      <w:r>
        <w:rPr>
          <w:rFonts w:hint="eastAsia" w:ascii="宋体" w:hAnsi="宋体" w:eastAsia="宋体" w:cs="宋体"/>
          <w:color w:val="auto"/>
          <w:sz w:val="21"/>
          <w:szCs w:val="21"/>
          <w:highlight w:val="none"/>
        </w:rPr>
        <w:t>，代表所有联合体成员负责投标和合同实施阶段的主办、协调工作</w:t>
      </w:r>
      <w:r>
        <w:rPr>
          <w:rFonts w:hint="eastAsia" w:ascii="宋体" w:hAnsi="宋体" w:eastAsia="宋体" w:cs="宋体"/>
          <w:color w:val="auto"/>
          <w:kern w:val="0"/>
          <w:sz w:val="21"/>
          <w:szCs w:val="21"/>
          <w:highlight w:val="none"/>
          <w:lang w:val="zh-CN"/>
        </w:rPr>
        <w:t>。</w:t>
      </w:r>
    </w:p>
    <w:p w14:paraId="17B4B951">
      <w:pPr>
        <w:keepNext w:val="0"/>
        <w:keepLines w:val="0"/>
        <w:pageBreakBefore w:val="0"/>
        <w:kinsoku/>
        <w:wordWrap/>
        <w:overflowPunct/>
        <w:topLinePunct w:val="0"/>
        <w:autoSpaceDE/>
        <w:autoSpaceDN/>
        <w:bidi w:val="0"/>
        <w:adjustRightInd w:val="0"/>
        <w:snapToGrid w:val="0"/>
        <w:spacing w:line="360" w:lineRule="auto"/>
        <w:ind w:firstLine="576"/>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二、</w:t>
      </w:r>
      <w:r>
        <w:rPr>
          <w:rFonts w:hint="eastAsia" w:ascii="宋体" w:hAnsi="宋体" w:eastAsia="宋体" w:cs="宋体"/>
          <w:color w:val="auto"/>
          <w:sz w:val="21"/>
          <w:szCs w:val="21"/>
          <w:highlight w:val="none"/>
        </w:rPr>
        <w:t>所有联合体成员各方签署授权书，授权书载明的</w:t>
      </w:r>
      <w:r>
        <w:rPr>
          <w:rFonts w:hint="eastAsia" w:ascii="宋体" w:hAnsi="宋体" w:eastAsia="宋体" w:cs="宋体"/>
          <w:color w:val="auto"/>
          <w:kern w:val="0"/>
          <w:sz w:val="21"/>
          <w:szCs w:val="21"/>
          <w:highlight w:val="none"/>
          <w:lang w:val="zh-CN"/>
        </w:rPr>
        <w:t>授权代表根据招标文件规定及投标内容而对采购人、采购代理机构所作的任何合法承诺，包括书面澄清及响应等均对联合投标各方产生约束力。</w:t>
      </w:r>
    </w:p>
    <w:p w14:paraId="0E28014F">
      <w:pPr>
        <w:keepNext w:val="0"/>
        <w:keepLines w:val="0"/>
        <w:pageBreakBefore w:val="0"/>
        <w:kinsoku/>
        <w:wordWrap/>
        <w:overflowPunct/>
        <w:topLinePunct w:val="0"/>
        <w:autoSpaceDE/>
        <w:autoSpaceDN/>
        <w:bidi w:val="0"/>
        <w:adjustRightInd w:val="0"/>
        <w:snapToGrid w:val="0"/>
        <w:spacing w:line="360" w:lineRule="auto"/>
        <w:ind w:firstLine="576"/>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三、本次联合投标中，分工如下：</w:t>
      </w:r>
    </w:p>
    <w:p w14:paraId="02F860A3">
      <w:pPr>
        <w:keepNext w:val="0"/>
        <w:keepLines w:val="0"/>
        <w:pageBreakBefore w:val="0"/>
        <w:kinsoku/>
        <w:wordWrap/>
        <w:overflowPunct/>
        <w:topLinePunct w:val="0"/>
        <w:autoSpaceDE/>
        <w:autoSpaceDN/>
        <w:bidi w:val="0"/>
        <w:adjustRightInd w:val="0"/>
        <w:snapToGrid w:val="0"/>
        <w:spacing w:line="360" w:lineRule="auto"/>
        <w:ind w:firstLine="576"/>
        <w:textAlignment w:val="auto"/>
        <w:rPr>
          <w:rFonts w:hint="eastAsia" w:ascii="宋体" w:hAnsi="宋体" w:eastAsia="宋体" w:cs="宋体"/>
          <w:color w:val="auto"/>
          <w:kern w:val="0"/>
          <w:sz w:val="21"/>
          <w:szCs w:val="21"/>
          <w:highlight w:val="none"/>
          <w:lang w:val="zh-CN"/>
        </w:rPr>
      </w:pPr>
      <w:bookmarkStart w:id="469" w:name="_Hlk101134295"/>
      <w:r>
        <w:rPr>
          <w:rFonts w:hint="eastAsia" w:ascii="宋体" w:hAnsi="宋体" w:eastAsia="宋体" w:cs="宋体"/>
          <w:color w:val="auto"/>
          <w:kern w:val="0"/>
          <w:sz w:val="21"/>
          <w:szCs w:val="21"/>
          <w:highlight w:val="none"/>
          <w:u w:val="single"/>
        </w:rPr>
        <w:t>（联合体成员1）</w:t>
      </w:r>
      <w:r>
        <w:rPr>
          <w:rFonts w:hint="eastAsia" w:ascii="宋体" w:hAnsi="宋体" w:eastAsia="宋体" w:cs="宋体"/>
          <w:color w:val="auto"/>
          <w:kern w:val="0"/>
          <w:sz w:val="21"/>
          <w:szCs w:val="21"/>
          <w:highlight w:val="none"/>
          <w:lang w:val="zh-CN"/>
        </w:rPr>
        <w:t>承担的工作和义务为：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lang w:val="zh-CN"/>
        </w:rPr>
        <w:t>；</w:t>
      </w:r>
    </w:p>
    <w:p w14:paraId="6F1FE474">
      <w:pPr>
        <w:keepNext w:val="0"/>
        <w:keepLines w:val="0"/>
        <w:pageBreakBefore w:val="0"/>
        <w:kinsoku/>
        <w:wordWrap/>
        <w:overflowPunct/>
        <w:topLinePunct w:val="0"/>
        <w:autoSpaceDE/>
        <w:autoSpaceDN/>
        <w:bidi w:val="0"/>
        <w:adjustRightInd w:val="0"/>
        <w:snapToGrid w:val="0"/>
        <w:spacing w:line="360" w:lineRule="auto"/>
        <w:ind w:firstLine="576"/>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u w:val="single"/>
        </w:rPr>
        <w:t>（联合体成员2）</w:t>
      </w:r>
      <w:r>
        <w:rPr>
          <w:rFonts w:hint="eastAsia" w:ascii="宋体" w:hAnsi="宋体" w:eastAsia="宋体" w:cs="宋体"/>
          <w:color w:val="auto"/>
          <w:kern w:val="0"/>
          <w:sz w:val="21"/>
          <w:szCs w:val="21"/>
          <w:highlight w:val="none"/>
          <w:lang w:val="zh-CN"/>
        </w:rPr>
        <w:t>承担的工作和义务为：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lang w:val="zh-CN"/>
        </w:rPr>
        <w:t>；</w:t>
      </w:r>
    </w:p>
    <w:p w14:paraId="483F3C98">
      <w:pPr>
        <w:keepNext w:val="0"/>
        <w:keepLines w:val="0"/>
        <w:pageBreakBefore w:val="0"/>
        <w:kinsoku/>
        <w:wordWrap/>
        <w:overflowPunct/>
        <w:topLinePunct w:val="0"/>
        <w:autoSpaceDE/>
        <w:autoSpaceDN/>
        <w:bidi w:val="0"/>
        <w:adjustRightInd w:val="0"/>
        <w:snapToGrid w:val="0"/>
        <w:spacing w:line="360" w:lineRule="auto"/>
        <w:ind w:firstLine="576"/>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w:t>
      </w:r>
    </w:p>
    <w:bookmarkEnd w:id="469"/>
    <w:p w14:paraId="3238EAB7">
      <w:pPr>
        <w:keepNext w:val="0"/>
        <w:keepLines w:val="0"/>
        <w:pageBreakBefore w:val="0"/>
        <w:kinsoku/>
        <w:wordWrap/>
        <w:overflowPunct/>
        <w:topLinePunct w:val="0"/>
        <w:autoSpaceDE/>
        <w:autoSpaceDN/>
        <w:bidi w:val="0"/>
        <w:adjustRightInd w:val="0"/>
        <w:snapToGrid w:val="0"/>
        <w:spacing w:line="360" w:lineRule="auto"/>
        <w:ind w:firstLine="576"/>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四、联合体成员中小企业合同份额。</w:t>
      </w:r>
    </w:p>
    <w:p w14:paraId="42603263">
      <w:pPr>
        <w:keepNext w:val="0"/>
        <w:keepLines w:val="0"/>
        <w:pageBreakBefore w:val="0"/>
        <w:kinsoku/>
        <w:wordWrap/>
        <w:overflowPunct/>
        <w:topLinePunct w:val="0"/>
        <w:autoSpaceDE/>
        <w:autoSpaceDN/>
        <w:bidi w:val="0"/>
        <w:adjustRightInd w:val="0"/>
        <w:snapToGrid w:val="0"/>
        <w:spacing w:line="360" w:lineRule="auto"/>
        <w:ind w:firstLine="576"/>
        <w:textAlignment w:val="auto"/>
        <w:rPr>
          <w:rFonts w:hint="eastAsia" w:ascii="宋体" w:hAnsi="宋体" w:eastAsia="宋体" w:cs="宋体"/>
          <w:b/>
          <w:color w:val="auto"/>
          <w:kern w:val="0"/>
          <w:sz w:val="21"/>
          <w:szCs w:val="21"/>
          <w:highlight w:val="none"/>
          <w:lang w:val="zh-CN"/>
        </w:rPr>
      </w:pPr>
      <w:r>
        <w:rPr>
          <w:rFonts w:hint="eastAsia" w:ascii="宋体" w:hAnsi="宋体" w:eastAsia="宋体" w:cs="宋体"/>
          <w:color w:val="auto"/>
          <w:kern w:val="0"/>
          <w:sz w:val="21"/>
          <w:szCs w:val="21"/>
          <w:highlight w:val="none"/>
          <w:lang w:val="zh-CN"/>
        </w:rPr>
        <w:t>1</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u w:val="single"/>
        </w:rPr>
        <w:t>（联合体成员X,……）</w:t>
      </w:r>
      <w:r>
        <w:rPr>
          <w:rFonts w:hint="eastAsia" w:ascii="宋体" w:hAnsi="宋体" w:eastAsia="宋体" w:cs="宋体"/>
          <w:color w:val="auto"/>
          <w:kern w:val="0"/>
          <w:sz w:val="21"/>
          <w:szCs w:val="21"/>
          <w:highlight w:val="none"/>
        </w:rPr>
        <w:t>提供的全部货物由小微企业制造，其合同份额占到合同总金额</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%以上；</w:t>
      </w:r>
      <w:r>
        <w:rPr>
          <w:rFonts w:hint="eastAsia" w:ascii="宋体" w:hAnsi="宋体" w:eastAsia="宋体" w:cs="宋体"/>
          <w:color w:val="auto"/>
          <w:kern w:val="0"/>
          <w:sz w:val="21"/>
          <w:szCs w:val="21"/>
          <w:highlight w:val="none"/>
          <w:lang w:val="zh-CN"/>
        </w:rPr>
        <w:t>……。</w:t>
      </w:r>
      <w:r>
        <w:rPr>
          <w:rFonts w:hint="eastAsia" w:ascii="宋体" w:hAnsi="宋体" w:eastAsia="宋体" w:cs="宋体"/>
          <w:b/>
          <w:color w:val="auto"/>
          <w:kern w:val="0"/>
          <w:sz w:val="21"/>
          <w:szCs w:val="21"/>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eastAsia="宋体" w:cs="宋体"/>
          <w:b/>
          <w:color w:val="auto"/>
          <w:sz w:val="21"/>
          <w:szCs w:val="21"/>
          <w:highlight w:val="none"/>
        </w:rPr>
        <w:t>拟享受以上价格扣除政策的，填写有关内容。</w:t>
      </w:r>
      <w:r>
        <w:rPr>
          <w:rFonts w:hint="eastAsia" w:ascii="宋体" w:hAnsi="宋体" w:eastAsia="宋体" w:cs="宋体"/>
          <w:b/>
          <w:color w:val="auto"/>
          <w:kern w:val="0"/>
          <w:sz w:val="21"/>
          <w:szCs w:val="21"/>
          <w:highlight w:val="none"/>
          <w:lang w:val="zh-CN"/>
        </w:rPr>
        <w:t>）</w:t>
      </w:r>
    </w:p>
    <w:p w14:paraId="02C423CA">
      <w:pPr>
        <w:keepNext w:val="0"/>
        <w:keepLines w:val="0"/>
        <w:pageBreakBefore w:val="0"/>
        <w:kinsoku/>
        <w:wordWrap/>
        <w:overflowPunct/>
        <w:topLinePunct w:val="0"/>
        <w:autoSpaceDE/>
        <w:autoSpaceDN/>
        <w:bidi w:val="0"/>
        <w:adjustRightInd w:val="0"/>
        <w:snapToGrid w:val="0"/>
        <w:spacing w:line="360" w:lineRule="auto"/>
        <w:ind w:firstLine="576"/>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中小企业合同金额达到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%，其中小微企业合同金额达到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lang w:val="zh-CN"/>
        </w:rPr>
        <w:t>。</w:t>
      </w:r>
      <w:r>
        <w:rPr>
          <w:rFonts w:hint="eastAsia" w:ascii="宋体" w:hAnsi="宋体" w:eastAsia="宋体" w:cs="宋体"/>
          <w:b/>
          <w:bCs/>
          <w:color w:val="auto"/>
          <w:kern w:val="0"/>
          <w:sz w:val="21"/>
          <w:szCs w:val="21"/>
          <w:highlight w:val="none"/>
          <w:lang w:val="zh-CN"/>
        </w:rPr>
        <w:t>（</w:t>
      </w:r>
      <w:r>
        <w:rPr>
          <w:rFonts w:hint="eastAsia" w:ascii="宋体" w:hAnsi="宋体" w:eastAsia="宋体" w:cs="宋体"/>
          <w:b/>
          <w:bCs/>
          <w:color w:val="auto"/>
          <w:sz w:val="21"/>
          <w:szCs w:val="21"/>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eastAsia="宋体" w:cs="宋体"/>
          <w:b/>
          <w:bCs/>
          <w:color w:val="auto"/>
          <w:kern w:val="0"/>
          <w:sz w:val="21"/>
          <w:szCs w:val="21"/>
          <w:highlight w:val="none"/>
          <w:lang w:val="zh-CN"/>
        </w:rPr>
        <w:t>）</w:t>
      </w:r>
    </w:p>
    <w:p w14:paraId="1D58824D">
      <w:pPr>
        <w:keepNext w:val="0"/>
        <w:keepLines w:val="0"/>
        <w:pageBreakBefore w:val="0"/>
        <w:kinsoku/>
        <w:wordWrap/>
        <w:overflowPunct/>
        <w:topLinePunct w:val="0"/>
        <w:autoSpaceDE/>
        <w:autoSpaceDN/>
        <w:bidi w:val="0"/>
        <w:adjustRightInd w:val="0"/>
        <w:snapToGrid w:val="0"/>
        <w:spacing w:line="360" w:lineRule="auto"/>
        <w:ind w:firstLine="576"/>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五、如果中标，</w:t>
      </w:r>
      <w:r>
        <w:rPr>
          <w:rFonts w:hint="eastAsia" w:ascii="宋体" w:hAnsi="宋体" w:eastAsia="宋体" w:cs="宋体"/>
          <w:color w:val="auto"/>
          <w:sz w:val="21"/>
          <w:szCs w:val="21"/>
          <w:highlight w:val="none"/>
        </w:rPr>
        <w:t>联合体各成员方共同与采购人签订合同，并就采购合同约定的事项对采购人承担连带责任。</w:t>
      </w:r>
    </w:p>
    <w:p w14:paraId="05FA2832">
      <w:pPr>
        <w:keepNext w:val="0"/>
        <w:keepLines w:val="0"/>
        <w:pageBreakBefore w:val="0"/>
        <w:kinsoku/>
        <w:wordWrap/>
        <w:overflowPunct/>
        <w:topLinePunct w:val="0"/>
        <w:autoSpaceDE/>
        <w:autoSpaceDN/>
        <w:bidi w:val="0"/>
        <w:adjustRightInd w:val="0"/>
        <w:snapToGrid w:val="0"/>
        <w:spacing w:line="360" w:lineRule="auto"/>
        <w:ind w:firstLine="576"/>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六、有关本次联合投标的其他事宜：</w:t>
      </w:r>
    </w:p>
    <w:p w14:paraId="7719DD4F">
      <w:pPr>
        <w:keepNext w:val="0"/>
        <w:keepLines w:val="0"/>
        <w:pageBreakBefore w:val="0"/>
        <w:kinsoku/>
        <w:wordWrap/>
        <w:overflowPunct/>
        <w:topLinePunct w:val="0"/>
        <w:autoSpaceDE/>
        <w:autoSpaceDN/>
        <w:bidi w:val="0"/>
        <w:adjustRightInd w:val="0"/>
        <w:snapToGrid w:val="0"/>
        <w:spacing w:line="360" w:lineRule="auto"/>
        <w:ind w:firstLine="576"/>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zh-CN"/>
        </w:rPr>
        <w:t>联合体各方不再单独参加或者与其他供应商另外组成联合体参加同一合同项下的政府采购活动。</w:t>
      </w:r>
    </w:p>
    <w:p w14:paraId="0FD350BB">
      <w:pPr>
        <w:keepNext w:val="0"/>
        <w:keepLines w:val="0"/>
        <w:pageBreakBefore w:val="0"/>
        <w:kinsoku/>
        <w:wordWrap/>
        <w:overflowPunct/>
        <w:topLinePunct w:val="0"/>
        <w:autoSpaceDE/>
        <w:autoSpaceDN/>
        <w:bidi w:val="0"/>
        <w:adjustRightInd w:val="0"/>
        <w:snapToGrid w:val="0"/>
        <w:spacing w:line="360" w:lineRule="auto"/>
        <w:ind w:firstLine="576"/>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2</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zh-CN"/>
        </w:rPr>
        <w:t>联合体中有同类资质的各方按照联合体分工承担相同工作的，按照资质等级较低的供应商确定资质等级。</w:t>
      </w:r>
    </w:p>
    <w:p w14:paraId="3FD6AD83">
      <w:pPr>
        <w:keepNext w:val="0"/>
        <w:keepLines w:val="0"/>
        <w:pageBreakBefore w:val="0"/>
        <w:kinsoku/>
        <w:wordWrap/>
        <w:overflowPunct/>
        <w:topLinePunct w:val="0"/>
        <w:autoSpaceDE/>
        <w:autoSpaceDN/>
        <w:bidi w:val="0"/>
        <w:adjustRightInd w:val="0"/>
        <w:snapToGrid w:val="0"/>
        <w:spacing w:line="360" w:lineRule="auto"/>
        <w:ind w:firstLine="576"/>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3</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zh-CN"/>
        </w:rPr>
        <w:t>本协议提交采购人、采购代理机构后，联合体各方不得以任何形式对上述内容进行修改或撤销。</w:t>
      </w:r>
    </w:p>
    <w:p w14:paraId="56BDB702">
      <w:pPr>
        <w:keepNext w:val="0"/>
        <w:keepLines w:val="0"/>
        <w:pageBreakBefore w:val="0"/>
        <w:kinsoku/>
        <w:wordWrap/>
        <w:overflowPunct/>
        <w:topLinePunct w:val="0"/>
        <w:autoSpaceDE/>
        <w:autoSpaceDN/>
        <w:bidi w:val="0"/>
        <w:adjustRightInd w:val="0"/>
        <w:snapToGrid w:val="0"/>
        <w:spacing w:line="360" w:lineRule="auto"/>
        <w:ind w:firstLine="4410" w:firstLineChars="2100"/>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联合体成员名称(电子签名/公章)：</w:t>
      </w:r>
    </w:p>
    <w:p w14:paraId="07F06163">
      <w:pPr>
        <w:keepNext w:val="0"/>
        <w:keepLines w:val="0"/>
        <w:pageBreakBefore w:val="0"/>
        <w:kinsoku/>
        <w:wordWrap/>
        <w:overflowPunct/>
        <w:topLinePunct w:val="0"/>
        <w:autoSpaceDE/>
        <w:autoSpaceDN/>
        <w:bidi w:val="0"/>
        <w:adjustRightInd w:val="0"/>
        <w:snapToGrid w:val="0"/>
        <w:spacing w:line="360" w:lineRule="auto"/>
        <w:ind w:firstLine="4410" w:firstLineChars="2100"/>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联合体成员名称(电子签名/公章)：</w:t>
      </w:r>
    </w:p>
    <w:p w14:paraId="02F7B7F9">
      <w:pPr>
        <w:keepNext w:val="0"/>
        <w:keepLines w:val="0"/>
        <w:pageBreakBefore w:val="0"/>
        <w:kinsoku/>
        <w:wordWrap/>
        <w:overflowPunct/>
        <w:topLinePunct w:val="0"/>
        <w:autoSpaceDE/>
        <w:autoSpaceDN/>
        <w:bidi w:val="0"/>
        <w:adjustRightInd w:val="0"/>
        <w:snapToGrid w:val="0"/>
        <w:spacing w:line="360" w:lineRule="auto"/>
        <w:ind w:right="96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                   ……</w:t>
      </w:r>
    </w:p>
    <w:p w14:paraId="482FFC6D">
      <w:pPr>
        <w:keepNext w:val="0"/>
        <w:keepLines w:val="0"/>
        <w:pageBreakBefore w:val="0"/>
        <w:kinsoku/>
        <w:wordWrap/>
        <w:overflowPunct/>
        <w:topLinePunct w:val="0"/>
        <w:autoSpaceDE/>
        <w:autoSpaceDN/>
        <w:bidi w:val="0"/>
        <w:adjustRightInd w:val="0"/>
        <w:snapToGrid w:val="0"/>
        <w:spacing w:line="360" w:lineRule="auto"/>
        <w:jc w:val="righ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日期：  年  月   日</w:t>
      </w:r>
    </w:p>
    <w:p w14:paraId="124239E0">
      <w:pPr>
        <w:keepNext w:val="0"/>
        <w:keepLines w:val="0"/>
        <w:pageBreakBefore w:val="0"/>
        <w:kinsoku/>
        <w:wordWrap/>
        <w:overflowPunct/>
        <w:topLinePunct w:val="0"/>
        <w:autoSpaceDE/>
        <w:autoSpaceDN/>
        <w:bidi w:val="0"/>
        <w:adjustRightInd w:val="0"/>
        <w:spacing w:line="360" w:lineRule="auto"/>
        <w:ind w:right="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注：按本格式和要求提供。</w:t>
      </w:r>
    </w:p>
    <w:p w14:paraId="2DE28D84">
      <w:pPr>
        <w:autoSpaceDE w:val="0"/>
        <w:autoSpaceDN w:val="0"/>
        <w:spacing w:line="360" w:lineRule="auto"/>
        <w:jc w:val="center"/>
        <w:rPr>
          <w:rFonts w:hint="eastAsia" w:ascii="宋体" w:hAnsi="宋体" w:eastAsia="宋体" w:cs="宋体"/>
          <w:b/>
          <w:color w:val="auto"/>
          <w:spacing w:val="6"/>
          <w:sz w:val="32"/>
          <w:szCs w:val="32"/>
          <w:highlight w:val="none"/>
        </w:rPr>
      </w:pPr>
    </w:p>
    <w:p w14:paraId="3AFA107C">
      <w:pPr>
        <w:autoSpaceDE w:val="0"/>
        <w:autoSpaceDN w:val="0"/>
        <w:spacing w:line="360" w:lineRule="auto"/>
        <w:jc w:val="center"/>
        <w:rPr>
          <w:rFonts w:hint="eastAsia" w:ascii="宋体" w:hAnsi="宋体" w:eastAsia="宋体" w:cs="宋体"/>
          <w:b/>
          <w:color w:val="auto"/>
          <w:spacing w:val="6"/>
          <w:sz w:val="32"/>
          <w:szCs w:val="32"/>
          <w:highlight w:val="none"/>
        </w:rPr>
        <w:sectPr>
          <w:footerReference r:id="rId7" w:type="first"/>
          <w:footerReference r:id="rId6" w:type="default"/>
          <w:pgSz w:w="11906" w:h="16838"/>
          <w:pgMar w:top="1417" w:right="1418" w:bottom="1417" w:left="1587" w:header="851" w:footer="850" w:gutter="0"/>
          <w:pgBorders>
            <w:top w:val="none" w:sz="0" w:space="0"/>
            <w:left w:val="none" w:sz="0" w:space="0"/>
            <w:bottom w:val="none" w:sz="0" w:space="0"/>
            <w:right w:val="none" w:sz="0" w:space="0"/>
          </w:pgBorders>
          <w:pgNumType w:fmt="decimal" w:start="1"/>
          <w:cols w:space="720" w:num="1"/>
          <w:titlePg/>
          <w:docGrid w:linePitch="312" w:charSpace="0"/>
        </w:sectPr>
      </w:pPr>
    </w:p>
    <w:p w14:paraId="4E279F08">
      <w:pPr>
        <w:pStyle w:val="85"/>
        <w:rPr>
          <w:rFonts w:hint="eastAsia"/>
          <w:color w:val="auto"/>
          <w:highlight w:val="none"/>
        </w:rPr>
      </w:pPr>
    </w:p>
    <w:p w14:paraId="51A732C4">
      <w:pPr>
        <w:keepNext w:val="0"/>
        <w:keepLines w:val="0"/>
        <w:pageBreakBefore w:val="0"/>
        <w:widowControl w:val="0"/>
        <w:kinsoku/>
        <w:wordWrap/>
        <w:overflowPunct/>
        <w:topLinePunct w:val="0"/>
        <w:autoSpaceDE/>
        <w:autoSpaceDN/>
        <w:bidi w:val="0"/>
        <w:adjustRightInd w:val="0"/>
        <w:snapToGrid/>
        <w:spacing w:line="360" w:lineRule="auto"/>
        <w:textAlignment w:val="auto"/>
        <w:outlineLvl w:val="1"/>
        <w:rPr>
          <w:rFonts w:hint="eastAsia" w:ascii="宋体" w:hAnsi="宋体" w:eastAsia="宋体" w:cs="宋体"/>
          <w:b/>
          <w:color w:val="auto"/>
          <w:spacing w:val="6"/>
          <w:sz w:val="32"/>
          <w:szCs w:val="32"/>
          <w:highlight w:val="none"/>
        </w:rPr>
      </w:pPr>
      <w:bookmarkStart w:id="470" w:name="_Toc21539"/>
      <w:r>
        <w:rPr>
          <w:rFonts w:hint="eastAsia" w:ascii="宋体" w:hAnsi="宋体" w:eastAsia="宋体" w:cs="宋体"/>
          <w:b/>
          <w:color w:val="auto"/>
          <w:spacing w:val="6"/>
          <w:sz w:val="32"/>
          <w:szCs w:val="32"/>
          <w:highlight w:val="none"/>
        </w:rPr>
        <w:t>附件6：分包意向协议</w:t>
      </w:r>
      <w:bookmarkEnd w:id="470"/>
    </w:p>
    <w:p w14:paraId="7DFF0CC3">
      <w:pPr>
        <w:widowControl/>
        <w:spacing w:line="360" w:lineRule="auto"/>
        <w:ind w:firstLine="105" w:firstLineChars="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中标后以分包方式履行合同的，提供分包意向协议；采购人不同意分包或者投标人中标后不以分包方式履行合同的，则不需要提供。</w:t>
      </w:r>
      <w:r>
        <w:rPr>
          <w:rFonts w:hint="eastAsia" w:ascii="宋体" w:hAnsi="宋体" w:eastAsia="宋体" w:cs="宋体"/>
          <w:color w:val="auto"/>
          <w:sz w:val="21"/>
          <w:szCs w:val="21"/>
          <w:highlight w:val="none"/>
        </w:rPr>
        <w:t>）</w:t>
      </w:r>
    </w:p>
    <w:p w14:paraId="34EF2091">
      <w:pPr>
        <w:snapToGrid w:val="0"/>
        <w:spacing w:line="360" w:lineRule="auto"/>
        <w:ind w:firstLine="576"/>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u w:val="single"/>
        </w:rPr>
        <w:t>（投标人名称）</w:t>
      </w:r>
      <w:r>
        <w:rPr>
          <w:rFonts w:hint="eastAsia" w:ascii="宋体" w:hAnsi="宋体" w:eastAsia="宋体" w:cs="宋体"/>
          <w:color w:val="auto"/>
          <w:kern w:val="0"/>
          <w:sz w:val="21"/>
          <w:szCs w:val="21"/>
          <w:highlight w:val="none"/>
          <w:lang w:val="zh-CN"/>
        </w:rPr>
        <w:t>若成为</w:t>
      </w:r>
      <w:r>
        <w:rPr>
          <w:rFonts w:hint="eastAsia" w:ascii="宋体" w:hAnsi="宋体" w:cs="宋体"/>
          <w:color w:val="auto"/>
          <w:sz w:val="21"/>
          <w:szCs w:val="21"/>
          <w:highlight w:val="none"/>
          <w:lang w:eastAsia="zh-CN"/>
        </w:rPr>
        <w:t>浙江省工商业联合会浙里惠企政策精准直达系统</w:t>
      </w:r>
      <w:r>
        <w:rPr>
          <w:rFonts w:hint="eastAsia" w:ascii="宋体" w:hAnsi="宋体" w:eastAsia="宋体" w:cs="宋体"/>
          <w:color w:val="auto"/>
          <w:sz w:val="21"/>
          <w:szCs w:val="21"/>
          <w:highlight w:val="none"/>
          <w:lang w:eastAsia="zh-CN"/>
        </w:rPr>
        <w:t>项目</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编号：</w:t>
      </w:r>
      <w:r>
        <w:rPr>
          <w:rFonts w:hint="eastAsia" w:ascii="宋体" w:hAnsi="宋体" w:eastAsia="宋体" w:cs="宋体"/>
          <w:color w:val="auto"/>
          <w:sz w:val="21"/>
          <w:szCs w:val="21"/>
          <w:highlight w:val="none"/>
          <w:u w:val="single"/>
          <w:lang w:val="en-US" w:eastAsia="zh-CN"/>
        </w:rPr>
        <w:t>330000266080010000040-ZJ-2621091</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lang w:val="zh-CN"/>
        </w:rPr>
        <w:t>的中标人，将依法采取分包方式履行合同。</w:t>
      </w:r>
      <w:r>
        <w:rPr>
          <w:rFonts w:hint="eastAsia" w:ascii="宋体" w:hAnsi="宋体" w:eastAsia="宋体" w:cs="宋体"/>
          <w:color w:val="auto"/>
          <w:kern w:val="0"/>
          <w:sz w:val="21"/>
          <w:szCs w:val="21"/>
          <w:highlight w:val="none"/>
          <w:u w:val="single"/>
        </w:rPr>
        <w:t>（投标人名称）</w:t>
      </w:r>
      <w:r>
        <w:rPr>
          <w:rFonts w:hint="eastAsia" w:ascii="宋体" w:hAnsi="宋体" w:eastAsia="宋体" w:cs="宋体"/>
          <w:color w:val="auto"/>
          <w:kern w:val="0"/>
          <w:sz w:val="21"/>
          <w:szCs w:val="21"/>
          <w:highlight w:val="none"/>
        </w:rPr>
        <w:t>与</w:t>
      </w:r>
      <w:r>
        <w:rPr>
          <w:rFonts w:hint="eastAsia" w:ascii="宋体" w:hAnsi="宋体" w:eastAsia="宋体" w:cs="宋体"/>
          <w:color w:val="auto"/>
          <w:kern w:val="0"/>
          <w:sz w:val="21"/>
          <w:szCs w:val="21"/>
          <w:highlight w:val="none"/>
          <w:u w:val="single"/>
        </w:rPr>
        <w:t>（所有分包供应商名称）</w:t>
      </w:r>
      <w:r>
        <w:rPr>
          <w:rFonts w:hint="eastAsia" w:ascii="宋体" w:hAnsi="宋体" w:eastAsia="宋体" w:cs="宋体"/>
          <w:color w:val="auto"/>
          <w:kern w:val="0"/>
          <w:sz w:val="21"/>
          <w:szCs w:val="21"/>
          <w:highlight w:val="none"/>
        </w:rPr>
        <w:t>达成分包意向协议</w:t>
      </w:r>
      <w:r>
        <w:rPr>
          <w:rFonts w:hint="eastAsia" w:ascii="宋体" w:hAnsi="宋体" w:eastAsia="宋体" w:cs="宋体"/>
          <w:color w:val="auto"/>
          <w:kern w:val="0"/>
          <w:sz w:val="21"/>
          <w:szCs w:val="21"/>
          <w:highlight w:val="none"/>
          <w:lang w:val="zh-CN"/>
        </w:rPr>
        <w:t xml:space="preserve">。 </w:t>
      </w:r>
    </w:p>
    <w:p w14:paraId="253CB8C3">
      <w:pPr>
        <w:snapToGrid w:val="0"/>
        <w:spacing w:line="360" w:lineRule="auto"/>
        <w:ind w:firstLine="576"/>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一、分包标的及数量</w:t>
      </w:r>
    </w:p>
    <w:p w14:paraId="1CF4886B">
      <w:pPr>
        <w:snapToGrid w:val="0"/>
        <w:spacing w:line="360" w:lineRule="auto"/>
        <w:ind w:firstLine="576"/>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u w:val="single"/>
        </w:rPr>
        <w:t>（投标人名称）</w:t>
      </w:r>
      <w:r>
        <w:rPr>
          <w:rFonts w:hint="eastAsia" w:ascii="宋体" w:hAnsi="宋体" w:eastAsia="宋体" w:cs="宋体"/>
          <w:color w:val="auto"/>
          <w:kern w:val="0"/>
          <w:sz w:val="21"/>
          <w:szCs w:val="21"/>
          <w:highlight w:val="none"/>
          <w:lang w:val="zh-CN"/>
        </w:rPr>
        <w:t>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 xml:space="preserve">  XX工作内容   </w:t>
      </w:r>
      <w:r>
        <w:rPr>
          <w:rFonts w:hint="eastAsia" w:ascii="宋体" w:hAnsi="宋体" w:eastAsia="宋体" w:cs="宋体"/>
          <w:color w:val="auto"/>
          <w:sz w:val="21"/>
          <w:szCs w:val="21"/>
          <w:highlight w:val="none"/>
        </w:rPr>
        <w:t>分包给</w:t>
      </w:r>
      <w:r>
        <w:rPr>
          <w:rFonts w:hint="eastAsia" w:ascii="宋体" w:hAnsi="宋体" w:eastAsia="宋体" w:cs="宋体"/>
          <w:color w:val="auto"/>
          <w:kern w:val="0"/>
          <w:sz w:val="21"/>
          <w:szCs w:val="21"/>
          <w:highlight w:val="none"/>
          <w:u w:val="single"/>
        </w:rPr>
        <w:t>（分包供应商1名称）</w:t>
      </w:r>
      <w:r>
        <w:rPr>
          <w:rFonts w:hint="eastAsia" w:ascii="宋体" w:hAnsi="宋体" w:eastAsia="宋体" w:cs="宋体"/>
          <w:color w:val="auto"/>
          <w:kern w:val="0"/>
          <w:sz w:val="21"/>
          <w:szCs w:val="21"/>
          <w:highlight w:val="none"/>
          <w:lang w:val="zh-CN"/>
        </w:rPr>
        <w:t>。</w:t>
      </w:r>
      <w:r>
        <w:rPr>
          <w:rFonts w:hint="eastAsia" w:ascii="宋体" w:hAnsi="宋体" w:eastAsia="宋体" w:cs="宋体"/>
          <w:b/>
          <w:bCs/>
          <w:color w:val="auto"/>
          <w:kern w:val="0"/>
          <w:sz w:val="21"/>
          <w:szCs w:val="21"/>
          <w:highlight w:val="none"/>
          <w:u w:val="single"/>
        </w:rPr>
        <w:t>（分包供应商1名称），</w:t>
      </w:r>
      <w:r>
        <w:rPr>
          <w:rFonts w:hint="eastAsia" w:ascii="宋体" w:hAnsi="宋体" w:eastAsia="宋体" w:cs="宋体"/>
          <w:color w:val="auto"/>
          <w:kern w:val="0"/>
          <w:sz w:val="21"/>
          <w:szCs w:val="21"/>
          <w:highlight w:val="none"/>
          <w:lang w:val="zh-CN"/>
        </w:rPr>
        <w:t>具备承</w:t>
      </w:r>
      <w:r>
        <w:rPr>
          <w:rFonts w:hint="eastAsia" w:ascii="宋体" w:hAnsi="宋体" w:eastAsia="宋体" w:cs="宋体"/>
          <w:color w:val="auto"/>
          <w:kern w:val="0"/>
          <w:sz w:val="21"/>
          <w:szCs w:val="21"/>
          <w:highlight w:val="none"/>
        </w:rPr>
        <w:t>担</w:t>
      </w:r>
      <w:r>
        <w:rPr>
          <w:rFonts w:hint="eastAsia" w:ascii="宋体" w:hAnsi="宋体" w:eastAsia="宋体" w:cs="宋体"/>
          <w:color w:val="auto"/>
          <w:kern w:val="0"/>
          <w:sz w:val="21"/>
          <w:szCs w:val="21"/>
          <w:highlight w:val="none"/>
          <w:u w:val="single"/>
          <w:lang w:val="zh-CN"/>
        </w:rPr>
        <w:t>XX工作内容</w:t>
      </w:r>
      <w:r>
        <w:rPr>
          <w:rFonts w:hint="eastAsia" w:ascii="宋体" w:hAnsi="宋体" w:eastAsia="宋体" w:cs="宋体"/>
          <w:color w:val="auto"/>
          <w:kern w:val="0"/>
          <w:sz w:val="21"/>
          <w:szCs w:val="21"/>
          <w:highlight w:val="none"/>
          <w:lang w:val="zh-CN"/>
        </w:rPr>
        <w:t>相应资质条件且不得再次分包；</w:t>
      </w:r>
    </w:p>
    <w:p w14:paraId="5B2AA567">
      <w:pPr>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5764AEB6">
      <w:pPr>
        <w:snapToGrid w:val="0"/>
        <w:spacing w:line="360" w:lineRule="auto"/>
        <w:ind w:firstLine="576"/>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二、分包供应商中小企业合同份额</w:t>
      </w:r>
    </w:p>
    <w:p w14:paraId="74899206">
      <w:pPr>
        <w:snapToGrid w:val="0"/>
        <w:spacing w:line="360" w:lineRule="auto"/>
        <w:ind w:firstLine="576"/>
        <w:rPr>
          <w:rFonts w:hint="eastAsia" w:ascii="宋体" w:hAnsi="宋体" w:eastAsia="宋体" w:cs="宋体"/>
          <w:b/>
          <w:color w:val="auto"/>
          <w:kern w:val="0"/>
          <w:sz w:val="21"/>
          <w:szCs w:val="21"/>
          <w:highlight w:val="none"/>
          <w:lang w:val="zh-CN"/>
        </w:rPr>
      </w:pPr>
      <w:r>
        <w:rPr>
          <w:rFonts w:hint="eastAsia" w:ascii="宋体" w:hAnsi="宋体" w:eastAsia="宋体" w:cs="宋体"/>
          <w:color w:val="auto"/>
          <w:kern w:val="0"/>
          <w:sz w:val="21"/>
          <w:szCs w:val="21"/>
          <w:highlight w:val="none"/>
          <w:lang w:eastAsia="zh-CN"/>
        </w:rPr>
        <w:t>1.</w:t>
      </w:r>
      <w:r>
        <w:rPr>
          <w:rFonts w:hint="eastAsia" w:ascii="宋体" w:hAnsi="宋体" w:eastAsia="宋体" w:cs="宋体"/>
          <w:color w:val="auto"/>
          <w:kern w:val="0"/>
          <w:sz w:val="21"/>
          <w:szCs w:val="21"/>
          <w:highlight w:val="none"/>
          <w:u w:val="single"/>
        </w:rPr>
        <w:t>（分包供应商X,……）提供的货物全部由小微企业制造，</w:t>
      </w:r>
      <w:r>
        <w:rPr>
          <w:rFonts w:hint="eastAsia" w:ascii="宋体" w:hAnsi="宋体" w:eastAsia="宋体" w:cs="宋体"/>
          <w:color w:val="auto"/>
          <w:kern w:val="0"/>
          <w:sz w:val="21"/>
          <w:szCs w:val="21"/>
          <w:highlight w:val="none"/>
        </w:rPr>
        <w:t>其合同份额占到合同总金额</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%以上</w:t>
      </w:r>
      <w:r>
        <w:rPr>
          <w:rFonts w:hint="eastAsia" w:ascii="宋体" w:hAnsi="宋体" w:eastAsia="宋体" w:cs="宋体"/>
          <w:color w:val="auto"/>
          <w:sz w:val="21"/>
          <w:szCs w:val="21"/>
          <w:highlight w:val="none"/>
        </w:rPr>
        <w:t>。</w:t>
      </w:r>
      <w:r>
        <w:rPr>
          <w:rFonts w:hint="eastAsia" w:ascii="宋体" w:hAnsi="宋体" w:eastAsia="宋体" w:cs="宋体"/>
          <w:b/>
          <w:color w:val="auto"/>
          <w:kern w:val="0"/>
          <w:sz w:val="21"/>
          <w:szCs w:val="21"/>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eastAsia="宋体" w:cs="宋体"/>
          <w:b/>
          <w:color w:val="auto"/>
          <w:sz w:val="21"/>
          <w:szCs w:val="21"/>
          <w:highlight w:val="none"/>
        </w:rPr>
        <w:t>拟享受以上价格扣除政策的，填写有关内容。</w:t>
      </w:r>
      <w:r>
        <w:rPr>
          <w:rFonts w:hint="eastAsia" w:ascii="宋体" w:hAnsi="宋体" w:eastAsia="宋体" w:cs="宋体"/>
          <w:b/>
          <w:color w:val="auto"/>
          <w:kern w:val="0"/>
          <w:sz w:val="21"/>
          <w:szCs w:val="21"/>
          <w:highlight w:val="none"/>
          <w:lang w:val="zh-CN"/>
        </w:rPr>
        <w:t>）</w:t>
      </w:r>
    </w:p>
    <w:p w14:paraId="6AA24742">
      <w:pPr>
        <w:spacing w:line="360" w:lineRule="auto"/>
        <w:ind w:firstLine="420" w:firstLineChars="200"/>
        <w:rPr>
          <w:rFonts w:hint="eastAsia" w:ascii="宋体" w:hAnsi="宋体" w:eastAsia="宋体" w:cs="宋体"/>
          <w:b/>
          <w:bCs/>
          <w:color w:val="auto"/>
          <w:kern w:val="0"/>
          <w:sz w:val="21"/>
          <w:szCs w:val="21"/>
          <w:highlight w:val="none"/>
          <w:lang w:val="zh-CN"/>
        </w:rPr>
      </w:pPr>
      <w:r>
        <w:rPr>
          <w:rFonts w:hint="eastAsia" w:ascii="宋体" w:hAnsi="宋体" w:eastAsia="宋体" w:cs="宋体"/>
          <w:color w:val="auto"/>
          <w:sz w:val="21"/>
          <w:szCs w:val="21"/>
          <w:highlight w:val="none"/>
          <w:lang w:eastAsia="zh-CN"/>
        </w:rPr>
        <w:t>2.</w:t>
      </w:r>
      <w:bookmarkStart w:id="471" w:name="_Hlk101133173"/>
      <w:r>
        <w:rPr>
          <w:rFonts w:hint="eastAsia" w:ascii="宋体" w:hAnsi="宋体" w:eastAsia="宋体" w:cs="宋体"/>
          <w:color w:val="auto"/>
          <w:sz w:val="21"/>
          <w:szCs w:val="21"/>
          <w:highlight w:val="none"/>
        </w:rPr>
        <w:t>中小企业合同金额达到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%，其中小微企业合同金额达到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lang w:val="zh-CN"/>
        </w:rPr>
        <w:t>。</w:t>
      </w:r>
      <w:r>
        <w:rPr>
          <w:rFonts w:hint="eastAsia" w:ascii="宋体" w:hAnsi="宋体" w:eastAsia="宋体" w:cs="宋体"/>
          <w:b/>
          <w:bCs/>
          <w:color w:val="auto"/>
          <w:kern w:val="0"/>
          <w:sz w:val="21"/>
          <w:szCs w:val="21"/>
          <w:highlight w:val="none"/>
          <w:lang w:val="zh-CN"/>
        </w:rPr>
        <w:t>（</w:t>
      </w:r>
      <w:r>
        <w:rPr>
          <w:rFonts w:hint="eastAsia" w:ascii="宋体" w:hAnsi="宋体" w:eastAsia="宋体" w:cs="宋体"/>
          <w:b/>
          <w:bCs/>
          <w:color w:val="auto"/>
          <w:sz w:val="21"/>
          <w:szCs w:val="21"/>
          <w:highlight w:val="none"/>
        </w:rPr>
        <w:t>要求合同分包形式参加的项目或采购包，供应商按招标文件第一部分招标公告申请人的资格要求中规定的</w:t>
      </w:r>
      <w:r>
        <w:rPr>
          <w:rFonts w:hint="eastAsia" w:ascii="宋体" w:hAnsi="宋体" w:eastAsia="宋体" w:cs="宋体"/>
          <w:b/>
          <w:color w:val="auto"/>
          <w:kern w:val="0"/>
          <w:sz w:val="21"/>
          <w:szCs w:val="21"/>
          <w:highlight w:val="none"/>
          <w:lang w:val="zh-CN"/>
        </w:rPr>
        <w:t>分包意向协议</w:t>
      </w:r>
      <w:r>
        <w:rPr>
          <w:rFonts w:hint="eastAsia" w:ascii="宋体" w:hAnsi="宋体" w:eastAsia="宋体" w:cs="宋体"/>
          <w:b/>
          <w:bCs/>
          <w:color w:val="auto"/>
          <w:sz w:val="21"/>
          <w:szCs w:val="21"/>
          <w:highlight w:val="none"/>
        </w:rPr>
        <w:t>中中小企业、小微企业合同金额应当达到的比例要求填写。</w:t>
      </w:r>
      <w:r>
        <w:rPr>
          <w:rFonts w:hint="eastAsia" w:ascii="宋体" w:hAnsi="宋体" w:eastAsia="宋体" w:cs="宋体"/>
          <w:b/>
          <w:bCs/>
          <w:color w:val="auto"/>
          <w:kern w:val="0"/>
          <w:sz w:val="21"/>
          <w:szCs w:val="21"/>
          <w:highlight w:val="none"/>
          <w:lang w:val="zh-CN"/>
        </w:rPr>
        <w:t>）</w:t>
      </w:r>
      <w:bookmarkEnd w:id="471"/>
    </w:p>
    <w:p w14:paraId="423E66EC">
      <w:pPr>
        <w:snapToGrid w:val="0"/>
        <w:spacing w:line="360" w:lineRule="auto"/>
        <w:ind w:firstLine="576"/>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三、分包工作履行期限、地点、方式</w:t>
      </w:r>
    </w:p>
    <w:p w14:paraId="4D65D649">
      <w:pPr>
        <w:snapToGrid w:val="0"/>
        <w:spacing w:line="360" w:lineRule="auto"/>
        <w:ind w:firstLine="576"/>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                                                                                  </w:t>
      </w:r>
    </w:p>
    <w:p w14:paraId="104D3E1D">
      <w:pPr>
        <w:snapToGrid w:val="0"/>
        <w:spacing w:line="360" w:lineRule="auto"/>
        <w:ind w:firstLine="576"/>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四、质量</w:t>
      </w:r>
    </w:p>
    <w:p w14:paraId="7EDFC463">
      <w:pPr>
        <w:snapToGrid w:val="0"/>
        <w:spacing w:line="360" w:lineRule="auto"/>
        <w:ind w:firstLine="576"/>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u w:val="single"/>
        </w:rPr>
        <w:t xml:space="preserve">                                                                                       </w:t>
      </w:r>
    </w:p>
    <w:p w14:paraId="564CAD70">
      <w:pPr>
        <w:snapToGrid w:val="0"/>
        <w:spacing w:line="360" w:lineRule="auto"/>
        <w:ind w:firstLine="576"/>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五、价款或者报酬</w:t>
      </w:r>
    </w:p>
    <w:p w14:paraId="26B42021">
      <w:pPr>
        <w:snapToGrid w:val="0"/>
        <w:spacing w:line="360" w:lineRule="auto"/>
        <w:ind w:left="573" w:leftChars="273"/>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u w:val="single"/>
        </w:rPr>
        <w:t xml:space="preserve">                                                                                     </w:t>
      </w:r>
    </w:p>
    <w:p w14:paraId="6CADD778">
      <w:pPr>
        <w:snapToGrid w:val="0"/>
        <w:spacing w:line="360" w:lineRule="auto"/>
        <w:ind w:left="573" w:leftChars="273"/>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六、违约责任</w:t>
      </w:r>
    </w:p>
    <w:p w14:paraId="75F791A6">
      <w:pPr>
        <w:snapToGrid w:val="0"/>
        <w:spacing w:line="360" w:lineRule="auto"/>
        <w:ind w:firstLine="576"/>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u w:val="single"/>
        </w:rPr>
        <w:t xml:space="preserve">                                                                                     </w:t>
      </w:r>
    </w:p>
    <w:p w14:paraId="6ACB4408">
      <w:pPr>
        <w:snapToGrid w:val="0"/>
        <w:spacing w:line="360" w:lineRule="auto"/>
        <w:ind w:firstLine="576"/>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七、争议解决的办法</w:t>
      </w:r>
    </w:p>
    <w:p w14:paraId="7E6A6F2B">
      <w:pPr>
        <w:snapToGrid w:val="0"/>
        <w:spacing w:line="360" w:lineRule="auto"/>
        <w:ind w:firstLine="576"/>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u w:val="single"/>
        </w:rPr>
        <w:t xml:space="preserve">                                                                                  </w:t>
      </w:r>
    </w:p>
    <w:p w14:paraId="2F208FF0">
      <w:pPr>
        <w:snapToGrid w:val="0"/>
        <w:spacing w:line="360" w:lineRule="auto"/>
        <w:ind w:left="5128" w:leftChars="342" w:hanging="4410" w:hangingChars="21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                                          投标人名称(电子签名)：</w:t>
      </w:r>
    </w:p>
    <w:p w14:paraId="6865F72A">
      <w:pPr>
        <w:snapToGrid w:val="0"/>
        <w:spacing w:line="360" w:lineRule="auto"/>
        <w:jc w:val="righ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分包供应商名称(电子签名/公章)：</w:t>
      </w:r>
    </w:p>
    <w:p w14:paraId="49099503">
      <w:pPr>
        <w:snapToGrid w:val="0"/>
        <w:spacing w:line="360" w:lineRule="auto"/>
        <w:ind w:firstLine="5040" w:firstLineChars="24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w:t>
      </w:r>
    </w:p>
    <w:p w14:paraId="01737143">
      <w:pPr>
        <w:spacing w:line="360" w:lineRule="auto"/>
        <w:jc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                                        日期：  年  月   日</w:t>
      </w:r>
    </w:p>
    <w:p w14:paraId="36BD1245">
      <w:pPr>
        <w:spacing w:line="360" w:lineRule="auto"/>
        <w:ind w:righ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注：按本格式和要求提供。</w:t>
      </w:r>
    </w:p>
    <w:p w14:paraId="1F58FA1E">
      <w:pPr>
        <w:rPr>
          <w:rFonts w:hint="eastAsia" w:ascii="宋体" w:hAnsi="宋体" w:eastAsia="宋体" w:cs="宋体"/>
          <w:b/>
          <w:color w:val="auto"/>
          <w:spacing w:val="6"/>
          <w:sz w:val="32"/>
          <w:szCs w:val="32"/>
          <w:highlight w:val="none"/>
        </w:rPr>
      </w:pPr>
      <w:bookmarkStart w:id="472" w:name="_Toc1566"/>
    </w:p>
    <w:p w14:paraId="2F231686">
      <w:pPr>
        <w:keepNext w:val="0"/>
        <w:keepLines w:val="0"/>
        <w:pageBreakBefore w:val="0"/>
        <w:widowControl w:val="0"/>
        <w:kinsoku/>
        <w:wordWrap/>
        <w:overflowPunct/>
        <w:topLinePunct w:val="0"/>
        <w:autoSpaceDE/>
        <w:autoSpaceDN/>
        <w:bidi w:val="0"/>
        <w:adjustRightInd w:val="0"/>
        <w:snapToGrid/>
        <w:spacing w:line="360" w:lineRule="auto"/>
        <w:textAlignment w:val="auto"/>
        <w:outlineLvl w:val="1"/>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附件7：中小企业声明函</w:t>
      </w:r>
      <w:bookmarkEnd w:id="472"/>
    </w:p>
    <w:p w14:paraId="1772734D">
      <w:pPr>
        <w:spacing w:line="360" w:lineRule="auto"/>
        <w:jc w:val="center"/>
        <w:rPr>
          <w:rFonts w:hint="eastAsia" w:ascii="宋体" w:hAnsi="宋体" w:eastAsia="宋体" w:cs="宋体"/>
          <w:color w:val="auto"/>
          <w:sz w:val="24"/>
          <w:highlight w:val="none"/>
          <w:u w:val="single"/>
        </w:rPr>
      </w:pPr>
    </w:p>
    <w:p w14:paraId="1C18A9E0">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中小企业声明函（</w:t>
      </w:r>
      <w:r>
        <w:rPr>
          <w:rFonts w:hint="eastAsia" w:ascii="宋体" w:hAnsi="宋体" w:cs="宋体"/>
          <w:b/>
          <w:color w:val="auto"/>
          <w:sz w:val="32"/>
          <w:szCs w:val="32"/>
          <w:highlight w:val="none"/>
          <w:lang w:val="en-US" w:eastAsia="zh-CN"/>
        </w:rPr>
        <w:t>服务</w:t>
      </w:r>
      <w:r>
        <w:rPr>
          <w:rFonts w:hint="eastAsia" w:ascii="宋体" w:hAnsi="宋体" w:eastAsia="宋体" w:cs="宋体"/>
          <w:b/>
          <w:color w:val="auto"/>
          <w:sz w:val="32"/>
          <w:szCs w:val="32"/>
          <w:highlight w:val="none"/>
        </w:rPr>
        <w:t>）</w:t>
      </w:r>
    </w:p>
    <w:p w14:paraId="6DB87BB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本公司（联合体）郑重声明，根据《政府采购促进中小企业发展管理办法》（财库﹝2020﹞46 号）的规定，本公司（联合体）参加 </w:t>
      </w:r>
      <w:r>
        <w:rPr>
          <w:rFonts w:hint="eastAsia" w:ascii="宋体" w:hAnsi="宋体" w:cs="宋体"/>
          <w:color w:val="auto"/>
          <w:sz w:val="21"/>
          <w:szCs w:val="21"/>
          <w:highlight w:val="none"/>
          <w:u w:val="single"/>
          <w:lang w:eastAsia="zh-CN"/>
        </w:rPr>
        <w:t>浙江省工商业联合会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的 </w:t>
      </w:r>
      <w:r>
        <w:rPr>
          <w:rFonts w:hint="eastAsia" w:ascii="宋体" w:hAnsi="宋体" w:cs="宋体"/>
          <w:color w:val="auto"/>
          <w:sz w:val="21"/>
          <w:szCs w:val="21"/>
          <w:highlight w:val="none"/>
          <w:u w:val="single"/>
          <w:lang w:eastAsia="zh-CN"/>
        </w:rPr>
        <w:t>浙江省工商业联合会浙里惠企政策精准直达系统</w:t>
      </w:r>
      <w:r>
        <w:rPr>
          <w:rFonts w:hint="eastAsia" w:ascii="宋体" w:hAnsi="宋体" w:eastAsia="宋体" w:cs="宋体"/>
          <w:color w:val="auto"/>
          <w:sz w:val="21"/>
          <w:szCs w:val="21"/>
          <w:highlight w:val="none"/>
          <w:u w:val="single"/>
          <w:lang w:eastAsia="zh-CN"/>
        </w:rPr>
        <w:t>项目</w:t>
      </w:r>
      <w:r>
        <w:rPr>
          <w:rFonts w:hint="eastAsia" w:ascii="宋体" w:hAnsi="宋体" w:eastAsia="宋体" w:cs="宋体"/>
          <w:color w:val="auto"/>
          <w:sz w:val="21"/>
          <w:szCs w:val="21"/>
          <w:highlight w:val="none"/>
        </w:rPr>
        <w:t xml:space="preserve"> 采购活动，提供的</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全部由符合政策要求的中小企业</w:t>
      </w:r>
      <w:r>
        <w:rPr>
          <w:rFonts w:hint="eastAsia" w:ascii="宋体" w:hAnsi="宋体" w:cs="宋体"/>
          <w:color w:val="auto"/>
          <w:sz w:val="21"/>
          <w:szCs w:val="21"/>
          <w:highlight w:val="none"/>
          <w:lang w:val="en-US" w:eastAsia="zh-CN"/>
        </w:rPr>
        <w:t>承接</w:t>
      </w:r>
      <w:r>
        <w:rPr>
          <w:rFonts w:hint="eastAsia" w:ascii="宋体" w:hAnsi="宋体" w:eastAsia="宋体" w:cs="宋体"/>
          <w:color w:val="auto"/>
          <w:sz w:val="21"/>
          <w:szCs w:val="21"/>
          <w:highlight w:val="none"/>
        </w:rPr>
        <w:t>。相关企业（含联合体中的中小企业、签订分包意向协议的中小企业）的具体情况如下：</w:t>
      </w:r>
    </w:p>
    <w:p w14:paraId="4A7EC03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 </w:t>
      </w:r>
      <w:r>
        <w:rPr>
          <w:rFonts w:hint="eastAsia" w:ascii="宋体" w:hAnsi="宋体" w:cs="宋体"/>
          <w:color w:val="auto"/>
          <w:sz w:val="21"/>
          <w:szCs w:val="21"/>
          <w:highlight w:val="none"/>
          <w:u w:val="single"/>
          <w:lang w:eastAsia="zh-CN"/>
        </w:rPr>
        <w:t>浙里惠企政策精准直达系统</w:t>
      </w:r>
      <w:r>
        <w:rPr>
          <w:rFonts w:hint="eastAsia" w:ascii="宋体" w:hAnsi="宋体" w:eastAsia="宋体" w:cs="宋体"/>
          <w:color w:val="auto"/>
          <w:sz w:val="21"/>
          <w:szCs w:val="21"/>
          <w:highlight w:val="none"/>
        </w:rPr>
        <w:t>，属于</w:t>
      </w:r>
      <w:r>
        <w:rPr>
          <w:rFonts w:hint="eastAsia" w:ascii="宋体" w:hAnsi="宋体" w:cs="宋体"/>
          <w:color w:val="auto"/>
          <w:sz w:val="21"/>
          <w:szCs w:val="21"/>
          <w:highlight w:val="none"/>
          <w:u w:val="single"/>
          <w:lang w:val="en-US" w:eastAsia="zh-CN"/>
        </w:rPr>
        <w:t>软件和信息技术服务业</w:t>
      </w:r>
      <w:r>
        <w:rPr>
          <w:rFonts w:hint="eastAsia" w:ascii="宋体" w:hAnsi="宋体" w:eastAsia="宋体" w:cs="宋体"/>
          <w:color w:val="auto"/>
          <w:sz w:val="21"/>
          <w:szCs w:val="21"/>
          <w:highlight w:val="none"/>
        </w:rPr>
        <w:t>行业 ；</w:t>
      </w:r>
      <w:r>
        <w:rPr>
          <w:rFonts w:hint="eastAsia" w:ascii="宋体" w:hAnsi="宋体" w:cs="宋体"/>
          <w:color w:val="auto"/>
          <w:sz w:val="21"/>
          <w:szCs w:val="21"/>
          <w:highlight w:val="none"/>
          <w:lang w:val="en-US" w:eastAsia="zh-CN"/>
        </w:rPr>
        <w:t>承接商</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
          <w:iCs/>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
          <w:iCs/>
          <w:color w:val="auto"/>
          <w:sz w:val="21"/>
          <w:szCs w:val="21"/>
          <w:highlight w:val="none"/>
          <w:u w:val="single"/>
        </w:rPr>
        <w:t>（中型企业、小型企业、微型企业）</w:t>
      </w:r>
      <w:r>
        <w:rPr>
          <w:rFonts w:hint="eastAsia" w:ascii="宋体" w:hAnsi="宋体" w:eastAsia="宋体" w:cs="宋体"/>
          <w:color w:val="auto"/>
          <w:sz w:val="21"/>
          <w:szCs w:val="21"/>
          <w:highlight w:val="none"/>
        </w:rPr>
        <w:t xml:space="preserve"> ；</w:t>
      </w:r>
    </w:p>
    <w:p w14:paraId="28D2519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以上企业，不属于大企业的分支机构，不存在控股股东为大企业的情形，也不存在与大企业的负责人为同一人的情形。</w:t>
      </w:r>
    </w:p>
    <w:p w14:paraId="6901B82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本企业对上述声明内容的真实性负责。如有虚假，将依法承担相应责任。</w:t>
      </w:r>
    </w:p>
    <w:p w14:paraId="0546380E">
      <w:pPr>
        <w:snapToGrid w:val="0"/>
        <w:spacing w:line="360" w:lineRule="auto"/>
        <w:ind w:firstLine="4515" w:firstLineChars="2150"/>
        <w:rPr>
          <w:rFonts w:hint="eastAsia" w:ascii="宋体" w:hAnsi="宋体" w:eastAsia="宋体" w:cs="宋体"/>
          <w:color w:val="auto"/>
          <w:kern w:val="0"/>
          <w:sz w:val="21"/>
          <w:szCs w:val="21"/>
          <w:highlight w:val="none"/>
          <w:lang w:val="zh-CN"/>
        </w:rPr>
      </w:pPr>
    </w:p>
    <w:p w14:paraId="7B8A829F">
      <w:pPr>
        <w:snapToGrid w:val="0"/>
        <w:spacing w:line="360" w:lineRule="auto"/>
        <w:ind w:firstLine="4515" w:firstLineChars="215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投标人名称(电子签名)：</w:t>
      </w:r>
    </w:p>
    <w:p w14:paraId="7DCE13E6">
      <w:pPr>
        <w:snapToGrid w:val="0"/>
        <w:spacing w:line="360" w:lineRule="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                                           日期</w:t>
      </w:r>
      <w:r>
        <w:rPr>
          <w:rFonts w:hint="eastAsia" w:ascii="宋体" w:hAnsi="宋体" w:eastAsia="宋体" w:cs="宋体"/>
          <w:color w:val="auto"/>
          <w:kern w:val="0"/>
          <w:sz w:val="21"/>
          <w:szCs w:val="21"/>
          <w:highlight w:val="none"/>
        </w:rPr>
        <w:t xml:space="preserve">：  年  </w:t>
      </w:r>
      <w:r>
        <w:rPr>
          <w:rFonts w:hint="eastAsia" w:ascii="宋体" w:hAnsi="宋体" w:eastAsia="宋体" w:cs="宋体"/>
          <w:color w:val="auto"/>
          <w:kern w:val="0"/>
          <w:sz w:val="21"/>
          <w:szCs w:val="21"/>
          <w:highlight w:val="none"/>
          <w:lang w:val="zh-CN"/>
        </w:rPr>
        <w:t>月</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日</w:t>
      </w:r>
    </w:p>
    <w:p w14:paraId="02B5BB61">
      <w:pPr>
        <w:pStyle w:val="33"/>
        <w:spacing w:line="360" w:lineRule="auto"/>
        <w:rPr>
          <w:rFonts w:hint="eastAsia" w:ascii="宋体" w:hAnsi="宋体" w:eastAsia="宋体" w:cs="宋体"/>
          <w:color w:val="auto"/>
          <w:kern w:val="0"/>
          <w:sz w:val="21"/>
          <w:szCs w:val="21"/>
          <w:highlight w:val="none"/>
          <w:lang w:val="zh-CN"/>
        </w:rPr>
      </w:pPr>
    </w:p>
    <w:p w14:paraId="7116FCB9">
      <w:pPr>
        <w:spacing w:line="360" w:lineRule="auto"/>
        <w:rPr>
          <w:rFonts w:hint="eastAsia" w:ascii="宋体" w:hAnsi="宋体" w:eastAsia="宋体" w:cs="宋体"/>
          <w:color w:val="auto"/>
          <w:highlight w:val="none"/>
          <w:lang w:val="zh-CN"/>
        </w:rPr>
      </w:pPr>
    </w:p>
    <w:p w14:paraId="3E734569">
      <w:pPr>
        <w:spacing w:line="360" w:lineRule="auto"/>
        <w:ind w:right="420" w:firstLine="420" w:firstLineChars="200"/>
        <w:rPr>
          <w:rFonts w:hint="eastAsia" w:ascii="宋体" w:hAnsi="宋体" w:eastAsia="宋体" w:cs="宋体"/>
          <w:color w:val="auto"/>
          <w:sz w:val="24"/>
          <w:highlight w:val="none"/>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eastAsia="zh-CN"/>
        </w:rPr>
        <w:t>①</w:t>
      </w:r>
      <w:r>
        <w:rPr>
          <w:rFonts w:hint="eastAsia" w:ascii="宋体" w:hAnsi="宋体" w:eastAsia="宋体" w:cs="宋体"/>
          <w:color w:val="auto"/>
          <w:sz w:val="21"/>
          <w:szCs w:val="21"/>
          <w:highlight w:val="none"/>
        </w:rPr>
        <w:t>从业人员、营业收入、资产总额填报上一年度数据，无上一年度数据的新成立企业可不填报</w:t>
      </w:r>
      <w:r>
        <w:rPr>
          <w:rFonts w:hint="eastAsia" w:ascii="宋体" w:hAnsi="宋体" w:eastAsia="宋体" w:cs="宋体"/>
          <w:color w:val="auto"/>
          <w:sz w:val="21"/>
          <w:szCs w:val="21"/>
          <w:highlight w:val="none"/>
          <w:lang w:eastAsia="zh-CN"/>
        </w:rPr>
        <w:t>。②</w:t>
      </w:r>
      <w:r>
        <w:rPr>
          <w:rFonts w:hint="eastAsia" w:ascii="宋体" w:hAnsi="宋体" w:eastAsia="宋体" w:cs="宋体"/>
          <w:color w:val="auto"/>
          <w:sz w:val="21"/>
          <w:szCs w:val="21"/>
          <w:highlight w:val="none"/>
        </w:rPr>
        <w:t>《中小企业声明函》中“标的名称”、“采购文件中明确的所属行业”依据招标文件第二部分投标人须知前附表中“采购标的及其对应的中小企业划分标准所属行业”的指引，逐一填写，不得缺漏。</w:t>
      </w:r>
    </w:p>
    <w:p w14:paraId="7C22083B">
      <w:pPr>
        <w:spacing w:line="360" w:lineRule="auto"/>
        <w:jc w:val="center"/>
        <w:rPr>
          <w:rFonts w:hint="eastAsia" w:ascii="宋体" w:hAnsi="宋体" w:eastAsia="宋体" w:cs="宋体"/>
          <w:b/>
          <w:color w:val="auto"/>
          <w:sz w:val="32"/>
          <w:szCs w:val="32"/>
          <w:highlight w:val="none"/>
        </w:rPr>
      </w:pPr>
    </w:p>
    <w:p w14:paraId="64362DEE">
      <w:pPr>
        <w:spacing w:line="360" w:lineRule="auto"/>
        <w:rPr>
          <w:rFonts w:hint="eastAsia" w:ascii="宋体" w:hAnsi="宋体" w:eastAsia="宋体" w:cs="宋体"/>
          <w:bCs/>
          <w:color w:val="auto"/>
          <w:sz w:val="24"/>
          <w:highlight w:val="none"/>
          <w:lang w:val="en-US" w:eastAsia="zh-CN"/>
        </w:rPr>
      </w:pPr>
    </w:p>
    <w:p w14:paraId="2672EC8D">
      <w:pPr>
        <w:rPr>
          <w:color w:val="auto"/>
          <w:highlight w:val="none"/>
        </w:rPr>
      </w:pPr>
    </w:p>
    <w:sectPr>
      <w:pgSz w:w="11906" w:h="16838"/>
      <w:pgMar w:top="1417" w:right="1418" w:bottom="1417" w:left="1587" w:header="851" w:footer="850" w:gutter="0"/>
      <w:pgBorders>
        <w:top w:val="none" w:sz="0" w:space="0"/>
        <w:left w:val="none" w:sz="0" w:space="0"/>
        <w:bottom w:val="none" w:sz="0" w:space="0"/>
        <w:right w:val="none" w:sz="0" w:space="0"/>
      </w:pgBorders>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995BC33-B453-441D-A2F3-32BBCA7B304C}"/>
  </w:font>
  <w:font w:name="黑体">
    <w:panose1 w:val="02010609060101010101"/>
    <w:charset w:val="86"/>
    <w:family w:val="auto"/>
    <w:pitch w:val="default"/>
    <w:sig w:usb0="800002BF" w:usb1="38CF7CFA" w:usb2="00000016" w:usb3="00000000" w:csb0="00040001" w:csb1="00000000"/>
    <w:embedRegular r:id="rId2" w:fontKey="{06C17240-72CD-448C-83FF-16E8CD67F61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40001" w:csb1="00000000"/>
    <w:embedRegular r:id="rId3" w:fontKey="{06F81C7F-0003-46E1-B7E0-75E26493224B}"/>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Sitka Text"/>
    <w:panose1 w:val="020B0500000000000000"/>
    <w:charset w:val="00"/>
    <w:family w:val="swiss"/>
    <w:pitch w:val="default"/>
    <w:sig w:usb0="00000000" w:usb1="00000000" w:usb2="00000000" w:usb3="00000000" w:csb0="00000001" w:csb1="00000000"/>
  </w:font>
  <w:font w:name="Sitka Text">
    <w:panose1 w:val="00000000000000000000"/>
    <w:charset w:val="00"/>
    <w:family w:val="auto"/>
    <w:pitch w:val="default"/>
    <w:sig w:usb0="A00002EF" w:usb1="4000204B" w:usb2="00000000" w:usb3="00000000" w:csb0="2000019F" w:csb1="00000000"/>
  </w:font>
  <w:font w:name="Lucida Sans">
    <w:panose1 w:val="020B0602030504020204"/>
    <w:charset w:val="00"/>
    <w:family w:val="swiss"/>
    <w:pitch w:val="default"/>
    <w:sig w:usb0="00000003" w:usb1="00000000" w:usb2="00000000" w:usb3="00000000" w:csb0="20000001" w:csb1="00000000"/>
  </w:font>
  <w:font w:name="Verdana">
    <w:panose1 w:val="020B0604030504040204"/>
    <w:charset w:val="00"/>
    <w:family w:val="swiss"/>
    <w:pitch w:val="default"/>
    <w:sig w:usb0="A00006FF" w:usb1="4000205B" w:usb2="00000010" w:usb3="00000000" w:csb0="2000019F" w:csb1="00000000"/>
  </w:font>
  <w:font w:name="ˎ̥">
    <w:altName w:val="Noto Sans SC"/>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Times New Roman"/>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7F" w:usb3="00000000" w:csb0="203F01FF" w:csb1="DFFF0000"/>
  </w:font>
  <w:font w:name="Helvetica">
    <w:panose1 w:val="020B0604020202020204"/>
    <w:charset w:val="00"/>
    <w:family w:val="swiss"/>
    <w:pitch w:val="default"/>
    <w:sig w:usb0="00000000" w:usb1="00000000" w:usb2="00000000" w:usb3="00000000" w:csb0="00000000" w:csb1="00000000"/>
  </w:font>
  <w:font w:name="Cumberland">
    <w:altName w:val="Noto Sans SC"/>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002020204"/>
    <w:charset w:val="01"/>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panose1 w:val="020B0502020202020204"/>
    <w:charset w:val="00"/>
    <w:family w:val="swiss"/>
    <w:pitch w:val="default"/>
    <w:sig w:usb0="00000287"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Noto Sans SC"/>
    <w:panose1 w:val="00000000000000000000"/>
    <w:charset w:val="00"/>
    <w:family w:val="modern"/>
    <w:pitch w:val="default"/>
    <w:sig w:usb0="00000000"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A16F1">
    <w:pPr>
      <w:pStyle w:val="40"/>
      <w:framePr w:wrap="around" w:vAnchor="text" w:hAnchor="margin" w:xAlign="right" w:y="1"/>
      <w:rPr>
        <w:rStyle w:val="72"/>
      </w:rPr>
    </w:pPr>
    <w:r>
      <w:fldChar w:fldCharType="begin"/>
    </w:r>
    <w:r>
      <w:rPr>
        <w:rStyle w:val="72"/>
      </w:rPr>
      <w:instrText xml:space="preserve">PAGE  </w:instrText>
    </w:r>
    <w:r>
      <w:fldChar w:fldCharType="end"/>
    </w:r>
  </w:p>
  <w:p w14:paraId="44739DB2">
    <w:pPr>
      <w:pStyle w:val="4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30C9A">
    <w:pPr>
      <w:pStyle w:val="4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AE564A">
                          <w:pPr>
                            <w:pStyle w:val="40"/>
                          </w:pPr>
                          <w:r>
                            <w:t xml:space="preserve">第 </w:t>
                          </w:r>
                          <w:r>
                            <w:fldChar w:fldCharType="begin"/>
                          </w:r>
                          <w:r>
                            <w:instrText xml:space="preserve"> PAGE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4AE564A">
                    <w:pPr>
                      <w:pStyle w:val="40"/>
                    </w:pPr>
                    <w:r>
                      <w:t xml:space="preserve">第 </w:t>
                    </w:r>
                    <w:r>
                      <w:fldChar w:fldCharType="begin"/>
                    </w:r>
                    <w:r>
                      <w:instrText xml:space="preserve"> PAGE  \* MERGEFORMAT </w:instrText>
                    </w:r>
                    <w:r>
                      <w:fldChar w:fldCharType="separate"/>
                    </w:r>
                    <w:r>
                      <w:t>4</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7469A">
    <w:pPr>
      <w:pStyle w:val="4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2AFD41">
                          <w:pPr>
                            <w:pStyle w:val="40"/>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82AFD41">
                    <w:pPr>
                      <w:pStyle w:val="40"/>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A7701">
    <w:pPr>
      <w:pStyle w:val="41"/>
      <w:jc w:val="right"/>
      <w:rPr>
        <w:rFonts w:ascii="仿宋_GB2312" w:eastAsia="仿宋_GB2312"/>
        <w:b/>
        <w:i/>
        <w:sz w:val="18"/>
        <w:u w:val="single"/>
      </w:rPr>
    </w:pPr>
    <w:r>
      <w:rPr>
        <w:rFonts w:hint="eastAsia"/>
      </w:rPr>
      <w:t xml:space="preserve">                                  </w:t>
    </w:r>
    <w:r>
      <w:rPr>
        <w:rFonts w:hint="eastAsia"/>
        <w:lang w:val="en-US" w:eastAsia="zh-CN"/>
      </w:rPr>
      <w:t xml:space="preserve"> </w:t>
    </w:r>
    <w:r>
      <w:rPr>
        <w:rFonts w:hint="eastAsia"/>
        <w:lang w:eastAsia="zh-CN"/>
      </w:rPr>
      <w:t>浙江省工商业联合会浙里惠企政策精准直达系统项目</w:t>
    </w:r>
    <w:r>
      <w:t>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9D16B">
    <w:pPr>
      <w:pStyle w:val="41"/>
      <w:pBdr>
        <w:top w:val="none" w:color="auto" w:sz="0" w:space="0"/>
        <w:left w:val="none" w:color="auto" w:sz="0" w:space="0"/>
        <w:bottom w:val="none" w:color="auto" w:sz="0" w:space="1"/>
        <w:right w:val="none" w:color="auto" w:sz="0" w:space="0"/>
        <w:between w:val="none" w:color="auto" w:sz="0" w:space="0"/>
      </w:pBdr>
      <w:jc w:val="right"/>
      <w:rPr>
        <w:rFonts w:hint="default" w:eastAsia="宋体"/>
        <w:lang w:val="en-US" w:eastAsia="zh-CN"/>
      </w:rPr>
    </w:pPr>
    <w:r>
      <w:t></w:t>
    </w:r>
    <w:r>
      <w:rPr>
        <w:rFonts w:hint="eastAsia"/>
      </w:rPr>
      <w:t xml:space="preserve">                     </w:t>
    </w: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F63A39"/>
    <w:multiLevelType w:val="singleLevel"/>
    <w:tmpl w:val="B3F63A39"/>
    <w:lvl w:ilvl="0" w:tentative="0">
      <w:start w:val="1"/>
      <w:numFmt w:val="decimal"/>
      <w:suff w:val="nothing"/>
      <w:lvlText w:val="%1."/>
      <w:lvlJc w:val="left"/>
    </w:lvl>
  </w:abstractNum>
  <w:abstractNum w:abstractNumId="1">
    <w:nsid w:val="E3F8AB3E"/>
    <w:multiLevelType w:val="singleLevel"/>
    <w:tmpl w:val="E3F8AB3E"/>
    <w:lvl w:ilvl="0" w:tentative="0">
      <w:start w:val="1"/>
      <w:numFmt w:val="chineseCounting"/>
      <w:suff w:val="nothing"/>
      <w:lvlText w:val="（%1）"/>
      <w:lvlJc w:val="left"/>
      <w:pPr>
        <w:ind w:left="0" w:firstLine="420"/>
      </w:pPr>
      <w:rPr>
        <w:rFonts w:hint="eastAsia"/>
      </w:rPr>
    </w:lvl>
  </w:abstractNum>
  <w:abstractNum w:abstractNumId="2">
    <w:nsid w:val="E72709E5"/>
    <w:multiLevelType w:val="singleLevel"/>
    <w:tmpl w:val="E72709E5"/>
    <w:lvl w:ilvl="0" w:tentative="0">
      <w:start w:val="1"/>
      <w:numFmt w:val="decimal"/>
      <w:suff w:val="nothing"/>
      <w:lvlText w:val="%1．"/>
      <w:lvlJc w:val="left"/>
      <w:pPr>
        <w:ind w:left="0" w:firstLine="400"/>
      </w:pPr>
      <w:rPr>
        <w:rFonts w:hint="default"/>
      </w:rPr>
    </w:lvl>
  </w:abstractNum>
  <w:abstractNum w:abstractNumId="3">
    <w:nsid w:val="FF037AE9"/>
    <w:multiLevelType w:val="singleLevel"/>
    <w:tmpl w:val="FF037AE9"/>
    <w:lvl w:ilvl="0" w:tentative="0">
      <w:start w:val="1"/>
      <w:numFmt w:val="decimal"/>
      <w:suff w:val="nothing"/>
      <w:lvlText w:val="%1."/>
      <w:lvlJc w:val="left"/>
      <w:pPr>
        <w:ind w:left="420"/>
      </w:pPr>
    </w:lvl>
  </w:abstractNum>
  <w:abstractNum w:abstractNumId="4">
    <w:nsid w:val="0CD9E6DC"/>
    <w:multiLevelType w:val="singleLevel"/>
    <w:tmpl w:val="0CD9E6DC"/>
    <w:lvl w:ilvl="0" w:tentative="0">
      <w:start w:val="1"/>
      <w:numFmt w:val="chineseCounting"/>
      <w:suff w:val="nothing"/>
      <w:lvlText w:val="（%1）"/>
      <w:lvlJc w:val="left"/>
      <w:pPr>
        <w:ind w:left="0" w:firstLine="420"/>
      </w:pPr>
      <w:rPr>
        <w:rFonts w:hint="eastAsia"/>
      </w:rPr>
    </w:lvl>
  </w:abstractNum>
  <w:abstractNum w:abstractNumId="5">
    <w:nsid w:val="1C354607"/>
    <w:multiLevelType w:val="singleLevel"/>
    <w:tmpl w:val="1C354607"/>
    <w:lvl w:ilvl="0" w:tentative="0">
      <w:start w:val="1"/>
      <w:numFmt w:val="decimal"/>
      <w:suff w:val="nothing"/>
      <w:lvlText w:val="%1．"/>
      <w:lvlJc w:val="left"/>
      <w:pPr>
        <w:ind w:left="0" w:firstLine="400"/>
      </w:pPr>
      <w:rPr>
        <w:rFonts w:hint="default"/>
      </w:rPr>
    </w:lvl>
  </w:abstractNum>
  <w:abstractNum w:abstractNumId="6">
    <w:nsid w:val="3FFB87C6"/>
    <w:multiLevelType w:val="singleLevel"/>
    <w:tmpl w:val="3FFB87C6"/>
    <w:lvl w:ilvl="0" w:tentative="0">
      <w:start w:val="1"/>
      <w:numFmt w:val="decimal"/>
      <w:suff w:val="nothing"/>
      <w:lvlText w:val="%1．"/>
      <w:lvlJc w:val="left"/>
      <w:pPr>
        <w:ind w:left="0" w:firstLine="400"/>
      </w:pPr>
      <w:rPr>
        <w:rFonts w:hint="default"/>
      </w:rPr>
    </w:lvl>
  </w:abstractNum>
  <w:abstractNum w:abstractNumId="7">
    <w:nsid w:val="5FF0CC9E"/>
    <w:multiLevelType w:val="singleLevel"/>
    <w:tmpl w:val="5FF0CC9E"/>
    <w:lvl w:ilvl="0" w:tentative="0">
      <w:start w:val="1"/>
      <w:numFmt w:val="chineseCounting"/>
      <w:suff w:val="nothing"/>
      <w:lvlText w:val="（%1）"/>
      <w:lvlJc w:val="left"/>
      <w:pPr>
        <w:ind w:left="0" w:firstLine="420"/>
      </w:pPr>
      <w:rPr>
        <w:rFonts w:hint="eastAsia"/>
      </w:rPr>
    </w:lvl>
  </w:abstractNum>
  <w:abstractNum w:abstractNumId="8">
    <w:nsid w:val="62BAE00E"/>
    <w:multiLevelType w:val="singleLevel"/>
    <w:tmpl w:val="62BAE00E"/>
    <w:lvl w:ilvl="0" w:tentative="0">
      <w:start w:val="1"/>
      <w:numFmt w:val="chineseCounting"/>
      <w:suff w:val="nothing"/>
      <w:lvlText w:val="（%1）"/>
      <w:lvlJc w:val="left"/>
      <w:pPr>
        <w:ind w:left="0" w:firstLine="420"/>
      </w:pPr>
      <w:rPr>
        <w:rFonts w:hint="eastAsia"/>
      </w:rPr>
    </w:lvl>
  </w:abstractNum>
  <w:abstractNum w:abstractNumId="9">
    <w:nsid w:val="76E37483"/>
    <w:multiLevelType w:val="singleLevel"/>
    <w:tmpl w:val="76E37483"/>
    <w:lvl w:ilvl="0" w:tentative="0">
      <w:start w:val="1"/>
      <w:numFmt w:val="decimal"/>
      <w:suff w:val="nothing"/>
      <w:lvlText w:val="%1．"/>
      <w:lvlJc w:val="left"/>
      <w:pPr>
        <w:ind w:left="0" w:firstLine="400"/>
      </w:pPr>
      <w:rPr>
        <w:rFonts w:hint="default"/>
      </w:rPr>
    </w:lvl>
  </w:abstractNum>
  <w:abstractNum w:abstractNumId="10">
    <w:nsid w:val="7F5279D7"/>
    <w:multiLevelType w:val="singleLevel"/>
    <w:tmpl w:val="7F5279D7"/>
    <w:lvl w:ilvl="0" w:tentative="0">
      <w:start w:val="1"/>
      <w:numFmt w:val="chineseCounting"/>
      <w:suff w:val="nothing"/>
      <w:lvlText w:val="（%1）"/>
      <w:lvlJc w:val="left"/>
      <w:pPr>
        <w:ind w:left="0" w:firstLine="420"/>
      </w:pPr>
      <w:rPr>
        <w:rFonts w:hint="eastAsia"/>
      </w:rPr>
    </w:lvl>
  </w:abstractNum>
  <w:num w:numId="1">
    <w:abstractNumId w:val="7"/>
  </w:num>
  <w:num w:numId="2">
    <w:abstractNumId w:val="0"/>
  </w:num>
  <w:num w:numId="3">
    <w:abstractNumId w:val="9"/>
  </w:num>
  <w:num w:numId="4">
    <w:abstractNumId w:val="5"/>
  </w:num>
  <w:num w:numId="5">
    <w:abstractNumId w:val="10"/>
  </w:num>
  <w:num w:numId="6">
    <w:abstractNumId w:val="2"/>
  </w:num>
  <w:num w:numId="7">
    <w:abstractNumId w:val="4"/>
  </w:num>
  <w:num w:numId="8">
    <w:abstractNumId w:val="8"/>
  </w:num>
  <w:num w:numId="9">
    <w:abstractNumId w:val="6"/>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B73C2"/>
    <w:rsid w:val="01DB732E"/>
    <w:rsid w:val="02225B04"/>
    <w:rsid w:val="025739FF"/>
    <w:rsid w:val="058B00A6"/>
    <w:rsid w:val="05EA4B8A"/>
    <w:rsid w:val="065344DE"/>
    <w:rsid w:val="065432EC"/>
    <w:rsid w:val="069718B3"/>
    <w:rsid w:val="073F2CB4"/>
    <w:rsid w:val="08982B65"/>
    <w:rsid w:val="0C181A12"/>
    <w:rsid w:val="0C2248B5"/>
    <w:rsid w:val="0E562F97"/>
    <w:rsid w:val="0F373B75"/>
    <w:rsid w:val="0F380715"/>
    <w:rsid w:val="10066D9E"/>
    <w:rsid w:val="119A7465"/>
    <w:rsid w:val="11E17CBA"/>
    <w:rsid w:val="11E670E9"/>
    <w:rsid w:val="128C1C6D"/>
    <w:rsid w:val="12FB2185"/>
    <w:rsid w:val="13090C60"/>
    <w:rsid w:val="135E2714"/>
    <w:rsid w:val="13CF716E"/>
    <w:rsid w:val="14531B4D"/>
    <w:rsid w:val="160752E5"/>
    <w:rsid w:val="17034063"/>
    <w:rsid w:val="17F5501B"/>
    <w:rsid w:val="18360E46"/>
    <w:rsid w:val="19071B89"/>
    <w:rsid w:val="19397563"/>
    <w:rsid w:val="197607B7"/>
    <w:rsid w:val="1A860EBF"/>
    <w:rsid w:val="1AB52A07"/>
    <w:rsid w:val="1ADC741B"/>
    <w:rsid w:val="1B2C0455"/>
    <w:rsid w:val="1BE75AAD"/>
    <w:rsid w:val="1C422CCE"/>
    <w:rsid w:val="1C7B4336"/>
    <w:rsid w:val="1CD01FF8"/>
    <w:rsid w:val="1DB75982"/>
    <w:rsid w:val="1DFC4E7D"/>
    <w:rsid w:val="1E3B7FD1"/>
    <w:rsid w:val="1ECC0E79"/>
    <w:rsid w:val="20111091"/>
    <w:rsid w:val="20306BD7"/>
    <w:rsid w:val="20554049"/>
    <w:rsid w:val="209B2D55"/>
    <w:rsid w:val="215468E9"/>
    <w:rsid w:val="21C90F59"/>
    <w:rsid w:val="22B36C43"/>
    <w:rsid w:val="22DB0789"/>
    <w:rsid w:val="23166B67"/>
    <w:rsid w:val="24665FB7"/>
    <w:rsid w:val="25495178"/>
    <w:rsid w:val="25C65F86"/>
    <w:rsid w:val="26051917"/>
    <w:rsid w:val="26542250"/>
    <w:rsid w:val="27771FB6"/>
    <w:rsid w:val="283C1BAF"/>
    <w:rsid w:val="2991370C"/>
    <w:rsid w:val="29CE019B"/>
    <w:rsid w:val="2A7D74CC"/>
    <w:rsid w:val="2B6C71DA"/>
    <w:rsid w:val="2C5030EA"/>
    <w:rsid w:val="2CD4309D"/>
    <w:rsid w:val="2CF2630A"/>
    <w:rsid w:val="2D74105A"/>
    <w:rsid w:val="2DF95C66"/>
    <w:rsid w:val="2F496299"/>
    <w:rsid w:val="2FC9520A"/>
    <w:rsid w:val="30F53870"/>
    <w:rsid w:val="322F37A1"/>
    <w:rsid w:val="3491604D"/>
    <w:rsid w:val="34FB77AE"/>
    <w:rsid w:val="35D42696"/>
    <w:rsid w:val="372F1B4E"/>
    <w:rsid w:val="385E74CA"/>
    <w:rsid w:val="38695284"/>
    <w:rsid w:val="389A6071"/>
    <w:rsid w:val="39906419"/>
    <w:rsid w:val="39CB7496"/>
    <w:rsid w:val="3A60359A"/>
    <w:rsid w:val="3B0C5DB7"/>
    <w:rsid w:val="3C08753D"/>
    <w:rsid w:val="3C1E0B0E"/>
    <w:rsid w:val="3C750971"/>
    <w:rsid w:val="3D1D6B4D"/>
    <w:rsid w:val="40B57568"/>
    <w:rsid w:val="40D07EFD"/>
    <w:rsid w:val="41685D9E"/>
    <w:rsid w:val="41864563"/>
    <w:rsid w:val="43560B8E"/>
    <w:rsid w:val="44463B5B"/>
    <w:rsid w:val="44ED5346"/>
    <w:rsid w:val="44FE14DD"/>
    <w:rsid w:val="45240818"/>
    <w:rsid w:val="453C2005"/>
    <w:rsid w:val="455F0EDE"/>
    <w:rsid w:val="46A2306B"/>
    <w:rsid w:val="48B53B07"/>
    <w:rsid w:val="48EB47DC"/>
    <w:rsid w:val="497B7AF3"/>
    <w:rsid w:val="49C04502"/>
    <w:rsid w:val="49DE18DD"/>
    <w:rsid w:val="4CB457FD"/>
    <w:rsid w:val="4DC25072"/>
    <w:rsid w:val="4F2732DA"/>
    <w:rsid w:val="4F9608EC"/>
    <w:rsid w:val="50330A02"/>
    <w:rsid w:val="50B0220A"/>
    <w:rsid w:val="50FC2580"/>
    <w:rsid w:val="511E6A63"/>
    <w:rsid w:val="51432163"/>
    <w:rsid w:val="52D65847"/>
    <w:rsid w:val="53A01E41"/>
    <w:rsid w:val="54AE7204"/>
    <w:rsid w:val="5531563D"/>
    <w:rsid w:val="562763BA"/>
    <w:rsid w:val="56A56D10"/>
    <w:rsid w:val="5814487C"/>
    <w:rsid w:val="5980475F"/>
    <w:rsid w:val="59DC5B41"/>
    <w:rsid w:val="5A54597F"/>
    <w:rsid w:val="5A71428A"/>
    <w:rsid w:val="5B9D4BB1"/>
    <w:rsid w:val="5BD75E09"/>
    <w:rsid w:val="5C8E08CD"/>
    <w:rsid w:val="5D2F1A6B"/>
    <w:rsid w:val="5D5E6B65"/>
    <w:rsid w:val="5D707768"/>
    <w:rsid w:val="5D9F2CDA"/>
    <w:rsid w:val="5E813FD8"/>
    <w:rsid w:val="5EDA0F44"/>
    <w:rsid w:val="5EED201D"/>
    <w:rsid w:val="5F8B41E9"/>
    <w:rsid w:val="5FB96528"/>
    <w:rsid w:val="60E202DF"/>
    <w:rsid w:val="623F08B6"/>
    <w:rsid w:val="62DB2CB2"/>
    <w:rsid w:val="630755A9"/>
    <w:rsid w:val="634316F9"/>
    <w:rsid w:val="63A25799"/>
    <w:rsid w:val="63DF6526"/>
    <w:rsid w:val="64041AE8"/>
    <w:rsid w:val="64E77440"/>
    <w:rsid w:val="667A42E4"/>
    <w:rsid w:val="66D76154"/>
    <w:rsid w:val="676B1150"/>
    <w:rsid w:val="67F0540A"/>
    <w:rsid w:val="69A17D61"/>
    <w:rsid w:val="69FC5C16"/>
    <w:rsid w:val="6B0C012E"/>
    <w:rsid w:val="6B7E6624"/>
    <w:rsid w:val="6B956FBF"/>
    <w:rsid w:val="6C0413C0"/>
    <w:rsid w:val="6C845703"/>
    <w:rsid w:val="6E63661D"/>
    <w:rsid w:val="6EBC251D"/>
    <w:rsid w:val="6F992945"/>
    <w:rsid w:val="70D70131"/>
    <w:rsid w:val="70D70C0E"/>
    <w:rsid w:val="714B0781"/>
    <w:rsid w:val="714F2E7A"/>
    <w:rsid w:val="7161307A"/>
    <w:rsid w:val="72584524"/>
    <w:rsid w:val="735B7814"/>
    <w:rsid w:val="73D2575F"/>
    <w:rsid w:val="740B4709"/>
    <w:rsid w:val="746257BB"/>
    <w:rsid w:val="750E0599"/>
    <w:rsid w:val="75D25EEA"/>
    <w:rsid w:val="763E0E6E"/>
    <w:rsid w:val="767948AB"/>
    <w:rsid w:val="76884DAC"/>
    <w:rsid w:val="76BBDC55"/>
    <w:rsid w:val="7817498B"/>
    <w:rsid w:val="792F0F5E"/>
    <w:rsid w:val="7A3E4FE1"/>
    <w:rsid w:val="7A517991"/>
    <w:rsid w:val="7B373427"/>
    <w:rsid w:val="7B811BD5"/>
    <w:rsid w:val="7C567D65"/>
    <w:rsid w:val="7D370FF8"/>
    <w:rsid w:val="7D596DA5"/>
    <w:rsid w:val="7D7F24B4"/>
    <w:rsid w:val="7E6F6C95"/>
    <w:rsid w:val="7EEF5DD4"/>
    <w:rsid w:val="7EFF0492"/>
    <w:rsid w:val="7F740BE1"/>
    <w:rsid w:val="7FA75CF2"/>
    <w:rsid w:val="7FC46660"/>
    <w:rsid w:val="BBEDF55D"/>
    <w:rsid w:val="BFFD5C0B"/>
    <w:rsid w:val="DEF16639"/>
    <w:rsid w:val="DF37D097"/>
    <w:rsid w:val="DF492957"/>
    <w:rsid w:val="DF7F12DF"/>
    <w:rsid w:val="F7FD2D9D"/>
    <w:rsid w:val="FFFFB1C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qFormat="1" w:unhideWhenUsed="0" w:uiPriority="0" w:semiHidden="0" w:name="Table Grid 5"/>
    <w:lsdException w:unhideWhenUsed="0" w:uiPriority="0" w:semiHidden="0" w:name="Table Grid 6"/>
    <w:lsdException w:unhideWhenUsed="0" w:uiPriority="0" w:semiHidden="0" w:name="Table Grid 7"/>
    <w:lsdException w:qFormat="1"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qFormat="1" w:unhideWhenUsed="0" w:uiPriority="0" w:semiHidden="0" w:name="Table Elegant"/>
    <w:lsdException w:qFormat="1"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8"/>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331"/>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8"/>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55"/>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11"/>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61"/>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89"/>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qFormat/>
    <w:uiPriority w:val="1"/>
  </w:style>
  <w:style w:type="table" w:default="1" w:styleId="62">
    <w:name w:val="Normal Table"/>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Normal Indent"/>
    <w:basedOn w:val="1"/>
    <w:next w:val="1"/>
    <w:link w:val="200"/>
    <w:qFormat/>
    <w:uiPriority w:val="0"/>
    <w:pPr>
      <w:widowControl/>
      <w:snapToGrid w:val="0"/>
      <w:spacing w:line="480" w:lineRule="exact"/>
      <w:ind w:firstLine="567"/>
    </w:pPr>
    <w:rPr>
      <w:rFonts w:ascii="宋体"/>
      <w:snapToGrid w:val="0"/>
      <w:color w:val="000000"/>
      <w:kern w:val="28"/>
      <w:sz w:val="28"/>
      <w:szCs w:val="20"/>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caption"/>
    <w:basedOn w:val="1"/>
    <w:next w:val="1"/>
    <w:link w:val="236"/>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link w:val="209"/>
    <w:qFormat/>
    <w:uiPriority w:val="0"/>
    <w:pPr>
      <w:shd w:val="clear" w:color="auto" w:fill="000080"/>
    </w:pPr>
  </w:style>
  <w:style w:type="paragraph" w:styleId="19">
    <w:name w:val="annotation text"/>
    <w:basedOn w:val="1"/>
    <w:link w:val="348"/>
    <w:qFormat/>
    <w:uiPriority w:val="99"/>
    <w:pPr>
      <w:jc w:val="left"/>
    </w:pPr>
  </w:style>
  <w:style w:type="paragraph" w:styleId="20">
    <w:name w:val="Salutation"/>
    <w:basedOn w:val="1"/>
    <w:next w:val="1"/>
    <w:link w:val="303"/>
    <w:qFormat/>
    <w:uiPriority w:val="0"/>
    <w:rPr>
      <w:rFonts w:ascii="仿宋_GB2312" w:eastAsia="仿宋_GB2312"/>
      <w:sz w:val="28"/>
      <w:szCs w:val="20"/>
    </w:rPr>
  </w:style>
  <w:style w:type="paragraph" w:styleId="21">
    <w:name w:val="Body Text 3"/>
    <w:basedOn w:val="1"/>
    <w:link w:val="334"/>
    <w:qFormat/>
    <w:uiPriority w:val="0"/>
    <w:pPr>
      <w:jc w:val="center"/>
    </w:pPr>
    <w:rPr>
      <w:szCs w:val="20"/>
    </w:rPr>
  </w:style>
  <w:style w:type="paragraph" w:styleId="22">
    <w:name w:val="List Bullet 3"/>
    <w:basedOn w:val="1"/>
    <w:qFormat/>
    <w:uiPriority w:val="0"/>
    <w:pPr>
      <w:snapToGrid w:val="0"/>
      <w:spacing w:line="360" w:lineRule="auto"/>
      <w:ind w:left="360" w:right="238" w:hanging="360"/>
      <w:contextualSpacing/>
    </w:pPr>
    <w:rPr>
      <w:sz w:val="24"/>
    </w:rPr>
  </w:style>
  <w:style w:type="paragraph" w:styleId="23">
    <w:name w:val="Body Text"/>
    <w:basedOn w:val="1"/>
    <w:next w:val="24"/>
    <w:link w:val="431"/>
    <w:qFormat/>
    <w:uiPriority w:val="0"/>
    <w:pPr>
      <w:autoSpaceDE w:val="0"/>
      <w:autoSpaceDN w:val="0"/>
      <w:spacing w:line="360" w:lineRule="auto"/>
    </w:pPr>
    <w:rPr>
      <w:rFonts w:ascii="宋体" w:hAnsi="Arial" w:cs="Arial"/>
      <w:snapToGrid w:val="0"/>
      <w:sz w:val="24"/>
      <w:szCs w:val="21"/>
      <w:lang w:val="zh-CN"/>
    </w:rPr>
  </w:style>
  <w:style w:type="paragraph" w:styleId="24">
    <w:name w:val="Body Text First Indent"/>
    <w:basedOn w:val="23"/>
    <w:link w:val="325"/>
    <w:qFormat/>
    <w:uiPriority w:val="0"/>
    <w:pPr>
      <w:ind w:firstLine="420"/>
    </w:pPr>
    <w:rPr>
      <w:rFonts w:hAnsi="Calibri" w:cs="Times New Roman"/>
      <w:szCs w:val="20"/>
    </w:rPr>
  </w:style>
  <w:style w:type="paragraph" w:styleId="25">
    <w:name w:val="Body Text Indent"/>
    <w:basedOn w:val="1"/>
    <w:next w:val="1"/>
    <w:link w:val="271"/>
    <w:qFormat/>
    <w:uiPriority w:val="0"/>
    <w:pPr>
      <w:spacing w:line="480" w:lineRule="exact"/>
      <w:ind w:firstLine="480" w:firstLineChars="200"/>
    </w:pPr>
    <w:rPr>
      <w:rFonts w:ascii="宋体" w:hAnsi="宋体"/>
      <w:sz w:val="24"/>
    </w:rPr>
  </w:style>
  <w:style w:type="paragraph" w:styleId="26">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7">
    <w:name w:val="List 2"/>
    <w:basedOn w:val="1"/>
    <w:qFormat/>
    <w:uiPriority w:val="0"/>
    <w:pPr>
      <w:adjustRightInd/>
      <w:spacing w:line="360" w:lineRule="auto"/>
      <w:ind w:left="100" w:leftChars="200" w:hanging="200" w:hangingChars="200"/>
    </w:pPr>
    <w:rPr>
      <w:rFonts w:eastAsia="微软雅黑"/>
    </w:rPr>
  </w:style>
  <w:style w:type="paragraph" w:styleId="28">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9">
    <w:name w:val="List Bullet 2"/>
    <w:basedOn w:val="1"/>
    <w:qFormat/>
    <w:uiPriority w:val="0"/>
    <w:pPr>
      <w:autoSpaceDE w:val="0"/>
      <w:autoSpaceDN w:val="0"/>
      <w:ind w:left="420"/>
      <w:jc w:val="left"/>
    </w:pPr>
    <w:rPr>
      <w:rFonts w:ascii="宋体" w:hAnsi="宋体"/>
      <w:color w:val="000000"/>
      <w:kern w:val="0"/>
      <w:sz w:val="24"/>
      <w:szCs w:val="20"/>
    </w:rPr>
  </w:style>
  <w:style w:type="paragraph" w:styleId="30">
    <w:name w:val="HTML Address"/>
    <w:basedOn w:val="1"/>
    <w:link w:val="226"/>
    <w:qFormat/>
    <w:uiPriority w:val="0"/>
    <w:pPr>
      <w:widowControl/>
      <w:adjustRightInd/>
      <w:ind w:firstLine="200" w:firstLineChars="200"/>
      <w:jc w:val="left"/>
    </w:pPr>
    <w:rPr>
      <w:rFonts w:ascii="宋体" w:hAnsi="宋体"/>
      <w:i/>
      <w:iCs/>
      <w:kern w:val="0"/>
      <w:sz w:val="24"/>
    </w:rPr>
  </w:style>
  <w:style w:type="paragraph" w:styleId="31">
    <w:name w:val="toc 5"/>
    <w:basedOn w:val="1"/>
    <w:next w:val="1"/>
    <w:qFormat/>
    <w:uiPriority w:val="0"/>
    <w:pPr>
      <w:ind w:left="1680" w:leftChars="800"/>
    </w:pPr>
  </w:style>
  <w:style w:type="paragraph" w:styleId="32">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3">
    <w:name w:val="Plain Text"/>
    <w:basedOn w:val="1"/>
    <w:link w:val="133"/>
    <w:qFormat/>
    <w:uiPriority w:val="0"/>
    <w:rPr>
      <w:rFonts w:ascii="宋体" w:hAnsi="Courier New" w:cs="Arial"/>
      <w:snapToGrid w:val="0"/>
      <w:szCs w:val="21"/>
    </w:rPr>
  </w:style>
  <w:style w:type="paragraph" w:styleId="34">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5">
    <w:name w:val="toc 8"/>
    <w:basedOn w:val="1"/>
    <w:next w:val="1"/>
    <w:qFormat/>
    <w:uiPriority w:val="0"/>
    <w:pPr>
      <w:ind w:left="2940" w:leftChars="1400"/>
    </w:pPr>
  </w:style>
  <w:style w:type="paragraph" w:styleId="36">
    <w:name w:val="Date"/>
    <w:basedOn w:val="1"/>
    <w:next w:val="1"/>
    <w:link w:val="188"/>
    <w:qFormat/>
    <w:uiPriority w:val="0"/>
    <w:pPr>
      <w:ind w:left="100" w:leftChars="2500"/>
    </w:pPr>
    <w:rPr>
      <w:rFonts w:ascii="宋体"/>
      <w:sz w:val="24"/>
      <w:szCs w:val="21"/>
      <w:lang w:val="zh-CN"/>
    </w:rPr>
  </w:style>
  <w:style w:type="paragraph" w:styleId="37">
    <w:name w:val="Body Text Indent 2"/>
    <w:basedOn w:val="1"/>
    <w:link w:val="312"/>
    <w:qFormat/>
    <w:uiPriority w:val="0"/>
    <w:pPr>
      <w:spacing w:line="360" w:lineRule="auto"/>
      <w:ind w:firstLine="601"/>
      <w:textAlignment w:val="baseline"/>
    </w:pPr>
    <w:rPr>
      <w:rFonts w:ascii="宋体"/>
      <w:kern w:val="0"/>
      <w:sz w:val="28"/>
      <w:szCs w:val="20"/>
    </w:rPr>
  </w:style>
  <w:style w:type="paragraph" w:styleId="38">
    <w:name w:val="endnote text"/>
    <w:basedOn w:val="1"/>
    <w:link w:val="933"/>
    <w:qFormat/>
    <w:uiPriority w:val="0"/>
    <w:rPr>
      <w:lang w:val="zh-CN"/>
    </w:rPr>
  </w:style>
  <w:style w:type="paragraph" w:styleId="39">
    <w:name w:val="Balloon Text"/>
    <w:basedOn w:val="1"/>
    <w:link w:val="195"/>
    <w:qFormat/>
    <w:uiPriority w:val="0"/>
    <w:rPr>
      <w:sz w:val="18"/>
      <w:szCs w:val="18"/>
    </w:rPr>
  </w:style>
  <w:style w:type="paragraph" w:styleId="40">
    <w:name w:val="footer"/>
    <w:basedOn w:val="1"/>
    <w:link w:val="385"/>
    <w:qFormat/>
    <w:uiPriority w:val="99"/>
    <w:pPr>
      <w:tabs>
        <w:tab w:val="center" w:pos="4153"/>
        <w:tab w:val="right" w:pos="8306"/>
      </w:tabs>
      <w:snapToGrid w:val="0"/>
      <w:jc w:val="left"/>
    </w:pPr>
    <w:rPr>
      <w:sz w:val="18"/>
      <w:szCs w:val="18"/>
    </w:rPr>
  </w:style>
  <w:style w:type="paragraph" w:styleId="41">
    <w:name w:val="header"/>
    <w:basedOn w:val="1"/>
    <w:link w:val="394"/>
    <w:qFormat/>
    <w:uiPriority w:val="99"/>
    <w:pPr>
      <w:pBdr>
        <w:bottom w:val="single" w:color="auto" w:sz="6" w:space="1"/>
      </w:pBdr>
      <w:tabs>
        <w:tab w:val="center" w:pos="4153"/>
        <w:tab w:val="right" w:pos="8306"/>
      </w:tabs>
      <w:snapToGrid w:val="0"/>
      <w:jc w:val="center"/>
    </w:pPr>
    <w:rPr>
      <w:sz w:val="18"/>
      <w:szCs w:val="18"/>
    </w:rPr>
  </w:style>
  <w:style w:type="paragraph" w:styleId="42">
    <w:name w:val="Signature"/>
    <w:basedOn w:val="1"/>
    <w:link w:val="349"/>
    <w:qFormat/>
    <w:uiPriority w:val="0"/>
    <w:pPr>
      <w:spacing w:after="600" w:line="312" w:lineRule="atLeast"/>
      <w:jc w:val="center"/>
      <w:textAlignment w:val="baseline"/>
    </w:pPr>
    <w:rPr>
      <w:rFonts w:eastAsia="仿宋_GB2312"/>
      <w:kern w:val="0"/>
      <w:sz w:val="24"/>
      <w:szCs w:val="20"/>
    </w:rPr>
  </w:style>
  <w:style w:type="paragraph" w:styleId="43">
    <w:name w:val="toc 1"/>
    <w:basedOn w:val="1"/>
    <w:next w:val="1"/>
    <w:qFormat/>
    <w:uiPriority w:val="0"/>
  </w:style>
  <w:style w:type="paragraph" w:styleId="44">
    <w:name w:val="toc 4"/>
    <w:basedOn w:val="1"/>
    <w:next w:val="1"/>
    <w:qFormat/>
    <w:uiPriority w:val="0"/>
    <w:pPr>
      <w:ind w:left="1260" w:leftChars="600"/>
    </w:pPr>
  </w:style>
  <w:style w:type="paragraph" w:styleId="45">
    <w:name w:val="index heading"/>
    <w:basedOn w:val="1"/>
    <w:next w:val="46"/>
    <w:qFormat/>
    <w:uiPriority w:val="0"/>
    <w:pPr>
      <w:adjustRightInd/>
      <w:ind w:firstLine="200" w:firstLineChars="200"/>
    </w:pPr>
  </w:style>
  <w:style w:type="paragraph" w:styleId="46">
    <w:name w:val="index 1"/>
    <w:basedOn w:val="1"/>
    <w:next w:val="1"/>
    <w:qFormat/>
    <w:uiPriority w:val="0"/>
    <w:pPr>
      <w:adjustRightInd/>
      <w:spacing w:line="360" w:lineRule="auto"/>
      <w:ind w:firstLine="200" w:firstLineChars="200"/>
      <w:jc w:val="center"/>
    </w:pPr>
    <w:rPr>
      <w:sz w:val="24"/>
      <w:szCs w:val="20"/>
    </w:rPr>
  </w:style>
  <w:style w:type="paragraph" w:styleId="47">
    <w:name w:val="Subtitle"/>
    <w:link w:val="141"/>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8">
    <w:name w:val="List Number 5"/>
    <w:basedOn w:val="1"/>
    <w:qFormat/>
    <w:uiPriority w:val="0"/>
    <w:pPr>
      <w:tabs>
        <w:tab w:val="left" w:pos="902"/>
      </w:tabs>
      <w:adjustRightInd/>
      <w:spacing w:line="400" w:lineRule="exact"/>
      <w:ind w:left="902" w:hanging="420"/>
    </w:pPr>
    <w:rPr>
      <w:sz w:val="24"/>
      <w:szCs w:val="20"/>
    </w:rPr>
  </w:style>
  <w:style w:type="paragraph" w:styleId="49">
    <w:name w:val="List"/>
    <w:basedOn w:val="1"/>
    <w:qFormat/>
    <w:uiPriority w:val="0"/>
    <w:pPr>
      <w:ind w:left="200" w:hanging="200" w:hangingChars="200"/>
    </w:pPr>
  </w:style>
  <w:style w:type="paragraph" w:styleId="50">
    <w:name w:val="footnote text"/>
    <w:basedOn w:val="5"/>
    <w:link w:val="314"/>
    <w:qFormat/>
    <w:uiPriority w:val="0"/>
    <w:pPr>
      <w:adjustRightInd/>
      <w:snapToGrid/>
      <w:spacing w:before="60" w:after="60" w:line="300" w:lineRule="exact"/>
      <w:ind w:firstLine="0"/>
    </w:pPr>
    <w:rPr>
      <w:rFonts w:ascii="Calibri"/>
      <w:color w:val="0000FF"/>
      <w:kern w:val="0"/>
      <w:sz w:val="21"/>
    </w:rPr>
  </w:style>
  <w:style w:type="paragraph" w:styleId="51">
    <w:name w:val="toc 6"/>
    <w:basedOn w:val="1"/>
    <w:next w:val="1"/>
    <w:qFormat/>
    <w:uiPriority w:val="0"/>
    <w:pPr>
      <w:ind w:left="2100" w:leftChars="1000"/>
    </w:pPr>
  </w:style>
  <w:style w:type="paragraph" w:styleId="52">
    <w:name w:val="List 5"/>
    <w:basedOn w:val="1"/>
    <w:qFormat/>
    <w:uiPriority w:val="0"/>
    <w:pPr>
      <w:adjustRightInd/>
      <w:ind w:left="100" w:leftChars="800" w:hanging="200" w:hangingChars="200"/>
    </w:pPr>
  </w:style>
  <w:style w:type="paragraph" w:styleId="53">
    <w:name w:val="Body Text Indent 3"/>
    <w:basedOn w:val="1"/>
    <w:link w:val="377"/>
    <w:qFormat/>
    <w:uiPriority w:val="0"/>
    <w:pPr>
      <w:spacing w:line="360" w:lineRule="auto"/>
      <w:ind w:firstLine="420"/>
    </w:pPr>
    <w:rPr>
      <w:sz w:val="24"/>
      <w:szCs w:val="20"/>
    </w:rPr>
  </w:style>
  <w:style w:type="paragraph" w:styleId="54">
    <w:name w:val="toc 2"/>
    <w:basedOn w:val="1"/>
    <w:next w:val="1"/>
    <w:qFormat/>
    <w:uiPriority w:val="0"/>
    <w:pPr>
      <w:ind w:left="420" w:leftChars="200"/>
    </w:pPr>
  </w:style>
  <w:style w:type="paragraph" w:styleId="55">
    <w:name w:val="toc 9"/>
    <w:basedOn w:val="1"/>
    <w:next w:val="1"/>
    <w:qFormat/>
    <w:uiPriority w:val="0"/>
    <w:pPr>
      <w:ind w:left="3360" w:leftChars="1600"/>
    </w:pPr>
  </w:style>
  <w:style w:type="paragraph" w:styleId="56">
    <w:name w:val="Body Text 2"/>
    <w:basedOn w:val="1"/>
    <w:link w:val="306"/>
    <w:qFormat/>
    <w:uiPriority w:val="0"/>
    <w:pPr>
      <w:spacing w:after="120" w:line="480" w:lineRule="auto"/>
    </w:pPr>
  </w:style>
  <w:style w:type="paragraph" w:styleId="57">
    <w:name w:val="HTML Preformatted"/>
    <w:basedOn w:val="1"/>
    <w:link w:val="30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8">
    <w:name w:val="Normal (Web)"/>
    <w:basedOn w:val="1"/>
    <w:qFormat/>
    <w:uiPriority w:val="99"/>
    <w:pPr>
      <w:widowControl/>
      <w:spacing w:before="100" w:beforeAutospacing="1" w:after="100" w:afterAutospacing="1"/>
      <w:jc w:val="left"/>
    </w:pPr>
    <w:rPr>
      <w:rFonts w:ascii="宋体" w:hAnsi="宋体"/>
      <w:kern w:val="0"/>
      <w:sz w:val="24"/>
    </w:rPr>
  </w:style>
  <w:style w:type="paragraph" w:styleId="59">
    <w:name w:val="Title"/>
    <w:basedOn w:val="1"/>
    <w:link w:val="291"/>
    <w:qFormat/>
    <w:uiPriority w:val="10"/>
    <w:pPr>
      <w:widowControl/>
      <w:overflowPunct w:val="0"/>
      <w:autoSpaceDE w:val="0"/>
      <w:autoSpaceDN w:val="0"/>
      <w:jc w:val="center"/>
      <w:textAlignment w:val="baseline"/>
    </w:pPr>
    <w:rPr>
      <w:b/>
      <w:kern w:val="0"/>
      <w:sz w:val="24"/>
      <w:szCs w:val="20"/>
      <w:lang w:val="en-GB"/>
    </w:rPr>
  </w:style>
  <w:style w:type="paragraph" w:styleId="60">
    <w:name w:val="annotation subject"/>
    <w:basedOn w:val="19"/>
    <w:next w:val="19"/>
    <w:link w:val="105"/>
    <w:qFormat/>
    <w:uiPriority w:val="0"/>
    <w:rPr>
      <w:b/>
      <w:bCs/>
    </w:rPr>
  </w:style>
  <w:style w:type="paragraph" w:styleId="61">
    <w:name w:val="Body Text First Indent 2"/>
    <w:basedOn w:val="25"/>
    <w:next w:val="24"/>
    <w:link w:val="129"/>
    <w:qFormat/>
    <w:uiPriority w:val="0"/>
    <w:pPr>
      <w:adjustRightInd/>
      <w:spacing w:after="120" w:line="240" w:lineRule="auto"/>
      <w:ind w:left="420" w:leftChars="200" w:firstLine="210"/>
    </w:pPr>
    <w:rPr>
      <w:sz w:val="21"/>
    </w:r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4">
    <w:name w:val="Table Theme"/>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Elegant"/>
    <w:basedOn w:val="6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qFormat/>
    <w:uiPriority w:val="22"/>
    <w:rPr>
      <w:b/>
      <w:bCs/>
    </w:rPr>
  </w:style>
  <w:style w:type="character" w:styleId="71">
    <w:name w:val="endnote reference"/>
    <w:qFormat/>
    <w:uiPriority w:val="0"/>
    <w:rPr>
      <w:vertAlign w:val="superscript"/>
    </w:rPr>
  </w:style>
  <w:style w:type="character" w:styleId="72">
    <w:name w:val="page number"/>
    <w:basedOn w:val="69"/>
    <w:qFormat/>
    <w:uiPriority w:val="0"/>
    <w:rPr>
      <w:rFonts w:ascii="Arial" w:hAnsi="Arial" w:eastAsia="黑体" w:cs="Arial"/>
      <w:snapToGrid w:val="0"/>
      <w:kern w:val="0"/>
      <w:szCs w:val="21"/>
    </w:rPr>
  </w:style>
  <w:style w:type="character" w:styleId="73">
    <w:name w:val="FollowedHyperlink"/>
    <w:qFormat/>
    <w:uiPriority w:val="99"/>
    <w:rPr>
      <w:rFonts w:ascii="Arial" w:hAnsi="Arial" w:eastAsia="黑体" w:cs="Arial"/>
      <w:snapToGrid w:val="0"/>
      <w:color w:val="000000"/>
      <w:kern w:val="0"/>
      <w:sz w:val="18"/>
      <w:szCs w:val="18"/>
      <w:u w:val="none"/>
    </w:rPr>
  </w:style>
  <w:style w:type="character" w:styleId="74">
    <w:name w:val="Emphasis"/>
    <w:qFormat/>
    <w:uiPriority w:val="20"/>
    <w:rPr>
      <w:color w:val="CC0033"/>
    </w:rPr>
  </w:style>
  <w:style w:type="character" w:styleId="75">
    <w:name w:val="line number"/>
    <w:basedOn w:val="69"/>
    <w:qFormat/>
    <w:uiPriority w:val="0"/>
    <w:rPr>
      <w:rFonts w:ascii="Arial" w:hAnsi="Arial" w:eastAsia="黑体" w:cs="Arial"/>
      <w:snapToGrid w:val="0"/>
      <w:kern w:val="0"/>
      <w:szCs w:val="21"/>
    </w:rPr>
  </w:style>
  <w:style w:type="character" w:styleId="76">
    <w:name w:val="Hyperlink"/>
    <w:qFormat/>
    <w:uiPriority w:val="99"/>
    <w:rPr>
      <w:rFonts w:ascii="Arial" w:hAnsi="Arial" w:eastAsia="黑体" w:cs="Arial"/>
      <w:snapToGrid w:val="0"/>
      <w:color w:val="000000"/>
      <w:kern w:val="0"/>
      <w:sz w:val="18"/>
      <w:szCs w:val="18"/>
      <w:u w:val="none"/>
    </w:rPr>
  </w:style>
  <w:style w:type="character" w:styleId="77">
    <w:name w:val="HTML Code"/>
    <w:qFormat/>
    <w:uiPriority w:val="0"/>
    <w:rPr>
      <w:rFonts w:ascii="黑体" w:hAnsi="Courier New" w:eastAsia="黑体" w:cs="楷体_GB2312"/>
      <w:sz w:val="20"/>
      <w:szCs w:val="20"/>
    </w:rPr>
  </w:style>
  <w:style w:type="character" w:styleId="78">
    <w:name w:val="annotation reference"/>
    <w:qFormat/>
    <w:uiPriority w:val="99"/>
    <w:rPr>
      <w:sz w:val="21"/>
      <w:szCs w:val="21"/>
    </w:rPr>
  </w:style>
  <w:style w:type="character" w:customStyle="1" w:styleId="79">
    <w:name w:val="标题 1 字符"/>
    <w:qFormat/>
    <w:uiPriority w:val="9"/>
    <w:rPr>
      <w:rFonts w:ascii="Arial" w:hAnsi="Arial" w:eastAsia="黑体" w:cs="Arial"/>
      <w:b/>
      <w:bCs/>
      <w:snapToGrid w:val="0"/>
      <w:kern w:val="44"/>
      <w:sz w:val="44"/>
      <w:szCs w:val="44"/>
    </w:rPr>
  </w:style>
  <w:style w:type="character" w:customStyle="1" w:styleId="80">
    <w:name w:val="标题 2 字符"/>
    <w:qFormat/>
    <w:uiPriority w:val="1"/>
    <w:rPr>
      <w:rFonts w:ascii="仿宋_GB2312" w:hAnsi="Times New Roman" w:eastAsia="仿宋_GB2312" w:cs="Times New Roman"/>
      <w:b/>
      <w:kern w:val="2"/>
      <w:sz w:val="24"/>
      <w:lang w:val="zh-CN"/>
    </w:rPr>
  </w:style>
  <w:style w:type="character" w:customStyle="1" w:styleId="81">
    <w:name w:val="标题 3 字符"/>
    <w:qFormat/>
    <w:uiPriority w:val="9"/>
    <w:rPr>
      <w:b/>
      <w:bCs/>
      <w:kern w:val="2"/>
      <w:sz w:val="32"/>
      <w:szCs w:val="32"/>
    </w:rPr>
  </w:style>
  <w:style w:type="character" w:customStyle="1" w:styleId="82">
    <w:name w:val="正文缩进 字符"/>
    <w:qFormat/>
    <w:uiPriority w:val="0"/>
    <w:rPr>
      <w:rFonts w:ascii="宋体" w:eastAsia="宋体"/>
      <w:snapToGrid w:val="0"/>
      <w:color w:val="000000"/>
      <w:kern w:val="28"/>
      <w:sz w:val="28"/>
      <w:lang w:val="en-US" w:eastAsia="zh-CN" w:bidi="ar-SA"/>
    </w:rPr>
  </w:style>
  <w:style w:type="character" w:customStyle="1" w:styleId="83">
    <w:name w:val="正文文本 Char"/>
    <w:qFormat/>
    <w:uiPriority w:val="0"/>
    <w:rPr>
      <w:rFonts w:eastAsia="宋体"/>
      <w:kern w:val="2"/>
      <w:sz w:val="24"/>
      <w:szCs w:val="24"/>
      <w:lang w:val="en-US" w:eastAsia="zh-CN" w:bidi="ar-SA"/>
    </w:rPr>
  </w:style>
  <w:style w:type="character" w:customStyle="1" w:styleId="84">
    <w:name w:val="标题 4 字符"/>
    <w:qFormat/>
    <w:uiPriority w:val="9"/>
    <w:rPr>
      <w:rFonts w:ascii="等线 Light" w:hAnsi="等线 Light" w:eastAsia="等线 Light" w:cs="Times New Roman"/>
      <w:b/>
      <w:bCs/>
      <w:snapToGrid w:val="0"/>
      <w:kern w:val="0"/>
      <w:sz w:val="28"/>
      <w:szCs w:val="28"/>
    </w:rPr>
  </w:style>
  <w:style w:type="paragraph" w:customStyle="1" w:styleId="85">
    <w:name w:val="Default"/>
    <w:next w:val="86"/>
    <w:link w:val="241"/>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86">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8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88">
    <w:name w:val="标题 1 Char"/>
    <w:link w:val="2"/>
    <w:qFormat/>
    <w:uiPriority w:val="9"/>
    <w:rPr>
      <w:b/>
      <w:bCs/>
      <w:kern w:val="44"/>
      <w:sz w:val="44"/>
      <w:szCs w:val="44"/>
    </w:rPr>
  </w:style>
  <w:style w:type="paragraph" w:customStyle="1" w:styleId="89">
    <w:name w:val="正文空2字"/>
    <w:basedOn w:val="90"/>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90">
    <w:name w:val="左对齐正文"/>
    <w:qFormat/>
    <w:uiPriority w:val="99"/>
    <w:rPr>
      <w:rFonts w:ascii="Calibri" w:hAnsi="Calibri" w:eastAsia="仿宋_GB2312" w:cs="Calibri"/>
      <w:kern w:val="2"/>
      <w:sz w:val="32"/>
      <w:szCs w:val="32"/>
      <w:lang w:val="en-US" w:eastAsia="zh-CN" w:bidi="ar-SA"/>
    </w:rPr>
  </w:style>
  <w:style w:type="character" w:customStyle="1" w:styleId="91">
    <w:name w:val="表格非标题文字 Char"/>
    <w:link w:val="92"/>
    <w:qFormat/>
    <w:uiPriority w:val="0"/>
    <w:rPr>
      <w:rFonts w:ascii="Futura Bk" w:hAnsi="Futura Bk"/>
      <w:kern w:val="2"/>
      <w:sz w:val="18"/>
      <w:szCs w:val="21"/>
      <w:lang w:val="en-US" w:eastAsia="zh-CN" w:bidi="ar-SA"/>
    </w:rPr>
  </w:style>
  <w:style w:type="paragraph" w:customStyle="1" w:styleId="92">
    <w:name w:val="表格非标题文字"/>
    <w:link w:val="91"/>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93">
    <w:name w:val="*正文 Char"/>
    <w:link w:val="94"/>
    <w:qFormat/>
    <w:uiPriority w:val="0"/>
    <w:rPr>
      <w:rFonts w:ascii="宋体" w:hAnsi="宋体"/>
      <w:sz w:val="24"/>
    </w:rPr>
  </w:style>
  <w:style w:type="paragraph" w:customStyle="1" w:styleId="94">
    <w:name w:val="*正文"/>
    <w:basedOn w:val="1"/>
    <w:link w:val="93"/>
    <w:qFormat/>
    <w:uiPriority w:val="0"/>
    <w:pPr>
      <w:snapToGrid w:val="0"/>
      <w:spacing w:line="360" w:lineRule="auto"/>
      <w:ind w:firstLine="482"/>
      <w:jc w:val="left"/>
    </w:pPr>
    <w:rPr>
      <w:rFonts w:ascii="宋体" w:hAnsi="宋体"/>
      <w:kern w:val="0"/>
      <w:sz w:val="24"/>
      <w:szCs w:val="20"/>
    </w:rPr>
  </w:style>
  <w:style w:type="character" w:customStyle="1" w:styleId="95">
    <w:name w:val="Char Char71"/>
    <w:qFormat/>
    <w:uiPriority w:val="0"/>
    <w:rPr>
      <w:rFonts w:eastAsia="宋体"/>
      <w:kern w:val="2"/>
      <w:sz w:val="21"/>
      <w:szCs w:val="24"/>
      <w:lang w:val="en-US" w:eastAsia="zh-CN" w:bidi="ar-SA"/>
    </w:rPr>
  </w:style>
  <w:style w:type="character" w:customStyle="1" w:styleId="96">
    <w:name w:val="Char Char6"/>
    <w:qFormat/>
    <w:uiPriority w:val="0"/>
    <w:rPr>
      <w:rFonts w:eastAsia="宋体"/>
      <w:kern w:val="2"/>
      <w:sz w:val="21"/>
      <w:szCs w:val="24"/>
      <w:lang w:val="en-US" w:eastAsia="zh-CN" w:bidi="ar-SA"/>
    </w:rPr>
  </w:style>
  <w:style w:type="character" w:customStyle="1" w:styleId="97">
    <w:name w:val="正文缩进 Char"/>
    <w:qFormat/>
    <w:uiPriority w:val="0"/>
    <w:rPr>
      <w:rFonts w:eastAsia="宋体"/>
      <w:kern w:val="2"/>
      <w:sz w:val="21"/>
      <w:lang w:val="en-US" w:eastAsia="zh-CN"/>
    </w:rPr>
  </w:style>
  <w:style w:type="character" w:customStyle="1" w:styleId="98">
    <w:name w:val="正文首行缩进 Char1"/>
    <w:qFormat/>
    <w:uiPriority w:val="0"/>
    <w:rPr>
      <w:rFonts w:ascii="宋体" w:hAnsi="Times New Roman" w:eastAsia="宋体" w:cs="Times New Roman"/>
      <w:snapToGrid w:val="0"/>
      <w:kern w:val="2"/>
      <w:sz w:val="24"/>
      <w:szCs w:val="21"/>
      <w:lang w:val="zh-CN"/>
    </w:rPr>
  </w:style>
  <w:style w:type="character" w:customStyle="1" w:styleId="99">
    <w:name w:val="Char Char28"/>
    <w:qFormat/>
    <w:uiPriority w:val="6"/>
    <w:rPr>
      <w:rFonts w:ascii="仿宋_GB2312" w:hAnsi="仿宋_GB2312" w:eastAsia="仿宋_GB2312"/>
      <w:kern w:val="1"/>
      <w:sz w:val="28"/>
    </w:rPr>
  </w:style>
  <w:style w:type="character" w:customStyle="1" w:styleId="100">
    <w:name w:val="标题 3 Char1"/>
    <w:qFormat/>
    <w:uiPriority w:val="0"/>
    <w:rPr>
      <w:rFonts w:hint="eastAsia" w:ascii="华文中宋" w:hAnsi="华文中宋" w:eastAsia="华文中宋"/>
      <w:b/>
      <w:bCs/>
      <w:kern w:val="2"/>
      <w:sz w:val="32"/>
      <w:szCs w:val="32"/>
      <w:lang w:val="en-US" w:eastAsia="zh-CN" w:bidi="ar-SA"/>
    </w:rPr>
  </w:style>
  <w:style w:type="character" w:customStyle="1" w:styleId="101">
    <w:name w:val="Heading 1 Char_b8d5a13d-4f66-442d-b98a-3e25c54cac65"/>
    <w:qFormat/>
    <w:uiPriority w:val="6"/>
    <w:rPr>
      <w:rFonts w:ascii="Times New Roman" w:hAnsi="Times New Roman" w:eastAsia="黑体" w:cs="Times New Roman"/>
      <w:b/>
      <w:kern w:val="0"/>
      <w:sz w:val="24"/>
      <w:szCs w:val="24"/>
    </w:rPr>
  </w:style>
  <w:style w:type="character" w:customStyle="1" w:styleId="102">
    <w:name w:val="U_正文 Char"/>
    <w:link w:val="103"/>
    <w:qFormat/>
    <w:uiPriority w:val="0"/>
    <w:rPr>
      <w:sz w:val="24"/>
      <w:szCs w:val="24"/>
    </w:rPr>
  </w:style>
  <w:style w:type="paragraph" w:customStyle="1" w:styleId="103">
    <w:name w:val="U_正文"/>
    <w:basedOn w:val="1"/>
    <w:link w:val="102"/>
    <w:qFormat/>
    <w:uiPriority w:val="0"/>
    <w:pPr>
      <w:adjustRightInd/>
      <w:spacing w:beforeLines="20" w:afterLines="20" w:line="300" w:lineRule="auto"/>
      <w:ind w:firstLine="200" w:firstLineChars="200"/>
    </w:pPr>
    <w:rPr>
      <w:kern w:val="0"/>
      <w:sz w:val="24"/>
    </w:rPr>
  </w:style>
  <w:style w:type="character" w:customStyle="1" w:styleId="104">
    <w:name w:val="HTML 地址 Char1"/>
    <w:qFormat/>
    <w:uiPriority w:val="0"/>
    <w:rPr>
      <w:rFonts w:ascii="Times New Roman" w:hAnsi="Times New Roman" w:eastAsia="宋体" w:cs="Times New Roman"/>
      <w:i/>
      <w:iCs/>
      <w:szCs w:val="24"/>
    </w:rPr>
  </w:style>
  <w:style w:type="character" w:customStyle="1" w:styleId="105">
    <w:name w:val="批注主题 Char1"/>
    <w:link w:val="60"/>
    <w:qFormat/>
    <w:uiPriority w:val="0"/>
    <w:rPr>
      <w:b/>
      <w:bCs/>
      <w:kern w:val="2"/>
      <w:sz w:val="21"/>
      <w:szCs w:val="24"/>
    </w:rPr>
  </w:style>
  <w:style w:type="character" w:customStyle="1" w:styleId="106">
    <w:name w:val="Char Char51"/>
    <w:qFormat/>
    <w:uiPriority w:val="0"/>
    <w:rPr>
      <w:rFonts w:ascii="宋体" w:hAnsi="Courier New" w:eastAsia="宋体"/>
      <w:kern w:val="2"/>
      <w:sz w:val="21"/>
      <w:lang w:val="en-US" w:eastAsia="zh-CN"/>
    </w:rPr>
  </w:style>
  <w:style w:type="character" w:customStyle="1" w:styleId="107">
    <w:name w:val="表正文 Char"/>
    <w:qFormat/>
    <w:uiPriority w:val="0"/>
    <w:rPr>
      <w:rFonts w:ascii="宋体" w:eastAsia="宋体"/>
      <w:snapToGrid w:val="0"/>
      <w:color w:val="000000"/>
      <w:kern w:val="28"/>
      <w:sz w:val="28"/>
      <w:lang w:val="en-US" w:eastAsia="zh-CN" w:bidi="ar-SA"/>
    </w:rPr>
  </w:style>
  <w:style w:type="character" w:customStyle="1" w:styleId="108">
    <w:name w:val="Char Char34"/>
    <w:qFormat/>
    <w:uiPriority w:val="6"/>
    <w:rPr>
      <w:b/>
      <w:kern w:val="1"/>
      <w:sz w:val="28"/>
      <w:szCs w:val="28"/>
    </w:rPr>
  </w:style>
  <w:style w:type="character" w:customStyle="1" w:styleId="109">
    <w:name w:val="Normal Indent Char"/>
    <w:qFormat/>
    <w:uiPriority w:val="0"/>
    <w:rPr>
      <w:rFonts w:ascii="Calibri" w:hAnsi="Calibri" w:eastAsia="宋体" w:cs="黑体"/>
      <w:snapToGrid w:val="0"/>
      <w:kern w:val="2"/>
      <w:sz w:val="24"/>
      <w:szCs w:val="22"/>
      <w:lang w:val="en-US" w:eastAsia="zh-CN" w:bidi="ar-SA"/>
    </w:rPr>
  </w:style>
  <w:style w:type="character" w:customStyle="1" w:styleId="110">
    <w:name w:val="哈哈正文 Char"/>
    <w:link w:val="111"/>
    <w:qFormat/>
    <w:uiPriority w:val="0"/>
    <w:rPr>
      <w:rFonts w:ascii="宋体" w:hAnsi="宋体" w:eastAsia="宋体"/>
      <w:kern w:val="2"/>
      <w:sz w:val="24"/>
      <w:lang w:bidi="ar-SA"/>
    </w:rPr>
  </w:style>
  <w:style w:type="paragraph" w:customStyle="1" w:styleId="111">
    <w:name w:val="哈哈正文"/>
    <w:basedOn w:val="1"/>
    <w:link w:val="110"/>
    <w:qFormat/>
    <w:uiPriority w:val="0"/>
    <w:pPr>
      <w:adjustRightInd/>
      <w:spacing w:line="360" w:lineRule="auto"/>
      <w:ind w:firstLine="200" w:firstLineChars="200"/>
    </w:pPr>
    <w:rPr>
      <w:rFonts w:ascii="宋体" w:hAnsi="宋体"/>
      <w:sz w:val="24"/>
      <w:szCs w:val="20"/>
    </w:rPr>
  </w:style>
  <w:style w:type="character" w:customStyle="1" w:styleId="112">
    <w:name w:val="未处理的提及1"/>
    <w:qFormat/>
    <w:uiPriority w:val="0"/>
    <w:rPr>
      <w:color w:val="808080"/>
      <w:shd w:val="clear" w:color="auto" w:fill="E6E6E6"/>
    </w:rPr>
  </w:style>
  <w:style w:type="character" w:customStyle="1" w:styleId="113">
    <w:name w:val="txt"/>
    <w:qFormat/>
    <w:uiPriority w:val="0"/>
    <w:rPr>
      <w:rFonts w:ascii="仿宋_GB2312" w:eastAsia="微软雅黑"/>
      <w:b/>
      <w:kern w:val="2"/>
      <w:sz w:val="32"/>
      <w:szCs w:val="32"/>
      <w:lang w:val="en-US" w:eastAsia="zh-CN" w:bidi="ar-SA"/>
    </w:rPr>
  </w:style>
  <w:style w:type="character" w:customStyle="1" w:styleId="114">
    <w:name w:val="二级标题 Char Char"/>
    <w:qFormat/>
    <w:uiPriority w:val="0"/>
    <w:rPr>
      <w:rFonts w:ascii="宋体" w:hAnsi="宋体" w:eastAsia="宋体"/>
      <w:b/>
      <w:snapToGrid w:val="0"/>
      <w:kern w:val="2"/>
      <w:sz w:val="24"/>
      <w:szCs w:val="24"/>
      <w:lang w:val="en-US" w:eastAsia="zh-CN" w:bidi="ar-SA"/>
    </w:rPr>
  </w:style>
  <w:style w:type="character" w:customStyle="1" w:styleId="115">
    <w:name w:val="Char Char32"/>
    <w:qFormat/>
    <w:uiPriority w:val="6"/>
    <w:rPr>
      <w:b/>
      <w:kern w:val="1"/>
      <w:sz w:val="24"/>
      <w:szCs w:val="24"/>
    </w:rPr>
  </w:style>
  <w:style w:type="character" w:customStyle="1" w:styleId="116">
    <w:name w:val="PI Char1"/>
    <w:qFormat/>
    <w:uiPriority w:val="0"/>
    <w:rPr>
      <w:rFonts w:ascii="宋体" w:hAnsi="宋体"/>
      <w:kern w:val="2"/>
      <w:sz w:val="24"/>
      <w:szCs w:val="24"/>
    </w:rPr>
  </w:style>
  <w:style w:type="character" w:customStyle="1" w:styleId="117">
    <w:name w:val="tw4winTerm"/>
    <w:qFormat/>
    <w:uiPriority w:val="0"/>
    <w:rPr>
      <w:color w:val="0000FF"/>
    </w:rPr>
  </w:style>
  <w:style w:type="character" w:customStyle="1" w:styleId="118">
    <w:name w:val="Footer Char_614ebc36-f9bf-42da-87e8-6da11558f4dc"/>
    <w:qFormat/>
    <w:uiPriority w:val="0"/>
    <w:rPr>
      <w:rFonts w:eastAsia="宋体"/>
      <w:kern w:val="2"/>
      <w:sz w:val="18"/>
      <w:lang w:val="en-US" w:eastAsia="zh-CN" w:bidi="ar-SA"/>
    </w:rPr>
  </w:style>
  <w:style w:type="character" w:customStyle="1" w:styleId="119">
    <w:name w:val="普通文字 Char Char1"/>
    <w:qFormat/>
    <w:uiPriority w:val="0"/>
    <w:rPr>
      <w:rFonts w:ascii="宋体" w:hAnsi="Courier New"/>
      <w:kern w:val="2"/>
      <w:sz w:val="21"/>
    </w:rPr>
  </w:style>
  <w:style w:type="character" w:customStyle="1" w:styleId="120">
    <w:name w:val="Char Char101"/>
    <w:qFormat/>
    <w:uiPriority w:val="6"/>
    <w:rPr>
      <w:rFonts w:ascii="宋体" w:hAnsi="宋体"/>
      <w:kern w:val="2"/>
      <w:sz w:val="21"/>
      <w:szCs w:val="24"/>
      <w:lang w:val="en-US" w:eastAsia="zh-CN"/>
    </w:rPr>
  </w:style>
  <w:style w:type="character" w:customStyle="1" w:styleId="121">
    <w:name w:val="标题 4 Char"/>
    <w:qFormat/>
    <w:uiPriority w:val="0"/>
    <w:rPr>
      <w:rFonts w:ascii="Arial" w:hAnsi="Arial" w:eastAsia="黑体"/>
      <w:b/>
      <w:kern w:val="2"/>
      <w:sz w:val="28"/>
    </w:rPr>
  </w:style>
  <w:style w:type="character" w:customStyle="1" w:styleId="122">
    <w:name w:val="链接"/>
    <w:qFormat/>
    <w:uiPriority w:val="0"/>
    <w:rPr>
      <w:color w:val="0000FF"/>
      <w:sz w:val="21"/>
      <w:szCs w:val="21"/>
      <w:u w:val="single"/>
    </w:rPr>
  </w:style>
  <w:style w:type="character" w:customStyle="1" w:styleId="123">
    <w:name w:val="h4 Char"/>
    <w:qFormat/>
    <w:uiPriority w:val="0"/>
    <w:rPr>
      <w:rFonts w:ascii="Arial" w:hAnsi="Arial" w:eastAsia="黑体"/>
      <w:b/>
      <w:bCs/>
      <w:kern w:val="2"/>
      <w:sz w:val="28"/>
      <w:szCs w:val="28"/>
      <w:lang w:val="zh-CN" w:eastAsia="zh-CN" w:bidi="ar-SA"/>
    </w:rPr>
  </w:style>
  <w:style w:type="character" w:customStyle="1" w:styleId="124">
    <w:name w:val="5正文 Char"/>
    <w:link w:val="125"/>
    <w:qFormat/>
    <w:uiPriority w:val="0"/>
    <w:rPr>
      <w:rFonts w:ascii="仿宋_GB2312" w:hAnsi="微软雅黑" w:eastAsia="仿宋_GB2312"/>
      <w:sz w:val="28"/>
      <w:szCs w:val="21"/>
    </w:rPr>
  </w:style>
  <w:style w:type="paragraph" w:customStyle="1" w:styleId="125">
    <w:name w:val="5正文"/>
    <w:basedOn w:val="1"/>
    <w:link w:val="124"/>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26">
    <w:name w:val="样式6 Char"/>
    <w:qFormat/>
    <w:uiPriority w:val="0"/>
    <w:rPr>
      <w:rFonts w:ascii="仿宋_GB2312" w:hAnsi="宋体" w:eastAsia="仿宋_GB2312"/>
      <w:b/>
      <w:bCs/>
      <w:kern w:val="2"/>
      <w:sz w:val="24"/>
      <w:szCs w:val="24"/>
      <w:lang w:val="en-US" w:eastAsia="zh-CN" w:bidi="ar-SA"/>
    </w:rPr>
  </w:style>
  <w:style w:type="character" w:customStyle="1" w:styleId="127">
    <w:name w:val="Char Char14"/>
    <w:qFormat/>
    <w:uiPriority w:val="6"/>
    <w:rPr>
      <w:rFonts w:ascii="黑体" w:hAnsi="黑体" w:eastAsia="黑体"/>
    </w:rPr>
  </w:style>
  <w:style w:type="character" w:customStyle="1" w:styleId="128">
    <w:name w:val="Heading 2 Hidden Char"/>
    <w:qFormat/>
    <w:uiPriority w:val="0"/>
    <w:rPr>
      <w:rFonts w:ascii="仿宋_GB2312" w:eastAsia="仿宋_GB2312"/>
      <w:b/>
      <w:bCs/>
      <w:kern w:val="2"/>
      <w:sz w:val="24"/>
      <w:szCs w:val="24"/>
      <w:lang w:val="zh-CN" w:eastAsia="zh-CN" w:bidi="ar-SA"/>
    </w:rPr>
  </w:style>
  <w:style w:type="character" w:customStyle="1" w:styleId="129">
    <w:name w:val="正文首行缩进 2 Char"/>
    <w:link w:val="61"/>
    <w:qFormat/>
    <w:uiPriority w:val="0"/>
    <w:rPr>
      <w:rFonts w:ascii="宋体" w:hAnsi="宋体"/>
      <w:kern w:val="2"/>
      <w:sz w:val="21"/>
      <w:szCs w:val="24"/>
    </w:rPr>
  </w:style>
  <w:style w:type="character" w:customStyle="1" w:styleId="130">
    <w:name w:val="font11"/>
    <w:qFormat/>
    <w:uiPriority w:val="0"/>
    <w:rPr>
      <w:rFonts w:hint="default" w:ascii="Times New Roman" w:hAnsi="Times New Roman" w:cs="Times New Roman"/>
      <w:color w:val="000000"/>
      <w:sz w:val="22"/>
      <w:szCs w:val="22"/>
      <w:u w:val="none"/>
    </w:rPr>
  </w:style>
  <w:style w:type="character" w:customStyle="1" w:styleId="131">
    <w:name w:val="表正文 Char1"/>
    <w:qFormat/>
    <w:uiPriority w:val="0"/>
    <w:rPr>
      <w:rFonts w:ascii="宋体" w:eastAsia="宋体"/>
      <w:snapToGrid w:val="0"/>
      <w:color w:val="000000"/>
      <w:kern w:val="28"/>
      <w:sz w:val="28"/>
    </w:rPr>
  </w:style>
  <w:style w:type="character" w:customStyle="1" w:styleId="132">
    <w:name w:val="blue1"/>
    <w:basedOn w:val="69"/>
    <w:qFormat/>
    <w:uiPriority w:val="0"/>
    <w:rPr>
      <w:rFonts w:ascii="Arial" w:hAnsi="Arial" w:eastAsia="黑体" w:cs="Arial"/>
      <w:snapToGrid w:val="0"/>
      <w:kern w:val="0"/>
      <w:szCs w:val="21"/>
    </w:rPr>
  </w:style>
  <w:style w:type="character" w:customStyle="1" w:styleId="133">
    <w:name w:val="纯文本 Char"/>
    <w:link w:val="33"/>
    <w:qFormat/>
    <w:uiPriority w:val="0"/>
    <w:rPr>
      <w:rFonts w:ascii="宋体" w:hAnsi="Courier New" w:eastAsia="宋体" w:cs="Arial"/>
      <w:snapToGrid w:val="0"/>
      <w:kern w:val="2"/>
      <w:sz w:val="21"/>
      <w:szCs w:val="21"/>
      <w:lang w:val="en-US" w:eastAsia="zh-CN" w:bidi="ar-SA"/>
    </w:rPr>
  </w:style>
  <w:style w:type="character" w:customStyle="1" w:styleId="134">
    <w:name w:val="标书1 Char"/>
    <w:qFormat/>
    <w:uiPriority w:val="0"/>
    <w:rPr>
      <w:rFonts w:eastAsia="宋体"/>
      <w:b/>
      <w:bCs/>
      <w:kern w:val="44"/>
      <w:sz w:val="44"/>
      <w:szCs w:val="44"/>
      <w:lang w:val="en-US" w:eastAsia="zh-CN" w:bidi="ar-SA"/>
    </w:rPr>
  </w:style>
  <w:style w:type="character" w:customStyle="1" w:styleId="135">
    <w:name w:val="样式5 Char"/>
    <w:qFormat/>
    <w:uiPriority w:val="0"/>
    <w:rPr>
      <w:rFonts w:ascii="仿宋_GB2312" w:hAnsi="仿宋" w:eastAsia="仿宋_GB2312"/>
      <w:kern w:val="2"/>
      <w:sz w:val="24"/>
      <w:szCs w:val="24"/>
    </w:rPr>
  </w:style>
  <w:style w:type="character" w:customStyle="1" w:styleId="136">
    <w:name w:val="样式4 Char"/>
    <w:qFormat/>
    <w:uiPriority w:val="0"/>
    <w:rPr>
      <w:rFonts w:ascii="仿宋_GB2312" w:hAnsi="仿宋" w:eastAsia="仿宋_GB2312"/>
      <w:b/>
      <w:kern w:val="2"/>
      <w:sz w:val="32"/>
      <w:szCs w:val="32"/>
      <w:lang w:bidi="ar-SA"/>
    </w:rPr>
  </w:style>
  <w:style w:type="character" w:customStyle="1" w:styleId="137">
    <w:name w:val="插图说明 Char"/>
    <w:qFormat/>
    <w:uiPriority w:val="0"/>
    <w:rPr>
      <w:rFonts w:eastAsia="黑体"/>
      <w:sz w:val="24"/>
      <w:lang w:val="en-US" w:eastAsia="zh-CN"/>
    </w:rPr>
  </w:style>
  <w:style w:type="character" w:customStyle="1" w:styleId="138">
    <w:name w:val="正文2 Char Char"/>
    <w:link w:val="139"/>
    <w:qFormat/>
    <w:uiPriority w:val="0"/>
    <w:rPr>
      <w:rFonts w:eastAsia="宋体"/>
      <w:kern w:val="2"/>
      <w:sz w:val="24"/>
      <w:lang w:val="en-US" w:eastAsia="zh-CN" w:bidi="ar-SA"/>
    </w:rPr>
  </w:style>
  <w:style w:type="paragraph" w:customStyle="1" w:styleId="139">
    <w:name w:val="正文2"/>
    <w:basedOn w:val="1"/>
    <w:link w:val="138"/>
    <w:qFormat/>
    <w:uiPriority w:val="0"/>
    <w:pPr>
      <w:spacing w:before="156" w:line="360" w:lineRule="auto"/>
      <w:ind w:firstLine="510" w:firstLineChars="200"/>
    </w:pPr>
    <w:rPr>
      <w:sz w:val="24"/>
      <w:szCs w:val="20"/>
    </w:rPr>
  </w:style>
  <w:style w:type="character" w:customStyle="1" w:styleId="140">
    <w:name w:val="Char Char24"/>
    <w:qFormat/>
    <w:uiPriority w:val="6"/>
    <w:rPr>
      <w:kern w:val="1"/>
      <w:sz w:val="21"/>
    </w:rPr>
  </w:style>
  <w:style w:type="character" w:customStyle="1" w:styleId="141">
    <w:name w:val="副标题 Char"/>
    <w:link w:val="47"/>
    <w:qFormat/>
    <w:uiPriority w:val="0"/>
    <w:rPr>
      <w:rFonts w:ascii="Arial" w:hAnsi="Arial" w:eastAsia="隶书"/>
      <w:b/>
      <w:bCs/>
      <w:kern w:val="28"/>
      <w:sz w:val="44"/>
      <w:szCs w:val="32"/>
      <w:lang w:val="en-US" w:eastAsia="zh-CN" w:bidi="ar-SA"/>
    </w:rPr>
  </w:style>
  <w:style w:type="character" w:customStyle="1" w:styleId="142">
    <w:name w:val="普通文字 Char1 Char"/>
    <w:qFormat/>
    <w:uiPriority w:val="0"/>
    <w:rPr>
      <w:rFonts w:ascii="宋体" w:hAnsi="Courier New" w:eastAsia="宋体"/>
      <w:kern w:val="2"/>
      <w:sz w:val="21"/>
      <w:szCs w:val="24"/>
      <w:lang w:val="en-US" w:eastAsia="zh-CN" w:bidi="ar-SA"/>
    </w:rPr>
  </w:style>
  <w:style w:type="character" w:customStyle="1" w:styleId="143">
    <w:name w:val="h3 Char1"/>
    <w:qFormat/>
    <w:uiPriority w:val="0"/>
    <w:rPr>
      <w:rFonts w:eastAsia="宋体"/>
      <w:b/>
      <w:bCs/>
      <w:kern w:val="2"/>
      <w:sz w:val="32"/>
      <w:szCs w:val="32"/>
      <w:lang w:bidi="ar-SA"/>
    </w:rPr>
  </w:style>
  <w:style w:type="character" w:customStyle="1" w:styleId="144">
    <w:name w:val="标题 Char1"/>
    <w:qFormat/>
    <w:uiPriority w:val="0"/>
    <w:rPr>
      <w:rFonts w:ascii="Cambria" w:hAnsi="Cambria" w:eastAsia="宋体" w:cs="Times New Roman"/>
      <w:b/>
      <w:bCs/>
      <w:sz w:val="32"/>
      <w:szCs w:val="32"/>
      <w:lang w:bidi="ar-SA"/>
    </w:rPr>
  </w:style>
  <w:style w:type="character" w:customStyle="1" w:styleId="145">
    <w:name w:val="gf正文1 Char"/>
    <w:qFormat/>
    <w:uiPriority w:val="0"/>
    <w:rPr>
      <w:rFonts w:ascii="宋体" w:hAnsi="宋体" w:eastAsia="宋体" w:cs="宋体"/>
      <w:kern w:val="2"/>
      <w:sz w:val="24"/>
      <w:szCs w:val="24"/>
      <w:lang w:val="en-US" w:eastAsia="zh-CN" w:bidi="ar-SA"/>
    </w:rPr>
  </w:style>
  <w:style w:type="character" w:customStyle="1" w:styleId="146">
    <w:name w:val="正文文本缩进 Char1"/>
    <w:qFormat/>
    <w:uiPriority w:val="0"/>
    <w:rPr>
      <w:rFonts w:ascii="Calibri" w:hAnsi="Calibri"/>
      <w:sz w:val="28"/>
    </w:rPr>
  </w:style>
  <w:style w:type="character" w:customStyle="1" w:styleId="147">
    <w:name w:val="No Spacing Char"/>
    <w:link w:val="148"/>
    <w:qFormat/>
    <w:uiPriority w:val="1"/>
    <w:rPr>
      <w:sz w:val="22"/>
      <w:szCs w:val="22"/>
      <w:lang w:val="en-US" w:eastAsia="zh-CN" w:bidi="ar-SA"/>
    </w:rPr>
  </w:style>
  <w:style w:type="paragraph" w:customStyle="1" w:styleId="148">
    <w:name w:val="无间隔1"/>
    <w:link w:val="147"/>
    <w:qFormat/>
    <w:uiPriority w:val="1"/>
    <w:rPr>
      <w:rFonts w:ascii="Times New Roman" w:hAnsi="Times New Roman" w:eastAsia="宋体" w:cs="Times New Roman"/>
      <w:sz w:val="22"/>
      <w:szCs w:val="22"/>
      <w:lang w:val="en-US" w:eastAsia="zh-CN" w:bidi="ar-SA"/>
    </w:rPr>
  </w:style>
  <w:style w:type="character" w:customStyle="1" w:styleId="149">
    <w:name w:val="样式7 Char"/>
    <w:qFormat/>
    <w:uiPriority w:val="0"/>
    <w:rPr>
      <w:rFonts w:ascii="仿宋_GB2312" w:hAnsi="仿宋" w:eastAsia="仿宋_GB2312"/>
      <w:b/>
      <w:kern w:val="2"/>
      <w:sz w:val="24"/>
      <w:szCs w:val="24"/>
    </w:rPr>
  </w:style>
  <w:style w:type="character" w:customStyle="1" w:styleId="150">
    <w:name w:val="font12gray1"/>
    <w:qFormat/>
    <w:uiPriority w:val="0"/>
    <w:rPr>
      <w:rFonts w:ascii="仿宋_GB2312" w:eastAsia="微软雅黑"/>
      <w:b/>
      <w:spacing w:val="300"/>
      <w:kern w:val="2"/>
      <w:sz w:val="18"/>
      <w:szCs w:val="18"/>
      <w:lang w:val="en-US" w:eastAsia="zh-CN" w:bidi="ar-SA"/>
    </w:rPr>
  </w:style>
  <w:style w:type="character" w:customStyle="1" w:styleId="151">
    <w:name w:val="Char Char7"/>
    <w:qFormat/>
    <w:uiPriority w:val="0"/>
    <w:rPr>
      <w:rFonts w:eastAsia="宋体"/>
      <w:kern w:val="2"/>
      <w:sz w:val="21"/>
      <w:szCs w:val="24"/>
      <w:lang w:val="en-US" w:eastAsia="zh-CN" w:bidi="ar-SA"/>
    </w:rPr>
  </w:style>
  <w:style w:type="character" w:customStyle="1" w:styleId="152">
    <w:name w:val="表名 Char"/>
    <w:qFormat/>
    <w:uiPriority w:val="0"/>
    <w:rPr>
      <w:rFonts w:eastAsia="宋体"/>
      <w:b/>
      <w:bCs/>
      <w:kern w:val="2"/>
      <w:sz w:val="24"/>
      <w:szCs w:val="24"/>
      <w:lang w:val="en-US" w:eastAsia="zh-CN" w:bidi="ar-SA"/>
    </w:rPr>
  </w:style>
  <w:style w:type="character" w:customStyle="1" w:styleId="153">
    <w:name w:val="Document Map Char"/>
    <w:qFormat/>
    <w:uiPriority w:val="0"/>
    <w:rPr>
      <w:rFonts w:eastAsia="宋体"/>
      <w:kern w:val="2"/>
      <w:sz w:val="21"/>
      <w:szCs w:val="24"/>
      <w:lang w:val="en-US" w:eastAsia="zh-CN" w:bidi="ar-SA"/>
    </w:rPr>
  </w:style>
  <w:style w:type="character" w:customStyle="1" w:styleId="154">
    <w:name w:val="font41"/>
    <w:qFormat/>
    <w:uiPriority w:val="0"/>
    <w:rPr>
      <w:rFonts w:hint="eastAsia" w:ascii="仿宋_GB2312" w:eastAsia="仿宋_GB2312" w:cs="仿宋_GB2312"/>
      <w:color w:val="000000"/>
      <w:sz w:val="22"/>
      <w:szCs w:val="22"/>
      <w:u w:val="none"/>
    </w:rPr>
  </w:style>
  <w:style w:type="character" w:customStyle="1" w:styleId="155">
    <w:name w:val="标题 6 Char"/>
    <w:link w:val="8"/>
    <w:qFormat/>
    <w:uiPriority w:val="0"/>
    <w:rPr>
      <w:rFonts w:ascii="Arial" w:hAnsi="Arial" w:eastAsia="黑体"/>
      <w:b/>
      <w:bCs/>
      <w:kern w:val="2"/>
      <w:sz w:val="24"/>
      <w:szCs w:val="24"/>
    </w:rPr>
  </w:style>
  <w:style w:type="character" w:customStyle="1" w:styleId="156">
    <w:name w:val="纯文本 Char_0"/>
    <w:link w:val="157"/>
    <w:qFormat/>
    <w:uiPriority w:val="0"/>
    <w:rPr>
      <w:rFonts w:ascii="宋体" w:hAnsi="Courier New"/>
      <w:kern w:val="2"/>
      <w:sz w:val="21"/>
      <w:szCs w:val="21"/>
      <w:lang w:val="en-US" w:eastAsia="zh-CN"/>
    </w:rPr>
  </w:style>
  <w:style w:type="paragraph" w:customStyle="1" w:styleId="157">
    <w:name w:val="纯文本_0_0"/>
    <w:basedOn w:val="158"/>
    <w:link w:val="156"/>
    <w:qFormat/>
    <w:uiPriority w:val="0"/>
    <w:rPr>
      <w:rFonts w:ascii="宋体" w:hAnsi="Courier New"/>
      <w:szCs w:val="21"/>
    </w:rPr>
  </w:style>
  <w:style w:type="paragraph" w:customStyle="1" w:styleId="158">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9">
    <w:name w:val="Balloon Text Char"/>
    <w:qFormat/>
    <w:uiPriority w:val="0"/>
    <w:rPr>
      <w:rFonts w:eastAsia="宋体"/>
      <w:kern w:val="2"/>
      <w:sz w:val="18"/>
      <w:szCs w:val="18"/>
      <w:lang w:val="en-US" w:eastAsia="zh-CN" w:bidi="ar-SA"/>
    </w:rPr>
  </w:style>
  <w:style w:type="character" w:customStyle="1" w:styleId="160">
    <w:name w:val="正文 项目2 Char"/>
    <w:basedOn w:val="161"/>
    <w:qFormat/>
    <w:uiPriority w:val="0"/>
    <w:rPr>
      <w:rFonts w:ascii="仿宋_GB2312" w:hAnsi="仿宋_GB2312" w:eastAsia="仿宋_GB2312"/>
      <w:kern w:val="2"/>
      <w:sz w:val="24"/>
      <w:lang w:bidi="ar-SA"/>
    </w:rPr>
  </w:style>
  <w:style w:type="character" w:customStyle="1" w:styleId="161">
    <w:name w:val="正文 项目 Char"/>
    <w:qFormat/>
    <w:uiPriority w:val="0"/>
    <w:rPr>
      <w:rFonts w:ascii="仿宋_GB2312" w:hAnsi="仿宋_GB2312" w:eastAsia="仿宋_GB2312"/>
      <w:kern w:val="2"/>
      <w:sz w:val="24"/>
      <w:lang w:bidi="ar-SA"/>
    </w:rPr>
  </w:style>
  <w:style w:type="character" w:customStyle="1" w:styleId="162">
    <w:name w:val="h Char Char1"/>
    <w:qFormat/>
    <w:uiPriority w:val="0"/>
    <w:rPr>
      <w:rFonts w:eastAsia="宋体"/>
      <w:kern w:val="2"/>
      <w:sz w:val="18"/>
      <w:szCs w:val="18"/>
      <w:lang w:val="en-US" w:eastAsia="zh-CN" w:bidi="ar-SA"/>
    </w:rPr>
  </w:style>
  <w:style w:type="character" w:customStyle="1" w:styleId="163">
    <w:name w:val="Char Char27"/>
    <w:qFormat/>
    <w:uiPriority w:val="6"/>
    <w:rPr>
      <w:rFonts w:ascii="宋体" w:hAnsi="宋体" w:eastAsia="宋体"/>
      <w:color w:val="000000"/>
      <w:kern w:val="1"/>
      <w:sz w:val="28"/>
      <w:lang w:val="en-US" w:eastAsia="zh-CN" w:bidi="ar-SA"/>
    </w:rPr>
  </w:style>
  <w:style w:type="character" w:customStyle="1" w:styleId="164">
    <w:name w:val="px14"/>
    <w:qFormat/>
    <w:uiPriority w:val="0"/>
    <w:rPr>
      <w:rFonts w:ascii="仿宋_GB2312" w:eastAsia="微软雅黑" w:cs="Times New Roman"/>
      <w:b/>
      <w:kern w:val="2"/>
      <w:sz w:val="32"/>
      <w:szCs w:val="32"/>
      <w:lang w:val="en-US" w:eastAsia="zh-CN" w:bidi="ar-SA"/>
    </w:rPr>
  </w:style>
  <w:style w:type="character" w:customStyle="1" w:styleId="165">
    <w:name w:val="HTML 预设格式 Char1"/>
    <w:qFormat/>
    <w:uiPriority w:val="0"/>
    <w:rPr>
      <w:rFonts w:ascii="Courier New" w:hAnsi="Courier New" w:eastAsia="宋体" w:cs="Courier New"/>
      <w:sz w:val="20"/>
      <w:szCs w:val="20"/>
    </w:rPr>
  </w:style>
  <w:style w:type="character" w:customStyle="1" w:styleId="166">
    <w:name w:val="普通文字 Char1"/>
    <w:qFormat/>
    <w:uiPriority w:val="0"/>
    <w:rPr>
      <w:rFonts w:ascii="宋体" w:hAnsi="Courier New" w:eastAsia="宋体"/>
      <w:kern w:val="2"/>
      <w:sz w:val="21"/>
      <w:lang w:val="en-US" w:eastAsia="zh-CN"/>
    </w:rPr>
  </w:style>
  <w:style w:type="character" w:customStyle="1" w:styleId="167">
    <w:name w:val="hei16b1"/>
    <w:qFormat/>
    <w:uiPriority w:val="0"/>
    <w:rPr>
      <w:rFonts w:hint="default" w:ascii="Arial" w:hAnsi="Arial" w:cs="Arial"/>
      <w:b/>
      <w:bCs/>
      <w:color w:val="000000"/>
      <w:sz w:val="24"/>
      <w:szCs w:val="24"/>
    </w:rPr>
  </w:style>
  <w:style w:type="character" w:customStyle="1" w:styleId="168">
    <w:name w:val="正文（绿盟科技） Char"/>
    <w:link w:val="169"/>
    <w:qFormat/>
    <w:uiPriority w:val="0"/>
    <w:rPr>
      <w:rFonts w:ascii="Arial" w:hAnsi="Arial"/>
      <w:sz w:val="21"/>
      <w:szCs w:val="21"/>
    </w:rPr>
  </w:style>
  <w:style w:type="paragraph" w:customStyle="1" w:styleId="169">
    <w:name w:val="正文（绿盟科技）"/>
    <w:link w:val="168"/>
    <w:qFormat/>
    <w:uiPriority w:val="0"/>
    <w:pPr>
      <w:spacing w:line="300" w:lineRule="auto"/>
    </w:pPr>
    <w:rPr>
      <w:rFonts w:ascii="Arial" w:hAnsi="Arial" w:eastAsia="宋体" w:cs="Times New Roman"/>
      <w:sz w:val="21"/>
      <w:szCs w:val="21"/>
      <w:lang w:val="en-US" w:eastAsia="zh-CN" w:bidi="ar-SA"/>
    </w:rPr>
  </w:style>
  <w:style w:type="character" w:customStyle="1" w:styleId="170">
    <w:name w:val="Char Char19"/>
    <w:qFormat/>
    <w:uiPriority w:val="6"/>
    <w:rPr>
      <w:rFonts w:ascii="宋体" w:hAnsi="宋体"/>
      <w:i/>
      <w:sz w:val="24"/>
      <w:szCs w:val="24"/>
    </w:rPr>
  </w:style>
  <w:style w:type="character" w:customStyle="1" w:styleId="171">
    <w:name w:val="页脚 Char"/>
    <w:qFormat/>
    <w:uiPriority w:val="0"/>
    <w:rPr>
      <w:rFonts w:eastAsia="仿宋_GB2312"/>
      <w:kern w:val="2"/>
      <w:sz w:val="18"/>
      <w:lang w:val="en-US" w:eastAsia="zh-CN"/>
    </w:rPr>
  </w:style>
  <w:style w:type="character" w:customStyle="1" w:styleId="172">
    <w:name w:val="批注主题 Char"/>
    <w:qFormat/>
    <w:uiPriority w:val="0"/>
    <w:rPr>
      <w:rFonts w:eastAsia="宋体"/>
      <w:b/>
      <w:bCs/>
      <w:kern w:val="2"/>
      <w:sz w:val="21"/>
      <w:szCs w:val="24"/>
      <w:lang w:val="en-US" w:eastAsia="zh-CN" w:bidi="ar-SA"/>
    </w:rPr>
  </w:style>
  <w:style w:type="character" w:customStyle="1" w:styleId="173">
    <w:name w:val="Comment Text Char"/>
    <w:qFormat/>
    <w:uiPriority w:val="0"/>
    <w:rPr>
      <w:rFonts w:ascii="宋体" w:hAnsi="宋体" w:eastAsia="宋体"/>
      <w:kern w:val="2"/>
      <w:sz w:val="24"/>
      <w:lang w:val="en-US" w:eastAsia="zh-CN" w:bidi="ar-SA"/>
    </w:rPr>
  </w:style>
  <w:style w:type="character" w:customStyle="1" w:styleId="174">
    <w:name w:val="Char Char72"/>
    <w:qFormat/>
    <w:uiPriority w:val="0"/>
    <w:rPr>
      <w:rFonts w:eastAsia="宋体"/>
      <w:kern w:val="2"/>
      <w:sz w:val="21"/>
      <w:szCs w:val="24"/>
      <w:lang w:val="en-US" w:eastAsia="zh-CN" w:bidi="ar-SA"/>
    </w:rPr>
  </w:style>
  <w:style w:type="character" w:customStyle="1" w:styleId="175">
    <w:name w:val="正文文本缩进 Char2"/>
    <w:qFormat/>
    <w:uiPriority w:val="0"/>
    <w:rPr>
      <w:rFonts w:ascii="Times New Roman" w:hAnsi="Times New Roman" w:eastAsia="宋体" w:cs="Times New Roman"/>
      <w:snapToGrid w:val="0"/>
      <w:kern w:val="0"/>
      <w:szCs w:val="24"/>
    </w:rPr>
  </w:style>
  <w:style w:type="character" w:customStyle="1" w:styleId="176">
    <w:name w:val="样式2 Char"/>
    <w:qFormat/>
    <w:uiPriority w:val="0"/>
    <w:rPr>
      <w:rFonts w:ascii="仿宋_GB2312" w:hAnsi="仿宋" w:eastAsia="仿宋_GB2312" w:cs="仿宋_GB2312"/>
      <w:b/>
      <w:bCs/>
      <w:sz w:val="32"/>
      <w:szCs w:val="30"/>
      <w:lang w:val="zh-CN"/>
    </w:rPr>
  </w:style>
  <w:style w:type="character" w:customStyle="1" w:styleId="177">
    <w:name w:val="表格名称[858D7CFB-ED40-4347-BF05-701D383B685F]"/>
    <w:link w:val="178"/>
    <w:qFormat/>
    <w:uiPriority w:val="0"/>
    <w:rPr>
      <w:sz w:val="32"/>
    </w:rPr>
  </w:style>
  <w:style w:type="paragraph" w:customStyle="1" w:styleId="178">
    <w:name w:val="表格名称"/>
    <w:basedOn w:val="3"/>
    <w:link w:val="177"/>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9">
    <w:name w:val="Char Char4"/>
    <w:qFormat/>
    <w:uiPriority w:val="0"/>
    <w:rPr>
      <w:rFonts w:eastAsia="宋体"/>
      <w:b/>
      <w:sz w:val="24"/>
      <w:lang w:val="en-GB" w:eastAsia="zh-CN" w:bidi="ar-SA"/>
    </w:rPr>
  </w:style>
  <w:style w:type="character" w:customStyle="1" w:styleId="180">
    <w:name w:val="c7 style3"/>
    <w:qFormat/>
    <w:uiPriority w:val="0"/>
  </w:style>
  <w:style w:type="character" w:customStyle="1" w:styleId="181">
    <w:name w:val="正文文本 3 Char1"/>
    <w:qFormat/>
    <w:uiPriority w:val="99"/>
    <w:rPr>
      <w:rFonts w:ascii="Times New Roman" w:hAnsi="Times New Roman" w:eastAsia="宋体" w:cs="Times New Roman"/>
      <w:sz w:val="16"/>
      <w:szCs w:val="16"/>
    </w:rPr>
  </w:style>
  <w:style w:type="character" w:customStyle="1" w:styleId="182">
    <w:name w:val="tw4winInternal"/>
    <w:qFormat/>
    <w:uiPriority w:val="0"/>
    <w:rPr>
      <w:rFonts w:ascii="Courier New" w:hAnsi="Courier New" w:cs="Courier New"/>
      <w:color w:val="FF0000"/>
      <w:lang w:val="en-US" w:eastAsia="zh-CN"/>
    </w:rPr>
  </w:style>
  <w:style w:type="character" w:customStyle="1" w:styleId="183">
    <w:name w:val="Char Char10"/>
    <w:qFormat/>
    <w:uiPriority w:val="0"/>
    <w:rPr>
      <w:rFonts w:ascii="宋体" w:hAnsi="宋体"/>
      <w:kern w:val="2"/>
      <w:sz w:val="21"/>
      <w:szCs w:val="24"/>
      <w:lang w:val="en-US" w:eastAsia="zh-CN"/>
    </w:rPr>
  </w:style>
  <w:style w:type="character" w:customStyle="1" w:styleId="184">
    <w:name w:val="shadow11"/>
    <w:qFormat/>
    <w:uiPriority w:val="0"/>
    <w:rPr>
      <w:color w:val="000000"/>
      <w:sz w:val="21"/>
    </w:rPr>
  </w:style>
  <w:style w:type="character" w:customStyle="1" w:styleId="185">
    <w:name w:val="正文非缩进 Char3"/>
    <w:qFormat/>
    <w:uiPriority w:val="0"/>
    <w:rPr>
      <w:rFonts w:ascii="宋体" w:eastAsia="宋体"/>
      <w:snapToGrid w:val="0"/>
      <w:color w:val="000000"/>
      <w:kern w:val="28"/>
      <w:sz w:val="28"/>
      <w:lang w:val="en-US" w:eastAsia="zh-CN" w:bidi="ar-SA"/>
    </w:rPr>
  </w:style>
  <w:style w:type="character" w:customStyle="1" w:styleId="186">
    <w:name w:val="Char Char"/>
    <w:qFormat/>
    <w:uiPriority w:val="0"/>
    <w:rPr>
      <w:rFonts w:ascii="宋体" w:hAnsi="Courier New" w:eastAsia="宋体"/>
      <w:kern w:val="2"/>
      <w:sz w:val="21"/>
      <w:lang w:val="en-US" w:eastAsia="zh-CN" w:bidi="ar-SA"/>
    </w:rPr>
  </w:style>
  <w:style w:type="character" w:customStyle="1" w:styleId="187">
    <w:name w:val="签名 Char1"/>
    <w:qFormat/>
    <w:uiPriority w:val="0"/>
    <w:rPr>
      <w:rFonts w:ascii="Times New Roman" w:hAnsi="Times New Roman" w:eastAsia="宋体" w:cs="Times New Roman"/>
      <w:szCs w:val="24"/>
    </w:rPr>
  </w:style>
  <w:style w:type="character" w:customStyle="1" w:styleId="188">
    <w:name w:val="日期 Char"/>
    <w:link w:val="36"/>
    <w:qFormat/>
    <w:uiPriority w:val="0"/>
    <w:rPr>
      <w:rFonts w:ascii="宋体"/>
      <w:kern w:val="2"/>
      <w:sz w:val="24"/>
      <w:szCs w:val="21"/>
      <w:lang w:val="zh-CN"/>
    </w:rPr>
  </w:style>
  <w:style w:type="character" w:customStyle="1" w:styleId="189">
    <w:name w:val="标题 9 Char"/>
    <w:link w:val="11"/>
    <w:qFormat/>
    <w:uiPriority w:val="0"/>
    <w:rPr>
      <w:rFonts w:ascii="Arial" w:hAnsi="Arial" w:eastAsia="黑体"/>
      <w:kern w:val="2"/>
      <w:sz w:val="21"/>
      <w:szCs w:val="21"/>
    </w:rPr>
  </w:style>
  <w:style w:type="character" w:customStyle="1" w:styleId="190">
    <w:name w:val="Char Char18"/>
    <w:qFormat/>
    <w:uiPriority w:val="6"/>
    <w:rPr>
      <w:rFonts w:ascii="宋体" w:hAnsi="宋体"/>
      <w:sz w:val="28"/>
    </w:rPr>
  </w:style>
  <w:style w:type="character" w:customStyle="1" w:styleId="191">
    <w:name w:val="批注文字 Char"/>
    <w:qFormat/>
    <w:uiPriority w:val="0"/>
    <w:rPr>
      <w:kern w:val="2"/>
      <w:sz w:val="21"/>
      <w:szCs w:val="24"/>
    </w:rPr>
  </w:style>
  <w:style w:type="character" w:customStyle="1" w:styleId="192">
    <w:name w:val="Char Char22"/>
    <w:qFormat/>
    <w:uiPriority w:val="6"/>
    <w:rPr>
      <w:rFonts w:ascii="宋体" w:hAnsi="宋体"/>
      <w:kern w:val="1"/>
      <w:sz w:val="24"/>
      <w:szCs w:val="24"/>
    </w:rPr>
  </w:style>
  <w:style w:type="character" w:customStyle="1" w:styleId="193">
    <w:name w:val="pt141"/>
    <w:qFormat/>
    <w:uiPriority w:val="0"/>
    <w:rPr>
      <w:color w:val="330066"/>
      <w:sz w:val="22"/>
      <w:szCs w:val="22"/>
    </w:rPr>
  </w:style>
  <w:style w:type="character" w:customStyle="1" w:styleId="194">
    <w:name w:val="正文文本缩进 2 Char1"/>
    <w:qFormat/>
    <w:uiPriority w:val="99"/>
    <w:rPr>
      <w:rFonts w:ascii="Times New Roman" w:hAnsi="Times New Roman" w:eastAsia="宋体" w:cs="Times New Roman"/>
      <w:szCs w:val="24"/>
    </w:rPr>
  </w:style>
  <w:style w:type="character" w:customStyle="1" w:styleId="195">
    <w:name w:val="批注框文本 Char"/>
    <w:link w:val="39"/>
    <w:qFormat/>
    <w:uiPriority w:val="0"/>
    <w:rPr>
      <w:kern w:val="2"/>
      <w:sz w:val="18"/>
      <w:szCs w:val="18"/>
    </w:rPr>
  </w:style>
  <w:style w:type="character" w:customStyle="1" w:styleId="196">
    <w:name w:val="Char Char611"/>
    <w:qFormat/>
    <w:uiPriority w:val="0"/>
    <w:rPr>
      <w:rFonts w:eastAsia="宋体"/>
      <w:kern w:val="2"/>
      <w:sz w:val="21"/>
      <w:szCs w:val="24"/>
      <w:lang w:val="en-US" w:eastAsia="zh-CN" w:bidi="ar-SA"/>
    </w:rPr>
  </w:style>
  <w:style w:type="character" w:customStyle="1" w:styleId="197">
    <w:name w:val="highlight1"/>
    <w:qFormat/>
    <w:uiPriority w:val="0"/>
    <w:rPr>
      <w:rFonts w:ascii="仿宋_GB2312" w:eastAsia="微软雅黑"/>
      <w:b/>
      <w:kern w:val="2"/>
      <w:sz w:val="23"/>
      <w:szCs w:val="23"/>
      <w:lang w:val="en-US" w:eastAsia="zh-CN" w:bidi="ar-SA"/>
    </w:rPr>
  </w:style>
  <w:style w:type="character" w:customStyle="1" w:styleId="198">
    <w:name w:val="my正文 Char"/>
    <w:link w:val="199"/>
    <w:qFormat/>
    <w:uiPriority w:val="0"/>
    <w:rPr>
      <w:rFonts w:ascii="Tahoma" w:hAnsi="Tahoma"/>
      <w:sz w:val="24"/>
      <w:szCs w:val="24"/>
    </w:rPr>
  </w:style>
  <w:style w:type="paragraph" w:customStyle="1" w:styleId="199">
    <w:name w:val="my正文"/>
    <w:basedOn w:val="1"/>
    <w:link w:val="198"/>
    <w:qFormat/>
    <w:uiPriority w:val="0"/>
    <w:pPr>
      <w:adjustRightInd/>
      <w:spacing w:line="360" w:lineRule="auto"/>
      <w:ind w:firstLine="480" w:firstLineChars="200"/>
    </w:pPr>
    <w:rPr>
      <w:rFonts w:ascii="Tahoma" w:hAnsi="Tahoma"/>
      <w:kern w:val="0"/>
      <w:sz w:val="24"/>
    </w:rPr>
  </w:style>
  <w:style w:type="character" w:customStyle="1" w:styleId="200">
    <w:name w:val="正文缩进 Char2"/>
    <w:link w:val="5"/>
    <w:qFormat/>
    <w:uiPriority w:val="0"/>
    <w:rPr>
      <w:rFonts w:ascii="宋体" w:eastAsia="宋体"/>
      <w:snapToGrid w:val="0"/>
      <w:color w:val="000000"/>
      <w:kern w:val="28"/>
      <w:sz w:val="28"/>
      <w:lang w:val="en-US" w:eastAsia="zh-CN" w:bidi="ar-SA"/>
    </w:rPr>
  </w:style>
  <w:style w:type="character" w:customStyle="1" w:styleId="201">
    <w:name w:val="Used by Word for text of Help footnotes Char Char1"/>
    <w:qFormat/>
    <w:uiPriority w:val="0"/>
    <w:rPr>
      <w:color w:val="0000FF"/>
      <w:sz w:val="21"/>
    </w:rPr>
  </w:style>
  <w:style w:type="character" w:customStyle="1" w:styleId="202">
    <w:name w:val="页眉 Char"/>
    <w:qFormat/>
    <w:uiPriority w:val="0"/>
    <w:rPr>
      <w:rFonts w:eastAsia="仿宋_GB2312"/>
      <w:kern w:val="2"/>
      <w:sz w:val="18"/>
      <w:lang w:val="en-US" w:eastAsia="zh-CN"/>
    </w:rPr>
  </w:style>
  <w:style w:type="character" w:customStyle="1" w:styleId="203">
    <w:name w:val="FA正文 Char Char"/>
    <w:qFormat/>
    <w:uiPriority w:val="0"/>
    <w:rPr>
      <w:rFonts w:hAnsi="宋体"/>
      <w:kern w:val="2"/>
      <w:sz w:val="24"/>
      <w:lang w:bidi="ar-SA"/>
    </w:rPr>
  </w:style>
  <w:style w:type="character" w:customStyle="1" w:styleId="204">
    <w:name w:val="纯文本 字符"/>
    <w:qFormat/>
    <w:uiPriority w:val="0"/>
    <w:rPr>
      <w:rFonts w:ascii="宋体" w:hAnsi="Courier New" w:eastAsia="宋体" w:cs="Arial"/>
      <w:snapToGrid w:val="0"/>
      <w:kern w:val="2"/>
      <w:sz w:val="21"/>
      <w:szCs w:val="21"/>
      <w:lang w:val="en-US" w:eastAsia="zh-CN" w:bidi="ar-SA"/>
    </w:rPr>
  </w:style>
  <w:style w:type="character" w:customStyle="1" w:styleId="205">
    <w:name w:val="3级 Char"/>
    <w:link w:val="206"/>
    <w:qFormat/>
    <w:uiPriority w:val="0"/>
    <w:rPr>
      <w:rFonts w:ascii="宋体" w:hAnsi="宋体"/>
      <w:b/>
      <w:bCs/>
      <w:sz w:val="28"/>
    </w:rPr>
  </w:style>
  <w:style w:type="paragraph" w:customStyle="1" w:styleId="206">
    <w:name w:val="3级"/>
    <w:basedOn w:val="207"/>
    <w:link w:val="205"/>
    <w:qFormat/>
    <w:uiPriority w:val="0"/>
    <w:pPr>
      <w:ind w:left="0" w:right="466" w:firstLine="288"/>
    </w:pPr>
    <w:rPr>
      <w:rFonts w:hAnsi="宋体"/>
    </w:rPr>
  </w:style>
  <w:style w:type="paragraph" w:customStyle="1" w:styleId="207">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8">
    <w:name w:val="myp11"/>
    <w:qFormat/>
    <w:uiPriority w:val="0"/>
    <w:rPr>
      <w:rFonts w:ascii="仿宋_GB2312" w:eastAsia="微软雅黑"/>
      <w:b/>
      <w:kern w:val="2"/>
      <w:sz w:val="32"/>
      <w:szCs w:val="32"/>
      <w:lang w:val="en-US" w:eastAsia="zh-CN" w:bidi="ar-SA"/>
    </w:rPr>
  </w:style>
  <w:style w:type="character" w:customStyle="1" w:styleId="209">
    <w:name w:val="文档结构图 Char1"/>
    <w:link w:val="18"/>
    <w:qFormat/>
    <w:uiPriority w:val="0"/>
    <w:rPr>
      <w:kern w:val="2"/>
      <w:sz w:val="21"/>
      <w:szCs w:val="24"/>
      <w:shd w:val="clear" w:color="auto" w:fill="000080"/>
    </w:rPr>
  </w:style>
  <w:style w:type="character" w:customStyle="1" w:styleId="210">
    <w:name w:val="H6 Char"/>
    <w:qFormat/>
    <w:uiPriority w:val="0"/>
    <w:rPr>
      <w:rFonts w:ascii="Arial" w:hAnsi="Arial" w:eastAsia="黑体"/>
      <w:b/>
      <w:bCs/>
      <w:kern w:val="2"/>
      <w:sz w:val="24"/>
      <w:szCs w:val="24"/>
    </w:rPr>
  </w:style>
  <w:style w:type="character" w:customStyle="1" w:styleId="211">
    <w:name w:val="Char Char91"/>
    <w:qFormat/>
    <w:uiPriority w:val="0"/>
    <w:rPr>
      <w:rFonts w:eastAsia="宋体"/>
      <w:kern w:val="2"/>
      <w:sz w:val="18"/>
      <w:szCs w:val="18"/>
      <w:lang w:val="en-US" w:eastAsia="zh-CN" w:bidi="ar-SA"/>
    </w:rPr>
  </w:style>
  <w:style w:type="character" w:customStyle="1" w:styleId="212">
    <w:name w:val="副标题 Char1"/>
    <w:qFormat/>
    <w:uiPriority w:val="0"/>
    <w:rPr>
      <w:rFonts w:ascii="Cambria" w:hAnsi="Cambria" w:eastAsia="宋体" w:cs="Times New Roman"/>
      <w:b/>
      <w:bCs/>
      <w:snapToGrid w:val="0"/>
      <w:kern w:val="28"/>
      <w:sz w:val="32"/>
      <w:szCs w:val="32"/>
    </w:rPr>
  </w:style>
  <w:style w:type="character" w:customStyle="1" w:styleId="213">
    <w:name w:val="font61"/>
    <w:qFormat/>
    <w:uiPriority w:val="0"/>
    <w:rPr>
      <w:rFonts w:hint="eastAsia" w:ascii="仿宋" w:hAnsi="仿宋" w:eastAsia="仿宋" w:cs="仿宋"/>
      <w:color w:val="000000"/>
      <w:sz w:val="20"/>
      <w:szCs w:val="20"/>
      <w:u w:val="none"/>
    </w:rPr>
  </w:style>
  <w:style w:type="character" w:customStyle="1" w:styleId="214">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15">
    <w:name w:val="Char Char211"/>
    <w:qFormat/>
    <w:uiPriority w:val="0"/>
    <w:rPr>
      <w:rFonts w:eastAsia="宋体"/>
      <w:b/>
      <w:bCs/>
      <w:kern w:val="2"/>
      <w:sz w:val="21"/>
      <w:szCs w:val="24"/>
      <w:lang w:val="en-US" w:eastAsia="zh-CN" w:bidi="ar-SA"/>
    </w:rPr>
  </w:style>
  <w:style w:type="character" w:customStyle="1" w:styleId="216">
    <w:name w:val="标题 2 Char"/>
    <w:qFormat/>
    <w:uiPriority w:val="0"/>
    <w:rPr>
      <w:rFonts w:ascii="Arial" w:hAnsi="Arial" w:eastAsia="黑体"/>
      <w:b/>
      <w:kern w:val="2"/>
      <w:sz w:val="32"/>
      <w:lang w:val="en-US" w:eastAsia="zh-CN"/>
    </w:rPr>
  </w:style>
  <w:style w:type="character" w:customStyle="1" w:styleId="217">
    <w:name w:val="maywed421"/>
    <w:qFormat/>
    <w:uiPriority w:val="0"/>
    <w:rPr>
      <w:color w:val="366FB6"/>
      <w:u w:val="none"/>
    </w:rPr>
  </w:style>
  <w:style w:type="character" w:customStyle="1" w:styleId="218">
    <w:name w:val="正文文本缩进 Char"/>
    <w:qFormat/>
    <w:uiPriority w:val="0"/>
    <w:rPr>
      <w:rFonts w:ascii="宋体" w:hAnsi="宋体"/>
      <w:kern w:val="2"/>
      <w:sz w:val="24"/>
      <w:szCs w:val="24"/>
    </w:rPr>
  </w:style>
  <w:style w:type="character" w:customStyle="1" w:styleId="219">
    <w:name w:val="Char Char102"/>
    <w:qFormat/>
    <w:uiPriority w:val="0"/>
    <w:rPr>
      <w:rFonts w:ascii="宋体" w:hAnsi="宋体"/>
      <w:kern w:val="2"/>
      <w:sz w:val="21"/>
      <w:szCs w:val="24"/>
      <w:lang w:val="en-US" w:eastAsia="zh-CN"/>
    </w:rPr>
  </w:style>
  <w:style w:type="character" w:customStyle="1" w:styleId="220">
    <w:name w:val="页眉 Char1"/>
    <w:qFormat/>
    <w:uiPriority w:val="0"/>
    <w:rPr>
      <w:rFonts w:eastAsia="宋体"/>
      <w:kern w:val="2"/>
      <w:sz w:val="18"/>
      <w:szCs w:val="18"/>
      <w:lang w:val="en-US" w:eastAsia="zh-CN" w:bidi="ar-SA"/>
    </w:rPr>
  </w:style>
  <w:style w:type="character" w:customStyle="1" w:styleId="221">
    <w:name w:val="md"/>
    <w:basedOn w:val="69"/>
    <w:qFormat/>
    <w:uiPriority w:val="0"/>
    <w:rPr>
      <w:rFonts w:ascii="Arial" w:hAnsi="Arial" w:eastAsia="黑体" w:cs="Arial"/>
      <w:snapToGrid w:val="0"/>
      <w:kern w:val="0"/>
      <w:szCs w:val="21"/>
    </w:rPr>
  </w:style>
  <w:style w:type="character" w:customStyle="1" w:styleId="222">
    <w:name w:val="big1"/>
    <w:qFormat/>
    <w:uiPriority w:val="0"/>
    <w:rPr>
      <w:rFonts w:hint="eastAsia" w:ascii="宋体" w:hAnsi="宋体" w:eastAsia="宋体"/>
      <w:color w:val="333333"/>
      <w:sz w:val="22"/>
      <w:szCs w:val="22"/>
    </w:rPr>
  </w:style>
  <w:style w:type="character" w:customStyle="1" w:styleId="223">
    <w:name w:val="Char Char311"/>
    <w:qFormat/>
    <w:uiPriority w:val="0"/>
    <w:rPr>
      <w:rFonts w:eastAsia="宋体"/>
      <w:kern w:val="2"/>
      <w:sz w:val="21"/>
      <w:szCs w:val="24"/>
      <w:lang w:val="en-US" w:eastAsia="zh-CN" w:bidi="ar-SA"/>
    </w:rPr>
  </w:style>
  <w:style w:type="character" w:customStyle="1" w:styleId="224">
    <w:name w:val="Char Char81"/>
    <w:qFormat/>
    <w:uiPriority w:val="6"/>
    <w:rPr>
      <w:rFonts w:eastAsia="宋体"/>
      <w:b/>
      <w:sz w:val="24"/>
      <w:lang w:val="en-GB" w:eastAsia="zh-CN"/>
    </w:rPr>
  </w:style>
  <w:style w:type="character" w:customStyle="1" w:styleId="225">
    <w:name w:val="样式3 Char"/>
    <w:basedOn w:val="176"/>
    <w:qFormat/>
    <w:uiPriority w:val="0"/>
    <w:rPr>
      <w:rFonts w:ascii="仿宋_GB2312" w:hAnsi="仿宋" w:eastAsia="仿宋_GB2312" w:cs="仿宋_GB2312"/>
      <w:sz w:val="32"/>
      <w:szCs w:val="30"/>
      <w:lang w:val="zh-CN"/>
    </w:rPr>
  </w:style>
  <w:style w:type="character" w:customStyle="1" w:styleId="226">
    <w:name w:val="HTML 地址 Char"/>
    <w:link w:val="30"/>
    <w:qFormat/>
    <w:uiPriority w:val="0"/>
    <w:rPr>
      <w:rFonts w:ascii="宋体" w:hAnsi="宋体"/>
      <w:i/>
      <w:iCs/>
      <w:sz w:val="24"/>
      <w:szCs w:val="24"/>
    </w:rPr>
  </w:style>
  <w:style w:type="character" w:customStyle="1" w:styleId="227">
    <w:name w:val="正文首行缩进 2 Char1"/>
    <w:qFormat/>
    <w:uiPriority w:val="0"/>
    <w:rPr>
      <w:rFonts w:ascii="Times New Roman" w:hAnsi="Times New Roman" w:eastAsia="宋体" w:cs="Times New Roman"/>
      <w:kern w:val="2"/>
      <w:sz w:val="24"/>
      <w:szCs w:val="24"/>
    </w:rPr>
  </w:style>
  <w:style w:type="character" w:customStyle="1" w:styleId="228">
    <w:name w:val="副标题 Char2"/>
    <w:qFormat/>
    <w:uiPriority w:val="0"/>
    <w:rPr>
      <w:rFonts w:ascii="Cambria" w:hAnsi="Cambria" w:eastAsia="宋体" w:cs="Times New Roman"/>
      <w:b/>
      <w:bCs/>
      <w:snapToGrid w:val="0"/>
      <w:kern w:val="28"/>
      <w:sz w:val="32"/>
      <w:szCs w:val="32"/>
    </w:rPr>
  </w:style>
  <w:style w:type="character" w:customStyle="1" w:styleId="229">
    <w:name w:val="标题4-dyf Char"/>
    <w:link w:val="230"/>
    <w:qFormat/>
    <w:uiPriority w:val="0"/>
    <w:rPr>
      <w:rFonts w:ascii="Cambria" w:hAnsi="Cambria"/>
      <w:b/>
      <w:bCs/>
      <w:color w:val="000000"/>
      <w:kern w:val="2"/>
      <w:sz w:val="21"/>
      <w:szCs w:val="21"/>
    </w:rPr>
  </w:style>
  <w:style w:type="paragraph" w:customStyle="1" w:styleId="230">
    <w:name w:val="标题4-dyf"/>
    <w:basedOn w:val="6"/>
    <w:link w:val="229"/>
    <w:qFormat/>
    <w:uiPriority w:val="0"/>
    <w:pPr>
      <w:tabs>
        <w:tab w:val="clear" w:pos="864"/>
      </w:tabs>
      <w:adjustRightInd/>
      <w:spacing w:line="376" w:lineRule="atLeast"/>
      <w:ind w:left="851" w:hanging="851"/>
    </w:pPr>
    <w:rPr>
      <w:rFonts w:ascii="Cambria" w:hAnsi="Cambria" w:eastAsia="宋体"/>
      <w:color w:val="000000"/>
      <w:sz w:val="21"/>
      <w:szCs w:val="21"/>
    </w:rPr>
  </w:style>
  <w:style w:type="character" w:customStyle="1" w:styleId="231">
    <w:name w:val="dectext1"/>
    <w:qFormat/>
    <w:uiPriority w:val="0"/>
    <w:rPr>
      <w:rFonts w:ascii="宋体" w:hAnsi="宋体" w:eastAsia="宋体"/>
      <w:color w:val="333333"/>
      <w:sz w:val="21"/>
      <w:szCs w:val="21"/>
      <w:u w:val="none"/>
    </w:rPr>
  </w:style>
  <w:style w:type="character" w:customStyle="1" w:styleId="232">
    <w:name w:val="冯 Char"/>
    <w:link w:val="233"/>
    <w:qFormat/>
    <w:uiPriority w:val="0"/>
    <w:rPr>
      <w:rFonts w:ascii="宋体" w:hAnsi="宋体"/>
      <w:color w:val="000000"/>
      <w:sz w:val="24"/>
      <w:szCs w:val="24"/>
    </w:rPr>
  </w:style>
  <w:style w:type="paragraph" w:customStyle="1" w:styleId="233">
    <w:name w:val="冯"/>
    <w:basedOn w:val="1"/>
    <w:link w:val="232"/>
    <w:qFormat/>
    <w:uiPriority w:val="0"/>
    <w:pPr>
      <w:widowControl/>
      <w:adjustRightInd/>
      <w:spacing w:line="360" w:lineRule="auto"/>
      <w:ind w:firstLine="480" w:firstLineChars="200"/>
    </w:pPr>
    <w:rPr>
      <w:rFonts w:ascii="宋体" w:hAnsi="宋体"/>
      <w:color w:val="000000"/>
      <w:kern w:val="0"/>
      <w:sz w:val="24"/>
    </w:rPr>
  </w:style>
  <w:style w:type="character" w:customStyle="1" w:styleId="234">
    <w:name w:val="Header Char_19bc24ac-2d80-4d03-ab09-335b8fdddd15"/>
    <w:qFormat/>
    <w:uiPriority w:val="0"/>
    <w:rPr>
      <w:rFonts w:eastAsia="宋体"/>
      <w:kern w:val="2"/>
      <w:sz w:val="18"/>
      <w:szCs w:val="18"/>
      <w:lang w:val="en-US" w:eastAsia="zh-CN" w:bidi="ar-SA"/>
    </w:rPr>
  </w:style>
  <w:style w:type="character" w:customStyle="1" w:styleId="235">
    <w:name w:val="Char Char12"/>
    <w:qFormat/>
    <w:uiPriority w:val="0"/>
    <w:rPr>
      <w:rFonts w:ascii="仿宋_GB2312" w:eastAsia="仿宋_GB2312"/>
      <w:b/>
      <w:bCs/>
      <w:kern w:val="2"/>
      <w:sz w:val="24"/>
      <w:szCs w:val="24"/>
      <w:lang w:val="zh-CN" w:eastAsia="zh-CN" w:bidi="ar-SA"/>
    </w:rPr>
  </w:style>
  <w:style w:type="character" w:customStyle="1" w:styleId="236">
    <w:name w:val="题注 Char"/>
    <w:link w:val="16"/>
    <w:qFormat/>
    <w:uiPriority w:val="0"/>
    <w:rPr>
      <w:b/>
      <w:kern w:val="2"/>
      <w:sz w:val="28"/>
    </w:rPr>
  </w:style>
  <w:style w:type="character" w:customStyle="1" w:styleId="237">
    <w:name w:val="普通文字 Char3"/>
    <w:qFormat/>
    <w:uiPriority w:val="0"/>
    <w:rPr>
      <w:rFonts w:ascii="宋体" w:hAnsi="Courier New" w:eastAsia="宋体"/>
      <w:kern w:val="2"/>
      <w:sz w:val="21"/>
      <w:lang w:val="en-US" w:eastAsia="zh-CN" w:bidi="ar-SA"/>
    </w:rPr>
  </w:style>
  <w:style w:type="character" w:customStyle="1" w:styleId="238">
    <w:name w:val="公文正文 Char"/>
    <w:qFormat/>
    <w:uiPriority w:val="0"/>
    <w:rPr>
      <w:rFonts w:ascii="仿宋_GB2312" w:eastAsia="仿宋_GB2312"/>
      <w:kern w:val="2"/>
      <w:sz w:val="24"/>
      <w:szCs w:val="24"/>
      <w:lang w:val="en-US" w:eastAsia="zh-CN" w:bidi="ar-SA"/>
    </w:rPr>
  </w:style>
  <w:style w:type="character" w:customStyle="1" w:styleId="239">
    <w:name w:val="正文首行缩进 Char Char Char Char Char"/>
    <w:qFormat/>
    <w:uiPriority w:val="0"/>
    <w:rPr>
      <w:rFonts w:ascii="宋体"/>
      <w:kern w:val="2"/>
      <w:sz w:val="24"/>
      <w:lang w:val="zh-CN"/>
    </w:rPr>
  </w:style>
  <w:style w:type="character" w:customStyle="1" w:styleId="240">
    <w:name w:val="PI Char"/>
    <w:qFormat/>
    <w:uiPriority w:val="0"/>
    <w:rPr>
      <w:rFonts w:ascii="宋体" w:hAnsi="宋体" w:eastAsia="宋体"/>
      <w:kern w:val="2"/>
      <w:sz w:val="24"/>
      <w:szCs w:val="24"/>
      <w:lang w:val="en-US" w:eastAsia="zh-CN" w:bidi="ar-SA"/>
    </w:rPr>
  </w:style>
  <w:style w:type="character" w:customStyle="1" w:styleId="241">
    <w:name w:val="Default Char"/>
    <w:link w:val="85"/>
    <w:qFormat/>
    <w:uiPriority w:val="0"/>
    <w:rPr>
      <w:rFonts w:ascii="仿宋_GB2312" w:eastAsia="仿宋_GB2312" w:cs="仿宋_GB2312"/>
      <w:color w:val="000000"/>
      <w:sz w:val="24"/>
      <w:szCs w:val="24"/>
      <w:lang w:val="en-US" w:eastAsia="zh-CN" w:bidi="ar-SA"/>
    </w:rPr>
  </w:style>
  <w:style w:type="character" w:customStyle="1" w:styleId="242">
    <w:name w:val="style91"/>
    <w:qFormat/>
    <w:uiPriority w:val="0"/>
    <w:rPr>
      <w:color w:val="333333"/>
    </w:rPr>
  </w:style>
  <w:style w:type="character" w:customStyle="1" w:styleId="243">
    <w:name w:val="列出段落 Char2"/>
    <w:qFormat/>
    <w:uiPriority w:val="34"/>
    <w:rPr>
      <w:rFonts w:ascii="Calibri" w:hAnsi="Calibri"/>
      <w:kern w:val="2"/>
      <w:sz w:val="28"/>
    </w:rPr>
  </w:style>
  <w:style w:type="character" w:customStyle="1" w:styleId="244">
    <w:name w:val="mdeck"/>
    <w:qFormat/>
    <w:uiPriority w:val="0"/>
    <w:rPr>
      <w:rFonts w:ascii="仿宋_GB2312" w:eastAsia="微软雅黑"/>
      <w:b/>
      <w:kern w:val="2"/>
      <w:sz w:val="32"/>
      <w:szCs w:val="32"/>
      <w:lang w:val="en-US" w:eastAsia="zh-CN" w:bidi="ar-SA"/>
    </w:rPr>
  </w:style>
  <w:style w:type="character" w:customStyle="1" w:styleId="245">
    <w:name w:val="unnamed11"/>
    <w:qFormat/>
    <w:uiPriority w:val="0"/>
    <w:rPr>
      <w:sz w:val="20"/>
      <w:szCs w:val="20"/>
    </w:rPr>
  </w:style>
  <w:style w:type="character" w:customStyle="1" w:styleId="246">
    <w:name w:val="正文文本 Char2"/>
    <w:qFormat/>
    <w:uiPriority w:val="99"/>
    <w:rPr>
      <w:rFonts w:ascii="Times New Roman" w:hAnsi="Times New Roman" w:eastAsia="宋体" w:cs="Times New Roman"/>
      <w:snapToGrid w:val="0"/>
      <w:kern w:val="0"/>
      <w:szCs w:val="24"/>
    </w:rPr>
  </w:style>
  <w:style w:type="character" w:customStyle="1" w:styleId="247">
    <w:name w:val="标书正文格式 Char"/>
    <w:qFormat/>
    <w:uiPriority w:val="0"/>
    <w:rPr>
      <w:rFonts w:eastAsia="楷体_GB2312"/>
      <w:kern w:val="2"/>
      <w:sz w:val="24"/>
      <w:szCs w:val="24"/>
      <w:lang w:bidi="ar-SA"/>
    </w:rPr>
  </w:style>
  <w:style w:type="character" w:customStyle="1" w:styleId="248">
    <w:name w:val="Char Char11"/>
    <w:qFormat/>
    <w:uiPriority w:val="0"/>
    <w:rPr>
      <w:rFonts w:ascii="宋体" w:hAnsi="宋体" w:eastAsia="宋体"/>
      <w:b/>
      <w:kern w:val="2"/>
      <w:sz w:val="24"/>
      <w:szCs w:val="24"/>
      <w:lang w:val="en-US" w:eastAsia="zh-CN" w:bidi="ar-SA"/>
    </w:rPr>
  </w:style>
  <w:style w:type="character" w:customStyle="1" w:styleId="249">
    <w:name w:val="ca-131"/>
    <w:qFormat/>
    <w:uiPriority w:val="0"/>
    <w:rPr>
      <w:rFonts w:hint="eastAsia" w:ascii="仿宋_GB2312" w:eastAsia="仿宋_GB2312"/>
      <w:b/>
      <w:bCs/>
      <w:color w:val="000000"/>
      <w:spacing w:val="-20"/>
      <w:sz w:val="24"/>
      <w:szCs w:val="24"/>
    </w:rPr>
  </w:style>
  <w:style w:type="character" w:customStyle="1" w:styleId="250">
    <w:name w:val="tw4winMark"/>
    <w:qFormat/>
    <w:uiPriority w:val="0"/>
    <w:rPr>
      <w:rFonts w:ascii="Courier New" w:hAnsi="Courier New" w:cs="Courier New"/>
      <w:vanish/>
      <w:color w:val="800080"/>
      <w:sz w:val="24"/>
      <w:szCs w:val="24"/>
      <w:vertAlign w:val="subscript"/>
    </w:rPr>
  </w:style>
  <w:style w:type="character" w:customStyle="1" w:styleId="251">
    <w:name w:val="正文样式 Char"/>
    <w:link w:val="252"/>
    <w:qFormat/>
    <w:uiPriority w:val="0"/>
    <w:rPr>
      <w:rFonts w:ascii="Calibri" w:hAnsi="Calibri"/>
      <w:sz w:val="24"/>
      <w:szCs w:val="24"/>
    </w:rPr>
  </w:style>
  <w:style w:type="paragraph" w:customStyle="1" w:styleId="252">
    <w:name w:val="正文样式"/>
    <w:basedOn w:val="1"/>
    <w:link w:val="251"/>
    <w:qFormat/>
    <w:uiPriority w:val="0"/>
    <w:pPr>
      <w:adjustRightInd/>
      <w:spacing w:line="360" w:lineRule="auto"/>
      <w:ind w:firstLine="480" w:firstLineChars="200"/>
    </w:pPr>
    <w:rPr>
      <w:kern w:val="0"/>
      <w:sz w:val="24"/>
    </w:rPr>
  </w:style>
  <w:style w:type="character" w:customStyle="1" w:styleId="253">
    <w:name w:val="表正文 Char3"/>
    <w:qFormat/>
    <w:uiPriority w:val="0"/>
    <w:rPr>
      <w:rFonts w:eastAsia="宋体"/>
    </w:rPr>
  </w:style>
  <w:style w:type="character" w:customStyle="1" w:styleId="254">
    <w:name w:val="H5 Char"/>
    <w:qFormat/>
    <w:uiPriority w:val="0"/>
    <w:rPr>
      <w:b/>
      <w:bCs/>
      <w:kern w:val="2"/>
      <w:sz w:val="28"/>
      <w:szCs w:val="28"/>
    </w:rPr>
  </w:style>
  <w:style w:type="character" w:customStyle="1" w:styleId="255">
    <w:name w:val="Char Char3"/>
    <w:qFormat/>
    <w:uiPriority w:val="0"/>
    <w:rPr>
      <w:rFonts w:eastAsia="宋体"/>
      <w:kern w:val="2"/>
      <w:sz w:val="21"/>
      <w:szCs w:val="24"/>
      <w:lang w:val="en-US" w:eastAsia="zh-CN" w:bidi="ar-SA"/>
    </w:rPr>
  </w:style>
  <w:style w:type="character" w:customStyle="1" w:styleId="256">
    <w:name w:val="正文 编号 Char"/>
    <w:qFormat/>
    <w:uiPriority w:val="0"/>
    <w:rPr>
      <w:rFonts w:ascii="仿宋_GB2312" w:hAnsi="仿宋_GB2312" w:eastAsia="仿宋_GB2312"/>
      <w:kern w:val="2"/>
      <w:sz w:val="24"/>
      <w:lang w:bidi="ar-SA"/>
    </w:rPr>
  </w:style>
  <w:style w:type="character" w:customStyle="1" w:styleId="257">
    <w:name w:val="question-title2"/>
    <w:qFormat/>
    <w:uiPriority w:val="6"/>
    <w:rPr>
      <w:rFonts w:ascii="Arial" w:hAnsi="Arial" w:eastAsia="黑体" w:cs="Arial"/>
      <w:snapToGrid w:val="0"/>
      <w:kern w:val="0"/>
      <w:szCs w:val="21"/>
    </w:rPr>
  </w:style>
  <w:style w:type="character" w:customStyle="1" w:styleId="258">
    <w:name w:val="gf正文1 Char Char"/>
    <w:link w:val="259"/>
    <w:qFormat/>
    <w:uiPriority w:val="0"/>
    <w:rPr>
      <w:rFonts w:ascii="宋体" w:hAnsi="宋体" w:cs="宋体"/>
      <w:kern w:val="2"/>
      <w:sz w:val="24"/>
      <w:szCs w:val="24"/>
    </w:rPr>
  </w:style>
  <w:style w:type="paragraph" w:customStyle="1" w:styleId="259">
    <w:name w:val="gf正文1"/>
    <w:basedOn w:val="1"/>
    <w:link w:val="258"/>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60">
    <w:name w:val="Char Char15"/>
    <w:qFormat/>
    <w:uiPriority w:val="6"/>
    <w:rPr>
      <w:rFonts w:ascii="宋体" w:hAnsi="宋体"/>
      <w:kern w:val="1"/>
      <w:sz w:val="21"/>
    </w:rPr>
  </w:style>
  <w:style w:type="character" w:customStyle="1" w:styleId="261">
    <w:name w:val="正文缩进 Char3"/>
    <w:qFormat/>
    <w:uiPriority w:val="0"/>
    <w:rPr>
      <w:rFonts w:ascii="宋体" w:eastAsia="宋体"/>
      <w:snapToGrid w:val="0"/>
      <w:color w:val="000000"/>
      <w:kern w:val="28"/>
      <w:sz w:val="28"/>
      <w:lang w:val="en-US" w:eastAsia="zh-CN" w:bidi="ar-SA"/>
    </w:rPr>
  </w:style>
  <w:style w:type="character" w:customStyle="1" w:styleId="262">
    <w:name w:val="列出段落 Char1"/>
    <w:link w:val="263"/>
    <w:qFormat/>
    <w:uiPriority w:val="0"/>
    <w:rPr>
      <w:rFonts w:ascii="Calibri" w:hAnsi="Calibri"/>
      <w:sz w:val="24"/>
      <w:lang w:eastAsia="en-US"/>
    </w:rPr>
  </w:style>
  <w:style w:type="paragraph" w:customStyle="1" w:styleId="263">
    <w:name w:val="列表1"/>
    <w:basedOn w:val="1"/>
    <w:next w:val="264"/>
    <w:link w:val="262"/>
    <w:qFormat/>
    <w:uiPriority w:val="0"/>
    <w:pPr>
      <w:widowControl/>
      <w:adjustRightInd/>
      <w:spacing w:after="200" w:line="360" w:lineRule="auto"/>
      <w:ind w:left="720" w:firstLine="200" w:firstLineChars="200"/>
      <w:jc w:val="left"/>
    </w:pPr>
    <w:rPr>
      <w:kern w:val="0"/>
      <w:sz w:val="24"/>
      <w:szCs w:val="20"/>
      <w:lang w:eastAsia="en-US"/>
    </w:rPr>
  </w:style>
  <w:style w:type="paragraph" w:customStyle="1" w:styleId="264">
    <w:name w:val="List Paragraph11"/>
    <w:basedOn w:val="1"/>
    <w:qFormat/>
    <w:uiPriority w:val="34"/>
    <w:pPr>
      <w:spacing w:line="360" w:lineRule="auto"/>
      <w:ind w:firstLine="200" w:firstLineChars="200"/>
    </w:pPr>
    <w:rPr>
      <w:rFonts w:eastAsia="楷体_GB2312" w:cs="Lucida Sans"/>
      <w:sz w:val="24"/>
    </w:rPr>
  </w:style>
  <w:style w:type="character" w:customStyle="1" w:styleId="265">
    <w:name w:val="Char Char8"/>
    <w:qFormat/>
    <w:uiPriority w:val="0"/>
    <w:rPr>
      <w:rFonts w:eastAsia="宋体"/>
      <w:b/>
      <w:sz w:val="24"/>
      <w:lang w:val="en-GB" w:eastAsia="zh-CN"/>
    </w:rPr>
  </w:style>
  <w:style w:type="character" w:customStyle="1" w:styleId="266">
    <w:name w:val="Normal Indent Char Char"/>
    <w:qFormat/>
    <w:uiPriority w:val="0"/>
    <w:rPr>
      <w:rFonts w:eastAsia="宋体"/>
      <w:kern w:val="2"/>
      <w:sz w:val="21"/>
      <w:lang w:val="en-US" w:eastAsia="zh-CN" w:bidi="ar-SA"/>
    </w:rPr>
  </w:style>
  <w:style w:type="character" w:customStyle="1" w:styleId="267">
    <w:name w:val="列表段落 字符"/>
    <w:qFormat/>
    <w:uiPriority w:val="99"/>
  </w:style>
  <w:style w:type="character" w:customStyle="1" w:styleId="268">
    <w:name w:val="Ò³Ã¼ Char Char1"/>
    <w:qFormat/>
    <w:uiPriority w:val="0"/>
    <w:rPr>
      <w:rFonts w:eastAsia="宋体"/>
      <w:kern w:val="2"/>
      <w:sz w:val="18"/>
      <w:szCs w:val="18"/>
      <w:lang w:val="en-US" w:eastAsia="zh-CN" w:bidi="ar-SA"/>
    </w:rPr>
  </w:style>
  <w:style w:type="character" w:customStyle="1" w:styleId="269">
    <w:name w:val="方案正文 Char"/>
    <w:qFormat/>
    <w:uiPriority w:val="0"/>
    <w:rPr>
      <w:rFonts w:ascii="仿宋_GB2312" w:eastAsia="仿宋_GB2312"/>
      <w:b/>
      <w:color w:val="000000"/>
      <w:kern w:val="2"/>
      <w:sz w:val="24"/>
      <w:lang w:val="en-US" w:eastAsia="zh-CN" w:bidi="ar-SA"/>
    </w:rPr>
  </w:style>
  <w:style w:type="character" w:customStyle="1" w:styleId="270">
    <w:name w:val="Char Char30"/>
    <w:qFormat/>
    <w:uiPriority w:val="6"/>
    <w:rPr>
      <w:rFonts w:ascii="Arial" w:hAnsi="Arial" w:eastAsia="黑体"/>
      <w:kern w:val="1"/>
      <w:sz w:val="21"/>
      <w:szCs w:val="21"/>
    </w:rPr>
  </w:style>
  <w:style w:type="character" w:customStyle="1" w:styleId="271">
    <w:name w:val="正文文本缩进 Char3"/>
    <w:link w:val="25"/>
    <w:qFormat/>
    <w:uiPriority w:val="0"/>
    <w:rPr>
      <w:rFonts w:ascii="宋体" w:hAnsi="宋体"/>
      <w:kern w:val="2"/>
      <w:sz w:val="24"/>
      <w:szCs w:val="24"/>
    </w:rPr>
  </w:style>
  <w:style w:type="character" w:customStyle="1" w:styleId="272">
    <w:name w:val="font01"/>
    <w:qFormat/>
    <w:uiPriority w:val="0"/>
    <w:rPr>
      <w:rFonts w:hint="eastAsia" w:ascii="微软雅黑" w:hAnsi="微软雅黑" w:eastAsia="微软雅黑" w:cs="微软雅黑"/>
      <w:color w:val="000000"/>
      <w:sz w:val="20"/>
      <w:szCs w:val="20"/>
      <w:u w:val="none"/>
    </w:rPr>
  </w:style>
  <w:style w:type="character" w:customStyle="1" w:styleId="273">
    <w:name w:val="Char Char20"/>
    <w:qFormat/>
    <w:uiPriority w:val="6"/>
    <w:rPr>
      <w:kern w:val="1"/>
      <w:sz w:val="24"/>
    </w:rPr>
  </w:style>
  <w:style w:type="character" w:customStyle="1" w:styleId="274">
    <w:name w:val="tw4winExternal"/>
    <w:qFormat/>
    <w:uiPriority w:val="0"/>
    <w:rPr>
      <w:rFonts w:ascii="Courier New" w:hAnsi="Courier New" w:cs="Courier New"/>
      <w:color w:val="808080"/>
      <w:lang w:val="en-US" w:eastAsia="zh-CN"/>
    </w:rPr>
  </w:style>
  <w:style w:type="character" w:customStyle="1" w:styleId="275">
    <w:name w:val="标题 4 Char1"/>
    <w:qFormat/>
    <w:uiPriority w:val="9"/>
    <w:rPr>
      <w:rFonts w:ascii="Cambria" w:hAnsi="Cambria" w:eastAsia="宋体" w:cs="Times New Roman"/>
      <w:b/>
      <w:bCs/>
      <w:kern w:val="2"/>
      <w:sz w:val="28"/>
      <w:szCs w:val="28"/>
    </w:rPr>
  </w:style>
  <w:style w:type="character" w:customStyle="1" w:styleId="276">
    <w:name w:val="批注文字 Char2"/>
    <w:qFormat/>
    <w:uiPriority w:val="99"/>
    <w:rPr>
      <w:rFonts w:ascii="Times New Roman" w:hAnsi="Times New Roman" w:eastAsia="宋体" w:cs="Times New Roman"/>
      <w:snapToGrid w:val="0"/>
      <w:kern w:val="0"/>
      <w:szCs w:val="24"/>
    </w:rPr>
  </w:style>
  <w:style w:type="character" w:customStyle="1" w:styleId="277">
    <w:name w:val="正文文本 2 Char"/>
    <w:qFormat/>
    <w:uiPriority w:val="0"/>
    <w:rPr>
      <w:rFonts w:eastAsia="宋体"/>
      <w:kern w:val="2"/>
      <w:sz w:val="21"/>
      <w:szCs w:val="24"/>
      <w:lang w:val="en-US" w:eastAsia="zh-CN" w:bidi="ar-SA"/>
    </w:rPr>
  </w:style>
  <w:style w:type="character" w:customStyle="1" w:styleId="278">
    <w:name w:val="Ò³Ã¼ Char Char"/>
    <w:qFormat/>
    <w:uiPriority w:val="0"/>
    <w:rPr>
      <w:rFonts w:eastAsia="宋体"/>
      <w:kern w:val="2"/>
      <w:sz w:val="18"/>
      <w:lang w:val="en-US" w:eastAsia="zh-CN" w:bidi="ar-SA"/>
    </w:rPr>
  </w:style>
  <w:style w:type="character" w:customStyle="1" w:styleId="279">
    <w:name w:val="message1"/>
    <w:qFormat/>
    <w:uiPriority w:val="0"/>
    <w:rPr>
      <w:rFonts w:hint="default" w:ascii="Tahoma" w:hAnsi="Tahoma" w:cs="Tahoma"/>
      <w:sz w:val="18"/>
      <w:szCs w:val="18"/>
    </w:rPr>
  </w:style>
  <w:style w:type="character" w:customStyle="1" w:styleId="280">
    <w:name w:val="Char Char23"/>
    <w:qFormat/>
    <w:uiPriority w:val="6"/>
    <w:rPr>
      <w:color w:val="0000FF"/>
      <w:sz w:val="21"/>
    </w:rPr>
  </w:style>
  <w:style w:type="character" w:customStyle="1" w:styleId="281">
    <w:name w:val="批注框文本 字符"/>
    <w:qFormat/>
    <w:uiPriority w:val="0"/>
    <w:rPr>
      <w:rFonts w:ascii="Arial" w:hAnsi="Arial" w:eastAsia="黑体" w:cs="Arial"/>
      <w:snapToGrid w:val="0"/>
      <w:kern w:val="0"/>
      <w:sz w:val="18"/>
      <w:szCs w:val="18"/>
    </w:rPr>
  </w:style>
  <w:style w:type="character" w:customStyle="1" w:styleId="282">
    <w:name w:val="纯文本 Char2"/>
    <w:qFormat/>
    <w:uiPriority w:val="99"/>
    <w:rPr>
      <w:rFonts w:ascii="宋体" w:hAnsi="Courier New" w:eastAsia="宋体" w:cs="Courier New"/>
    </w:rPr>
  </w:style>
  <w:style w:type="character" w:customStyle="1" w:styleId="283">
    <w:name w:val="Char Char25"/>
    <w:qFormat/>
    <w:uiPriority w:val="6"/>
    <w:rPr>
      <w:rFonts w:ascii="宋体" w:hAnsi="宋体"/>
      <w:kern w:val="1"/>
      <w:sz w:val="24"/>
      <w:lang w:val="zh-CN"/>
    </w:rPr>
  </w:style>
  <w:style w:type="character" w:customStyle="1" w:styleId="284">
    <w:name w:val="Char Char411"/>
    <w:qFormat/>
    <w:uiPriority w:val="0"/>
    <w:rPr>
      <w:rFonts w:eastAsia="宋体"/>
      <w:b/>
      <w:sz w:val="24"/>
      <w:lang w:val="en-GB" w:eastAsia="zh-CN" w:bidi="ar-SA"/>
    </w:rPr>
  </w:style>
  <w:style w:type="character" w:customStyle="1" w:styleId="285">
    <w:name w:val="Heading 7 Char_fc4acbba-a026-4222-802e-fbb612d09a4a"/>
    <w:qFormat/>
    <w:uiPriority w:val="0"/>
    <w:rPr>
      <w:rFonts w:ascii="宋体" w:hAnsi="宋体" w:eastAsia="宋体"/>
      <w:b/>
      <w:bCs/>
      <w:kern w:val="2"/>
      <w:sz w:val="24"/>
      <w:szCs w:val="24"/>
      <w:lang w:val="en-US" w:eastAsia="zh-CN" w:bidi="ar-SA"/>
    </w:rPr>
  </w:style>
  <w:style w:type="character" w:customStyle="1" w:styleId="286">
    <w:name w:val="此正文 Char"/>
    <w:link w:val="287"/>
    <w:qFormat/>
    <w:uiPriority w:val="0"/>
    <w:rPr>
      <w:kern w:val="2"/>
      <w:sz w:val="24"/>
      <w:szCs w:val="24"/>
    </w:rPr>
  </w:style>
  <w:style w:type="paragraph" w:customStyle="1" w:styleId="287">
    <w:name w:val="此正文"/>
    <w:basedOn w:val="1"/>
    <w:link w:val="286"/>
    <w:qFormat/>
    <w:uiPriority w:val="0"/>
    <w:pPr>
      <w:adjustRightInd/>
      <w:spacing w:line="360" w:lineRule="auto"/>
      <w:ind w:firstLine="200" w:firstLineChars="200"/>
    </w:pPr>
    <w:rPr>
      <w:sz w:val="24"/>
    </w:rPr>
  </w:style>
  <w:style w:type="character" w:customStyle="1" w:styleId="288">
    <w:name w:val="Char Char2"/>
    <w:qFormat/>
    <w:uiPriority w:val="0"/>
    <w:rPr>
      <w:rFonts w:eastAsia="宋体"/>
      <w:b/>
      <w:bCs/>
      <w:kern w:val="2"/>
      <w:sz w:val="21"/>
      <w:szCs w:val="24"/>
      <w:lang w:val="en-US" w:eastAsia="zh-CN" w:bidi="ar-SA"/>
    </w:rPr>
  </w:style>
  <w:style w:type="character" w:customStyle="1" w:styleId="289">
    <w:name w:val="Footer-Even Char1"/>
    <w:qFormat/>
    <w:uiPriority w:val="0"/>
    <w:rPr>
      <w:rFonts w:eastAsia="宋体"/>
      <w:kern w:val="2"/>
      <w:sz w:val="18"/>
      <w:szCs w:val="18"/>
      <w:lang w:val="en-US" w:eastAsia="zh-CN" w:bidi="ar-SA"/>
    </w:rPr>
  </w:style>
  <w:style w:type="character" w:customStyle="1" w:styleId="290">
    <w:name w:val="Char Char29"/>
    <w:qFormat/>
    <w:uiPriority w:val="6"/>
    <w:rPr>
      <w:rFonts w:ascii="Arial" w:hAnsi="Arial" w:eastAsia="微软雅黑"/>
      <w:b/>
      <w:kern w:val="1"/>
      <w:sz w:val="44"/>
      <w:szCs w:val="32"/>
      <w:lang w:val="en-US" w:eastAsia="zh-CN" w:bidi="ar-SA"/>
    </w:rPr>
  </w:style>
  <w:style w:type="character" w:customStyle="1" w:styleId="291">
    <w:name w:val="标题 Char2"/>
    <w:link w:val="59"/>
    <w:qFormat/>
    <w:uiPriority w:val="10"/>
    <w:rPr>
      <w:b/>
      <w:sz w:val="24"/>
      <w:lang w:val="en-GB"/>
    </w:rPr>
  </w:style>
  <w:style w:type="character" w:customStyle="1" w:styleId="292">
    <w:name w:val="font81"/>
    <w:qFormat/>
    <w:uiPriority w:val="0"/>
    <w:rPr>
      <w:rFonts w:ascii="微软雅黑" w:hAnsi="微软雅黑" w:eastAsia="微软雅黑" w:cs="微软雅黑"/>
      <w:color w:val="000000"/>
      <w:sz w:val="20"/>
      <w:szCs w:val="20"/>
      <w:u w:val="none"/>
    </w:rPr>
  </w:style>
  <w:style w:type="character" w:customStyle="1" w:styleId="293">
    <w:name w:val="Char Char312"/>
    <w:qFormat/>
    <w:uiPriority w:val="0"/>
    <w:rPr>
      <w:rFonts w:ascii="Times New Roman" w:hAnsi="Times New Roman" w:eastAsia="宋体" w:cs="Times New Roman"/>
      <w:b/>
      <w:kern w:val="2"/>
      <w:sz w:val="32"/>
      <w:szCs w:val="24"/>
      <w:lang w:val="en-US" w:eastAsia="zh-CN" w:bidi="ar-SA"/>
    </w:rPr>
  </w:style>
  <w:style w:type="character" w:customStyle="1" w:styleId="294">
    <w:name w:val="t21"/>
    <w:qFormat/>
    <w:uiPriority w:val="0"/>
    <w:rPr>
      <w:rFonts w:ascii="仿宋_GB2312" w:eastAsia="微软雅黑"/>
      <w:b/>
      <w:kern w:val="2"/>
      <w:sz w:val="23"/>
      <w:szCs w:val="23"/>
      <w:lang w:val="en-US" w:eastAsia="zh-CN" w:bidi="ar-SA"/>
    </w:rPr>
  </w:style>
  <w:style w:type="character" w:customStyle="1" w:styleId="295">
    <w:name w:val="样式8 Char"/>
    <w:qFormat/>
    <w:uiPriority w:val="0"/>
    <w:rPr>
      <w:rFonts w:ascii="仿宋_GB2312" w:hAnsi="宋体" w:eastAsia="仿宋_GB2312"/>
      <w:b/>
      <w:bCs/>
      <w:kern w:val="2"/>
      <w:sz w:val="24"/>
      <w:szCs w:val="24"/>
    </w:rPr>
  </w:style>
  <w:style w:type="character" w:customStyle="1" w:styleId="296">
    <w:name w:val="表格 Char Char"/>
    <w:qFormat/>
    <w:uiPriority w:val="0"/>
    <w:rPr>
      <w:rFonts w:ascii="宋体" w:hAnsi="宋体" w:eastAsia="宋体"/>
      <w:lang w:bidi="ar-SA"/>
    </w:rPr>
  </w:style>
  <w:style w:type="character" w:customStyle="1" w:styleId="297">
    <w:name w:val="正文文本 字符1"/>
    <w:qFormat/>
    <w:uiPriority w:val="0"/>
    <w:rPr>
      <w:rFonts w:ascii="Calibri" w:hAnsi="Calibri" w:eastAsia="黑体" w:cs="Arial"/>
      <w:snapToGrid w:val="0"/>
      <w:kern w:val="2"/>
      <w:sz w:val="28"/>
      <w:szCs w:val="21"/>
    </w:rPr>
  </w:style>
  <w:style w:type="character" w:customStyle="1" w:styleId="298">
    <w:name w:val="标题 5 Char"/>
    <w:link w:val="7"/>
    <w:qFormat/>
    <w:uiPriority w:val="9"/>
    <w:rPr>
      <w:b/>
      <w:bCs/>
      <w:kern w:val="2"/>
      <w:sz w:val="28"/>
      <w:szCs w:val="28"/>
    </w:rPr>
  </w:style>
  <w:style w:type="character" w:customStyle="1" w:styleId="299">
    <w:name w:val="标题 6 Char1"/>
    <w:qFormat/>
    <w:uiPriority w:val="0"/>
    <w:rPr>
      <w:rFonts w:ascii="Arial" w:hAnsi="Arial" w:eastAsia="黑体" w:cs="Times New Roman"/>
      <w:b/>
      <w:sz w:val="24"/>
      <w:szCs w:val="20"/>
      <w:lang w:bidi="ar-SA"/>
    </w:rPr>
  </w:style>
  <w:style w:type="character" w:customStyle="1" w:styleId="300">
    <w:name w:val="带编号样式 Char"/>
    <w:qFormat/>
    <w:uiPriority w:val="0"/>
    <w:rPr>
      <w:rFonts w:ascii="仿宋_GB2312" w:eastAsia="仿宋_GB2312"/>
      <w:color w:val="000000"/>
      <w:sz w:val="24"/>
      <w:lang w:bidi="ar-SA"/>
    </w:rPr>
  </w:style>
  <w:style w:type="character" w:customStyle="1" w:styleId="301">
    <w:name w:val="unnamed31"/>
    <w:qFormat/>
    <w:uiPriority w:val="0"/>
    <w:rPr>
      <w:rFonts w:ascii="Tahoma" w:hAnsi="Tahoma" w:eastAsia="宋体"/>
      <w:b/>
      <w:kern w:val="2"/>
      <w:sz w:val="24"/>
      <w:szCs w:val="32"/>
      <w:u w:val="none"/>
      <w:lang w:val="en-US" w:eastAsia="zh-CN" w:bidi="ar-SA"/>
    </w:rPr>
  </w:style>
  <w:style w:type="character" w:customStyle="1" w:styleId="302">
    <w:name w:val="正文首行缩进 Char Char Char Char Char Char1"/>
    <w:qFormat/>
    <w:uiPriority w:val="0"/>
    <w:rPr>
      <w:rFonts w:ascii="宋体" w:eastAsia="宋体"/>
      <w:kern w:val="2"/>
      <w:sz w:val="24"/>
      <w:szCs w:val="24"/>
      <w:lang w:val="zh-CN" w:bidi="ar-SA"/>
    </w:rPr>
  </w:style>
  <w:style w:type="character" w:customStyle="1" w:styleId="303">
    <w:name w:val="称呼 Char"/>
    <w:link w:val="20"/>
    <w:qFormat/>
    <w:uiPriority w:val="0"/>
    <w:rPr>
      <w:rFonts w:ascii="仿宋_GB2312" w:eastAsia="仿宋_GB2312"/>
      <w:kern w:val="2"/>
      <w:sz w:val="28"/>
    </w:rPr>
  </w:style>
  <w:style w:type="character" w:customStyle="1" w:styleId="304">
    <w:name w:val="文本正文 Char Char"/>
    <w:qFormat/>
    <w:uiPriority w:val="0"/>
    <w:rPr>
      <w:sz w:val="24"/>
      <w:lang w:bidi="ar-SA"/>
    </w:rPr>
  </w:style>
  <w:style w:type="character" w:customStyle="1" w:styleId="305">
    <w:name w:val="HTML 预设格式 Char"/>
    <w:link w:val="57"/>
    <w:qFormat/>
    <w:uiPriority w:val="0"/>
    <w:rPr>
      <w:rFonts w:ascii="黑体" w:hAnsi="Courier New" w:eastAsia="黑体"/>
    </w:rPr>
  </w:style>
  <w:style w:type="character" w:customStyle="1" w:styleId="306">
    <w:name w:val="正文文本 2 Char1"/>
    <w:link w:val="56"/>
    <w:qFormat/>
    <w:uiPriority w:val="0"/>
    <w:rPr>
      <w:kern w:val="2"/>
      <w:sz w:val="21"/>
      <w:szCs w:val="24"/>
    </w:rPr>
  </w:style>
  <w:style w:type="character" w:customStyle="1" w:styleId="307">
    <w:name w:val="样式 样式 标题 4h4H4Fab-4T5Ref Heading 1rh1Heading sqlsect 1.2.3.... +... Char"/>
    <w:link w:val="308"/>
    <w:qFormat/>
    <w:uiPriority w:val="0"/>
    <w:rPr>
      <w:rFonts w:ascii="微软雅黑" w:hAnsi="微软雅黑" w:eastAsia="微软雅黑"/>
      <w:b/>
      <w:bCs/>
      <w:kern w:val="2"/>
      <w:sz w:val="24"/>
      <w:szCs w:val="28"/>
    </w:rPr>
  </w:style>
  <w:style w:type="paragraph" w:customStyle="1" w:styleId="308">
    <w:name w:val="样式 样式 标题 4h4H4Fab-4T5Ref Heading 1rh1Heading sqlsect 1.2.3.... +..."/>
    <w:basedOn w:val="309"/>
    <w:link w:val="307"/>
    <w:qFormat/>
    <w:uiPriority w:val="0"/>
    <w:pPr>
      <w:tabs>
        <w:tab w:val="left" w:pos="2356"/>
      </w:tabs>
    </w:pPr>
  </w:style>
  <w:style w:type="paragraph" w:customStyle="1" w:styleId="309">
    <w:name w:val="样式 标题 4h4H4Fab-4T5Ref Heading 1rh1Heading sqlsect 1.2.3...."/>
    <w:basedOn w:val="6"/>
    <w:link w:val="415"/>
    <w:qFormat/>
    <w:uiPriority w:val="0"/>
    <w:pPr>
      <w:tabs>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10">
    <w:name w:val="正文非缩进 Char"/>
    <w:qFormat/>
    <w:uiPriority w:val="0"/>
    <w:rPr>
      <w:rFonts w:ascii="宋体" w:eastAsia="宋体"/>
      <w:snapToGrid w:val="0"/>
      <w:color w:val="000000"/>
      <w:kern w:val="28"/>
      <w:sz w:val="28"/>
      <w:lang w:val="en-US" w:eastAsia="zh-CN" w:bidi="ar-SA"/>
    </w:rPr>
  </w:style>
  <w:style w:type="character" w:customStyle="1" w:styleId="311">
    <w:name w:val="标题 7 Char"/>
    <w:link w:val="9"/>
    <w:qFormat/>
    <w:uiPriority w:val="0"/>
    <w:rPr>
      <w:b/>
      <w:bCs/>
      <w:kern w:val="2"/>
      <w:sz w:val="24"/>
      <w:szCs w:val="24"/>
    </w:rPr>
  </w:style>
  <w:style w:type="character" w:customStyle="1" w:styleId="312">
    <w:name w:val="正文文本缩进 2 Char"/>
    <w:link w:val="37"/>
    <w:qFormat/>
    <w:uiPriority w:val="0"/>
    <w:rPr>
      <w:rFonts w:ascii="宋体"/>
      <w:sz w:val="28"/>
    </w:rPr>
  </w:style>
  <w:style w:type="character" w:customStyle="1" w:styleId="313">
    <w:name w:val="Char Char5"/>
    <w:qFormat/>
    <w:uiPriority w:val="0"/>
    <w:rPr>
      <w:rFonts w:ascii="宋体" w:hAnsi="Courier New" w:eastAsia="宋体"/>
      <w:kern w:val="2"/>
      <w:sz w:val="21"/>
      <w:lang w:val="en-US" w:eastAsia="zh-CN"/>
    </w:rPr>
  </w:style>
  <w:style w:type="character" w:customStyle="1" w:styleId="314">
    <w:name w:val="脚注文本 Char"/>
    <w:link w:val="50"/>
    <w:qFormat/>
    <w:uiPriority w:val="0"/>
    <w:rPr>
      <w:color w:val="0000FF"/>
      <w:sz w:val="21"/>
    </w:rPr>
  </w:style>
  <w:style w:type="character" w:customStyle="1" w:styleId="315">
    <w:name w:val="称呼 Char1"/>
    <w:qFormat/>
    <w:uiPriority w:val="0"/>
    <w:rPr>
      <w:rFonts w:ascii="Times New Roman" w:hAnsi="Times New Roman" w:eastAsia="宋体" w:cs="Times New Roman"/>
      <w:szCs w:val="24"/>
    </w:rPr>
  </w:style>
  <w:style w:type="character" w:customStyle="1" w:styleId="316">
    <w:name w:val="正文1 Char"/>
    <w:qFormat/>
    <w:uiPriority w:val="0"/>
    <w:rPr>
      <w:rFonts w:ascii="宋体" w:eastAsia="宋体"/>
      <w:snapToGrid w:val="0"/>
      <w:color w:val="000000"/>
      <w:kern w:val="28"/>
      <w:sz w:val="28"/>
      <w:lang w:val="en-US" w:eastAsia="zh-CN" w:bidi="ar-SA"/>
    </w:rPr>
  </w:style>
  <w:style w:type="character" w:customStyle="1" w:styleId="317">
    <w:name w:val="正文缩进 Char1"/>
    <w:qFormat/>
    <w:uiPriority w:val="0"/>
    <w:rPr>
      <w:rFonts w:ascii="宋体" w:eastAsia="宋体"/>
      <w:snapToGrid w:val="0"/>
      <w:color w:val="000000"/>
      <w:kern w:val="28"/>
      <w:sz w:val="28"/>
      <w:lang w:val="en-US" w:eastAsia="zh-CN" w:bidi="ar-SA"/>
    </w:rPr>
  </w:style>
  <w:style w:type="character" w:customStyle="1" w:styleId="318">
    <w:name w:val="font21"/>
    <w:qFormat/>
    <w:uiPriority w:val="0"/>
    <w:rPr>
      <w:rFonts w:hint="eastAsia" w:ascii="宋体" w:hAnsi="宋体" w:eastAsia="宋体"/>
      <w:kern w:val="2"/>
      <w:sz w:val="28"/>
      <w:szCs w:val="28"/>
      <w:lang w:val="en-US" w:eastAsia="zh-CN" w:bidi="ar-SA"/>
    </w:rPr>
  </w:style>
  <w:style w:type="character" w:customStyle="1" w:styleId="319">
    <w:name w:val="Char Char26"/>
    <w:qFormat/>
    <w:uiPriority w:val="6"/>
    <w:rPr>
      <w:kern w:val="1"/>
      <w:sz w:val="21"/>
      <w:szCs w:val="24"/>
    </w:rPr>
  </w:style>
  <w:style w:type="character" w:customStyle="1" w:styleId="320">
    <w:name w:val="Item List Char"/>
    <w:link w:val="321"/>
    <w:qFormat/>
    <w:uiPriority w:val="0"/>
    <w:rPr>
      <w:rFonts w:ascii="Arial"/>
      <w:bCs/>
      <w:sz w:val="21"/>
      <w:szCs w:val="21"/>
      <w:lang w:val="en-US" w:eastAsia="zh-CN" w:bidi="ar-SA"/>
    </w:rPr>
  </w:style>
  <w:style w:type="paragraph" w:customStyle="1" w:styleId="321">
    <w:name w:val="Item List"/>
    <w:link w:val="320"/>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22">
    <w:name w:val="批注框文本 Char1"/>
    <w:qFormat/>
    <w:uiPriority w:val="0"/>
    <w:rPr>
      <w:rFonts w:ascii="Times New Roman" w:hAnsi="Times New Roman" w:eastAsia="宋体" w:cs="Times New Roman"/>
      <w:sz w:val="18"/>
      <w:szCs w:val="18"/>
    </w:rPr>
  </w:style>
  <w:style w:type="character" w:customStyle="1" w:styleId="323">
    <w:name w:val="纯文本 Char1"/>
    <w:link w:val="324"/>
    <w:qFormat/>
    <w:uiPriority w:val="0"/>
    <w:rPr>
      <w:rFonts w:ascii="宋体" w:hAnsi="Courier New"/>
    </w:rPr>
  </w:style>
  <w:style w:type="paragraph" w:customStyle="1" w:styleId="324">
    <w:name w:val="纯文本1"/>
    <w:basedOn w:val="1"/>
    <w:link w:val="323"/>
    <w:qFormat/>
    <w:uiPriority w:val="0"/>
    <w:pPr>
      <w:adjustRightInd/>
    </w:pPr>
    <w:rPr>
      <w:rFonts w:ascii="宋体" w:hAnsi="Courier New"/>
      <w:kern w:val="0"/>
      <w:sz w:val="20"/>
      <w:szCs w:val="20"/>
    </w:rPr>
  </w:style>
  <w:style w:type="character" w:customStyle="1" w:styleId="325">
    <w:name w:val="正文首行缩进 Char"/>
    <w:link w:val="24"/>
    <w:qFormat/>
    <w:uiPriority w:val="0"/>
    <w:rPr>
      <w:rFonts w:ascii="宋体"/>
      <w:kern w:val="2"/>
      <w:sz w:val="24"/>
      <w:lang w:val="zh-CN"/>
    </w:rPr>
  </w:style>
  <w:style w:type="character" w:customStyle="1" w:styleId="326">
    <w:name w:val="h3 Char"/>
    <w:qFormat/>
    <w:uiPriority w:val="0"/>
    <w:rPr>
      <w:rFonts w:eastAsia="宋体"/>
      <w:b/>
      <w:kern w:val="2"/>
      <w:sz w:val="32"/>
      <w:lang w:val="en-US" w:eastAsia="zh-CN" w:bidi="ar-SA"/>
    </w:rPr>
  </w:style>
  <w:style w:type="character" w:customStyle="1" w:styleId="327">
    <w:name w:val="dandyren_title1"/>
    <w:qFormat/>
    <w:uiPriority w:val="0"/>
    <w:rPr>
      <w:b/>
      <w:bCs/>
      <w:color w:val="FF6633"/>
      <w:sz w:val="18"/>
      <w:szCs w:val="18"/>
    </w:rPr>
  </w:style>
  <w:style w:type="character" w:customStyle="1" w:styleId="328">
    <w:name w:val="Char Char31"/>
    <w:qFormat/>
    <w:uiPriority w:val="6"/>
    <w:rPr>
      <w:rFonts w:ascii="Arial" w:hAnsi="Arial" w:eastAsia="黑体"/>
      <w:kern w:val="1"/>
      <w:sz w:val="24"/>
      <w:szCs w:val="24"/>
    </w:rPr>
  </w:style>
  <w:style w:type="character" w:customStyle="1" w:styleId="329">
    <w:name w:val="h Char1"/>
    <w:qFormat/>
    <w:uiPriority w:val="0"/>
    <w:rPr>
      <w:sz w:val="18"/>
      <w:szCs w:val="18"/>
    </w:rPr>
  </w:style>
  <w:style w:type="character" w:customStyle="1" w:styleId="330">
    <w:name w:val="solutionfonts"/>
    <w:qFormat/>
    <w:uiPriority w:val="0"/>
  </w:style>
  <w:style w:type="character" w:customStyle="1" w:styleId="331">
    <w:name w:val="标题 4 Char2"/>
    <w:link w:val="6"/>
    <w:qFormat/>
    <w:uiPriority w:val="9"/>
    <w:rPr>
      <w:rFonts w:ascii="Arial" w:hAnsi="Arial" w:eastAsia="黑体"/>
      <w:b/>
      <w:bCs/>
      <w:kern w:val="2"/>
      <w:sz w:val="28"/>
      <w:szCs w:val="28"/>
      <w:lang w:val="zh-CN"/>
    </w:rPr>
  </w:style>
  <w:style w:type="character" w:customStyle="1" w:styleId="332">
    <w:name w:val="首行缩进 Char"/>
    <w:qFormat/>
    <w:uiPriority w:val="0"/>
    <w:rPr>
      <w:rFonts w:ascii="宋体" w:eastAsia="宋体"/>
      <w:kern w:val="2"/>
      <w:sz w:val="24"/>
      <w:lang w:val="en-US" w:eastAsia="zh-CN" w:bidi="ar-SA"/>
    </w:rPr>
  </w:style>
  <w:style w:type="character" w:customStyle="1" w:styleId="333">
    <w:name w:val="Char Char52"/>
    <w:qFormat/>
    <w:uiPriority w:val="0"/>
    <w:rPr>
      <w:rFonts w:ascii="宋体" w:hAnsi="Courier New" w:eastAsia="宋体"/>
      <w:kern w:val="2"/>
      <w:sz w:val="21"/>
      <w:lang w:val="en-US" w:eastAsia="zh-CN"/>
    </w:rPr>
  </w:style>
  <w:style w:type="character" w:customStyle="1" w:styleId="334">
    <w:name w:val="正文文本 3 Char"/>
    <w:link w:val="21"/>
    <w:qFormat/>
    <w:uiPriority w:val="0"/>
    <w:rPr>
      <w:kern w:val="2"/>
      <w:sz w:val="21"/>
    </w:rPr>
  </w:style>
  <w:style w:type="character" w:customStyle="1" w:styleId="335">
    <w:name w:val="font31"/>
    <w:qFormat/>
    <w:uiPriority w:val="0"/>
    <w:rPr>
      <w:rFonts w:hint="eastAsia" w:ascii="仿宋" w:hAnsi="仿宋" w:eastAsia="仿宋" w:cs="仿宋"/>
      <w:color w:val="000000"/>
      <w:sz w:val="20"/>
      <w:szCs w:val="20"/>
      <w:u w:val="none"/>
    </w:rPr>
  </w:style>
  <w:style w:type="character" w:customStyle="1" w:styleId="336">
    <w:name w:val="正文说明 Char"/>
    <w:link w:val="337"/>
    <w:qFormat/>
    <w:uiPriority w:val="0"/>
    <w:rPr>
      <w:sz w:val="24"/>
      <w:szCs w:val="24"/>
    </w:rPr>
  </w:style>
  <w:style w:type="paragraph" w:customStyle="1" w:styleId="337">
    <w:name w:val="正文说明"/>
    <w:basedOn w:val="1"/>
    <w:link w:val="336"/>
    <w:qFormat/>
    <w:uiPriority w:val="0"/>
    <w:pPr>
      <w:adjustRightInd/>
      <w:spacing w:line="360" w:lineRule="auto"/>
    </w:pPr>
    <w:rPr>
      <w:kern w:val="0"/>
      <w:sz w:val="24"/>
    </w:rPr>
  </w:style>
  <w:style w:type="character" w:customStyle="1" w:styleId="338">
    <w:name w:val="脚注文本 Char1"/>
    <w:qFormat/>
    <w:uiPriority w:val="0"/>
    <w:rPr>
      <w:rFonts w:ascii="Times New Roman" w:hAnsi="Times New Roman" w:eastAsia="宋体" w:cs="Times New Roman"/>
      <w:sz w:val="18"/>
      <w:szCs w:val="18"/>
    </w:rPr>
  </w:style>
  <w:style w:type="character" w:customStyle="1" w:styleId="339">
    <w:name w:val="Char Char1211"/>
    <w:qFormat/>
    <w:uiPriority w:val="0"/>
    <w:rPr>
      <w:rFonts w:ascii="仿宋_GB2312" w:eastAsia="仿宋_GB2312"/>
      <w:b/>
      <w:bCs/>
      <w:kern w:val="2"/>
      <w:sz w:val="24"/>
      <w:szCs w:val="24"/>
      <w:lang w:val="zh-CN" w:eastAsia="zh-CN" w:bidi="ar-SA"/>
    </w:rPr>
  </w:style>
  <w:style w:type="character" w:customStyle="1" w:styleId="340">
    <w:name w:val="标题 Char"/>
    <w:qFormat/>
    <w:uiPriority w:val="0"/>
    <w:rPr>
      <w:rFonts w:eastAsia="宋体"/>
      <w:b/>
      <w:sz w:val="24"/>
      <w:lang w:val="en-GB" w:eastAsia="zh-CN" w:bidi="ar-SA"/>
    </w:rPr>
  </w:style>
  <w:style w:type="character" w:customStyle="1" w:styleId="341">
    <w:name w:val="Char Char35"/>
    <w:qFormat/>
    <w:uiPriority w:val="6"/>
    <w:rPr>
      <w:rFonts w:ascii="Arial" w:hAnsi="Arial" w:eastAsia="黑体"/>
      <w:b/>
      <w:kern w:val="1"/>
      <w:sz w:val="28"/>
      <w:szCs w:val="28"/>
      <w:lang w:val="zh-CN"/>
    </w:rPr>
  </w:style>
  <w:style w:type="character" w:customStyle="1" w:styleId="342">
    <w:name w:val="纯文本 Char Char Char"/>
    <w:qFormat/>
    <w:uiPriority w:val="0"/>
    <w:rPr>
      <w:rFonts w:ascii="宋体" w:hAnsi="Courier New" w:eastAsia="宋体"/>
      <w:kern w:val="2"/>
      <w:sz w:val="21"/>
      <w:lang w:val="en-US" w:eastAsia="zh-CN" w:bidi="ar-SA"/>
    </w:rPr>
  </w:style>
  <w:style w:type="character" w:customStyle="1" w:styleId="343">
    <w:name w:val="Table Text Char"/>
    <w:link w:val="344"/>
    <w:qFormat/>
    <w:uiPriority w:val="0"/>
    <w:rPr>
      <w:sz w:val="24"/>
      <w:szCs w:val="24"/>
    </w:rPr>
  </w:style>
  <w:style w:type="paragraph" w:customStyle="1" w:styleId="344">
    <w:name w:val="Table Text"/>
    <w:basedOn w:val="1"/>
    <w:link w:val="343"/>
    <w:qFormat/>
    <w:uiPriority w:val="0"/>
    <w:pPr>
      <w:widowControl/>
      <w:spacing w:before="60" w:after="60"/>
      <w:jc w:val="left"/>
    </w:pPr>
    <w:rPr>
      <w:kern w:val="0"/>
      <w:sz w:val="24"/>
    </w:rPr>
  </w:style>
  <w:style w:type="character" w:customStyle="1" w:styleId="345">
    <w:name w:val="正文1 Char1"/>
    <w:qFormat/>
    <w:uiPriority w:val="0"/>
    <w:rPr>
      <w:rFonts w:ascii="仿宋_GB2312" w:hAnsi="Courier New" w:eastAsia="仿宋_GB2312"/>
      <w:kern w:val="28"/>
      <w:sz w:val="24"/>
      <w:szCs w:val="24"/>
      <w:lang w:val="en-US" w:eastAsia="zh-CN"/>
    </w:rPr>
  </w:style>
  <w:style w:type="character" w:customStyle="1" w:styleId="346">
    <w:name w:val="页脚 Char1"/>
    <w:qFormat/>
    <w:uiPriority w:val="0"/>
    <w:rPr>
      <w:rFonts w:eastAsia="宋体"/>
      <w:kern w:val="2"/>
      <w:sz w:val="18"/>
      <w:szCs w:val="18"/>
      <w:lang w:val="en-US" w:eastAsia="zh-CN" w:bidi="ar-SA"/>
    </w:rPr>
  </w:style>
  <w:style w:type="character" w:customStyle="1" w:styleId="347">
    <w:name w:val="Bold"/>
    <w:qFormat/>
    <w:uiPriority w:val="0"/>
    <w:rPr>
      <w:rFonts w:ascii="Arial" w:hAnsi="Arial" w:eastAsia="黑体" w:cs="Times New Roman"/>
      <w:b/>
      <w:kern w:val="2"/>
      <w:sz w:val="32"/>
      <w:szCs w:val="32"/>
      <w:lang w:val="en-US" w:eastAsia="zh-CN" w:bidi="ar-SA"/>
    </w:rPr>
  </w:style>
  <w:style w:type="character" w:customStyle="1" w:styleId="348">
    <w:name w:val="批注文字 Char1"/>
    <w:link w:val="19"/>
    <w:qFormat/>
    <w:uiPriority w:val="0"/>
    <w:rPr>
      <w:kern w:val="2"/>
      <w:sz w:val="21"/>
      <w:szCs w:val="24"/>
    </w:rPr>
  </w:style>
  <w:style w:type="character" w:customStyle="1" w:styleId="349">
    <w:name w:val="签名 Char"/>
    <w:link w:val="42"/>
    <w:qFormat/>
    <w:uiPriority w:val="0"/>
    <w:rPr>
      <w:rFonts w:eastAsia="仿宋_GB2312"/>
      <w:sz w:val="24"/>
    </w:rPr>
  </w:style>
  <w:style w:type="character" w:customStyle="1" w:styleId="350">
    <w:name w:val="hui3"/>
    <w:qFormat/>
    <w:uiPriority w:val="0"/>
    <w:rPr>
      <w:color w:val="333333"/>
    </w:rPr>
  </w:style>
  <w:style w:type="character" w:customStyle="1" w:styleId="351">
    <w:name w:val="Char Char17"/>
    <w:qFormat/>
    <w:uiPriority w:val="6"/>
    <w:rPr>
      <w:rFonts w:eastAsia="仿宋_GB2312"/>
      <w:sz w:val="24"/>
    </w:rPr>
  </w:style>
  <w:style w:type="character" w:customStyle="1" w:styleId="352">
    <w:name w:val="Char Char37"/>
    <w:qFormat/>
    <w:uiPriority w:val="6"/>
    <w:rPr>
      <w:b/>
      <w:kern w:val="1"/>
      <w:sz w:val="44"/>
      <w:szCs w:val="44"/>
    </w:rPr>
  </w:style>
  <w:style w:type="character" w:customStyle="1" w:styleId="353">
    <w:name w:val="列出段落 Char"/>
    <w:qFormat/>
    <w:uiPriority w:val="0"/>
    <w:rPr>
      <w:rFonts w:eastAsia="楷体_GB2312" w:cs="Lucida Sans"/>
      <w:kern w:val="2"/>
      <w:sz w:val="24"/>
      <w:szCs w:val="24"/>
      <w:lang w:val="en-US" w:eastAsia="zh-CN" w:bidi="ar-SA"/>
    </w:rPr>
  </w:style>
  <w:style w:type="character" w:customStyle="1" w:styleId="354">
    <w:name w:val="正文文本缩进 3 Char1"/>
    <w:qFormat/>
    <w:uiPriority w:val="99"/>
    <w:rPr>
      <w:rFonts w:ascii="Times New Roman" w:hAnsi="Times New Roman" w:eastAsia="宋体" w:cs="Times New Roman"/>
      <w:sz w:val="16"/>
      <w:szCs w:val="16"/>
    </w:rPr>
  </w:style>
  <w:style w:type="character" w:customStyle="1" w:styleId="355">
    <w:name w:val="公文正文 Char Char"/>
    <w:link w:val="356"/>
    <w:qFormat/>
    <w:uiPriority w:val="0"/>
    <w:rPr>
      <w:rFonts w:ascii="仿宋_GB2312" w:eastAsia="仿宋_GB2312"/>
      <w:kern w:val="2"/>
      <w:sz w:val="24"/>
      <w:szCs w:val="24"/>
    </w:rPr>
  </w:style>
  <w:style w:type="paragraph" w:customStyle="1" w:styleId="356">
    <w:name w:val="公文正文"/>
    <w:basedOn w:val="1"/>
    <w:link w:val="355"/>
    <w:qFormat/>
    <w:uiPriority w:val="0"/>
    <w:pPr>
      <w:adjustRightInd/>
      <w:spacing w:before="156" w:line="360" w:lineRule="auto"/>
      <w:ind w:firstLine="360" w:firstLineChars="200"/>
    </w:pPr>
    <w:rPr>
      <w:rFonts w:ascii="仿宋_GB2312" w:eastAsia="仿宋_GB2312"/>
      <w:sz w:val="24"/>
    </w:rPr>
  </w:style>
  <w:style w:type="character" w:customStyle="1" w:styleId="357">
    <w:name w:val="Table Text Char1"/>
    <w:qFormat/>
    <w:uiPriority w:val="0"/>
    <w:rPr>
      <w:rFonts w:eastAsia="宋体"/>
      <w:sz w:val="24"/>
      <w:szCs w:val="24"/>
      <w:lang w:val="en-US" w:eastAsia="zh-CN" w:bidi="ar-SA"/>
    </w:rPr>
  </w:style>
  <w:style w:type="character" w:customStyle="1" w:styleId="358">
    <w:name w:val="标题 1 Char Char"/>
    <w:qFormat/>
    <w:uiPriority w:val="0"/>
    <w:rPr>
      <w:rFonts w:hint="eastAsia" w:ascii="宋体" w:hAnsi="宋体" w:eastAsia="宋体"/>
      <w:b/>
      <w:spacing w:val="-2"/>
      <w:sz w:val="24"/>
      <w:lang w:val="en-US" w:eastAsia="zh-CN" w:bidi="ar-SA"/>
    </w:rPr>
  </w:style>
  <w:style w:type="character" w:customStyle="1" w:styleId="359">
    <w:name w:val="正文（缩进2汉字） Char"/>
    <w:link w:val="360"/>
    <w:qFormat/>
    <w:uiPriority w:val="0"/>
    <w:rPr>
      <w:rFonts w:ascii="宋体"/>
    </w:rPr>
  </w:style>
  <w:style w:type="paragraph" w:customStyle="1" w:styleId="360">
    <w:name w:val="正文（缩进2汉字）"/>
    <w:basedOn w:val="1"/>
    <w:link w:val="359"/>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61">
    <w:name w:val="标题 8 Char"/>
    <w:link w:val="10"/>
    <w:qFormat/>
    <w:uiPriority w:val="0"/>
    <w:rPr>
      <w:rFonts w:ascii="Arial" w:hAnsi="Arial" w:eastAsia="黑体"/>
      <w:kern w:val="2"/>
      <w:sz w:val="24"/>
      <w:szCs w:val="24"/>
    </w:rPr>
  </w:style>
  <w:style w:type="character" w:customStyle="1" w:styleId="362">
    <w:name w:val="标书表格字体格式 Char"/>
    <w:qFormat/>
    <w:uiPriority w:val="0"/>
    <w:rPr>
      <w:kern w:val="2"/>
      <w:sz w:val="21"/>
      <w:szCs w:val="24"/>
      <w:lang w:bidi="ar-SA"/>
    </w:rPr>
  </w:style>
  <w:style w:type="character" w:customStyle="1" w:styleId="363">
    <w:name w:val="tw4winError"/>
    <w:qFormat/>
    <w:uiPriority w:val="0"/>
    <w:rPr>
      <w:rFonts w:ascii="Courier New" w:hAnsi="Courier New" w:cs="Courier New"/>
      <w:color w:val="00FF00"/>
      <w:sz w:val="40"/>
      <w:szCs w:val="40"/>
    </w:rPr>
  </w:style>
  <w:style w:type="character" w:customStyle="1" w:styleId="364">
    <w:name w:val="Body Text(ch) Char Char"/>
    <w:qFormat/>
    <w:uiPriority w:val="0"/>
    <w:rPr>
      <w:rFonts w:ascii="宋体"/>
      <w:kern w:val="2"/>
      <w:sz w:val="24"/>
      <w:szCs w:val="21"/>
      <w:lang w:val="zh-CN"/>
    </w:rPr>
  </w:style>
  <w:style w:type="character" w:customStyle="1" w:styleId="365">
    <w:name w:val="正文首行缩进两字 Char"/>
    <w:qFormat/>
    <w:uiPriority w:val="0"/>
    <w:rPr>
      <w:sz w:val="24"/>
      <w:szCs w:val="24"/>
      <w:lang w:val="en-US" w:eastAsia="zh-CN" w:bidi="ar-SA"/>
    </w:rPr>
  </w:style>
  <w:style w:type="character" w:customStyle="1" w:styleId="366">
    <w:name w:val="文档结构图 字符1"/>
    <w:qFormat/>
    <w:uiPriority w:val="0"/>
    <w:rPr>
      <w:rFonts w:ascii="宋体" w:hAnsi="Calibri" w:eastAsia="黑体" w:cs="Arial"/>
      <w:snapToGrid w:val="0"/>
      <w:kern w:val="2"/>
      <w:sz w:val="18"/>
      <w:szCs w:val="18"/>
    </w:rPr>
  </w:style>
  <w:style w:type="character" w:customStyle="1" w:styleId="367">
    <w:name w:val="content"/>
    <w:qFormat/>
    <w:uiPriority w:val="0"/>
  </w:style>
  <w:style w:type="character" w:customStyle="1" w:styleId="368">
    <w:name w:val="tw4winPopup"/>
    <w:qFormat/>
    <w:uiPriority w:val="0"/>
    <w:rPr>
      <w:rFonts w:ascii="Courier New" w:hAnsi="Courier New" w:cs="Courier New"/>
      <w:color w:val="008000"/>
      <w:lang w:val="en-US" w:eastAsia="zh-CN"/>
    </w:rPr>
  </w:style>
  <w:style w:type="character" w:customStyle="1" w:styleId="369">
    <w:name w:val="param-name"/>
    <w:qFormat/>
    <w:uiPriority w:val="99"/>
    <w:rPr>
      <w:rFonts w:ascii="Arial" w:hAnsi="Arial" w:eastAsia="黑体" w:cs="Arial"/>
      <w:snapToGrid w:val="0"/>
      <w:kern w:val="0"/>
      <w:szCs w:val="21"/>
    </w:rPr>
  </w:style>
  <w:style w:type="character" w:customStyle="1" w:styleId="370">
    <w:name w:val="标准正文格式 Char"/>
    <w:qFormat/>
    <w:uiPriority w:val="0"/>
    <w:rPr>
      <w:rFonts w:ascii="宋体" w:eastAsia="仿宋_GB2312" w:cs="宋体"/>
      <w:color w:val="000000"/>
      <w:sz w:val="24"/>
      <w:lang w:val="en-US" w:eastAsia="zh-CN" w:bidi="ar-SA"/>
    </w:rPr>
  </w:style>
  <w:style w:type="character" w:customStyle="1" w:styleId="371">
    <w:name w:val="Char Char212"/>
    <w:qFormat/>
    <w:uiPriority w:val="0"/>
    <w:rPr>
      <w:rFonts w:eastAsia="宋体"/>
      <w:b/>
      <w:bCs/>
      <w:kern w:val="2"/>
      <w:sz w:val="21"/>
      <w:szCs w:val="24"/>
      <w:lang w:val="en-US" w:eastAsia="zh-CN" w:bidi="ar-SA"/>
    </w:rPr>
  </w:style>
  <w:style w:type="character" w:customStyle="1" w:styleId="372">
    <w:name w:val="文档结构图 Char"/>
    <w:qFormat/>
    <w:uiPriority w:val="0"/>
    <w:rPr>
      <w:rFonts w:eastAsia="宋体"/>
      <w:kern w:val="2"/>
      <w:sz w:val="21"/>
      <w:szCs w:val="24"/>
      <w:lang w:val="en-US" w:eastAsia="zh-CN" w:bidi="ar-SA"/>
    </w:rPr>
  </w:style>
  <w:style w:type="character" w:customStyle="1" w:styleId="373">
    <w:name w:val="zbggmain style9"/>
    <w:qFormat/>
    <w:uiPriority w:val="0"/>
  </w:style>
  <w:style w:type="character" w:customStyle="1" w:styleId="374">
    <w:name w:val="Char Char16"/>
    <w:qFormat/>
    <w:uiPriority w:val="6"/>
    <w:rPr>
      <w:kern w:val="1"/>
      <w:sz w:val="18"/>
      <w:szCs w:val="18"/>
    </w:rPr>
  </w:style>
  <w:style w:type="character" w:customStyle="1" w:styleId="375">
    <w:name w:val="font51"/>
    <w:qFormat/>
    <w:uiPriority w:val="0"/>
    <w:rPr>
      <w:rFonts w:hint="eastAsia" w:ascii="仿宋" w:hAnsi="仿宋" w:eastAsia="仿宋" w:cs="仿宋"/>
      <w:color w:val="000000"/>
      <w:sz w:val="20"/>
      <w:szCs w:val="20"/>
      <w:u w:val="none"/>
    </w:rPr>
  </w:style>
  <w:style w:type="character" w:customStyle="1" w:styleId="376">
    <w:name w:val="Char Char82"/>
    <w:qFormat/>
    <w:uiPriority w:val="0"/>
    <w:rPr>
      <w:rFonts w:eastAsia="宋体"/>
      <w:b/>
      <w:sz w:val="24"/>
      <w:lang w:val="en-GB" w:eastAsia="zh-CN"/>
    </w:rPr>
  </w:style>
  <w:style w:type="character" w:customStyle="1" w:styleId="377">
    <w:name w:val="正文文本缩进 3 Char"/>
    <w:link w:val="53"/>
    <w:qFormat/>
    <w:uiPriority w:val="0"/>
    <w:rPr>
      <w:kern w:val="2"/>
      <w:sz w:val="24"/>
    </w:rPr>
  </w:style>
  <w:style w:type="character" w:customStyle="1" w:styleId="378">
    <w:name w:val="日期 Char1"/>
    <w:qFormat/>
    <w:uiPriority w:val="99"/>
    <w:rPr>
      <w:rFonts w:ascii="Times New Roman" w:hAnsi="Times New Roman" w:eastAsia="宋体" w:cs="Times New Roman"/>
      <w:szCs w:val="24"/>
    </w:rPr>
  </w:style>
  <w:style w:type="character" w:customStyle="1" w:styleId="379">
    <w:name w:val="页眉 字符"/>
    <w:qFormat/>
    <w:uiPriority w:val="99"/>
    <w:rPr>
      <w:kern w:val="2"/>
      <w:sz w:val="18"/>
      <w:szCs w:val="18"/>
    </w:rPr>
  </w:style>
  <w:style w:type="character" w:customStyle="1" w:styleId="380">
    <w:name w:val="Char Char33"/>
    <w:qFormat/>
    <w:uiPriority w:val="6"/>
    <w:rPr>
      <w:rFonts w:ascii="Arial" w:hAnsi="Arial" w:eastAsia="黑体"/>
      <w:b/>
      <w:kern w:val="1"/>
      <w:sz w:val="24"/>
      <w:szCs w:val="24"/>
    </w:rPr>
  </w:style>
  <w:style w:type="character" w:customStyle="1" w:styleId="381">
    <w:name w:val="b11_01b Char"/>
    <w:link w:val="382"/>
    <w:qFormat/>
    <w:uiPriority w:val="0"/>
    <w:rPr>
      <w:rFonts w:ascii="Verdana" w:hAnsi="Verdana"/>
      <w:b/>
      <w:bCs/>
      <w:color w:val="4A82CA"/>
      <w:sz w:val="17"/>
      <w:szCs w:val="17"/>
    </w:rPr>
  </w:style>
  <w:style w:type="paragraph" w:customStyle="1" w:styleId="382">
    <w:name w:val="b11_01b"/>
    <w:basedOn w:val="1"/>
    <w:next w:val="1"/>
    <w:link w:val="381"/>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3">
    <w:name w:val="Char Char121"/>
    <w:qFormat/>
    <w:uiPriority w:val="6"/>
    <w:rPr>
      <w:rFonts w:ascii="仿宋_GB2312" w:eastAsia="仿宋_GB2312"/>
      <w:b/>
      <w:bCs/>
      <w:kern w:val="2"/>
      <w:sz w:val="24"/>
      <w:szCs w:val="24"/>
      <w:lang w:val="zh-CN" w:eastAsia="zh-CN" w:bidi="ar-SA"/>
    </w:rPr>
  </w:style>
  <w:style w:type="character" w:customStyle="1" w:styleId="384">
    <w:name w:val="Footer-Even Char"/>
    <w:qFormat/>
    <w:uiPriority w:val="0"/>
    <w:rPr>
      <w:rFonts w:eastAsia="宋体"/>
      <w:kern w:val="2"/>
      <w:sz w:val="18"/>
      <w:lang w:val="en-US" w:eastAsia="zh-CN" w:bidi="ar-SA"/>
    </w:rPr>
  </w:style>
  <w:style w:type="character" w:customStyle="1" w:styleId="385">
    <w:name w:val="页脚 Char2"/>
    <w:link w:val="40"/>
    <w:qFormat/>
    <w:uiPriority w:val="99"/>
    <w:rPr>
      <w:kern w:val="2"/>
      <w:sz w:val="18"/>
      <w:szCs w:val="18"/>
    </w:rPr>
  </w:style>
  <w:style w:type="character" w:customStyle="1" w:styleId="386">
    <w:name w:val="Char Char36"/>
    <w:qFormat/>
    <w:uiPriority w:val="6"/>
    <w:rPr>
      <w:rFonts w:ascii="仿宋_GB2312" w:hAnsi="仿宋_GB2312" w:eastAsia="仿宋_GB2312" w:cs="Arial"/>
      <w:b/>
      <w:kern w:val="1"/>
      <w:sz w:val="32"/>
      <w:szCs w:val="32"/>
      <w:lang w:val="zh-CN" w:eastAsia="zh-CN" w:bidi="ar-SA"/>
    </w:rPr>
  </w:style>
  <w:style w:type="character" w:customStyle="1" w:styleId="387">
    <w:name w:val="Char Char61"/>
    <w:qFormat/>
    <w:uiPriority w:val="6"/>
    <w:rPr>
      <w:rFonts w:eastAsia="宋体"/>
      <w:kern w:val="2"/>
      <w:sz w:val="21"/>
      <w:szCs w:val="24"/>
      <w:lang w:val="en-US" w:eastAsia="zh-CN" w:bidi="ar-SA"/>
    </w:rPr>
  </w:style>
  <w:style w:type="character" w:customStyle="1" w:styleId="388">
    <w:name w:val="正文文字缩进 2 Char Char"/>
    <w:qFormat/>
    <w:uiPriority w:val="0"/>
    <w:rPr>
      <w:rFonts w:ascii="宋体"/>
      <w:sz w:val="28"/>
    </w:rPr>
  </w:style>
  <w:style w:type="character" w:customStyle="1" w:styleId="389">
    <w:name w:val="f141"/>
    <w:qFormat/>
    <w:uiPriority w:val="0"/>
    <w:rPr>
      <w:rFonts w:ascii="Tahoma" w:hAnsi="Tahoma" w:eastAsia="宋体"/>
      <w:b/>
      <w:kern w:val="2"/>
      <w:sz w:val="21"/>
      <w:szCs w:val="21"/>
      <w:lang w:val="en-US" w:eastAsia="zh-CN" w:bidi="ar-SA"/>
    </w:rPr>
  </w:style>
  <w:style w:type="character" w:customStyle="1" w:styleId="390">
    <w:name w:val="段落 Char Char"/>
    <w:link w:val="391"/>
    <w:qFormat/>
    <w:uiPriority w:val="0"/>
    <w:rPr>
      <w:rFonts w:ascii="宋体" w:hAnsi="宋体"/>
      <w:sz w:val="24"/>
    </w:rPr>
  </w:style>
  <w:style w:type="paragraph" w:customStyle="1" w:styleId="391">
    <w:name w:val="段落"/>
    <w:basedOn w:val="1"/>
    <w:link w:val="390"/>
    <w:qFormat/>
    <w:uiPriority w:val="0"/>
    <w:pPr>
      <w:adjustRightInd/>
      <w:spacing w:line="360" w:lineRule="auto"/>
      <w:ind w:firstLine="480" w:firstLineChars="200"/>
    </w:pPr>
    <w:rPr>
      <w:rFonts w:ascii="宋体" w:hAnsi="宋体"/>
      <w:kern w:val="0"/>
      <w:sz w:val="24"/>
      <w:szCs w:val="20"/>
    </w:rPr>
  </w:style>
  <w:style w:type="character" w:customStyle="1" w:styleId="392">
    <w:name w:val="标题 3 Char2"/>
    <w:qFormat/>
    <w:uiPriority w:val="0"/>
    <w:rPr>
      <w:rFonts w:eastAsia="宋体"/>
      <w:b/>
      <w:bCs/>
      <w:kern w:val="2"/>
      <w:sz w:val="32"/>
      <w:szCs w:val="32"/>
      <w:lang w:val="en-US" w:eastAsia="zh-CN" w:bidi="ar-SA"/>
    </w:rPr>
  </w:style>
  <w:style w:type="character" w:customStyle="1" w:styleId="393">
    <w:name w:val="apple-converted-space"/>
    <w:qFormat/>
    <w:uiPriority w:val="0"/>
  </w:style>
  <w:style w:type="character" w:customStyle="1" w:styleId="394">
    <w:name w:val="页眉 Char2"/>
    <w:link w:val="41"/>
    <w:qFormat/>
    <w:uiPriority w:val="99"/>
    <w:rPr>
      <w:kern w:val="2"/>
      <w:sz w:val="18"/>
      <w:szCs w:val="18"/>
    </w:rPr>
  </w:style>
  <w:style w:type="character" w:customStyle="1" w:styleId="395">
    <w:name w:val="Char Char9"/>
    <w:qFormat/>
    <w:uiPriority w:val="0"/>
    <w:rPr>
      <w:rFonts w:eastAsia="宋体"/>
      <w:kern w:val="2"/>
      <w:sz w:val="18"/>
      <w:szCs w:val="18"/>
      <w:lang w:val="en-US" w:eastAsia="zh-CN" w:bidi="ar-SA"/>
    </w:rPr>
  </w:style>
  <w:style w:type="character" w:customStyle="1" w:styleId="396">
    <w:name w:val="Char Char41"/>
    <w:qFormat/>
    <w:uiPriority w:val="0"/>
    <w:rPr>
      <w:rFonts w:eastAsia="宋体"/>
      <w:b/>
      <w:sz w:val="24"/>
      <w:lang w:val="en-GB" w:eastAsia="zh-CN" w:bidi="ar-SA"/>
    </w:rPr>
  </w:style>
  <w:style w:type="character" w:customStyle="1" w:styleId="397">
    <w:name w:val="large1"/>
    <w:qFormat/>
    <w:uiPriority w:val="0"/>
    <w:rPr>
      <w:rFonts w:hint="eastAsia" w:ascii="宋体" w:hAnsi="宋体" w:eastAsia="宋体"/>
      <w:sz w:val="21"/>
      <w:szCs w:val="21"/>
    </w:rPr>
  </w:style>
  <w:style w:type="character" w:customStyle="1" w:styleId="398">
    <w:name w:val="正文段 Char"/>
    <w:link w:val="399"/>
    <w:qFormat/>
    <w:uiPriority w:val="0"/>
    <w:rPr>
      <w:sz w:val="24"/>
    </w:rPr>
  </w:style>
  <w:style w:type="paragraph" w:customStyle="1" w:styleId="399">
    <w:name w:val="正文段"/>
    <w:basedOn w:val="1"/>
    <w:link w:val="398"/>
    <w:qFormat/>
    <w:uiPriority w:val="0"/>
    <w:pPr>
      <w:widowControl/>
      <w:snapToGrid w:val="0"/>
      <w:spacing w:after="156" w:afterLines="50"/>
      <w:ind w:firstLine="200" w:firstLineChars="200"/>
    </w:pPr>
    <w:rPr>
      <w:kern w:val="0"/>
      <w:sz w:val="24"/>
      <w:szCs w:val="20"/>
    </w:rPr>
  </w:style>
  <w:style w:type="character" w:customStyle="1" w:styleId="400">
    <w:name w:val="Char Char13"/>
    <w:qFormat/>
    <w:uiPriority w:val="6"/>
    <w:rPr>
      <w:rFonts w:ascii="宋体" w:hAnsi="宋体"/>
      <w:kern w:val="1"/>
      <w:sz w:val="21"/>
      <w:szCs w:val="24"/>
    </w:rPr>
  </w:style>
  <w:style w:type="character" w:customStyle="1" w:styleId="401">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2">
    <w:name w:val="冯广丽 Char"/>
    <w:link w:val="403"/>
    <w:qFormat/>
    <w:uiPriority w:val="0"/>
    <w:rPr>
      <w:rFonts w:ascii="宋体" w:hAnsi="宋体"/>
      <w:kern w:val="2"/>
      <w:sz w:val="24"/>
      <w:szCs w:val="22"/>
    </w:rPr>
  </w:style>
  <w:style w:type="paragraph" w:customStyle="1" w:styleId="403">
    <w:name w:val="冯广丽"/>
    <w:basedOn w:val="1"/>
    <w:link w:val="402"/>
    <w:qFormat/>
    <w:uiPriority w:val="0"/>
    <w:pPr>
      <w:adjustRightInd/>
      <w:spacing w:line="360" w:lineRule="auto"/>
      <w:ind w:firstLine="480" w:firstLineChars="200"/>
    </w:pPr>
    <w:rPr>
      <w:rFonts w:ascii="宋体" w:hAnsi="宋体"/>
      <w:sz w:val="24"/>
      <w:szCs w:val="22"/>
    </w:rPr>
  </w:style>
  <w:style w:type="character" w:customStyle="1" w:styleId="404">
    <w:name w:val="批注文字 字符"/>
    <w:qFormat/>
    <w:uiPriority w:val="0"/>
    <w:rPr>
      <w:rFonts w:ascii="Arial" w:hAnsi="Arial" w:eastAsia="黑体" w:cs="Arial"/>
      <w:snapToGrid w:val="0"/>
      <w:kern w:val="0"/>
      <w:szCs w:val="21"/>
    </w:rPr>
  </w:style>
  <w:style w:type="character" w:customStyle="1" w:styleId="405">
    <w:name w:val="Char Char161"/>
    <w:qFormat/>
    <w:uiPriority w:val="0"/>
    <w:rPr>
      <w:rFonts w:eastAsia="宋体"/>
      <w:b/>
      <w:kern w:val="2"/>
      <w:sz w:val="32"/>
      <w:lang w:val="en-US" w:eastAsia="zh-CN"/>
    </w:rPr>
  </w:style>
  <w:style w:type="character" w:customStyle="1" w:styleId="406">
    <w:name w:val="javascript"/>
    <w:qFormat/>
    <w:uiPriority w:val="0"/>
  </w:style>
  <w:style w:type="character" w:customStyle="1" w:styleId="407">
    <w:name w:val="图名 Char"/>
    <w:qFormat/>
    <w:uiPriority w:val="0"/>
    <w:rPr>
      <w:rFonts w:ascii="Arial" w:hAnsi="Arial" w:eastAsia="黑体"/>
      <w:kern w:val="2"/>
      <w:sz w:val="24"/>
      <w:szCs w:val="24"/>
      <w:lang w:val="en-US" w:eastAsia="zh-CN" w:bidi="ar-SA"/>
    </w:rPr>
  </w:style>
  <w:style w:type="character" w:customStyle="1" w:styleId="408">
    <w:name w:val="Used by Word for text of Help footnotes Char Char"/>
    <w:qFormat/>
    <w:uiPriority w:val="0"/>
    <w:rPr>
      <w:rFonts w:ascii="Times New Roman" w:hAnsi="Times New Roman" w:eastAsia="宋体" w:cs="Times New Roman"/>
      <w:sz w:val="20"/>
      <w:szCs w:val="20"/>
    </w:rPr>
  </w:style>
  <w:style w:type="character" w:customStyle="1" w:styleId="409">
    <w:name w:val="编号，小四 Char"/>
    <w:link w:val="410"/>
    <w:qFormat/>
    <w:uiPriority w:val="0"/>
    <w:rPr>
      <w:rFonts w:ascii="Arial" w:hAnsi="Arial"/>
      <w:sz w:val="24"/>
    </w:rPr>
  </w:style>
  <w:style w:type="paragraph" w:customStyle="1" w:styleId="410">
    <w:name w:val="编号，小四"/>
    <w:basedOn w:val="1"/>
    <w:link w:val="409"/>
    <w:qFormat/>
    <w:uiPriority w:val="0"/>
    <w:pPr>
      <w:tabs>
        <w:tab w:val="left" w:pos="432"/>
      </w:tabs>
      <w:adjustRightInd/>
      <w:spacing w:line="360" w:lineRule="auto"/>
      <w:ind w:left="432" w:hanging="432"/>
    </w:pPr>
    <w:rPr>
      <w:rFonts w:ascii="Arial" w:hAnsi="Arial"/>
      <w:kern w:val="0"/>
      <w:sz w:val="24"/>
      <w:szCs w:val="20"/>
    </w:rPr>
  </w:style>
  <w:style w:type="character" w:customStyle="1" w:styleId="411">
    <w:name w:val="Font Style82"/>
    <w:qFormat/>
    <w:uiPriority w:val="99"/>
    <w:rPr>
      <w:rFonts w:ascii="宋体" w:eastAsia="宋体" w:cs="宋体"/>
      <w:color w:val="000000"/>
      <w:sz w:val="14"/>
      <w:szCs w:val="14"/>
    </w:rPr>
  </w:style>
  <w:style w:type="character" w:customStyle="1" w:styleId="412">
    <w:name w:val="标题 2 Char Char"/>
    <w:qFormat/>
    <w:uiPriority w:val="0"/>
    <w:rPr>
      <w:rFonts w:ascii="楷体_GB2312" w:hAnsi="Arial" w:eastAsia="楷体_GB2312"/>
      <w:b/>
      <w:bCs/>
      <w:kern w:val="2"/>
      <w:sz w:val="24"/>
      <w:szCs w:val="32"/>
      <w:lang w:val="en-US" w:eastAsia="zh-CN" w:bidi="ar-SA"/>
    </w:rPr>
  </w:style>
  <w:style w:type="character" w:customStyle="1" w:styleId="413">
    <w:name w:val="未用 Char"/>
    <w:qFormat/>
    <w:uiPriority w:val="0"/>
    <w:rPr>
      <w:rFonts w:ascii="Arial" w:hAnsi="Arial" w:eastAsia="黑体"/>
      <w:kern w:val="2"/>
      <w:sz w:val="21"/>
      <w:szCs w:val="21"/>
      <w:lang w:val="en-US" w:eastAsia="zh-CN" w:bidi="ar-SA"/>
    </w:rPr>
  </w:style>
  <w:style w:type="character" w:customStyle="1" w:styleId="414">
    <w:name w:val="myp1111"/>
    <w:qFormat/>
    <w:uiPriority w:val="0"/>
    <w:rPr>
      <w:rFonts w:hint="default" w:ascii="ˎ̥" w:hAnsi="ˎ̥"/>
      <w:color w:val="000000"/>
      <w:sz w:val="20"/>
      <w:szCs w:val="20"/>
      <w:u w:val="none"/>
    </w:rPr>
  </w:style>
  <w:style w:type="character" w:customStyle="1" w:styleId="415">
    <w:name w:val="样式 标题 4h4H4Fab-4T5Ref Heading 1rh1Heading sqlsect 1.2.3.... Char"/>
    <w:link w:val="309"/>
    <w:qFormat/>
    <w:uiPriority w:val="0"/>
    <w:rPr>
      <w:rFonts w:ascii="微软雅黑" w:hAnsi="微软雅黑" w:eastAsia="微软雅黑"/>
      <w:b/>
      <w:bCs/>
      <w:kern w:val="2"/>
      <w:sz w:val="24"/>
      <w:szCs w:val="28"/>
    </w:rPr>
  </w:style>
  <w:style w:type="character" w:customStyle="1" w:styleId="416">
    <w:name w:val="h Char Char"/>
    <w:qFormat/>
    <w:uiPriority w:val="0"/>
    <w:rPr>
      <w:rFonts w:eastAsia="宋体"/>
      <w:kern w:val="2"/>
      <w:sz w:val="18"/>
      <w:lang w:val="en-US" w:eastAsia="zh-CN" w:bidi="ar-SA"/>
    </w:rPr>
  </w:style>
  <w:style w:type="character" w:customStyle="1" w:styleId="417">
    <w:name w:val="仿宋正文 Char"/>
    <w:link w:val="418"/>
    <w:qFormat/>
    <w:uiPriority w:val="0"/>
    <w:rPr>
      <w:rFonts w:ascii="仿宋_GB2312" w:eastAsia="仿宋_GB2312"/>
      <w:kern w:val="2"/>
      <w:sz w:val="24"/>
      <w:lang w:val="en-US" w:eastAsia="zh-CN" w:bidi="ar-SA"/>
    </w:rPr>
  </w:style>
  <w:style w:type="paragraph" w:customStyle="1" w:styleId="418">
    <w:name w:val="仿宋正文"/>
    <w:basedOn w:val="1"/>
    <w:link w:val="417"/>
    <w:qFormat/>
    <w:uiPriority w:val="0"/>
    <w:pPr>
      <w:adjustRightInd/>
      <w:spacing w:line="360" w:lineRule="auto"/>
      <w:ind w:firstLine="480" w:firstLineChars="200"/>
    </w:pPr>
    <w:rPr>
      <w:rFonts w:ascii="仿宋_GB2312" w:eastAsia="仿宋_GB2312"/>
      <w:sz w:val="24"/>
      <w:szCs w:val="20"/>
    </w:rPr>
  </w:style>
  <w:style w:type="character" w:customStyle="1" w:styleId="419">
    <w:name w:val="正文首行缩进 Char Char Char Char Char Char"/>
    <w:qFormat/>
    <w:uiPriority w:val="0"/>
    <w:rPr>
      <w:rFonts w:ascii="宋体" w:eastAsia="宋体"/>
      <w:kern w:val="2"/>
      <w:sz w:val="24"/>
      <w:lang w:val="zh-CN" w:bidi="ar-SA"/>
    </w:rPr>
  </w:style>
  <w:style w:type="character" w:customStyle="1" w:styleId="420">
    <w:name w:val="样式 宋体"/>
    <w:qFormat/>
    <w:uiPriority w:val="0"/>
    <w:rPr>
      <w:rFonts w:ascii="宋体" w:hAnsi="宋体"/>
      <w:sz w:val="24"/>
    </w:rPr>
  </w:style>
  <w:style w:type="character" w:customStyle="1" w:styleId="421">
    <w:name w:val="tw4winJump"/>
    <w:qFormat/>
    <w:uiPriority w:val="0"/>
    <w:rPr>
      <w:rFonts w:ascii="Courier New" w:hAnsi="Courier New" w:cs="Courier New"/>
      <w:color w:val="008080"/>
      <w:lang w:val="en-US" w:eastAsia="zh-CN"/>
    </w:rPr>
  </w:style>
  <w:style w:type="character" w:customStyle="1" w:styleId="422">
    <w:name w:val="style36"/>
    <w:basedOn w:val="69"/>
    <w:qFormat/>
    <w:uiPriority w:val="0"/>
    <w:rPr>
      <w:rFonts w:ascii="Arial" w:hAnsi="Arial" w:eastAsia="黑体" w:cs="Arial"/>
      <w:snapToGrid w:val="0"/>
      <w:kern w:val="0"/>
      <w:szCs w:val="21"/>
    </w:rPr>
  </w:style>
  <w:style w:type="character" w:customStyle="1" w:styleId="423">
    <w:name w:val="pt9"/>
    <w:qFormat/>
    <w:uiPriority w:val="0"/>
    <w:rPr>
      <w:rFonts w:ascii="仿宋_GB2312" w:eastAsia="微软雅黑"/>
      <w:b/>
      <w:kern w:val="2"/>
      <w:sz w:val="32"/>
      <w:szCs w:val="32"/>
      <w:lang w:val="en-US" w:eastAsia="zh-CN" w:bidi="ar-SA"/>
    </w:rPr>
  </w:style>
  <w:style w:type="character" w:customStyle="1" w:styleId="424">
    <w:name w:val="DO_NOT_TRANSLATE"/>
    <w:qFormat/>
    <w:uiPriority w:val="0"/>
    <w:rPr>
      <w:rFonts w:ascii="Courier New" w:hAnsi="Courier New" w:cs="Courier New"/>
      <w:color w:val="800000"/>
      <w:lang w:val="en-US" w:eastAsia="zh-CN"/>
    </w:rPr>
  </w:style>
  <w:style w:type="character" w:customStyle="1" w:styleId="425">
    <w:name w:val="标书1 Char1"/>
    <w:qFormat/>
    <w:uiPriority w:val="0"/>
    <w:rPr>
      <w:rFonts w:eastAsia="宋体"/>
      <w:b/>
      <w:bCs/>
      <w:kern w:val="44"/>
      <w:sz w:val="44"/>
      <w:szCs w:val="44"/>
      <w:lang w:val="en-US" w:eastAsia="zh-CN" w:bidi="ar-SA"/>
    </w:rPr>
  </w:style>
  <w:style w:type="character" w:customStyle="1" w:styleId="426">
    <w:name w:val="页脚 字符"/>
    <w:qFormat/>
    <w:uiPriority w:val="99"/>
    <w:rPr>
      <w:kern w:val="2"/>
      <w:sz w:val="18"/>
      <w:szCs w:val="18"/>
    </w:rPr>
  </w:style>
  <w:style w:type="character" w:customStyle="1" w:styleId="427">
    <w:name w:val="正文2 Char"/>
    <w:qFormat/>
    <w:uiPriority w:val="0"/>
    <w:rPr>
      <w:rFonts w:eastAsia="宋体"/>
      <w:kern w:val="2"/>
      <w:sz w:val="24"/>
      <w:lang w:val="en-US" w:eastAsia="zh-CN" w:bidi="ar-SA"/>
    </w:rPr>
  </w:style>
  <w:style w:type="character" w:customStyle="1" w:styleId="428">
    <w:name w:val="Char Char21"/>
    <w:qFormat/>
    <w:uiPriority w:val="6"/>
    <w:rPr>
      <w:rFonts w:ascii="宋体" w:hAnsi="宋体"/>
      <w:kern w:val="1"/>
      <w:sz w:val="24"/>
      <w:szCs w:val="21"/>
      <w:lang w:val="zh-CN"/>
    </w:rPr>
  </w:style>
  <w:style w:type="character" w:customStyle="1" w:styleId="429">
    <w:name w:val="样式 正文缩进 + 首行缩进:  2 字符 Char Char"/>
    <w:link w:val="430"/>
    <w:qFormat/>
    <w:uiPriority w:val="0"/>
    <w:rPr>
      <w:rFonts w:cs="宋体"/>
      <w:kern w:val="2"/>
      <w:sz w:val="24"/>
    </w:rPr>
  </w:style>
  <w:style w:type="paragraph" w:customStyle="1" w:styleId="430">
    <w:name w:val="样式 正文缩进 + 首行缩进:  2 字符"/>
    <w:basedOn w:val="5"/>
    <w:link w:val="429"/>
    <w:qFormat/>
    <w:uiPriority w:val="0"/>
    <w:pPr>
      <w:widowControl w:val="0"/>
      <w:adjustRightInd/>
      <w:snapToGrid/>
      <w:spacing w:line="360" w:lineRule="auto"/>
      <w:ind w:firstLine="200" w:firstLineChars="200"/>
    </w:pPr>
    <w:rPr>
      <w:rFonts w:ascii="Calibri"/>
      <w:color w:val="auto"/>
      <w:kern w:val="2"/>
      <w:sz w:val="24"/>
    </w:rPr>
  </w:style>
  <w:style w:type="character" w:customStyle="1" w:styleId="431">
    <w:name w:val="正文文本 Char1"/>
    <w:link w:val="23"/>
    <w:qFormat/>
    <w:uiPriority w:val="0"/>
    <w:rPr>
      <w:rFonts w:ascii="宋体" w:hAnsi="Arial" w:eastAsia="宋体" w:cs="Arial"/>
      <w:snapToGrid w:val="0"/>
      <w:kern w:val="2"/>
      <w:sz w:val="24"/>
      <w:szCs w:val="21"/>
      <w:lang w:val="zh-CN" w:eastAsia="zh-CN" w:bidi="ar-SA"/>
    </w:rPr>
  </w:style>
  <w:style w:type="character" w:customStyle="1" w:styleId="432">
    <w:name w:val="gray6"/>
    <w:basedOn w:val="69"/>
    <w:qFormat/>
    <w:uiPriority w:val="0"/>
    <w:rPr>
      <w:rFonts w:ascii="Arial" w:hAnsi="Arial" w:eastAsia="黑体" w:cs="Arial"/>
      <w:snapToGrid w:val="0"/>
      <w:kern w:val="0"/>
      <w:szCs w:val="21"/>
    </w:rPr>
  </w:style>
  <w:style w:type="character" w:customStyle="1" w:styleId="433">
    <w:name w:val="hui"/>
    <w:basedOn w:val="69"/>
    <w:qFormat/>
    <w:uiPriority w:val="0"/>
    <w:rPr>
      <w:rFonts w:ascii="Arial" w:hAnsi="Arial" w:eastAsia="黑体" w:cs="Arial"/>
      <w:snapToGrid w:val="0"/>
      <w:kern w:val="0"/>
      <w:szCs w:val="21"/>
    </w:rPr>
  </w:style>
  <w:style w:type="character" w:customStyle="1" w:styleId="434">
    <w:name w:val="哈哈正文 Char Char"/>
    <w:qFormat/>
    <w:uiPriority w:val="0"/>
    <w:rPr>
      <w:rFonts w:ascii="宋体" w:hAnsi="宋体" w:eastAsia="宋体" w:cs="宋体"/>
      <w:kern w:val="2"/>
      <w:sz w:val="24"/>
      <w:lang w:val="en-US" w:eastAsia="zh-CN" w:bidi="ar-SA"/>
    </w:rPr>
  </w:style>
  <w:style w:type="paragraph" w:customStyle="1" w:styleId="435">
    <w:name w:val="样式 正文文本缩进 + 左侧:  2 字符 首行缩进:  2 字符"/>
    <w:basedOn w:val="25"/>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6">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7">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8">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9">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40">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1">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2">
    <w:name w:val="标题4_自定义"/>
    <w:basedOn w:val="6"/>
    <w:qFormat/>
    <w:uiPriority w:val="0"/>
    <w:pPr>
      <w:adjustRightInd/>
      <w:spacing w:before="0" w:after="0" w:line="360" w:lineRule="auto"/>
    </w:pPr>
    <w:rPr>
      <w:rFonts w:ascii="Verdana" w:eastAsia="Verdana"/>
      <w:sz w:val="21"/>
      <w:lang w:val="en-US"/>
    </w:rPr>
  </w:style>
  <w:style w:type="paragraph" w:customStyle="1" w:styleId="443">
    <w:name w:val="正文 内标 序号标"/>
    <w:basedOn w:val="444"/>
    <w:qFormat/>
    <w:uiPriority w:val="0"/>
    <w:pPr>
      <w:tabs>
        <w:tab w:val="left" w:pos="0"/>
      </w:tabs>
      <w:adjustRightInd/>
      <w:spacing w:before="0"/>
      <w:ind w:firstLine="482"/>
    </w:pPr>
    <w:rPr>
      <w:rFonts w:ascii="微软雅黑" w:hAnsi="微软雅黑"/>
      <w:sz w:val="24"/>
      <w:szCs w:val="24"/>
    </w:rPr>
  </w:style>
  <w:style w:type="paragraph" w:customStyle="1" w:styleId="444">
    <w:name w:val="My正文"/>
    <w:basedOn w:val="1"/>
    <w:qFormat/>
    <w:uiPriority w:val="0"/>
    <w:pPr>
      <w:spacing w:before="120" w:line="360" w:lineRule="auto"/>
      <w:ind w:firstLine="567"/>
    </w:pPr>
    <w:rPr>
      <w:rFonts w:ascii="Arial" w:hAnsi="Arial"/>
      <w:sz w:val="20"/>
      <w:szCs w:val="20"/>
    </w:rPr>
  </w:style>
  <w:style w:type="paragraph" w:customStyle="1" w:styleId="445">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6">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7">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8">
    <w:name w:val="修订2"/>
    <w:qFormat/>
    <w:uiPriority w:val="0"/>
    <w:rPr>
      <w:rFonts w:ascii="Times New Roman" w:hAnsi="Times New Roman" w:eastAsia="宋体" w:cs="Times New Roman"/>
      <w:kern w:val="2"/>
      <w:sz w:val="21"/>
      <w:lang w:val="en-US" w:eastAsia="zh-CN" w:bidi="ar-SA"/>
    </w:rPr>
  </w:style>
  <w:style w:type="paragraph" w:customStyle="1" w:styleId="449">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50">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1">
    <w:name w:val="文章标题"/>
    <w:next w:val="452"/>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2">
    <w:name w:val="封面公司名"/>
    <w:qFormat/>
    <w:uiPriority w:val="0"/>
    <w:pPr>
      <w:jc w:val="center"/>
    </w:pPr>
    <w:rPr>
      <w:rFonts w:ascii="Arial" w:hAnsi="Arial" w:eastAsia="楷体_GB2312" w:cs="宋体"/>
      <w:bCs/>
      <w:kern w:val="2"/>
      <w:sz w:val="28"/>
      <w:lang w:val="en-US" w:eastAsia="zh-CN" w:bidi="ar-SA"/>
    </w:rPr>
  </w:style>
  <w:style w:type="paragraph" w:customStyle="1" w:styleId="453">
    <w:name w:val="Char1 Char Char Char5"/>
    <w:basedOn w:val="1"/>
    <w:qFormat/>
    <w:uiPriority w:val="0"/>
    <w:pPr>
      <w:adjustRightInd/>
      <w:ind w:firstLine="200" w:firstLineChars="200"/>
    </w:pPr>
    <w:rPr>
      <w:rFonts w:ascii="Tahoma" w:hAnsi="Tahoma"/>
      <w:sz w:val="24"/>
      <w:szCs w:val="20"/>
    </w:rPr>
  </w:style>
  <w:style w:type="paragraph" w:customStyle="1" w:styleId="454">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5">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6">
    <w:name w:val="Char Char Char Char Char Char Char Char"/>
    <w:basedOn w:val="1"/>
    <w:qFormat/>
    <w:uiPriority w:val="0"/>
    <w:pPr>
      <w:tabs>
        <w:tab w:val="left" w:pos="360"/>
      </w:tabs>
    </w:pPr>
    <w:rPr>
      <w:sz w:val="24"/>
      <w:szCs w:val="20"/>
    </w:rPr>
  </w:style>
  <w:style w:type="paragraph" w:customStyle="1" w:styleId="457">
    <w:name w:val="Char Char11 Char Char Char"/>
    <w:basedOn w:val="1"/>
    <w:qFormat/>
    <w:uiPriority w:val="0"/>
    <w:pPr>
      <w:spacing w:line="360" w:lineRule="auto"/>
    </w:pPr>
    <w:rPr>
      <w:szCs w:val="20"/>
    </w:rPr>
  </w:style>
  <w:style w:type="paragraph" w:customStyle="1" w:styleId="458">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9">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60">
    <w:name w:val="样式3"/>
    <w:basedOn w:val="461"/>
    <w:qFormat/>
    <w:uiPriority w:val="0"/>
    <w:pPr>
      <w:tabs>
        <w:tab w:val="left" w:pos="2790"/>
        <w:tab w:val="left" w:pos="4230"/>
      </w:tabs>
      <w:spacing w:before="312" w:beforeLines="100"/>
      <w:jc w:val="left"/>
    </w:pPr>
  </w:style>
  <w:style w:type="paragraph" w:customStyle="1" w:styleId="461">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2">
    <w:name w:val="Char Char1 Char Char1 Char Char1"/>
    <w:basedOn w:val="1"/>
    <w:qFormat/>
    <w:uiPriority w:val="0"/>
    <w:pPr>
      <w:tabs>
        <w:tab w:val="left" w:pos="840"/>
      </w:tabs>
      <w:ind w:left="840" w:hanging="420"/>
    </w:pPr>
    <w:rPr>
      <w:rFonts w:ascii="Tahoma" w:hAnsi="Tahoma"/>
      <w:sz w:val="24"/>
    </w:rPr>
  </w:style>
  <w:style w:type="paragraph" w:customStyle="1" w:styleId="463">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4">
    <w:name w:val="标书标题2"/>
    <w:basedOn w:val="3"/>
    <w:qFormat/>
    <w:uiPriority w:val="0"/>
    <w:pPr>
      <w:keepLines w:val="0"/>
      <w:widowControl/>
      <w:tabs>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5">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6">
    <w:name w:val="正文21"/>
    <w:basedOn w:val="1"/>
    <w:qFormat/>
    <w:uiPriority w:val="0"/>
    <w:pPr>
      <w:adjustRightInd/>
      <w:spacing w:before="156" w:line="360" w:lineRule="auto"/>
      <w:ind w:firstLine="510" w:firstLineChars="200"/>
    </w:pPr>
    <w:rPr>
      <w:sz w:val="24"/>
      <w:szCs w:val="20"/>
    </w:rPr>
  </w:style>
  <w:style w:type="paragraph" w:customStyle="1" w:styleId="467">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8">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9">
    <w:name w:val="Char1"/>
    <w:basedOn w:val="1"/>
    <w:qFormat/>
    <w:uiPriority w:val="0"/>
    <w:rPr>
      <w:rFonts w:ascii="仿宋_GB2312" w:eastAsia="仿宋_GB2312"/>
      <w:b/>
      <w:sz w:val="32"/>
      <w:szCs w:val="32"/>
    </w:rPr>
  </w:style>
  <w:style w:type="paragraph" w:customStyle="1" w:styleId="470">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1">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2">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3">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4">
    <w:name w:val="6级标题"/>
    <w:basedOn w:val="475"/>
    <w:qFormat/>
    <w:uiPriority w:val="0"/>
    <w:pPr>
      <w:keepNext/>
      <w:tabs>
        <w:tab w:val="left" w:pos="360"/>
      </w:tabs>
      <w:spacing w:before="0" w:after="0"/>
      <w:outlineLvl w:val="5"/>
    </w:pPr>
  </w:style>
  <w:style w:type="paragraph" w:customStyle="1" w:styleId="475">
    <w:name w:val="5级标题"/>
    <w:basedOn w:val="476"/>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6">
    <w:name w:val="4级标题"/>
    <w:basedOn w:val="264"/>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7">
    <w:name w:val="样式 正文文本缩进 + 段前: 2 字符"/>
    <w:basedOn w:val="1"/>
    <w:qFormat/>
    <w:uiPriority w:val="0"/>
    <w:pPr>
      <w:adjustRightInd/>
      <w:ind w:left="420" w:leftChars="200"/>
      <w:jc w:val="left"/>
    </w:pPr>
    <w:rPr>
      <w:sz w:val="28"/>
      <w:szCs w:val="20"/>
      <w:lang w:eastAsia="zh-TW"/>
    </w:rPr>
  </w:style>
  <w:style w:type="paragraph" w:customStyle="1" w:styleId="478">
    <w:name w:val="Char2 Char Char"/>
    <w:basedOn w:val="1"/>
    <w:qFormat/>
    <w:uiPriority w:val="0"/>
    <w:pPr>
      <w:adjustRightInd/>
    </w:pPr>
    <w:rPr>
      <w:rFonts w:ascii="Tahoma" w:hAnsi="Tahoma"/>
      <w:sz w:val="24"/>
      <w:szCs w:val="20"/>
    </w:rPr>
  </w:style>
  <w:style w:type="paragraph" w:customStyle="1" w:styleId="479">
    <w:name w:val="_Style 11"/>
    <w:basedOn w:val="1"/>
    <w:qFormat/>
    <w:uiPriority w:val="34"/>
    <w:pPr>
      <w:adjustRightInd/>
      <w:ind w:firstLine="420" w:firstLineChars="200"/>
    </w:pPr>
    <w:rPr>
      <w:rFonts w:eastAsia="仿宋_GB2312"/>
      <w:sz w:val="28"/>
    </w:rPr>
  </w:style>
  <w:style w:type="paragraph" w:customStyle="1" w:styleId="480">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1">
    <w:name w:val="Char Char Char"/>
    <w:basedOn w:val="1"/>
    <w:qFormat/>
    <w:uiPriority w:val="0"/>
    <w:rPr>
      <w:rFonts w:ascii="Tahoma" w:hAnsi="Tahoma"/>
      <w:sz w:val="24"/>
      <w:szCs w:val="20"/>
    </w:rPr>
  </w:style>
  <w:style w:type="paragraph" w:customStyle="1" w:styleId="482">
    <w:name w:val="数字标题6"/>
    <w:basedOn w:val="8"/>
    <w:next w:val="1"/>
    <w:qFormat/>
    <w:uiPriority w:val="0"/>
    <w:pPr>
      <w:tabs>
        <w:tab w:val="left" w:pos="1080"/>
      </w:tabs>
      <w:ind w:left="1080" w:hanging="1080"/>
    </w:pPr>
    <w:rPr>
      <w:rFonts w:ascii="Times New Roman" w:hAnsi="Times New Roman" w:eastAsia="宋体"/>
      <w:i/>
    </w:rPr>
  </w:style>
  <w:style w:type="paragraph" w:customStyle="1" w:styleId="483">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484">
    <w:name w:val="No Spacing_1f9163ce-10cc-4961-97ff-179d5b7d3cc5"/>
    <w:basedOn w:val="1"/>
    <w:link w:val="934"/>
    <w:qFormat/>
    <w:uiPriority w:val="99"/>
    <w:rPr>
      <w:szCs w:val="22"/>
    </w:rPr>
  </w:style>
  <w:style w:type="paragraph" w:customStyle="1" w:styleId="485">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6">
    <w:name w:val="Char Char Char Char Char Char Char Char Char Char Char Char1 Char1"/>
    <w:basedOn w:val="1"/>
    <w:qFormat/>
    <w:uiPriority w:val="6"/>
    <w:rPr>
      <w:rFonts w:ascii="Tahoma" w:hAnsi="Tahoma" w:cs="仿宋_GB2312"/>
      <w:sz w:val="24"/>
      <w:szCs w:val="20"/>
    </w:rPr>
  </w:style>
  <w:style w:type="paragraph" w:customStyle="1" w:styleId="487">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8">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9">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90">
    <w:name w:val="MM Topic 2"/>
    <w:basedOn w:val="3"/>
    <w:qFormat/>
    <w:uiPriority w:val="0"/>
    <w:pPr>
      <w:tabs>
        <w:tab w:val="left" w:pos="1260"/>
      </w:tabs>
      <w:ind w:left="1260" w:hanging="420"/>
    </w:pPr>
    <w:rPr>
      <w:rFonts w:ascii="Arial" w:hAnsi="Arial" w:eastAsia="黑体"/>
      <w:lang w:val="en-US"/>
    </w:rPr>
  </w:style>
  <w:style w:type="paragraph" w:customStyle="1" w:styleId="491">
    <w:name w:val="五级无标题条"/>
    <w:basedOn w:val="1"/>
    <w:qFormat/>
    <w:uiPriority w:val="0"/>
    <w:pPr>
      <w:adjustRightInd/>
    </w:pPr>
  </w:style>
  <w:style w:type="paragraph" w:customStyle="1" w:styleId="492">
    <w:name w:val="Char5"/>
    <w:basedOn w:val="1"/>
    <w:qFormat/>
    <w:uiPriority w:val="0"/>
    <w:rPr>
      <w:rFonts w:ascii="仿宋_GB2312" w:eastAsia="仿宋_GB2312"/>
      <w:b/>
      <w:sz w:val="32"/>
      <w:szCs w:val="32"/>
    </w:rPr>
  </w:style>
  <w:style w:type="paragraph" w:customStyle="1" w:styleId="493">
    <w:name w:val="TOC 标题1"/>
    <w:basedOn w:val="2"/>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4">
    <w:name w:val="彩色列表 - 强调文字颜色 12"/>
    <w:basedOn w:val="1"/>
    <w:qFormat/>
    <w:uiPriority w:val="0"/>
    <w:pPr>
      <w:adjustRightInd/>
      <w:ind w:firstLine="420" w:firstLineChars="200"/>
    </w:pPr>
    <w:rPr>
      <w:rFonts w:ascii="Calibri" w:hAnsi="Calibri"/>
      <w:szCs w:val="22"/>
    </w:rPr>
  </w:style>
  <w:style w:type="paragraph" w:customStyle="1" w:styleId="495">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6">
    <w:name w:val="Char2"/>
    <w:basedOn w:val="1"/>
    <w:qFormat/>
    <w:uiPriority w:val="0"/>
    <w:rPr>
      <w:rFonts w:ascii="仿宋_GB2312" w:eastAsia="仿宋_GB2312"/>
      <w:b/>
      <w:sz w:val="32"/>
      <w:szCs w:val="32"/>
    </w:rPr>
  </w:style>
  <w:style w:type="paragraph" w:customStyle="1" w:styleId="497">
    <w:name w:val="数字标题3"/>
    <w:basedOn w:val="4"/>
    <w:next w:val="1"/>
    <w:qFormat/>
    <w:uiPriority w:val="0"/>
    <w:pPr>
      <w:spacing w:line="240" w:lineRule="auto"/>
    </w:pPr>
    <w:rPr>
      <w:sz w:val="28"/>
      <w:szCs w:val="28"/>
    </w:rPr>
  </w:style>
  <w:style w:type="paragraph" w:customStyle="1" w:styleId="498">
    <w:name w:val="FA正文"/>
    <w:basedOn w:val="1"/>
    <w:qFormat/>
    <w:uiPriority w:val="0"/>
    <w:pPr>
      <w:spacing w:line="360" w:lineRule="auto"/>
      <w:ind w:firstLine="480" w:firstLineChars="200"/>
    </w:pPr>
    <w:rPr>
      <w:rFonts w:hAnsi="宋体"/>
      <w:sz w:val="24"/>
      <w:szCs w:val="20"/>
    </w:rPr>
  </w:style>
  <w:style w:type="paragraph" w:customStyle="1" w:styleId="499">
    <w:name w:val="MM Topic 5"/>
    <w:basedOn w:val="7"/>
    <w:qFormat/>
    <w:uiPriority w:val="0"/>
    <w:pPr>
      <w:tabs>
        <w:tab w:val="left" w:pos="2520"/>
      </w:tabs>
      <w:adjustRightInd/>
      <w:ind w:left="2520" w:hanging="420"/>
    </w:pPr>
  </w:style>
  <w:style w:type="paragraph" w:customStyle="1" w:styleId="500">
    <w:name w:val="Char Char Char Char Char Char Char Char Char Char1"/>
    <w:basedOn w:val="1"/>
    <w:qFormat/>
    <w:uiPriority w:val="0"/>
    <w:rPr>
      <w:rFonts w:ascii="仿宋_GB2312" w:eastAsia="仿宋_GB2312"/>
      <w:b/>
      <w:sz w:val="32"/>
      <w:szCs w:val="32"/>
    </w:rPr>
  </w:style>
  <w:style w:type="paragraph" w:customStyle="1" w:styleId="501">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2">
    <w:name w:val="修订1"/>
    <w:qFormat/>
    <w:uiPriority w:val="3"/>
    <w:rPr>
      <w:rFonts w:ascii="Times New Roman" w:hAnsi="Times New Roman" w:eastAsia="宋体" w:cs="Times New Roman"/>
      <w:color w:val="000000"/>
      <w:kern w:val="1"/>
      <w:sz w:val="21"/>
      <w:lang w:val="en-US" w:eastAsia="zh-CN" w:bidi="ar-SA"/>
    </w:rPr>
  </w:style>
  <w:style w:type="paragraph" w:customStyle="1" w:styleId="503">
    <w:name w:val="Char2 Char Char Char"/>
    <w:basedOn w:val="1"/>
    <w:qFormat/>
    <w:uiPriority w:val="0"/>
    <w:rPr>
      <w:rFonts w:ascii="仿宋_GB2312" w:eastAsia="仿宋_GB2312"/>
      <w:b/>
      <w:sz w:val="32"/>
      <w:szCs w:val="32"/>
    </w:rPr>
  </w:style>
  <w:style w:type="paragraph" w:customStyle="1" w:styleId="504">
    <w:name w:val="Char2 Char Char Char1"/>
    <w:basedOn w:val="1"/>
    <w:qFormat/>
    <w:uiPriority w:val="6"/>
    <w:rPr>
      <w:rFonts w:ascii="仿宋_GB2312" w:eastAsia="仿宋_GB2312"/>
      <w:b/>
      <w:sz w:val="32"/>
      <w:szCs w:val="32"/>
    </w:rPr>
  </w:style>
  <w:style w:type="paragraph" w:customStyle="1" w:styleId="505">
    <w:name w:val="默认段落样式"/>
    <w:basedOn w:val="139"/>
    <w:qFormat/>
    <w:uiPriority w:val="0"/>
    <w:pPr>
      <w:spacing w:before="0"/>
      <w:ind w:firstLine="480"/>
      <w:outlineLvl w:val="2"/>
    </w:pPr>
    <w:rPr>
      <w:rFonts w:ascii="仿宋_GB2312" w:hAnsi="宋体" w:eastAsia="仿宋_GB2312"/>
      <w:color w:val="000000"/>
      <w:szCs w:val="24"/>
    </w:rPr>
  </w:style>
  <w:style w:type="paragraph" w:customStyle="1" w:styleId="506">
    <w:name w:val="图中文字"/>
    <w:basedOn w:val="1"/>
    <w:qFormat/>
    <w:uiPriority w:val="0"/>
    <w:pPr>
      <w:snapToGrid w:val="0"/>
      <w:spacing w:line="0" w:lineRule="atLeast"/>
      <w:ind w:firstLine="200" w:firstLineChars="200"/>
      <w:jc w:val="center"/>
    </w:pPr>
    <w:rPr>
      <w:sz w:val="24"/>
      <w:szCs w:val="20"/>
    </w:rPr>
  </w:style>
  <w:style w:type="paragraph" w:customStyle="1" w:styleId="507">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8">
    <w:name w:val="MM Topic 3"/>
    <w:basedOn w:val="4"/>
    <w:qFormat/>
    <w:uiPriority w:val="0"/>
    <w:pPr>
      <w:tabs>
        <w:tab w:val="left" w:pos="1680"/>
      </w:tabs>
      <w:adjustRightInd/>
      <w:ind w:left="1680" w:hanging="420"/>
    </w:pPr>
  </w:style>
  <w:style w:type="paragraph" w:customStyle="1" w:styleId="509">
    <w:name w:val="标准小四"/>
    <w:basedOn w:val="1"/>
    <w:qFormat/>
    <w:uiPriority w:val="0"/>
    <w:pPr>
      <w:spacing w:line="360" w:lineRule="auto"/>
      <w:ind w:firstLine="480" w:firstLineChars="200"/>
    </w:pPr>
    <w:rPr>
      <w:rFonts w:ascii="Arial" w:hAnsi="Arial"/>
      <w:sz w:val="24"/>
      <w:szCs w:val="21"/>
    </w:rPr>
  </w:style>
  <w:style w:type="paragraph" w:customStyle="1" w:styleId="510">
    <w:name w:val="样式 标题 2H2h2Underrubrik1prop2l2Chapter Titlesect 1.2DO NO..."/>
    <w:basedOn w:val="3"/>
    <w:qFormat/>
    <w:uiPriority w:val="0"/>
    <w:pPr>
      <w:spacing w:before="120" w:after="120"/>
      <w:ind w:left="425" w:hanging="425"/>
    </w:pPr>
    <w:rPr>
      <w:rFonts w:ascii="微软雅黑" w:hAnsi="微软雅黑" w:eastAsia="微软雅黑" w:cs="宋体"/>
      <w:szCs w:val="20"/>
      <w:lang w:val="en-US"/>
    </w:rPr>
  </w:style>
  <w:style w:type="paragraph" w:customStyle="1" w:styleId="511">
    <w:name w:val="表格（小）"/>
    <w:basedOn w:val="1"/>
    <w:qFormat/>
    <w:uiPriority w:val="0"/>
    <w:pPr>
      <w:adjustRightInd/>
      <w:snapToGrid w:val="0"/>
      <w:spacing w:line="300" w:lineRule="auto"/>
    </w:pPr>
    <w:rPr>
      <w:rFonts w:eastAsia="仿宋"/>
      <w:szCs w:val="21"/>
    </w:rPr>
  </w:style>
  <w:style w:type="paragraph" w:customStyle="1" w:styleId="512">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3">
    <w:name w:val="Char2 Char Char1"/>
    <w:basedOn w:val="1"/>
    <w:qFormat/>
    <w:uiPriority w:val="6"/>
    <w:pPr>
      <w:adjustRightInd/>
    </w:pPr>
    <w:rPr>
      <w:rFonts w:ascii="Tahoma" w:hAnsi="Tahoma"/>
      <w:sz w:val="24"/>
      <w:szCs w:val="20"/>
    </w:rPr>
  </w:style>
  <w:style w:type="paragraph" w:customStyle="1" w:styleId="514">
    <w:name w:val="列出段落5"/>
    <w:basedOn w:val="1"/>
    <w:qFormat/>
    <w:uiPriority w:val="0"/>
    <w:pPr>
      <w:spacing w:line="360" w:lineRule="auto"/>
      <w:ind w:firstLine="200" w:firstLineChars="200"/>
    </w:pPr>
    <w:rPr>
      <w:rFonts w:eastAsia="楷体_GB2312" w:cs="Lucida Sans"/>
      <w:sz w:val="24"/>
    </w:rPr>
  </w:style>
  <w:style w:type="paragraph" w:customStyle="1" w:styleId="515">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6">
    <w:name w:val="表格文字"/>
    <w:basedOn w:val="1"/>
    <w:next w:val="5"/>
    <w:qFormat/>
    <w:uiPriority w:val="0"/>
    <w:pPr>
      <w:adjustRightInd/>
      <w:ind w:firstLine="200" w:firstLineChars="200"/>
    </w:pPr>
    <w:rPr>
      <w:rFonts w:ascii="Arial" w:hAnsi="Arial"/>
      <w:spacing w:val="-5"/>
      <w:kern w:val="0"/>
      <w:sz w:val="24"/>
      <w:szCs w:val="20"/>
    </w:rPr>
  </w:style>
  <w:style w:type="paragraph" w:customStyle="1" w:styleId="517">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8">
    <w:name w:val="TOC 标题111"/>
    <w:basedOn w:val="2"/>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9">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20">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1">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2">
    <w:name w:val="_Style 3"/>
    <w:basedOn w:val="1"/>
    <w:qFormat/>
    <w:uiPriority w:val="0"/>
    <w:pPr>
      <w:adjustRightInd/>
      <w:ind w:firstLine="420" w:firstLineChars="200"/>
    </w:pPr>
    <w:rPr>
      <w:rFonts w:eastAsia="仿宋_GB2312"/>
      <w:sz w:val="28"/>
    </w:rPr>
  </w:style>
  <w:style w:type="paragraph" w:customStyle="1" w:styleId="523">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4">
    <w:name w:val="Bulleting First Indent 1"/>
    <w:basedOn w:val="24"/>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5">
    <w:name w:val="左对齐表格文字"/>
    <w:basedOn w:val="1"/>
    <w:qFormat/>
    <w:uiPriority w:val="0"/>
    <w:pPr>
      <w:adjustRightInd/>
      <w:ind w:firstLine="200" w:firstLineChars="200"/>
      <w:jc w:val="right"/>
    </w:pPr>
  </w:style>
  <w:style w:type="paragraph" w:customStyle="1" w:styleId="526">
    <w:name w:val="Char Char11 Char Char Char Char Char Char Char Char Char"/>
    <w:basedOn w:val="1"/>
    <w:qFormat/>
    <w:uiPriority w:val="0"/>
    <w:pPr>
      <w:spacing w:line="360" w:lineRule="auto"/>
    </w:pPr>
    <w:rPr>
      <w:szCs w:val="20"/>
    </w:rPr>
  </w:style>
  <w:style w:type="paragraph" w:customStyle="1" w:styleId="527">
    <w:name w:val="正文1.25"/>
    <w:basedOn w:val="1"/>
    <w:qFormat/>
    <w:uiPriority w:val="0"/>
    <w:pPr>
      <w:adjustRightInd/>
      <w:spacing w:line="300" w:lineRule="auto"/>
      <w:ind w:firstLine="480" w:firstLineChars="200"/>
    </w:pPr>
    <w:rPr>
      <w:sz w:val="24"/>
      <w:szCs w:val="20"/>
    </w:rPr>
  </w:style>
  <w:style w:type="paragraph" w:customStyle="1" w:styleId="528">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9">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30">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1">
    <w:name w:val="Char Char1 Char Char Char1"/>
    <w:basedOn w:val="1"/>
    <w:qFormat/>
    <w:uiPriority w:val="6"/>
    <w:rPr>
      <w:rFonts w:ascii="仿宋_GB2312" w:eastAsia="仿宋_GB2312"/>
      <w:b/>
      <w:sz w:val="32"/>
      <w:szCs w:val="20"/>
    </w:rPr>
  </w:style>
  <w:style w:type="paragraph" w:customStyle="1" w:styleId="532">
    <w:name w:val="列出段落2"/>
    <w:basedOn w:val="1"/>
    <w:qFormat/>
    <w:uiPriority w:val="0"/>
    <w:pPr>
      <w:adjustRightInd/>
      <w:ind w:firstLine="420" w:firstLineChars="200"/>
    </w:pPr>
    <w:rPr>
      <w:rFonts w:ascii="宋体" w:hAnsi="宋体"/>
      <w:sz w:val="24"/>
    </w:rPr>
  </w:style>
  <w:style w:type="paragraph" w:customStyle="1" w:styleId="533">
    <w:name w:val="默认段落字体 Para Char Char Char Char Char Char Char"/>
    <w:basedOn w:val="1"/>
    <w:qFormat/>
    <w:uiPriority w:val="0"/>
    <w:rPr>
      <w:rFonts w:eastAsia="仿宋_GB2312"/>
      <w:sz w:val="28"/>
      <w:szCs w:val="20"/>
    </w:rPr>
  </w:style>
  <w:style w:type="paragraph" w:customStyle="1" w:styleId="534">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5">
    <w:name w:val="样式 标题 4PIM 4H4h4bulletblbbH41H42H43H44H45H46H47H48...1"/>
    <w:basedOn w:val="6"/>
    <w:qFormat/>
    <w:uiPriority w:val="0"/>
    <w:pPr>
      <w:widowControl/>
      <w:jc w:val="left"/>
    </w:pPr>
    <w:rPr>
      <w:rFonts w:cs="宋体"/>
      <w:sz w:val="24"/>
      <w:szCs w:val="20"/>
    </w:rPr>
  </w:style>
  <w:style w:type="paragraph" w:customStyle="1" w:styleId="536">
    <w:name w:val="彩色列表 - 强调文字颜色 11"/>
    <w:basedOn w:val="1"/>
    <w:qFormat/>
    <w:uiPriority w:val="0"/>
    <w:pPr>
      <w:adjustRightInd/>
      <w:ind w:firstLine="420" w:firstLineChars="200"/>
    </w:pPr>
    <w:rPr>
      <w:rFonts w:ascii="Calibri" w:hAnsi="Calibri"/>
      <w:szCs w:val="22"/>
    </w:rPr>
  </w:style>
  <w:style w:type="paragraph" w:customStyle="1" w:styleId="537">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8">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9">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40">
    <w:name w:val="Char Char Char1 Char1"/>
    <w:basedOn w:val="1"/>
    <w:qFormat/>
    <w:uiPriority w:val="6"/>
    <w:rPr>
      <w:szCs w:val="20"/>
    </w:rPr>
  </w:style>
  <w:style w:type="paragraph" w:customStyle="1" w:styleId="541">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2">
    <w:name w:val="样式 标题 2 + 宋体 左侧:  1.76 厘米 首行缩进:  0 厘米"/>
    <w:basedOn w:val="3"/>
    <w:qFormat/>
    <w:uiPriority w:val="0"/>
    <w:pPr>
      <w:tabs>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3">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4">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5">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6">
    <w:name w:val="CM14"/>
    <w:basedOn w:val="85"/>
    <w:next w:val="85"/>
    <w:qFormat/>
    <w:uiPriority w:val="0"/>
    <w:pPr>
      <w:spacing w:after="68"/>
    </w:pPr>
    <w:rPr>
      <w:rFonts w:ascii="FHLHE E+ Futura Bk" w:eastAsia="FHLHE E+ Futura Bk" w:cs="Times New Roman"/>
      <w:color w:val="auto"/>
    </w:rPr>
  </w:style>
  <w:style w:type="paragraph" w:customStyle="1" w:styleId="547">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8">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9">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50">
    <w:name w:val="正文文字 2"/>
    <w:basedOn w:val="85"/>
    <w:next w:val="85"/>
    <w:qFormat/>
    <w:uiPriority w:val="0"/>
    <w:rPr>
      <w:rFonts w:ascii="宋体" w:eastAsia="宋体" w:cs="Times New Roman"/>
      <w:color w:val="auto"/>
    </w:rPr>
  </w:style>
  <w:style w:type="paragraph" w:customStyle="1" w:styleId="551">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2">
    <w:name w:val="Char Char1 Char"/>
    <w:basedOn w:val="1"/>
    <w:qFormat/>
    <w:uiPriority w:val="0"/>
    <w:rPr>
      <w:rFonts w:ascii="仿宋_GB2312" w:eastAsia="仿宋_GB2312"/>
      <w:b/>
      <w:sz w:val="32"/>
      <w:szCs w:val="32"/>
    </w:rPr>
  </w:style>
  <w:style w:type="paragraph" w:customStyle="1" w:styleId="553">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4">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5">
    <w:name w:val="Char Char111"/>
    <w:basedOn w:val="1"/>
    <w:qFormat/>
    <w:uiPriority w:val="0"/>
    <w:pPr>
      <w:spacing w:line="360" w:lineRule="auto"/>
    </w:pPr>
    <w:rPr>
      <w:szCs w:val="20"/>
    </w:rPr>
  </w:style>
  <w:style w:type="paragraph" w:customStyle="1" w:styleId="556">
    <w:name w:val="Char"/>
    <w:basedOn w:val="1"/>
    <w:qFormat/>
    <w:uiPriority w:val="0"/>
    <w:rPr>
      <w:rFonts w:ascii="仿宋_GB2312" w:eastAsia="仿宋_GB2312"/>
      <w:b/>
      <w:sz w:val="32"/>
      <w:szCs w:val="32"/>
    </w:rPr>
  </w:style>
  <w:style w:type="paragraph" w:customStyle="1" w:styleId="557">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8">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9">
    <w:name w:val="Char Char Char1 Char"/>
    <w:basedOn w:val="1"/>
    <w:qFormat/>
    <w:uiPriority w:val="0"/>
    <w:rPr>
      <w:szCs w:val="20"/>
    </w:rPr>
  </w:style>
  <w:style w:type="paragraph" w:customStyle="1" w:styleId="560">
    <w:name w:val="正文标准"/>
    <w:basedOn w:val="1"/>
    <w:qFormat/>
    <w:uiPriority w:val="0"/>
    <w:pPr>
      <w:adjustRightInd/>
      <w:spacing w:line="360" w:lineRule="auto"/>
      <w:ind w:firstLine="200" w:firstLineChars="200"/>
    </w:pPr>
    <w:rPr>
      <w:rFonts w:ascii="宋体" w:hAnsi="Calibri"/>
      <w:sz w:val="24"/>
    </w:rPr>
  </w:style>
  <w:style w:type="paragraph" w:customStyle="1" w:styleId="561">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2">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3">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4">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5">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6">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7">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8">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9">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70">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1">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2">
    <w:name w:val="标准有序列表（L1）"/>
    <w:basedOn w:val="5"/>
    <w:qFormat/>
    <w:uiPriority w:val="0"/>
    <w:pPr>
      <w:widowControl w:val="0"/>
      <w:tabs>
        <w:tab w:val="left" w:pos="0"/>
        <w:tab w:val="left" w:pos="992"/>
      </w:tabs>
      <w:adjustRightInd/>
      <w:snapToGrid/>
      <w:spacing w:line="360" w:lineRule="auto"/>
      <w:ind w:firstLine="0"/>
    </w:pPr>
    <w:rPr>
      <w:rFonts w:ascii="黑体" w:eastAsia="黑体"/>
      <w:kern w:val="2"/>
      <w:sz w:val="24"/>
    </w:rPr>
  </w:style>
  <w:style w:type="paragraph" w:customStyle="1" w:styleId="573">
    <w:name w:val="Char Char Char Char Char Char Char Char Char Char"/>
    <w:basedOn w:val="1"/>
    <w:qFormat/>
    <w:uiPriority w:val="0"/>
    <w:rPr>
      <w:rFonts w:ascii="仿宋_GB2312" w:eastAsia="仿宋_GB2312"/>
      <w:b/>
      <w:sz w:val="32"/>
      <w:szCs w:val="32"/>
    </w:rPr>
  </w:style>
  <w:style w:type="paragraph" w:customStyle="1" w:styleId="574">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5">
    <w:name w:val="_正文段落"/>
    <w:basedOn w:val="1"/>
    <w:qFormat/>
    <w:uiPriority w:val="0"/>
    <w:pPr>
      <w:adjustRightInd/>
      <w:ind w:firstLine="560"/>
    </w:pPr>
    <w:rPr>
      <w:rFonts w:ascii="仿宋_GB2312" w:hAnsi="仿宋" w:eastAsia="仿宋_GB2312"/>
      <w:kern w:val="0"/>
      <w:sz w:val="28"/>
      <w:szCs w:val="28"/>
    </w:rPr>
  </w:style>
  <w:style w:type="paragraph" w:customStyle="1" w:styleId="576">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7">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8">
    <w:name w:val="正文（首行缩进）"/>
    <w:basedOn w:val="25"/>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9">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80">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1">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2">
    <w:name w:val="Char Char Char1 Char2"/>
    <w:basedOn w:val="1"/>
    <w:qFormat/>
    <w:uiPriority w:val="0"/>
    <w:rPr>
      <w:szCs w:val="20"/>
    </w:rPr>
  </w:style>
  <w:style w:type="paragraph" w:customStyle="1" w:styleId="583">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4">
    <w:name w:val="默认段落字体 Para Char"/>
    <w:basedOn w:val="1"/>
    <w:qFormat/>
    <w:uiPriority w:val="0"/>
    <w:rPr>
      <w:rFonts w:ascii="Tahoma" w:hAnsi="Tahoma"/>
      <w:sz w:val="24"/>
      <w:szCs w:val="20"/>
    </w:rPr>
  </w:style>
  <w:style w:type="paragraph" w:customStyle="1" w:styleId="585">
    <w:name w:val="标题五"/>
    <w:basedOn w:val="1"/>
    <w:qFormat/>
    <w:uiPriority w:val="0"/>
    <w:pPr>
      <w:adjustRightInd/>
      <w:spacing w:before="156" w:beforeLines="50" w:line="360" w:lineRule="auto"/>
    </w:pPr>
    <w:rPr>
      <w:b/>
      <w:sz w:val="24"/>
    </w:rPr>
  </w:style>
  <w:style w:type="paragraph" w:customStyle="1" w:styleId="586">
    <w:name w:val="Char Char1101"/>
    <w:basedOn w:val="1"/>
    <w:qFormat/>
    <w:uiPriority w:val="0"/>
    <w:pPr>
      <w:spacing w:line="360" w:lineRule="auto"/>
    </w:pPr>
    <w:rPr>
      <w:rFonts w:ascii="Tahoma" w:hAnsi="Tahoma"/>
      <w:sz w:val="24"/>
      <w:szCs w:val="20"/>
    </w:rPr>
  </w:style>
  <w:style w:type="paragraph" w:customStyle="1" w:styleId="587">
    <w:name w:val="Char Char Char Char Char Char Char Char1"/>
    <w:basedOn w:val="1"/>
    <w:qFormat/>
    <w:uiPriority w:val="0"/>
    <w:pPr>
      <w:tabs>
        <w:tab w:val="left" w:pos="360"/>
      </w:tabs>
    </w:pPr>
    <w:rPr>
      <w:sz w:val="24"/>
      <w:szCs w:val="20"/>
    </w:rPr>
  </w:style>
  <w:style w:type="paragraph" w:customStyle="1" w:styleId="588">
    <w:name w:val="Char Char Char 字元 字元"/>
    <w:basedOn w:val="1"/>
    <w:qFormat/>
    <w:uiPriority w:val="0"/>
    <w:pPr>
      <w:adjustRightInd/>
      <w:spacing w:line="360" w:lineRule="auto"/>
      <w:ind w:firstLine="200" w:firstLineChars="200"/>
    </w:pPr>
    <w:rPr>
      <w:szCs w:val="20"/>
    </w:rPr>
  </w:style>
  <w:style w:type="paragraph" w:customStyle="1" w:styleId="589">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0">
    <w:name w:val="Char Char Char Char Char Char Char"/>
    <w:basedOn w:val="1"/>
    <w:qFormat/>
    <w:uiPriority w:val="0"/>
    <w:rPr>
      <w:rFonts w:ascii="仿宋_GB2312" w:eastAsia="仿宋_GB2312"/>
      <w:b/>
      <w:sz w:val="32"/>
      <w:szCs w:val="32"/>
    </w:rPr>
  </w:style>
  <w:style w:type="paragraph" w:customStyle="1" w:styleId="591">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2">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3">
    <w:name w:val="样式 标题 22h2L1 Heading 2H2sect 1.2H21sect 1.21H22sect 1.2..."/>
    <w:basedOn w:val="3"/>
    <w:next w:val="1"/>
    <w:qFormat/>
    <w:uiPriority w:val="0"/>
    <w:pPr>
      <w:tabs>
        <w:tab w:val="clear" w:pos="432"/>
      </w:tabs>
      <w:spacing w:before="260" w:after="260" w:line="415" w:lineRule="auto"/>
      <w:ind w:left="425" w:hanging="425"/>
    </w:pPr>
    <w:rPr>
      <w:rFonts w:ascii="微软雅黑" w:hAnsi="微软雅黑" w:eastAsia="微软雅黑"/>
      <w:lang w:val="en-US"/>
    </w:rPr>
  </w:style>
  <w:style w:type="paragraph" w:customStyle="1" w:styleId="594">
    <w:name w:val="样式6"/>
    <w:basedOn w:val="33"/>
    <w:qFormat/>
    <w:uiPriority w:val="0"/>
    <w:pPr>
      <w:spacing w:line="460" w:lineRule="exact"/>
      <w:outlineLvl w:val="2"/>
    </w:pPr>
    <w:rPr>
      <w:rFonts w:ascii="仿宋_GB2312" w:hAnsi="宋体" w:eastAsia="仿宋_GB2312"/>
      <w:b/>
      <w:bCs/>
      <w:sz w:val="24"/>
      <w:szCs w:val="24"/>
    </w:rPr>
  </w:style>
  <w:style w:type="paragraph" w:customStyle="1" w:styleId="595">
    <w:name w:val="批注框文本 Char Char"/>
    <w:basedOn w:val="1"/>
    <w:qFormat/>
    <w:uiPriority w:val="0"/>
    <w:pPr>
      <w:adjustRightInd/>
    </w:pPr>
    <w:rPr>
      <w:sz w:val="18"/>
      <w:szCs w:val="20"/>
    </w:rPr>
  </w:style>
  <w:style w:type="paragraph" w:customStyle="1" w:styleId="596">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7">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8">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9">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600">
    <w:name w:val="索引 11"/>
    <w:basedOn w:val="1"/>
    <w:next w:val="1"/>
    <w:qFormat/>
    <w:uiPriority w:val="99"/>
    <w:pPr>
      <w:adjustRightInd/>
      <w:spacing w:line="360" w:lineRule="auto"/>
    </w:pPr>
    <w:rPr>
      <w:rFonts w:ascii="仿宋_GB2312" w:eastAsia="仿宋_GB2312"/>
      <w:sz w:val="24"/>
      <w:szCs w:val="20"/>
    </w:rPr>
  </w:style>
  <w:style w:type="paragraph" w:customStyle="1" w:styleId="601">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2">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3">
    <w:name w:val="正文文字缩进项目"/>
    <w:basedOn w:val="25"/>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4">
    <w:name w:val="文档正文"/>
    <w:basedOn w:val="1"/>
    <w:qFormat/>
    <w:uiPriority w:val="0"/>
    <w:pPr>
      <w:spacing w:line="480" w:lineRule="atLeast"/>
      <w:ind w:firstLine="567"/>
      <w:textAlignment w:val="baseline"/>
    </w:pPr>
    <w:rPr>
      <w:kern w:val="0"/>
      <w:sz w:val="24"/>
      <w:szCs w:val="20"/>
    </w:rPr>
  </w:style>
  <w:style w:type="paragraph" w:customStyle="1" w:styleId="605">
    <w:name w:val="正文文字表格居中"/>
    <w:basedOn w:val="1"/>
    <w:next w:val="56"/>
    <w:qFormat/>
    <w:uiPriority w:val="0"/>
    <w:pPr>
      <w:snapToGrid w:val="0"/>
      <w:spacing w:line="360" w:lineRule="auto"/>
    </w:pPr>
    <w:rPr>
      <w:rFonts w:ascii="宋体"/>
      <w:b/>
      <w:sz w:val="24"/>
      <w:szCs w:val="20"/>
    </w:rPr>
  </w:style>
  <w:style w:type="paragraph" w:customStyle="1" w:styleId="606">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7">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8">
    <w:name w:val="Plain Text1"/>
    <w:basedOn w:val="1"/>
    <w:qFormat/>
    <w:uiPriority w:val="7"/>
    <w:pPr>
      <w:adjustRightInd/>
    </w:pPr>
    <w:rPr>
      <w:rFonts w:ascii="宋体" w:hAnsi="Courier New"/>
    </w:rPr>
  </w:style>
  <w:style w:type="paragraph" w:customStyle="1" w:styleId="609">
    <w:name w:val="Char3"/>
    <w:basedOn w:val="1"/>
    <w:qFormat/>
    <w:uiPriority w:val="0"/>
    <w:pPr>
      <w:adjustRightInd/>
    </w:pPr>
    <w:rPr>
      <w:rFonts w:ascii="仿宋_GB2312" w:eastAsia="仿宋_GB2312"/>
      <w:b/>
      <w:sz w:val="32"/>
      <w:szCs w:val="32"/>
    </w:rPr>
  </w:style>
  <w:style w:type="paragraph" w:customStyle="1" w:styleId="610">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1">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2">
    <w:name w:val="标题2"/>
    <w:basedOn w:val="3"/>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3">
    <w:name w:val="List Paragraph1"/>
    <w:basedOn w:val="1"/>
    <w:qFormat/>
    <w:uiPriority w:val="0"/>
    <w:pPr>
      <w:spacing w:line="360" w:lineRule="auto"/>
      <w:ind w:firstLine="200" w:firstLineChars="200"/>
    </w:pPr>
    <w:rPr>
      <w:rFonts w:eastAsia="楷体_GB2312" w:cs="Lucida Sans"/>
      <w:sz w:val="24"/>
    </w:rPr>
  </w:style>
  <w:style w:type="paragraph" w:customStyle="1" w:styleId="614">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5">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6">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7">
    <w:name w:val="Char3 Char Char Char"/>
    <w:basedOn w:val="1"/>
    <w:qFormat/>
    <w:uiPriority w:val="0"/>
    <w:pPr>
      <w:widowControl/>
      <w:adjustRightInd/>
      <w:spacing w:after="160" w:line="240" w:lineRule="exact"/>
      <w:jc w:val="left"/>
    </w:pPr>
    <w:rPr>
      <w:szCs w:val="20"/>
    </w:rPr>
  </w:style>
  <w:style w:type="paragraph" w:customStyle="1" w:styleId="618">
    <w:name w:val="表格标题2"/>
    <w:basedOn w:val="619"/>
    <w:qFormat/>
    <w:uiPriority w:val="0"/>
    <w:rPr>
      <w:b/>
    </w:rPr>
  </w:style>
  <w:style w:type="paragraph" w:customStyle="1" w:styleId="619">
    <w:name w:val="表格内文"/>
    <w:basedOn w:val="1"/>
    <w:qFormat/>
    <w:uiPriority w:val="0"/>
    <w:pPr>
      <w:adjustRightInd/>
      <w:spacing w:line="360" w:lineRule="auto"/>
    </w:pPr>
    <w:rPr>
      <w:rFonts w:ascii="宋体" w:hAnsi="宋体" w:cs="宋体"/>
      <w:color w:val="000000"/>
      <w:szCs w:val="20"/>
    </w:rPr>
  </w:style>
  <w:style w:type="paragraph" w:customStyle="1" w:styleId="620">
    <w:name w:val="Char Char Char Char Char Char Char Char Char Char2"/>
    <w:basedOn w:val="1"/>
    <w:qFormat/>
    <w:uiPriority w:val="0"/>
    <w:rPr>
      <w:rFonts w:ascii="仿宋_GB2312" w:eastAsia="仿宋_GB2312"/>
      <w:b/>
      <w:sz w:val="32"/>
      <w:szCs w:val="32"/>
    </w:rPr>
  </w:style>
  <w:style w:type="paragraph" w:customStyle="1" w:styleId="621">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2">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3">
    <w:name w:val="Char Char11 Char Char Char Char Char Char Char Char Char11"/>
    <w:basedOn w:val="1"/>
    <w:qFormat/>
    <w:uiPriority w:val="0"/>
    <w:pPr>
      <w:spacing w:line="360" w:lineRule="auto"/>
    </w:pPr>
    <w:rPr>
      <w:szCs w:val="20"/>
    </w:rPr>
  </w:style>
  <w:style w:type="paragraph" w:customStyle="1" w:styleId="624">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5">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6">
    <w:name w:val="MM Topic 1"/>
    <w:basedOn w:val="2"/>
    <w:qFormat/>
    <w:uiPriority w:val="0"/>
    <w:pPr>
      <w:tabs>
        <w:tab w:val="left" w:pos="840"/>
      </w:tabs>
      <w:adjustRightInd/>
      <w:ind w:left="840" w:hanging="420"/>
    </w:pPr>
  </w:style>
  <w:style w:type="paragraph" w:customStyle="1" w:styleId="627">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628">
    <w:name w:val="文本正文 Char"/>
    <w:basedOn w:val="1"/>
    <w:qFormat/>
    <w:uiPriority w:val="0"/>
    <w:pPr>
      <w:spacing w:line="360" w:lineRule="auto"/>
      <w:ind w:firstLine="200" w:firstLineChars="200"/>
    </w:pPr>
    <w:rPr>
      <w:kern w:val="0"/>
      <w:sz w:val="24"/>
      <w:szCs w:val="20"/>
    </w:rPr>
  </w:style>
  <w:style w:type="paragraph" w:customStyle="1" w:styleId="629">
    <w:name w:val="表格"/>
    <w:basedOn w:val="1"/>
    <w:qFormat/>
    <w:uiPriority w:val="0"/>
    <w:pPr>
      <w:snapToGrid w:val="0"/>
      <w:ind w:firstLine="42" w:firstLineChars="21"/>
    </w:pPr>
    <w:rPr>
      <w:rFonts w:ascii="宋体" w:hAnsi="宋体"/>
      <w:kern w:val="0"/>
      <w:sz w:val="20"/>
      <w:szCs w:val="20"/>
    </w:rPr>
  </w:style>
  <w:style w:type="paragraph" w:customStyle="1" w:styleId="630">
    <w:name w:val="标书标题4"/>
    <w:basedOn w:val="6"/>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1">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2">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3">
    <w:name w:val="表格项目符号 2"/>
    <w:basedOn w:val="29"/>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4">
    <w:name w:val="EB_表格"/>
    <w:basedOn w:val="1"/>
    <w:qFormat/>
    <w:uiPriority w:val="0"/>
    <w:pPr>
      <w:adjustRightInd/>
      <w:spacing w:line="300" w:lineRule="auto"/>
      <w:jc w:val="center"/>
    </w:pPr>
  </w:style>
  <w:style w:type="paragraph" w:customStyle="1" w:styleId="635">
    <w:name w:val="_Style 6"/>
    <w:basedOn w:val="1"/>
    <w:qFormat/>
    <w:uiPriority w:val="34"/>
    <w:pPr>
      <w:adjustRightInd/>
      <w:ind w:firstLine="420" w:firstLineChars="200"/>
    </w:pPr>
    <w:rPr>
      <w:rFonts w:eastAsia="仿宋_GB2312"/>
      <w:sz w:val="28"/>
    </w:rPr>
  </w:style>
  <w:style w:type="paragraph" w:customStyle="1" w:styleId="636">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7">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8">
    <w:name w:val="!大节"/>
    <w:basedOn w:val="3"/>
    <w:qFormat/>
    <w:uiPriority w:val="0"/>
    <w:pPr>
      <w:spacing w:before="260" w:after="260" w:line="415" w:lineRule="auto"/>
      <w:ind w:left="420" w:hanging="420"/>
    </w:pPr>
    <w:rPr>
      <w:rFonts w:ascii="Arial" w:hAnsi="Arial" w:eastAsia="微软雅黑"/>
      <w:lang w:val="en-US"/>
    </w:rPr>
  </w:style>
  <w:style w:type="paragraph" w:customStyle="1" w:styleId="639">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40">
    <w:name w:val="正文表标题"/>
    <w:next w:val="641"/>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2">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3">
    <w:name w:val="trademark"/>
    <w:qFormat/>
    <w:uiPriority w:val="0"/>
    <w:pPr>
      <w:spacing w:after="60"/>
    </w:pPr>
    <w:rPr>
      <w:rFonts w:ascii="Futura Bk" w:hAnsi="Futura Bk" w:eastAsia="宋体" w:cs="Times New Roman"/>
      <w:sz w:val="15"/>
      <w:lang w:val="en-US" w:eastAsia="en-US" w:bidi="ar-SA"/>
    </w:rPr>
  </w:style>
  <w:style w:type="paragraph" w:customStyle="1" w:styleId="644">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5">
    <w:name w:val="Char Char1 Char Char Char Char Char Char1"/>
    <w:basedOn w:val="1"/>
    <w:qFormat/>
    <w:uiPriority w:val="0"/>
    <w:rPr>
      <w:rFonts w:ascii="仿宋_GB2312" w:eastAsia="仿宋_GB2312"/>
      <w:b/>
      <w:sz w:val="32"/>
      <w:szCs w:val="20"/>
    </w:rPr>
  </w:style>
  <w:style w:type="paragraph" w:customStyle="1" w:styleId="646">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7">
    <w:name w:val="Char1 Char Char Char1"/>
    <w:basedOn w:val="1"/>
    <w:qFormat/>
    <w:uiPriority w:val="0"/>
    <w:pPr>
      <w:adjustRightInd/>
      <w:ind w:firstLine="200" w:firstLineChars="200"/>
    </w:pPr>
    <w:rPr>
      <w:rFonts w:ascii="Tahoma" w:hAnsi="Tahoma"/>
      <w:sz w:val="24"/>
      <w:szCs w:val="20"/>
    </w:rPr>
  </w:style>
  <w:style w:type="paragraph" w:customStyle="1" w:styleId="648">
    <w:name w:val="a1"/>
    <w:basedOn w:val="1"/>
    <w:qFormat/>
    <w:uiPriority w:val="0"/>
    <w:pPr>
      <w:widowControl/>
      <w:spacing w:line="300" w:lineRule="atLeast"/>
      <w:jc w:val="left"/>
    </w:pPr>
    <w:rPr>
      <w:rFonts w:ascii="宋体" w:hAnsi="宋体"/>
      <w:kern w:val="0"/>
      <w:sz w:val="18"/>
      <w:szCs w:val="20"/>
    </w:rPr>
  </w:style>
  <w:style w:type="paragraph" w:customStyle="1" w:styleId="649">
    <w:name w:val="样式7"/>
    <w:basedOn w:val="650"/>
    <w:next w:val="1"/>
    <w:qFormat/>
    <w:uiPriority w:val="0"/>
    <w:pPr>
      <w:spacing w:after="156" w:afterLines="50"/>
      <w:jc w:val="left"/>
      <w:outlineLvl w:val="3"/>
    </w:pPr>
    <w:rPr>
      <w:sz w:val="24"/>
      <w:szCs w:val="24"/>
    </w:rPr>
  </w:style>
  <w:style w:type="paragraph" w:customStyle="1" w:styleId="650">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1">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2">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3">
    <w:name w:val="样式 样式2 + 左侧:  1 字符 右侧:  1 字符"/>
    <w:basedOn w:val="461"/>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4">
    <w:name w:val="Char2 Char Char2"/>
    <w:basedOn w:val="1"/>
    <w:qFormat/>
    <w:uiPriority w:val="0"/>
    <w:pPr>
      <w:adjustRightInd/>
    </w:pPr>
    <w:rPr>
      <w:rFonts w:ascii="Tahoma" w:hAnsi="Tahoma"/>
      <w:sz w:val="24"/>
      <w:szCs w:val="20"/>
    </w:rPr>
  </w:style>
  <w:style w:type="paragraph" w:customStyle="1" w:styleId="655">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6">
    <w:name w:val="三级条标题"/>
    <w:basedOn w:val="657"/>
    <w:next w:val="641"/>
    <w:qFormat/>
    <w:uiPriority w:val="0"/>
    <w:pPr>
      <w:tabs>
        <w:tab w:val="left" w:pos="1260"/>
        <w:tab w:val="left" w:pos="1680"/>
        <w:tab w:val="left" w:pos="2100"/>
        <w:tab w:val="left" w:pos="2520"/>
      </w:tabs>
      <w:ind w:left="2520"/>
      <w:outlineLvl w:val="4"/>
    </w:pPr>
  </w:style>
  <w:style w:type="paragraph" w:customStyle="1" w:styleId="657">
    <w:name w:val="二级条标题"/>
    <w:basedOn w:val="658"/>
    <w:next w:val="641"/>
    <w:qFormat/>
    <w:uiPriority w:val="0"/>
    <w:pPr>
      <w:tabs>
        <w:tab w:val="left" w:pos="1260"/>
        <w:tab w:val="left" w:pos="1680"/>
        <w:tab w:val="left" w:pos="2100"/>
      </w:tabs>
      <w:ind w:left="0"/>
      <w:outlineLvl w:val="3"/>
    </w:pPr>
  </w:style>
  <w:style w:type="paragraph" w:customStyle="1" w:styleId="658">
    <w:name w:val="一级条标题"/>
    <w:basedOn w:val="659"/>
    <w:next w:val="641"/>
    <w:qFormat/>
    <w:uiPriority w:val="0"/>
    <w:pPr>
      <w:tabs>
        <w:tab w:val="left" w:pos="1260"/>
        <w:tab w:val="left" w:pos="1680"/>
      </w:tabs>
      <w:spacing w:before="0" w:after="0"/>
      <w:ind w:left="1680"/>
      <w:outlineLvl w:val="2"/>
    </w:pPr>
  </w:style>
  <w:style w:type="paragraph" w:customStyle="1" w:styleId="659">
    <w:name w:val="章标题"/>
    <w:next w:val="641"/>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60">
    <w:name w:val="数字标题2"/>
    <w:basedOn w:val="3"/>
    <w:next w:val="1"/>
    <w:qFormat/>
    <w:uiPriority w:val="0"/>
    <w:pPr>
      <w:tabs>
        <w:tab w:val="left" w:pos="480"/>
      </w:tabs>
      <w:ind w:left="480" w:hanging="480"/>
    </w:pPr>
    <w:rPr>
      <w:rFonts w:ascii="Times New Roman" w:eastAsia="宋体"/>
      <w:i/>
      <w:sz w:val="36"/>
      <w:szCs w:val="36"/>
      <w:lang w:val="en-US"/>
    </w:rPr>
  </w:style>
  <w:style w:type="paragraph" w:customStyle="1" w:styleId="661">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2">
    <w:name w:val="样式 标题 1Level 1 HeadPIM 1Section Headh1l11Heading 0Datash..."/>
    <w:basedOn w:val="2"/>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3">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4">
    <w:name w:val="样式 标题 1章节第一层h1H"/>
    <w:basedOn w:val="2"/>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5">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6">
    <w:name w:val="正文 项目2"/>
    <w:basedOn w:val="667"/>
    <w:qFormat/>
    <w:uiPriority w:val="0"/>
    <w:pPr>
      <w:tabs>
        <w:tab w:val="left" w:pos="840"/>
      </w:tabs>
      <w:spacing w:after="0"/>
      <w:ind w:left="900"/>
    </w:pPr>
  </w:style>
  <w:style w:type="paragraph" w:customStyle="1" w:styleId="667">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8">
    <w:name w:val="Body Text 2*"/>
    <w:basedOn w:val="1"/>
    <w:qFormat/>
    <w:uiPriority w:val="6"/>
    <w:pPr>
      <w:widowControl/>
      <w:adjustRightInd/>
      <w:ind w:left="720" w:hanging="720"/>
    </w:pPr>
    <w:rPr>
      <w:color w:val="000000"/>
      <w:kern w:val="0"/>
      <w:sz w:val="24"/>
      <w:szCs w:val="20"/>
      <w:lang w:val="en-GB"/>
    </w:rPr>
  </w:style>
  <w:style w:type="paragraph" w:customStyle="1" w:styleId="669">
    <w:name w:val="表1"/>
    <w:basedOn w:val="1"/>
    <w:qFormat/>
    <w:uiPriority w:val="0"/>
    <w:pPr>
      <w:tabs>
        <w:tab w:val="left" w:pos="703"/>
      </w:tabs>
      <w:adjustRightInd/>
      <w:spacing w:line="360" w:lineRule="auto"/>
      <w:ind w:left="703"/>
      <w:jc w:val="center"/>
    </w:pPr>
  </w:style>
  <w:style w:type="paragraph" w:customStyle="1" w:styleId="670">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1">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2">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3">
    <w:name w:val="2级标题"/>
    <w:basedOn w:val="674"/>
    <w:qFormat/>
    <w:uiPriority w:val="0"/>
    <w:pPr>
      <w:jc w:val="left"/>
      <w:outlineLvl w:val="1"/>
    </w:pPr>
    <w:rPr>
      <w:rFonts w:ascii="Times New Roman" w:hAnsi="Times New Roman" w:eastAsia="仿宋"/>
      <w:sz w:val="30"/>
    </w:rPr>
  </w:style>
  <w:style w:type="paragraph" w:customStyle="1" w:styleId="674">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5">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6">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7">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8">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9">
    <w:name w:val="bullet"/>
    <w:basedOn w:val="1"/>
    <w:qFormat/>
    <w:uiPriority w:val="0"/>
    <w:pPr>
      <w:tabs>
        <w:tab w:val="left" w:pos="840"/>
      </w:tabs>
      <w:adjustRightInd/>
      <w:ind w:left="840" w:hanging="420"/>
    </w:pPr>
  </w:style>
  <w:style w:type="paragraph" w:customStyle="1" w:styleId="680">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1">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2">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3">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4">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5">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6">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7">
    <w:name w:val="MM Topic 4"/>
    <w:basedOn w:val="6"/>
    <w:qFormat/>
    <w:uiPriority w:val="0"/>
    <w:pPr>
      <w:tabs>
        <w:tab w:val="left" w:pos="2100"/>
      </w:tabs>
      <w:adjustRightInd/>
      <w:ind w:left="2100" w:hanging="420"/>
    </w:pPr>
    <w:rPr>
      <w:lang w:val="en-US"/>
    </w:rPr>
  </w:style>
  <w:style w:type="paragraph" w:customStyle="1" w:styleId="688">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9">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90">
    <w:name w:val="Char Char11 Char Char Char Char Char Char Char Char Char1"/>
    <w:basedOn w:val="1"/>
    <w:qFormat/>
    <w:uiPriority w:val="6"/>
    <w:pPr>
      <w:spacing w:line="360" w:lineRule="auto"/>
    </w:pPr>
    <w:rPr>
      <w:szCs w:val="20"/>
    </w:rPr>
  </w:style>
  <w:style w:type="paragraph" w:customStyle="1" w:styleId="691">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2">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3">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4">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5">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6">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7">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8">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9">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700">
    <w:name w:val="单元格居中"/>
    <w:basedOn w:val="1"/>
    <w:qFormat/>
    <w:uiPriority w:val="0"/>
    <w:pPr>
      <w:adjustRightInd/>
      <w:spacing w:line="360" w:lineRule="auto"/>
      <w:jc w:val="center"/>
    </w:pPr>
    <w:rPr>
      <w:sz w:val="24"/>
    </w:rPr>
  </w:style>
  <w:style w:type="paragraph" w:customStyle="1" w:styleId="701">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2">
    <w:name w:val="Char Char Char Char Char Char Char1"/>
    <w:basedOn w:val="1"/>
    <w:qFormat/>
    <w:uiPriority w:val="6"/>
    <w:rPr>
      <w:rFonts w:ascii="仿宋_GB2312" w:eastAsia="仿宋_GB2312"/>
      <w:b/>
      <w:sz w:val="32"/>
      <w:szCs w:val="32"/>
    </w:rPr>
  </w:style>
  <w:style w:type="paragraph" w:customStyle="1" w:styleId="703">
    <w:name w:val="正文缩进1"/>
    <w:basedOn w:val="1"/>
    <w:next w:val="25"/>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4">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5">
    <w:name w:val="Char3 Char Char Char11"/>
    <w:basedOn w:val="1"/>
    <w:qFormat/>
    <w:uiPriority w:val="0"/>
    <w:pPr>
      <w:widowControl/>
      <w:adjustRightInd/>
      <w:spacing w:after="160" w:line="240" w:lineRule="exact"/>
      <w:jc w:val="left"/>
    </w:pPr>
    <w:rPr>
      <w:szCs w:val="20"/>
    </w:rPr>
  </w:style>
  <w:style w:type="paragraph" w:customStyle="1" w:styleId="706">
    <w:name w:val="Char Char1121"/>
    <w:basedOn w:val="1"/>
    <w:qFormat/>
    <w:uiPriority w:val="0"/>
    <w:pPr>
      <w:spacing w:line="360" w:lineRule="auto"/>
    </w:pPr>
    <w:rPr>
      <w:szCs w:val="20"/>
    </w:rPr>
  </w:style>
  <w:style w:type="paragraph" w:customStyle="1" w:styleId="707">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8">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9">
    <w:name w:val="Normal0"/>
    <w:qFormat/>
    <w:uiPriority w:val="0"/>
    <w:rPr>
      <w:rFonts w:ascii="Times New Roman" w:hAnsi="Times New Roman" w:eastAsia="宋体" w:cs="Times New Roman"/>
      <w:lang w:val="en-US" w:eastAsia="en-US" w:bidi="ar-SA"/>
    </w:rPr>
  </w:style>
  <w:style w:type="paragraph" w:customStyle="1" w:styleId="710">
    <w:name w:val="带编号样式"/>
    <w:basedOn w:val="628"/>
    <w:qFormat/>
    <w:uiPriority w:val="0"/>
    <w:pPr>
      <w:tabs>
        <w:tab w:val="left" w:pos="840"/>
      </w:tabs>
      <w:snapToGrid w:val="0"/>
      <w:ind w:left="840" w:hanging="420" w:firstLineChars="0"/>
    </w:pPr>
    <w:rPr>
      <w:rFonts w:ascii="仿宋_GB2312" w:eastAsia="仿宋_GB2312"/>
      <w:color w:val="000000"/>
    </w:rPr>
  </w:style>
  <w:style w:type="paragraph" w:customStyle="1" w:styleId="711">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2">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3">
    <w:name w:val="封面"/>
    <w:basedOn w:val="1"/>
    <w:qFormat/>
    <w:uiPriority w:val="0"/>
    <w:pPr>
      <w:spacing w:line="360" w:lineRule="atLeast"/>
      <w:jc w:val="right"/>
      <w:textAlignment w:val="baseline"/>
    </w:pPr>
    <w:rPr>
      <w:rFonts w:ascii="Symbol" w:hAnsi="Symbol"/>
      <w:kern w:val="0"/>
      <w:szCs w:val="20"/>
    </w:rPr>
  </w:style>
  <w:style w:type="paragraph" w:customStyle="1" w:styleId="714">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5">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6">
    <w:name w:val="默认段落字体 Para Char Char Char1 Char"/>
    <w:basedOn w:val="1"/>
    <w:qFormat/>
    <w:uiPriority w:val="0"/>
    <w:pPr>
      <w:spacing w:line="240" w:lineRule="atLeast"/>
      <w:ind w:left="420" w:firstLine="420"/>
    </w:pPr>
    <w:rPr>
      <w:sz w:val="24"/>
    </w:rPr>
  </w:style>
  <w:style w:type="paragraph" w:customStyle="1" w:styleId="717">
    <w:name w:val="WW-正文文字缩进 2"/>
    <w:basedOn w:val="1"/>
    <w:qFormat/>
    <w:uiPriority w:val="0"/>
    <w:pPr>
      <w:suppressAutoHyphens/>
      <w:adjustRightInd/>
      <w:ind w:firstLine="420"/>
    </w:pPr>
    <w:rPr>
      <w:kern w:val="1"/>
      <w:szCs w:val="20"/>
    </w:rPr>
  </w:style>
  <w:style w:type="paragraph" w:customStyle="1" w:styleId="718">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9">
    <w:name w:val="样式 标题 2 + 四号"/>
    <w:basedOn w:val="3"/>
    <w:qFormat/>
    <w:uiPriority w:val="0"/>
    <w:pPr>
      <w:spacing w:before="120" w:after="120"/>
      <w:ind w:left="0" w:firstLine="0"/>
      <w:jc w:val="both"/>
    </w:pPr>
    <w:rPr>
      <w:rFonts w:ascii="宋体" w:hAnsi="Arial" w:eastAsia="宋体"/>
      <w:sz w:val="28"/>
      <w:lang w:val="en-US"/>
    </w:rPr>
  </w:style>
  <w:style w:type="paragraph" w:customStyle="1" w:styleId="720">
    <w:name w:val="有符号正文"/>
    <w:basedOn w:val="1"/>
    <w:qFormat/>
    <w:uiPriority w:val="0"/>
    <w:pPr>
      <w:adjustRightInd/>
      <w:spacing w:line="400" w:lineRule="exact"/>
      <w:ind w:firstLine="200" w:firstLineChars="200"/>
    </w:pPr>
    <w:rPr>
      <w:rFonts w:ascii="Arial" w:hAnsi="Arial"/>
    </w:rPr>
  </w:style>
  <w:style w:type="paragraph" w:customStyle="1" w:styleId="721">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2">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3">
    <w:name w:val="4"/>
    <w:basedOn w:val="1"/>
    <w:next w:val="37"/>
    <w:qFormat/>
    <w:uiPriority w:val="0"/>
    <w:pPr>
      <w:spacing w:after="120" w:line="480" w:lineRule="auto"/>
      <w:ind w:left="420" w:leftChars="200"/>
    </w:pPr>
    <w:rPr>
      <w:sz w:val="24"/>
      <w:szCs w:val="20"/>
    </w:rPr>
  </w:style>
  <w:style w:type="paragraph" w:customStyle="1" w:styleId="724">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5">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6">
    <w:name w:val="样式 标题 3H3 + 两端对齐"/>
    <w:basedOn w:val="4"/>
    <w:qFormat/>
    <w:uiPriority w:val="0"/>
    <w:pPr>
      <w:keepLines w:val="0"/>
      <w:spacing w:before="0" w:after="0" w:line="240" w:lineRule="auto"/>
      <w:jc w:val="left"/>
    </w:pPr>
    <w:rPr>
      <w:rFonts w:cs="宋体"/>
      <w:sz w:val="21"/>
      <w:szCs w:val="20"/>
    </w:rPr>
  </w:style>
  <w:style w:type="paragraph" w:customStyle="1" w:styleId="727">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8">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9">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30">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1">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2">
    <w:name w:val="Char Char1 Char Char Char"/>
    <w:basedOn w:val="1"/>
    <w:qFormat/>
    <w:uiPriority w:val="0"/>
    <w:rPr>
      <w:rFonts w:ascii="仿宋_GB2312" w:eastAsia="仿宋_GB2312"/>
      <w:b/>
      <w:sz w:val="32"/>
      <w:szCs w:val="20"/>
    </w:rPr>
  </w:style>
  <w:style w:type="paragraph" w:customStyle="1" w:styleId="733">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4">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5">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6">
    <w:name w:val="Char Char1 Char Char Char2"/>
    <w:basedOn w:val="1"/>
    <w:qFormat/>
    <w:uiPriority w:val="0"/>
    <w:rPr>
      <w:rFonts w:ascii="仿宋_GB2312" w:eastAsia="仿宋_GB2312"/>
      <w:b/>
      <w:sz w:val="32"/>
      <w:szCs w:val="32"/>
    </w:rPr>
  </w:style>
  <w:style w:type="paragraph" w:customStyle="1" w:styleId="737">
    <w:name w:val="Char3 Char Char Char1"/>
    <w:basedOn w:val="1"/>
    <w:qFormat/>
    <w:uiPriority w:val="6"/>
    <w:pPr>
      <w:widowControl/>
      <w:adjustRightInd/>
      <w:spacing w:after="160" w:line="240" w:lineRule="exact"/>
      <w:jc w:val="left"/>
    </w:pPr>
    <w:rPr>
      <w:szCs w:val="20"/>
    </w:rPr>
  </w:style>
  <w:style w:type="paragraph" w:customStyle="1" w:styleId="738">
    <w:name w:val="Char1 Char Char Char21"/>
    <w:basedOn w:val="1"/>
    <w:qFormat/>
    <w:uiPriority w:val="0"/>
    <w:rPr>
      <w:rFonts w:ascii="Tahoma" w:hAnsi="Tahoma"/>
      <w:sz w:val="24"/>
      <w:szCs w:val="20"/>
    </w:rPr>
  </w:style>
  <w:style w:type="paragraph" w:customStyle="1" w:styleId="739">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40">
    <w:name w:val="正文（标题三）"/>
    <w:basedOn w:val="1"/>
    <w:qFormat/>
    <w:uiPriority w:val="0"/>
    <w:pPr>
      <w:spacing w:line="360" w:lineRule="auto"/>
      <w:ind w:firstLine="200" w:firstLineChars="200"/>
    </w:pPr>
    <w:rPr>
      <w:sz w:val="24"/>
    </w:rPr>
  </w:style>
  <w:style w:type="paragraph" w:customStyle="1" w:styleId="741">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2">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3">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4">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5">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6">
    <w:name w:val="Char1 Char Char Char4"/>
    <w:basedOn w:val="1"/>
    <w:qFormat/>
    <w:uiPriority w:val="0"/>
    <w:pPr>
      <w:adjustRightInd/>
      <w:ind w:firstLine="200" w:firstLineChars="200"/>
    </w:pPr>
    <w:rPr>
      <w:rFonts w:ascii="Tahoma" w:hAnsi="Tahoma"/>
      <w:sz w:val="24"/>
      <w:szCs w:val="20"/>
    </w:rPr>
  </w:style>
  <w:style w:type="paragraph" w:customStyle="1" w:styleId="747">
    <w:name w:val="_标题2"/>
    <w:basedOn w:val="714"/>
    <w:next w:val="714"/>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8">
    <w:name w:val="样式1 + (中宋体"/>
    <w:basedOn w:val="725"/>
    <w:qFormat/>
    <w:uiPriority w:val="0"/>
    <w:pPr>
      <w:widowControl w:val="0"/>
      <w:tabs>
        <w:tab w:val="clear" w:pos="1212"/>
        <w:tab w:val="clear" w:pos="3888"/>
      </w:tabs>
      <w:adjustRightInd/>
      <w:snapToGrid/>
      <w:spacing w:line="360" w:lineRule="auto"/>
      <w:ind w:left="1200" w:hanging="360" w:firstLineChars="200"/>
      <w:jc w:val="both"/>
    </w:pPr>
    <w:rPr>
      <w:kern w:val="2"/>
      <w:szCs w:val="24"/>
    </w:rPr>
  </w:style>
  <w:style w:type="paragraph" w:customStyle="1" w:styleId="749">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50">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1">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2">
    <w:name w:val="四号　首行缩进"/>
    <w:basedOn w:val="1"/>
    <w:qFormat/>
    <w:uiPriority w:val="0"/>
    <w:pPr>
      <w:adjustRightInd/>
      <w:spacing w:line="360" w:lineRule="auto"/>
    </w:pPr>
    <w:rPr>
      <w:rFonts w:ascii="宋体" w:hAnsi="宋体"/>
      <w:szCs w:val="20"/>
    </w:rPr>
  </w:style>
  <w:style w:type="paragraph" w:customStyle="1" w:styleId="753">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4">
    <w:name w:val="Char Char Char Char Char Char Char Char Char Char Char1 Char"/>
    <w:basedOn w:val="1"/>
    <w:qFormat/>
    <w:uiPriority w:val="0"/>
    <w:pPr>
      <w:adjustRightInd/>
    </w:pPr>
    <w:rPr>
      <w:rFonts w:ascii="Tahoma" w:hAnsi="Tahoma"/>
      <w:sz w:val="24"/>
    </w:rPr>
  </w:style>
  <w:style w:type="paragraph" w:customStyle="1" w:styleId="755">
    <w:name w:val="Char Char Char Char11"/>
    <w:basedOn w:val="1"/>
    <w:qFormat/>
    <w:uiPriority w:val="0"/>
    <w:rPr>
      <w:rFonts w:ascii="Tahoma" w:hAnsi="Tahoma"/>
      <w:sz w:val="24"/>
      <w:szCs w:val="20"/>
    </w:rPr>
  </w:style>
  <w:style w:type="paragraph" w:customStyle="1" w:styleId="756">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7">
    <w:name w:val="Char Char Char Char"/>
    <w:basedOn w:val="1"/>
    <w:qFormat/>
    <w:uiPriority w:val="0"/>
    <w:rPr>
      <w:rFonts w:ascii="Tahoma" w:hAnsi="Tahoma"/>
      <w:sz w:val="24"/>
      <w:szCs w:val="20"/>
    </w:rPr>
  </w:style>
  <w:style w:type="paragraph" w:customStyle="1" w:styleId="758">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9">
    <w:name w:val="Char19"/>
    <w:basedOn w:val="1"/>
    <w:qFormat/>
    <w:uiPriority w:val="0"/>
    <w:pPr>
      <w:adjustRightInd/>
    </w:pPr>
    <w:rPr>
      <w:szCs w:val="20"/>
    </w:rPr>
  </w:style>
  <w:style w:type="paragraph" w:customStyle="1" w:styleId="760">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1">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2">
    <w:name w:val="_Style 5"/>
    <w:basedOn w:val="1"/>
    <w:qFormat/>
    <w:uiPriority w:val="34"/>
    <w:pPr>
      <w:adjustRightInd/>
      <w:ind w:firstLine="420" w:firstLineChars="200"/>
    </w:pPr>
    <w:rPr>
      <w:rFonts w:eastAsia="仿宋_GB2312"/>
      <w:sz w:val="28"/>
    </w:rPr>
  </w:style>
  <w:style w:type="paragraph" w:customStyle="1" w:styleId="763">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4">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5">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6">
    <w:name w:val="标书表格字体格式"/>
    <w:next w:val="760"/>
    <w:qFormat/>
    <w:uiPriority w:val="0"/>
    <w:rPr>
      <w:rFonts w:ascii="Times New Roman" w:hAnsi="Times New Roman" w:eastAsia="宋体" w:cs="Times New Roman"/>
      <w:kern w:val="2"/>
      <w:sz w:val="21"/>
      <w:szCs w:val="24"/>
      <w:lang w:val="en-US" w:eastAsia="zh-CN" w:bidi="ar-SA"/>
    </w:rPr>
  </w:style>
  <w:style w:type="paragraph" w:customStyle="1" w:styleId="767">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8">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9">
    <w:name w:val="修订3"/>
    <w:qFormat/>
    <w:uiPriority w:val="0"/>
    <w:rPr>
      <w:rFonts w:ascii="Times New Roman" w:hAnsi="Times New Roman" w:eastAsia="宋体" w:cs="Times New Roman"/>
      <w:kern w:val="2"/>
      <w:sz w:val="21"/>
      <w:lang w:val="en-US" w:eastAsia="zh-CN" w:bidi="ar-SA"/>
    </w:rPr>
  </w:style>
  <w:style w:type="paragraph" w:customStyle="1" w:styleId="770">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771">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2">
    <w:name w:val="表文字"/>
    <w:qFormat/>
    <w:uiPriority w:val="0"/>
    <w:rPr>
      <w:rFonts w:ascii="宋体" w:hAnsi="Times New Roman" w:eastAsia="宋体" w:cs="Times New Roman"/>
      <w:kern w:val="2"/>
      <w:lang w:val="en-US" w:eastAsia="zh-CN" w:bidi="ar-SA"/>
    </w:rPr>
  </w:style>
  <w:style w:type="paragraph" w:customStyle="1" w:styleId="773">
    <w:name w:val="MM Title"/>
    <w:basedOn w:val="59"/>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4">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5">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6">
    <w:name w:val="Char Char Char Char Char Char Char Char2"/>
    <w:basedOn w:val="1"/>
    <w:qFormat/>
    <w:uiPriority w:val="0"/>
    <w:pPr>
      <w:tabs>
        <w:tab w:val="left" w:pos="360"/>
      </w:tabs>
    </w:pPr>
    <w:rPr>
      <w:sz w:val="24"/>
      <w:szCs w:val="20"/>
    </w:rPr>
  </w:style>
  <w:style w:type="paragraph" w:customStyle="1" w:styleId="777">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8">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9">
    <w:name w:val="中文标题 3"/>
    <w:basedOn w:val="25"/>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80">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1">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2">
    <w:name w:val="正文－恩普"/>
    <w:basedOn w:val="5"/>
    <w:qFormat/>
    <w:uiPriority w:val="0"/>
    <w:pPr>
      <w:adjustRightInd/>
      <w:snapToGrid/>
      <w:spacing w:before="100" w:beforeAutospacing="1" w:after="100" w:afterLines="50" w:afterAutospacing="1" w:line="360" w:lineRule="auto"/>
      <w:ind w:firstLine="480" w:firstLineChars="200"/>
      <w:jc w:val="left"/>
    </w:pPr>
    <w:rPr>
      <w:rFonts w:ascii="Times New Roman"/>
      <w:color w:val="auto"/>
      <w:kern w:val="0"/>
      <w:sz w:val="24"/>
    </w:rPr>
  </w:style>
  <w:style w:type="paragraph" w:customStyle="1" w:styleId="783">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4">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5">
    <w:name w:val="p0"/>
    <w:basedOn w:val="1"/>
    <w:qFormat/>
    <w:uiPriority w:val="0"/>
    <w:pPr>
      <w:widowControl/>
      <w:adjustRightInd/>
    </w:pPr>
    <w:rPr>
      <w:kern w:val="0"/>
      <w:szCs w:val="21"/>
    </w:rPr>
  </w:style>
  <w:style w:type="paragraph" w:customStyle="1" w:styleId="786">
    <w:name w:val="Char6"/>
    <w:basedOn w:val="1"/>
    <w:qFormat/>
    <w:uiPriority w:val="0"/>
    <w:rPr>
      <w:rFonts w:ascii="仿宋_GB2312" w:eastAsia="仿宋_GB2312"/>
      <w:b/>
      <w:sz w:val="32"/>
      <w:szCs w:val="32"/>
    </w:rPr>
  </w:style>
  <w:style w:type="paragraph" w:customStyle="1" w:styleId="787">
    <w:name w:val="Char111"/>
    <w:basedOn w:val="1"/>
    <w:qFormat/>
    <w:uiPriority w:val="0"/>
    <w:rPr>
      <w:rFonts w:ascii="仿宋_GB2312" w:eastAsia="仿宋_GB2312"/>
      <w:b/>
      <w:sz w:val="32"/>
      <w:szCs w:val="32"/>
    </w:rPr>
  </w:style>
  <w:style w:type="paragraph" w:customStyle="1" w:styleId="788">
    <w:name w:val="标题3"/>
    <w:basedOn w:val="4"/>
    <w:next w:val="53"/>
    <w:qFormat/>
    <w:uiPriority w:val="0"/>
    <w:pPr>
      <w:tabs>
        <w:tab w:val="clear" w:pos="900"/>
      </w:tabs>
      <w:spacing w:after="0" w:line="360" w:lineRule="auto"/>
    </w:pPr>
    <w:rPr>
      <w:rFonts w:ascii="仿宋" w:hAnsi="仿宋" w:eastAsia="仿宋" w:cs="仿宋"/>
    </w:rPr>
  </w:style>
  <w:style w:type="paragraph" w:customStyle="1" w:styleId="789">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90">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1">
    <w:name w:val="Char1 Char Char Char2"/>
    <w:basedOn w:val="1"/>
    <w:qFormat/>
    <w:uiPriority w:val="0"/>
    <w:pPr>
      <w:adjustRightInd/>
      <w:ind w:firstLine="200" w:firstLineChars="200"/>
    </w:pPr>
    <w:rPr>
      <w:rFonts w:ascii="Tahoma" w:hAnsi="Tahoma"/>
      <w:sz w:val="24"/>
      <w:szCs w:val="20"/>
    </w:rPr>
  </w:style>
  <w:style w:type="paragraph" w:customStyle="1" w:styleId="792">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3">
    <w:name w:val="样式 标题 1 + 黑色 段前: 0.5 行 段后: 0.5 行1"/>
    <w:basedOn w:val="2"/>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4">
    <w:name w:val="Char Char Char Char Char Char Char2"/>
    <w:basedOn w:val="1"/>
    <w:qFormat/>
    <w:uiPriority w:val="0"/>
    <w:rPr>
      <w:rFonts w:ascii="仿宋_GB2312" w:eastAsia="仿宋_GB2312"/>
      <w:b/>
      <w:sz w:val="32"/>
      <w:szCs w:val="32"/>
    </w:rPr>
  </w:style>
  <w:style w:type="paragraph" w:customStyle="1" w:styleId="795">
    <w:name w:val="五级条标题"/>
    <w:basedOn w:val="796"/>
    <w:next w:val="641"/>
    <w:qFormat/>
    <w:uiPriority w:val="0"/>
    <w:pPr>
      <w:tabs>
        <w:tab w:val="left" w:pos="1260"/>
        <w:tab w:val="left" w:pos="1680"/>
        <w:tab w:val="left" w:pos="2100"/>
        <w:tab w:val="left" w:pos="2940"/>
        <w:tab w:val="left" w:pos="3360"/>
      </w:tabs>
      <w:ind w:left="3360"/>
      <w:outlineLvl w:val="6"/>
    </w:pPr>
  </w:style>
  <w:style w:type="paragraph" w:customStyle="1" w:styleId="796">
    <w:name w:val="四级条标题"/>
    <w:basedOn w:val="656"/>
    <w:next w:val="641"/>
    <w:qFormat/>
    <w:uiPriority w:val="0"/>
    <w:pPr>
      <w:tabs>
        <w:tab w:val="clear" w:pos="2520"/>
      </w:tabs>
      <w:ind w:left="2940"/>
      <w:outlineLvl w:val="5"/>
    </w:pPr>
  </w:style>
  <w:style w:type="paragraph" w:customStyle="1" w:styleId="797">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8">
    <w:name w:val="Char23"/>
    <w:basedOn w:val="1"/>
    <w:qFormat/>
    <w:uiPriority w:val="0"/>
    <w:rPr>
      <w:rFonts w:ascii="仿宋_GB2312" w:eastAsia="仿宋_GB2312"/>
      <w:b/>
      <w:sz w:val="32"/>
      <w:szCs w:val="32"/>
    </w:rPr>
  </w:style>
  <w:style w:type="paragraph" w:customStyle="1" w:styleId="799">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800">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1">
    <w:name w:val="首行缩进"/>
    <w:basedOn w:val="1"/>
    <w:qFormat/>
    <w:uiPriority w:val="0"/>
    <w:pPr>
      <w:spacing w:line="360" w:lineRule="auto"/>
      <w:ind w:firstLine="480" w:firstLineChars="200"/>
    </w:pPr>
    <w:rPr>
      <w:rFonts w:ascii="宋体"/>
      <w:sz w:val="24"/>
      <w:szCs w:val="20"/>
    </w:rPr>
  </w:style>
  <w:style w:type="paragraph" w:customStyle="1" w:styleId="802">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3">
    <w:name w:val="单元格左对齐"/>
    <w:basedOn w:val="1"/>
    <w:qFormat/>
    <w:uiPriority w:val="0"/>
    <w:pPr>
      <w:adjustRightInd/>
      <w:spacing w:line="360" w:lineRule="auto"/>
    </w:pPr>
    <w:rPr>
      <w:sz w:val="24"/>
    </w:rPr>
  </w:style>
  <w:style w:type="paragraph" w:customStyle="1" w:styleId="804">
    <w:name w:val="正文主体"/>
    <w:basedOn w:val="625"/>
    <w:qFormat/>
    <w:uiPriority w:val="0"/>
  </w:style>
  <w:style w:type="paragraph" w:customStyle="1" w:styleId="805">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6">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7">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8">
    <w:name w:val="正文（首行缩进2字符）"/>
    <w:basedOn w:val="1"/>
    <w:qFormat/>
    <w:uiPriority w:val="0"/>
    <w:pPr>
      <w:adjustRightInd/>
      <w:spacing w:line="360" w:lineRule="auto"/>
      <w:ind w:firstLine="480" w:firstLineChars="200"/>
    </w:pPr>
    <w:rPr>
      <w:sz w:val="24"/>
      <w:szCs w:val="20"/>
    </w:rPr>
  </w:style>
  <w:style w:type="paragraph" w:customStyle="1" w:styleId="809">
    <w:name w:val="P1"/>
    <w:basedOn w:val="1"/>
    <w:qFormat/>
    <w:uiPriority w:val="0"/>
    <w:pPr>
      <w:adjustRightInd/>
      <w:spacing w:line="288" w:lineRule="auto"/>
      <w:ind w:firstLine="425" w:firstLineChars="200"/>
    </w:pPr>
  </w:style>
  <w:style w:type="paragraph" w:customStyle="1" w:styleId="810">
    <w:name w:val="列表内容"/>
    <w:basedOn w:val="1"/>
    <w:next w:val="1"/>
    <w:qFormat/>
    <w:uiPriority w:val="0"/>
    <w:pPr>
      <w:widowControl/>
      <w:tabs>
        <w:tab w:val="left" w:pos="840"/>
      </w:tabs>
      <w:ind w:left="840" w:hanging="420"/>
      <w:jc w:val="left"/>
    </w:pPr>
    <w:rPr>
      <w:kern w:val="0"/>
      <w:sz w:val="18"/>
    </w:rPr>
  </w:style>
  <w:style w:type="paragraph" w:customStyle="1" w:styleId="811">
    <w:name w:val="Char Char11 Char Char Char1"/>
    <w:basedOn w:val="1"/>
    <w:qFormat/>
    <w:uiPriority w:val="6"/>
    <w:pPr>
      <w:spacing w:line="360" w:lineRule="auto"/>
    </w:pPr>
    <w:rPr>
      <w:szCs w:val="20"/>
    </w:rPr>
  </w:style>
  <w:style w:type="paragraph" w:customStyle="1" w:styleId="812">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3">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4">
    <w:name w:val="标题 41"/>
    <w:basedOn w:val="1"/>
    <w:next w:val="1"/>
    <w:qFormat/>
    <w:uiPriority w:val="9"/>
    <w:pPr>
      <w:keepNext/>
      <w:keepLines/>
      <w:adjustRightInd/>
      <w:spacing w:before="280" w:after="290" w:line="376" w:lineRule="auto"/>
      <w:outlineLvl w:val="3"/>
    </w:pPr>
    <w:rPr>
      <w:rFonts w:ascii="Cambria" w:hAnsi="Cambria"/>
      <w:b/>
      <w:bCs/>
      <w:sz w:val="28"/>
      <w:szCs w:val="28"/>
    </w:rPr>
  </w:style>
  <w:style w:type="paragraph" w:customStyle="1" w:styleId="815">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6">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817">
    <w:name w:val="默认段落字体 Para Char Char Char Char"/>
    <w:basedOn w:val="1"/>
    <w:qFormat/>
    <w:uiPriority w:val="0"/>
    <w:pPr>
      <w:spacing w:line="360" w:lineRule="auto"/>
    </w:pPr>
    <w:rPr>
      <w:szCs w:val="20"/>
    </w:rPr>
  </w:style>
  <w:style w:type="paragraph" w:customStyle="1" w:styleId="818">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9">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20">
    <w:name w:val="Char2 Char Char Char2"/>
    <w:basedOn w:val="1"/>
    <w:qFormat/>
    <w:uiPriority w:val="0"/>
    <w:rPr>
      <w:rFonts w:ascii="仿宋_GB2312" w:eastAsia="仿宋_GB2312"/>
      <w:b/>
      <w:sz w:val="32"/>
      <w:szCs w:val="32"/>
    </w:rPr>
  </w:style>
  <w:style w:type="paragraph" w:customStyle="1" w:styleId="821">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2">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3">
    <w:name w:val="正文 首行缩进:  2 字符 Char"/>
    <w:basedOn w:val="1"/>
    <w:qFormat/>
    <w:uiPriority w:val="0"/>
    <w:pPr>
      <w:adjustRightInd/>
      <w:spacing w:line="360" w:lineRule="auto"/>
      <w:ind w:firstLine="480"/>
    </w:pPr>
    <w:rPr>
      <w:rFonts w:cs="宋体"/>
      <w:sz w:val="24"/>
      <w:szCs w:val="20"/>
    </w:rPr>
  </w:style>
  <w:style w:type="paragraph" w:customStyle="1" w:styleId="824">
    <w:name w:val="Char Char4 Char Char"/>
    <w:basedOn w:val="1"/>
    <w:qFormat/>
    <w:uiPriority w:val="0"/>
    <w:pPr>
      <w:widowControl/>
      <w:adjustRightInd/>
      <w:spacing w:after="160" w:line="240" w:lineRule="exact"/>
      <w:jc w:val="left"/>
    </w:pPr>
  </w:style>
  <w:style w:type="paragraph" w:customStyle="1" w:styleId="825">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6">
    <w:name w:val="Char Char11 Char Char Char2"/>
    <w:basedOn w:val="1"/>
    <w:qFormat/>
    <w:uiPriority w:val="0"/>
    <w:pPr>
      <w:spacing w:line="360" w:lineRule="auto"/>
    </w:pPr>
    <w:rPr>
      <w:szCs w:val="20"/>
    </w:rPr>
  </w:style>
  <w:style w:type="paragraph" w:customStyle="1" w:styleId="827">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8">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9">
    <w:name w:val="数字标题4"/>
    <w:basedOn w:val="6"/>
    <w:qFormat/>
    <w:uiPriority w:val="0"/>
    <w:pPr>
      <w:tabs>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30">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1">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2">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3">
    <w:name w:val="Char311"/>
    <w:basedOn w:val="1"/>
    <w:qFormat/>
    <w:uiPriority w:val="0"/>
    <w:pPr>
      <w:adjustRightInd/>
      <w:ind w:firstLine="200" w:firstLineChars="200"/>
    </w:pPr>
    <w:rPr>
      <w:rFonts w:ascii="Tahoma" w:hAnsi="Tahoma"/>
      <w:sz w:val="24"/>
      <w:szCs w:val="20"/>
    </w:rPr>
  </w:style>
  <w:style w:type="paragraph" w:customStyle="1" w:styleId="834">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5">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6">
    <w:name w:val="正文 内标"/>
    <w:basedOn w:val="751"/>
    <w:qFormat/>
    <w:uiPriority w:val="0"/>
    <w:pPr>
      <w:tabs>
        <w:tab w:val="left" w:pos="0"/>
      </w:tabs>
      <w:ind w:left="900" w:firstLine="0" w:firstLineChars="0"/>
    </w:pPr>
  </w:style>
  <w:style w:type="paragraph" w:customStyle="1" w:styleId="837">
    <w:name w:val="Bulleted List"/>
    <w:basedOn w:val="1"/>
    <w:qFormat/>
    <w:uiPriority w:val="0"/>
    <w:pPr>
      <w:tabs>
        <w:tab w:val="left" w:pos="1260"/>
      </w:tabs>
      <w:adjustRightInd/>
      <w:ind w:left="1260" w:hanging="420"/>
    </w:pPr>
  </w:style>
  <w:style w:type="paragraph" w:customStyle="1" w:styleId="838">
    <w:name w:val="样式 正文文本缩进 2 + 仿宋_GB2312 黑色 行距: 1.5 倍行距"/>
    <w:basedOn w:val="37"/>
    <w:qFormat/>
    <w:uiPriority w:val="0"/>
    <w:pPr>
      <w:adjustRightInd/>
      <w:ind w:firstLine="560" w:firstLineChars="200"/>
      <w:textAlignment w:val="auto"/>
    </w:pPr>
    <w:rPr>
      <w:rFonts w:hAnsi="宋体" w:cs="宋体"/>
      <w:color w:val="000000"/>
      <w:kern w:val="2"/>
      <w:sz w:val="24"/>
    </w:rPr>
  </w:style>
  <w:style w:type="paragraph" w:customStyle="1" w:styleId="839">
    <w:name w:val="样式 左侧:  0.85 厘米"/>
    <w:basedOn w:val="1"/>
    <w:qFormat/>
    <w:uiPriority w:val="2"/>
    <w:pPr>
      <w:adjustRightInd/>
      <w:spacing w:line="360" w:lineRule="auto"/>
    </w:pPr>
    <w:rPr>
      <w:rFonts w:cs="宋体"/>
      <w:sz w:val="24"/>
      <w:szCs w:val="20"/>
    </w:rPr>
  </w:style>
  <w:style w:type="paragraph" w:customStyle="1" w:styleId="840">
    <w:name w:val="Char Char Char Char Char Char Char Char Char Char Char Char1 Char"/>
    <w:basedOn w:val="1"/>
    <w:qFormat/>
    <w:uiPriority w:val="0"/>
    <w:rPr>
      <w:rFonts w:ascii="Tahoma" w:hAnsi="Tahoma" w:cs="仿宋_GB2312"/>
      <w:sz w:val="24"/>
      <w:szCs w:val="20"/>
    </w:rPr>
  </w:style>
  <w:style w:type="paragraph" w:customStyle="1" w:styleId="841">
    <w:name w:val="正文1"/>
    <w:basedOn w:val="32"/>
    <w:qFormat/>
    <w:uiPriority w:val="0"/>
    <w:pPr>
      <w:ind w:left="0" w:leftChars="0" w:firstLine="480" w:firstLineChars="200"/>
    </w:pPr>
    <w:rPr>
      <w:rFonts w:ascii="仿宋_GB2312" w:hAnsi="Courier New" w:eastAsia="仿宋_GB2312"/>
      <w:kern w:val="28"/>
      <w:sz w:val="24"/>
    </w:rPr>
  </w:style>
  <w:style w:type="paragraph" w:customStyle="1" w:styleId="842">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3">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4">
    <w:name w:val="模板普通正文"/>
    <w:basedOn w:val="25"/>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5">
    <w:name w:val="Char Char1 Char Char Char Char Char Char"/>
    <w:basedOn w:val="1"/>
    <w:qFormat/>
    <w:uiPriority w:val="0"/>
    <w:rPr>
      <w:rFonts w:ascii="仿宋_GB2312" w:eastAsia="仿宋_GB2312"/>
      <w:b/>
      <w:sz w:val="32"/>
      <w:szCs w:val="20"/>
    </w:rPr>
  </w:style>
  <w:style w:type="paragraph" w:customStyle="1" w:styleId="846">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7">
    <w:name w:val="Char Char1 Char Char Char Char Char Char2"/>
    <w:basedOn w:val="1"/>
    <w:qFormat/>
    <w:uiPriority w:val="0"/>
    <w:rPr>
      <w:rFonts w:ascii="仿宋_GB2312" w:eastAsia="仿宋_GB2312"/>
      <w:b/>
      <w:sz w:val="32"/>
      <w:szCs w:val="20"/>
    </w:rPr>
  </w:style>
  <w:style w:type="paragraph" w:customStyle="1" w:styleId="848">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9">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50">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1">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2">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3">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4">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5">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6">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7">
    <w:name w:val="Char31"/>
    <w:basedOn w:val="1"/>
    <w:qFormat/>
    <w:uiPriority w:val="0"/>
    <w:pPr>
      <w:adjustRightInd/>
    </w:pPr>
    <w:rPr>
      <w:rFonts w:ascii="仿宋_GB2312" w:eastAsia="仿宋_GB2312"/>
      <w:b/>
      <w:sz w:val="32"/>
      <w:szCs w:val="32"/>
    </w:rPr>
  </w:style>
  <w:style w:type="paragraph" w:customStyle="1" w:styleId="858">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859">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60">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1">
    <w:name w:val="Char Char1"/>
    <w:basedOn w:val="1"/>
    <w:qFormat/>
    <w:uiPriority w:val="0"/>
    <w:pPr>
      <w:widowControl/>
      <w:spacing w:after="160" w:line="240" w:lineRule="exact"/>
      <w:jc w:val="left"/>
    </w:pPr>
    <w:rPr>
      <w:rFonts w:eastAsia="仿宋_GB2312"/>
      <w:sz w:val="28"/>
    </w:rPr>
  </w:style>
  <w:style w:type="paragraph" w:customStyle="1" w:styleId="862">
    <w:name w:val="Char21"/>
    <w:basedOn w:val="1"/>
    <w:qFormat/>
    <w:uiPriority w:val="0"/>
    <w:pPr>
      <w:adjustRightInd/>
      <w:ind w:firstLine="200" w:firstLineChars="200"/>
    </w:pPr>
    <w:rPr>
      <w:rFonts w:ascii="仿宋_GB2312" w:eastAsia="仿宋_GB2312"/>
      <w:b/>
      <w:sz w:val="32"/>
      <w:szCs w:val="32"/>
    </w:rPr>
  </w:style>
  <w:style w:type="paragraph" w:customStyle="1" w:styleId="863">
    <w:name w:val="列表段落1"/>
    <w:basedOn w:val="1"/>
    <w:qFormat/>
    <w:uiPriority w:val="34"/>
    <w:pPr>
      <w:adjustRightInd/>
      <w:ind w:right="238" w:firstLine="420"/>
    </w:pPr>
    <w:rPr>
      <w:rFonts w:ascii="Calibri" w:hAnsi="Calibri"/>
      <w:sz w:val="24"/>
    </w:rPr>
  </w:style>
  <w:style w:type="paragraph" w:customStyle="1" w:styleId="864">
    <w:name w:val="Char Char110"/>
    <w:basedOn w:val="1"/>
    <w:qFormat/>
    <w:uiPriority w:val="6"/>
    <w:pPr>
      <w:spacing w:line="360" w:lineRule="auto"/>
    </w:pPr>
    <w:rPr>
      <w:rFonts w:ascii="Tahoma" w:hAnsi="Tahoma"/>
      <w:sz w:val="24"/>
      <w:szCs w:val="20"/>
    </w:rPr>
  </w:style>
  <w:style w:type="paragraph" w:customStyle="1" w:styleId="865">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6">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7">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8">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9">
    <w:name w:val="Char Char Char Char Char Char Char Char Char Char Char Char1 Char2"/>
    <w:basedOn w:val="1"/>
    <w:qFormat/>
    <w:uiPriority w:val="0"/>
    <w:rPr>
      <w:rFonts w:ascii="Tahoma" w:hAnsi="Tahoma" w:cs="仿宋_GB2312"/>
      <w:sz w:val="24"/>
      <w:szCs w:val="20"/>
    </w:rPr>
  </w:style>
  <w:style w:type="paragraph" w:customStyle="1" w:styleId="870">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1">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2">
    <w:name w:val="样式 列表编号 + 段后: 0.5 行"/>
    <w:basedOn w:val="15"/>
    <w:qFormat/>
    <w:uiPriority w:val="2"/>
    <w:pPr>
      <w:tabs>
        <w:tab w:val="clear" w:pos="390"/>
        <w:tab w:val="clear" w:pos="454"/>
      </w:tabs>
      <w:spacing w:after="0"/>
      <w:ind w:left="840" w:hanging="420"/>
      <w:contextualSpacing/>
    </w:pPr>
    <w:rPr>
      <w:rFonts w:cs="宋体"/>
    </w:rPr>
  </w:style>
  <w:style w:type="paragraph" w:customStyle="1" w:styleId="873">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4">
    <w:name w:val="_Style 12"/>
    <w:basedOn w:val="18"/>
    <w:qFormat/>
    <w:uiPriority w:val="0"/>
    <w:pPr>
      <w:snapToGrid w:val="0"/>
      <w:spacing w:line="360" w:lineRule="auto"/>
    </w:pPr>
  </w:style>
  <w:style w:type="paragraph" w:customStyle="1" w:styleId="875">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6">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7">
    <w:name w:val="_Style 94"/>
    <w:basedOn w:val="1"/>
    <w:next w:val="264"/>
    <w:qFormat/>
    <w:uiPriority w:val="34"/>
    <w:pPr>
      <w:adjustRightInd/>
      <w:spacing w:line="360" w:lineRule="auto"/>
      <w:ind w:firstLine="200" w:firstLineChars="200"/>
    </w:pPr>
    <w:rPr>
      <w:rFonts w:ascii="Calibri" w:hAnsi="Calibri"/>
      <w:sz w:val="28"/>
      <w:szCs w:val="20"/>
    </w:rPr>
  </w:style>
  <w:style w:type="paragraph" w:customStyle="1" w:styleId="878">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9">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80">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1">
    <w:name w:val="3级标题"/>
    <w:basedOn w:val="673"/>
    <w:qFormat/>
    <w:uiPriority w:val="0"/>
    <w:pPr>
      <w:outlineLvl w:val="2"/>
    </w:pPr>
  </w:style>
  <w:style w:type="paragraph" w:customStyle="1" w:styleId="882">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3">
    <w:name w:val="Char1 Char Char Char3"/>
    <w:basedOn w:val="1"/>
    <w:qFormat/>
    <w:uiPriority w:val="0"/>
    <w:pPr>
      <w:adjustRightInd/>
      <w:ind w:firstLine="200" w:firstLineChars="200"/>
    </w:pPr>
    <w:rPr>
      <w:rFonts w:ascii="Tahoma" w:hAnsi="Tahoma"/>
      <w:sz w:val="24"/>
      <w:szCs w:val="20"/>
    </w:rPr>
  </w:style>
  <w:style w:type="paragraph" w:customStyle="1" w:styleId="884">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5">
    <w:name w:val="MM Empty"/>
    <w:basedOn w:val="1"/>
    <w:qFormat/>
    <w:uiPriority w:val="0"/>
    <w:pPr>
      <w:adjustRightInd/>
    </w:pPr>
  </w:style>
  <w:style w:type="paragraph" w:customStyle="1" w:styleId="886">
    <w:name w:val="Char24"/>
    <w:basedOn w:val="1"/>
    <w:qFormat/>
    <w:uiPriority w:val="0"/>
    <w:rPr>
      <w:rFonts w:ascii="仿宋_GB2312" w:eastAsia="仿宋_GB2312"/>
      <w:b/>
      <w:sz w:val="32"/>
      <w:szCs w:val="32"/>
    </w:rPr>
  </w:style>
  <w:style w:type="paragraph" w:customStyle="1" w:styleId="887">
    <w:name w:val="正文箭头"/>
    <w:basedOn w:val="539"/>
    <w:qFormat/>
    <w:uiPriority w:val="0"/>
  </w:style>
  <w:style w:type="paragraph" w:customStyle="1" w:styleId="888">
    <w:name w:val="U_编号2"/>
    <w:basedOn w:val="1"/>
    <w:qFormat/>
    <w:uiPriority w:val="0"/>
    <w:pPr>
      <w:tabs>
        <w:tab w:val="left" w:pos="785"/>
      </w:tabs>
      <w:adjustRightInd/>
      <w:spacing w:beforeLines="10" w:afterLines="10" w:line="300" w:lineRule="auto"/>
    </w:pPr>
    <w:rPr>
      <w:sz w:val="24"/>
    </w:rPr>
  </w:style>
  <w:style w:type="paragraph" w:customStyle="1" w:styleId="889">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90">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1">
    <w:name w:val="标书标题3"/>
    <w:basedOn w:val="4"/>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2">
    <w:name w:val="TOC 标题11"/>
    <w:basedOn w:val="2"/>
    <w:next w:val="1"/>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3">
    <w:name w:val="_Style 1"/>
    <w:basedOn w:val="1"/>
    <w:qFormat/>
    <w:uiPriority w:val="34"/>
    <w:pPr>
      <w:adjustRightInd/>
      <w:ind w:firstLine="420" w:firstLineChars="200"/>
    </w:pPr>
    <w:rPr>
      <w:rFonts w:eastAsia="仿宋_GB2312"/>
      <w:sz w:val="28"/>
    </w:rPr>
  </w:style>
  <w:style w:type="paragraph" w:customStyle="1" w:styleId="894">
    <w:name w:val="表格 内容"/>
    <w:basedOn w:val="730"/>
    <w:qFormat/>
    <w:uiPriority w:val="0"/>
    <w:rPr>
      <w:b w:val="0"/>
      <w:sz w:val="20"/>
    </w:rPr>
  </w:style>
  <w:style w:type="paragraph" w:customStyle="1" w:styleId="895">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6">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7">
    <w:name w:val="数字标题5"/>
    <w:basedOn w:val="7"/>
    <w:next w:val="1"/>
    <w:qFormat/>
    <w:uiPriority w:val="0"/>
    <w:pPr>
      <w:tabs>
        <w:tab w:val="left" w:pos="1080"/>
      </w:tabs>
      <w:ind w:left="1080" w:hanging="1080"/>
    </w:pPr>
  </w:style>
  <w:style w:type="paragraph" w:customStyle="1" w:styleId="898">
    <w:name w:val="数字标题1"/>
    <w:basedOn w:val="2"/>
    <w:next w:val="1"/>
    <w:qFormat/>
    <w:uiPriority w:val="0"/>
    <w:pPr>
      <w:tabs>
        <w:tab w:val="left" w:pos="480"/>
      </w:tabs>
      <w:ind w:left="480" w:hanging="480"/>
    </w:pPr>
  </w:style>
  <w:style w:type="paragraph" w:customStyle="1" w:styleId="899">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900">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1">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2">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3">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4">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5">
    <w:name w:val="0"/>
    <w:basedOn w:val="1"/>
    <w:qFormat/>
    <w:uiPriority w:val="0"/>
    <w:pPr>
      <w:widowControl/>
    </w:pPr>
    <w:rPr>
      <w:kern w:val="0"/>
      <w:sz w:val="24"/>
      <w:szCs w:val="20"/>
    </w:rPr>
  </w:style>
  <w:style w:type="paragraph" w:customStyle="1" w:styleId="906">
    <w:name w:val="Char Char113"/>
    <w:basedOn w:val="1"/>
    <w:qFormat/>
    <w:uiPriority w:val="0"/>
    <w:pPr>
      <w:widowControl/>
      <w:spacing w:after="160" w:line="240" w:lineRule="exact"/>
      <w:jc w:val="left"/>
    </w:pPr>
    <w:rPr>
      <w:rFonts w:eastAsia="仿宋_GB2312"/>
      <w:sz w:val="28"/>
    </w:rPr>
  </w:style>
  <w:style w:type="paragraph" w:customStyle="1" w:styleId="907">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8">
    <w:name w:val="_Style 8"/>
    <w:basedOn w:val="1"/>
    <w:qFormat/>
    <w:uiPriority w:val="34"/>
    <w:pPr>
      <w:adjustRightInd/>
      <w:ind w:firstLine="420" w:firstLineChars="200"/>
    </w:pPr>
    <w:rPr>
      <w:rFonts w:eastAsia="仿宋_GB2312"/>
      <w:sz w:val="28"/>
    </w:rPr>
  </w:style>
  <w:style w:type="paragraph" w:customStyle="1" w:styleId="909">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10">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11">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2">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3">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4">
    <w:name w:val="Char Char112"/>
    <w:basedOn w:val="1"/>
    <w:qFormat/>
    <w:uiPriority w:val="6"/>
    <w:pPr>
      <w:widowControl/>
      <w:spacing w:after="160" w:line="240" w:lineRule="exact"/>
      <w:jc w:val="left"/>
    </w:pPr>
    <w:rPr>
      <w:rFonts w:eastAsia="仿宋_GB2312"/>
      <w:sz w:val="28"/>
    </w:rPr>
  </w:style>
  <w:style w:type="paragraph" w:customStyle="1" w:styleId="915">
    <w:name w:val="正文 图"/>
    <w:basedOn w:val="444"/>
    <w:qFormat/>
    <w:uiPriority w:val="0"/>
    <w:pPr>
      <w:adjustRightInd/>
      <w:spacing w:before="0"/>
      <w:ind w:firstLine="0"/>
      <w:jc w:val="center"/>
    </w:pPr>
    <w:rPr>
      <w:rFonts w:ascii="微软雅黑" w:hAnsi="微软雅黑"/>
    </w:rPr>
  </w:style>
  <w:style w:type="paragraph" w:customStyle="1" w:styleId="916">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7">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8">
    <w:name w:val="Thf"/>
    <w:basedOn w:val="563"/>
    <w:qFormat/>
    <w:uiPriority w:val="0"/>
    <w:pPr>
      <w:ind w:left="0"/>
    </w:pPr>
  </w:style>
  <w:style w:type="paragraph" w:customStyle="1" w:styleId="919">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20">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21">
    <w:name w:val="注释"/>
    <w:basedOn w:val="1"/>
    <w:qFormat/>
    <w:uiPriority w:val="0"/>
    <w:pPr>
      <w:adjustRightInd/>
      <w:spacing w:line="360" w:lineRule="auto"/>
      <w:ind w:firstLine="480"/>
    </w:pPr>
    <w:rPr>
      <w:sz w:val="24"/>
    </w:rPr>
  </w:style>
  <w:style w:type="table" w:customStyle="1" w:styleId="922">
    <w:name w:val="网格型2"/>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1"/>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6"/>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5">
    <w:name w:val="网格型3"/>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6">
    <w:name w:val="网格型4"/>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7">
    <w:name w:val="网格型5"/>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8">
    <w:name w:val="列出段落111"/>
    <w:basedOn w:val="1"/>
    <w:qFormat/>
    <w:uiPriority w:val="34"/>
    <w:pPr>
      <w:ind w:firstLine="420" w:firstLineChars="200"/>
    </w:pPr>
  </w:style>
  <w:style w:type="character" w:customStyle="1" w:styleId="929">
    <w:name w:val="交叉引用"/>
    <w:qFormat/>
    <w:uiPriority w:val="1"/>
    <w:rPr>
      <w:rFonts w:ascii="Arial" w:hAnsi="Arial" w:eastAsia="黑体"/>
      <w:snapToGrid w:val="0"/>
      <w:color w:val="0000FF"/>
      <w:kern w:val="0"/>
      <w:sz w:val="20"/>
      <w:szCs w:val="21"/>
      <w:u w:val="single"/>
      <w:lang w:val="en-US" w:eastAsia="zh-CN"/>
    </w:rPr>
  </w:style>
  <w:style w:type="character" w:customStyle="1" w:styleId="930">
    <w:name w:val="正文缩进 字符1"/>
    <w:qFormat/>
    <w:uiPriority w:val="0"/>
    <w:rPr>
      <w:rFonts w:ascii="宋体" w:eastAsia="宋体"/>
      <w:snapToGrid w:val="0"/>
      <w:color w:val="000000"/>
      <w:kern w:val="28"/>
      <w:sz w:val="28"/>
      <w:lang w:val="en-US" w:eastAsia="zh-CN" w:bidi="ar-SA"/>
    </w:rPr>
  </w:style>
  <w:style w:type="character" w:customStyle="1" w:styleId="931">
    <w:name w:val="页脚 字符1"/>
    <w:qFormat/>
    <w:uiPriority w:val="99"/>
    <w:rPr>
      <w:kern w:val="2"/>
      <w:sz w:val="18"/>
      <w:szCs w:val="18"/>
    </w:rPr>
  </w:style>
  <w:style w:type="character" w:customStyle="1" w:styleId="932">
    <w:name w:val="页眉 字符1"/>
    <w:qFormat/>
    <w:uiPriority w:val="99"/>
    <w:rPr>
      <w:kern w:val="2"/>
      <w:sz w:val="18"/>
      <w:szCs w:val="18"/>
    </w:rPr>
  </w:style>
  <w:style w:type="character" w:customStyle="1" w:styleId="933">
    <w:name w:val="尾注文本 Char"/>
    <w:link w:val="38"/>
    <w:qFormat/>
    <w:uiPriority w:val="0"/>
    <w:rPr>
      <w:kern w:val="2"/>
      <w:sz w:val="21"/>
      <w:szCs w:val="24"/>
      <w:lang w:val="zh-CN"/>
    </w:rPr>
  </w:style>
  <w:style w:type="character" w:customStyle="1" w:styleId="934">
    <w:name w:val="无间隔 Char"/>
    <w:link w:val="484"/>
    <w:qFormat/>
    <w:uiPriority w:val="99"/>
    <w:rPr>
      <w:kern w:val="2"/>
      <w:sz w:val="21"/>
      <w:szCs w:val="22"/>
    </w:rPr>
  </w:style>
  <w:style w:type="character" w:customStyle="1" w:styleId="935">
    <w:name w:val="标准文本 Char Char"/>
    <w:link w:val="936"/>
    <w:qFormat/>
    <w:uiPriority w:val="0"/>
    <w:rPr>
      <w:rFonts w:cs="宋体"/>
      <w:kern w:val="2"/>
      <w:sz w:val="24"/>
    </w:rPr>
  </w:style>
  <w:style w:type="paragraph" w:customStyle="1" w:styleId="936">
    <w:name w:val="标准文本"/>
    <w:basedOn w:val="1"/>
    <w:link w:val="935"/>
    <w:qFormat/>
    <w:uiPriority w:val="0"/>
    <w:pPr>
      <w:adjustRightInd/>
      <w:spacing w:line="360" w:lineRule="auto"/>
      <w:ind w:firstLine="480" w:firstLineChars="200"/>
    </w:pPr>
    <w:rPr>
      <w:rFonts w:cs="宋体"/>
      <w:sz w:val="24"/>
      <w:szCs w:val="20"/>
    </w:rPr>
  </w:style>
  <w:style w:type="character" w:customStyle="1" w:styleId="937">
    <w:name w:val="Char Char213"/>
    <w:qFormat/>
    <w:uiPriority w:val="0"/>
    <w:rPr>
      <w:rFonts w:eastAsia="Century Gothic"/>
      <w:b/>
      <w:bCs/>
      <w:kern w:val="44"/>
      <w:sz w:val="32"/>
      <w:szCs w:val="44"/>
      <w:lang w:val="en-US" w:eastAsia="zh-CN" w:bidi="ar-SA"/>
    </w:rPr>
  </w:style>
  <w:style w:type="character" w:customStyle="1" w:styleId="938">
    <w:name w:val="apple-style-span"/>
    <w:qFormat/>
    <w:uiPriority w:val="0"/>
    <w:rPr>
      <w:rFonts w:ascii="Arial" w:hAnsi="Arial" w:eastAsia="黑体" w:cs="Arial"/>
      <w:snapToGrid w:val="0"/>
      <w:kern w:val="0"/>
      <w:szCs w:val="21"/>
    </w:rPr>
  </w:style>
  <w:style w:type="character" w:customStyle="1" w:styleId="939">
    <w:name w:val="15"/>
    <w:qFormat/>
    <w:uiPriority w:val="0"/>
    <w:rPr>
      <w:rFonts w:hint="default" w:ascii="Calibri" w:hAnsi="Calibri"/>
      <w:color w:val="0000FF"/>
      <w:u w:val="single"/>
    </w:rPr>
  </w:style>
  <w:style w:type="character" w:customStyle="1" w:styleId="940">
    <w:name w:val="16"/>
    <w:qFormat/>
    <w:uiPriority w:val="0"/>
    <w:rPr>
      <w:rFonts w:hint="eastAsia" w:ascii="宋体" w:hAnsi="宋体" w:eastAsia="宋体"/>
      <w:color w:val="000000"/>
      <w:sz w:val="20"/>
      <w:szCs w:val="20"/>
    </w:rPr>
  </w:style>
  <w:style w:type="character" w:customStyle="1" w:styleId="941">
    <w:name w:val="edui-unclickable"/>
    <w:qFormat/>
    <w:uiPriority w:val="0"/>
    <w:rPr>
      <w:color w:val="808080"/>
    </w:rPr>
  </w:style>
  <w:style w:type="character" w:customStyle="1" w:styleId="942">
    <w:name w:val="tpc_content1"/>
    <w:qFormat/>
    <w:uiPriority w:val="0"/>
    <w:rPr>
      <w:sz w:val="20"/>
      <w:szCs w:val="20"/>
    </w:rPr>
  </w:style>
  <w:style w:type="character" w:customStyle="1" w:styleId="943">
    <w:name w:val="正文文本缩进 字符"/>
    <w:qFormat/>
    <w:uiPriority w:val="0"/>
    <w:rPr>
      <w:rFonts w:ascii="Century Gothic" w:hAnsi="Century Gothic" w:eastAsia="Century Gothic"/>
      <w:kern w:val="2"/>
      <w:sz w:val="24"/>
      <w:lang w:val="en-US" w:eastAsia="zh-CN" w:bidi="ar-SA"/>
    </w:rPr>
  </w:style>
  <w:style w:type="character" w:customStyle="1" w:styleId="944">
    <w:name w:val="正文文本 2 字符"/>
    <w:qFormat/>
    <w:uiPriority w:val="0"/>
    <w:rPr>
      <w:rFonts w:ascii="Arial" w:hAnsi="Arial" w:eastAsia="宋体"/>
      <w:kern w:val="2"/>
      <w:sz w:val="24"/>
      <w:szCs w:val="24"/>
      <w:lang w:val="en-US" w:eastAsia="zh-CN" w:bidi="ar-SA"/>
    </w:rPr>
  </w:style>
  <w:style w:type="character" w:customStyle="1" w:styleId="945">
    <w:name w:val="edui-clickable2"/>
    <w:qFormat/>
    <w:uiPriority w:val="0"/>
    <w:rPr>
      <w:color w:val="0000FF"/>
      <w:u w:val="single"/>
    </w:rPr>
  </w:style>
  <w:style w:type="character" w:customStyle="1" w:styleId="946">
    <w:name w:val="style1"/>
    <w:qFormat/>
    <w:uiPriority w:val="0"/>
    <w:rPr>
      <w:rFonts w:ascii="Arial" w:hAnsi="Arial" w:eastAsia="黑体" w:cs="Arial"/>
      <w:snapToGrid w:val="0"/>
      <w:kern w:val="0"/>
      <w:szCs w:val="21"/>
    </w:rPr>
  </w:style>
  <w:style w:type="character" w:customStyle="1" w:styleId="947">
    <w:name w:val="zbggtop11 style5"/>
    <w:qFormat/>
    <w:uiPriority w:val="0"/>
    <w:rPr>
      <w:rFonts w:ascii="Arial" w:hAnsi="Arial" w:eastAsia="黑体" w:cs="Arial"/>
      <w:snapToGrid w:val="0"/>
      <w:kern w:val="0"/>
      <w:szCs w:val="21"/>
    </w:rPr>
  </w:style>
  <w:style w:type="character" w:customStyle="1" w:styleId="948">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9">
    <w:name w:val="bulletintext1"/>
    <w:qFormat/>
    <w:uiPriority w:val="0"/>
    <w:rPr>
      <w:color w:val="000000"/>
      <w:sz w:val="18"/>
    </w:rPr>
  </w:style>
  <w:style w:type="paragraph" w:customStyle="1" w:styleId="950">
    <w:name w:val="_Style 947"/>
    <w:basedOn w:val="1"/>
    <w:next w:val="264"/>
    <w:qFormat/>
    <w:uiPriority w:val="34"/>
    <w:pPr>
      <w:adjustRightInd/>
      <w:ind w:firstLine="420" w:firstLineChars="200"/>
    </w:pPr>
  </w:style>
  <w:style w:type="paragraph" w:customStyle="1" w:styleId="951">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2">
    <w:name w:val="纯文本2"/>
    <w:basedOn w:val="1"/>
    <w:qFormat/>
    <w:uiPriority w:val="0"/>
    <w:pPr>
      <w:adjustRightInd/>
      <w:snapToGrid w:val="0"/>
      <w:jc w:val="left"/>
    </w:pPr>
    <w:rPr>
      <w:rFonts w:ascii="Century Gothic" w:hAnsi="楷体_GB2312" w:eastAsia="Century Gothic"/>
      <w:szCs w:val="20"/>
    </w:rPr>
  </w:style>
  <w:style w:type="paragraph" w:customStyle="1" w:styleId="953">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4">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5">
    <w:name w:val="节"/>
    <w:basedOn w:val="3"/>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6">
    <w:name w:val="Blockquote"/>
    <w:basedOn w:val="1"/>
    <w:qFormat/>
    <w:uiPriority w:val="0"/>
    <w:pPr>
      <w:autoSpaceDE w:val="0"/>
      <w:autoSpaceDN w:val="0"/>
      <w:spacing w:before="100" w:after="100"/>
      <w:ind w:left="360" w:right="360"/>
      <w:jc w:val="left"/>
    </w:pPr>
    <w:rPr>
      <w:kern w:val="0"/>
      <w:sz w:val="24"/>
      <w:szCs w:val="20"/>
    </w:rPr>
  </w:style>
  <w:style w:type="paragraph" w:customStyle="1" w:styleId="957">
    <w:name w:val="p1"/>
    <w:basedOn w:val="1"/>
    <w:qFormat/>
    <w:uiPriority w:val="0"/>
    <w:pPr>
      <w:widowControl/>
      <w:adjustRightInd/>
      <w:jc w:val="left"/>
    </w:pPr>
    <w:rPr>
      <w:rFonts w:ascii=".PingFang SC" w:eastAsia=".PingFang SC"/>
      <w:color w:val="454545"/>
      <w:kern w:val="0"/>
      <w:sz w:val="18"/>
      <w:szCs w:val="18"/>
    </w:rPr>
  </w:style>
  <w:style w:type="paragraph" w:customStyle="1" w:styleId="958">
    <w:name w:val="Table Paragraph"/>
    <w:basedOn w:val="1"/>
    <w:qFormat/>
    <w:uiPriority w:val="0"/>
    <w:pPr>
      <w:adjustRightInd/>
      <w:jc w:val="left"/>
    </w:pPr>
    <w:rPr>
      <w:rFonts w:ascii="Calibri" w:hAnsi="Calibri"/>
      <w:kern w:val="0"/>
      <w:sz w:val="22"/>
      <w:szCs w:val="22"/>
      <w:lang w:eastAsia="en-US"/>
    </w:rPr>
  </w:style>
  <w:style w:type="paragraph" w:customStyle="1" w:styleId="959">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60">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1">
    <w:name w:val="text-tag"/>
    <w:basedOn w:val="1"/>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2">
    <w:name w:val="ksfind_class_select1"/>
    <w:basedOn w:val="69"/>
    <w:qFormat/>
    <w:uiPriority w:val="0"/>
    <w:rPr>
      <w:color w:val="000000"/>
      <w:shd w:val="clear" w:color="auto" w:fill="EFD200"/>
    </w:rPr>
  </w:style>
  <w:style w:type="character" w:customStyle="1" w:styleId="963">
    <w:name w:val="font71"/>
    <w:qFormat/>
    <w:uiPriority w:val="0"/>
    <w:rPr>
      <w:rFonts w:hint="eastAsia" w:ascii="宋体" w:hAnsi="宋体" w:eastAsia="宋体" w:cs="宋体"/>
      <w:color w:val="000000"/>
      <w:sz w:val="22"/>
      <w:szCs w:val="22"/>
      <w:u w:val="none"/>
    </w:rPr>
  </w:style>
  <w:style w:type="character" w:customStyle="1" w:styleId="964">
    <w:name w:val="font91"/>
    <w:qFormat/>
    <w:uiPriority w:val="0"/>
    <w:rPr>
      <w:rFonts w:hint="eastAsia" w:ascii="仿宋" w:hAnsi="仿宋" w:eastAsia="仿宋" w:cs="仿宋"/>
      <w:color w:val="000000"/>
      <w:sz w:val="22"/>
      <w:szCs w:val="22"/>
      <w:u w:val="none"/>
    </w:rPr>
  </w:style>
  <w:style w:type="paragraph" w:customStyle="1" w:styleId="965">
    <w:name w:val="修订4"/>
    <w:qFormat/>
    <w:uiPriority w:val="99"/>
    <w:rPr>
      <w:rFonts w:ascii="Times New Roman" w:hAnsi="Times New Roman" w:eastAsia="宋体" w:cs="Times New Roman"/>
      <w:kern w:val="2"/>
      <w:sz w:val="21"/>
      <w:szCs w:val="24"/>
      <w:lang w:val="en-US" w:eastAsia="zh-CN" w:bidi="ar-SA"/>
    </w:rPr>
  </w:style>
  <w:style w:type="table" w:customStyle="1" w:styleId="966">
    <w:name w:val="Table Normal"/>
    <w:qFormat/>
    <w:uiPriority w:val="0"/>
    <w:tblPr>
      <w:tblCellMar>
        <w:top w:w="0" w:type="dxa"/>
        <w:left w:w="0" w:type="dxa"/>
        <w:bottom w:w="0" w:type="dxa"/>
        <w:right w:w="0" w:type="dxa"/>
      </w:tblCellMar>
    </w:tblPr>
  </w:style>
  <w:style w:type="character" w:customStyle="1" w:styleId="967">
    <w:name w:val="NormalCharacter"/>
    <w:qFormat/>
    <w:uiPriority w:val="0"/>
    <w:rPr>
      <w:snapToGrid w:val="0"/>
      <w:sz w:val="21"/>
      <w:lang w:val="en-US" w:eastAsia="zh-CN" w:bidi="ar-SA"/>
    </w:rPr>
  </w:style>
  <w:style w:type="paragraph" w:customStyle="1" w:styleId="968">
    <w:name w:val="null3"/>
    <w:hidden/>
    <w:qFormat/>
    <w:uiPriority w:val="0"/>
    <w:rPr>
      <w:rFonts w:hint="eastAsia"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杭州市国内经济合作办公室</Company>
  <Pages>72</Pages>
  <Words>11414</Words>
  <Characters>12438</Characters>
  <Lines>0</Lines>
  <Paragraphs>1478</Paragraphs>
  <TotalTime>23</TotalTime>
  <ScaleCrop>false</ScaleCrop>
  <LinksUpToDate>false</LinksUpToDate>
  <CharactersWithSpaces>12828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2021-08-03T08:22:00Z</dcterms:created>
  <dc:creator>玥</dc:creator>
  <cp:lastModifiedBy>浙江国际-钱妍</cp:lastModifiedBy>
  <cp:lastPrinted>2021-12-31T11:06:00Z</cp:lastPrinted>
  <dcterms:modified xsi:type="dcterms:W3CDTF">2026-05-21T07:52:19Z</dcterms:modified>
  <dc:title>杭州市市民卡扩大发卡工程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45E2ACC358084E9B81E627527E0F58E3_13</vt:lpwstr>
  </property>
  <property fmtid="{D5CDD505-2E9C-101B-9397-08002B2CF9AE}" pid="5" name="KSOTemplateDocerSaveRecord">
    <vt:lpwstr>eyJoZGlkIjoiMTkzNjYyYzE3OGViM2Q2MjkzZmQzNzI0N2I1Yjg0MDIiLCJ1c2VySWQiOiI2NTA0MjU5MjYifQ==</vt:lpwstr>
  </property>
</Properties>
</file>