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AB2B0">
      <w:pPr>
        <w:spacing w:beforeLines="100"/>
        <w:ind w:firstLine="0" w:firstLineChars="0"/>
        <w:rPr>
          <w:rFonts w:ascii="华文中宋" w:hAnsi="华文中宋" w:eastAsia="华文中宋" w:cs="华文中宋"/>
          <w:b/>
          <w:bCs/>
          <w:color w:val="auto"/>
          <w:sz w:val="52"/>
          <w:szCs w:val="52"/>
          <w:highlight w:val="none"/>
        </w:rPr>
      </w:pPr>
      <w:bookmarkStart w:id="0" w:name="OLE_LINK282"/>
      <w:bookmarkStart w:id="1" w:name="OLE_LINK283"/>
      <w:bookmarkStart w:id="2" w:name="OLE_LINK136"/>
    </w:p>
    <w:p w14:paraId="582F42EE">
      <w:pPr>
        <w:pStyle w:val="12"/>
        <w:adjustRightInd w:val="0"/>
        <w:snapToGrid w:val="0"/>
        <w:spacing w:beforeLines="50" w:line="240" w:lineRule="auto"/>
        <w:ind w:firstLine="0" w:firstLineChars="0"/>
        <w:jc w:val="center"/>
        <w:rPr>
          <w:rFonts w:ascii="华文中宋" w:hAnsi="华文中宋" w:eastAsia="华文中宋" w:cs="华文中宋"/>
          <w:b/>
          <w:bCs/>
          <w:color w:val="auto"/>
          <w:sz w:val="52"/>
          <w:szCs w:val="52"/>
          <w:highlight w:val="none"/>
        </w:rPr>
      </w:pPr>
      <w:r>
        <w:rPr>
          <w:rFonts w:hint="eastAsia" w:ascii="华文中宋" w:hAnsi="华文中宋" w:eastAsia="华文中宋" w:cs="华文中宋"/>
          <w:b/>
          <w:bCs/>
          <w:color w:val="auto"/>
          <w:sz w:val="52"/>
          <w:szCs w:val="52"/>
          <w:highlight w:val="none"/>
        </w:rPr>
        <w:t>昆明市盘龙区滇源街道中心卫生院重点中心乡镇卫生院提质建设项目</w:t>
      </w:r>
    </w:p>
    <w:p w14:paraId="39B07B0E">
      <w:pPr>
        <w:pStyle w:val="12"/>
        <w:adjustRightInd w:val="0"/>
        <w:snapToGrid w:val="0"/>
        <w:spacing w:beforeLines="50" w:line="240" w:lineRule="auto"/>
        <w:ind w:firstLine="0" w:firstLineChars="0"/>
        <w:jc w:val="center"/>
        <w:rPr>
          <w:rFonts w:ascii="华文中宋" w:hAnsi="华文中宋" w:eastAsia="华文中宋" w:cs="华文中宋"/>
          <w:b/>
          <w:bCs/>
          <w:color w:val="auto"/>
          <w:sz w:val="52"/>
          <w:szCs w:val="52"/>
          <w:highlight w:val="none"/>
        </w:rPr>
      </w:pPr>
      <w:r>
        <w:rPr>
          <w:rFonts w:hint="eastAsia" w:ascii="华文中宋" w:hAnsi="华文中宋" w:eastAsia="华文中宋" w:cs="华文中宋"/>
          <w:b/>
          <w:bCs/>
          <w:color w:val="auto"/>
          <w:sz w:val="52"/>
          <w:szCs w:val="52"/>
          <w:highlight w:val="none"/>
        </w:rPr>
        <w:t>医疗设备采购</w:t>
      </w:r>
    </w:p>
    <w:p w14:paraId="3BDC4418">
      <w:pPr>
        <w:pStyle w:val="12"/>
        <w:spacing w:beforeLines="50"/>
        <w:ind w:firstLine="0" w:firstLineChars="0"/>
        <w:jc w:val="center"/>
        <w:rPr>
          <w:rFonts w:ascii="华文中宋" w:hAnsi="华文中宋" w:eastAsia="华文中宋" w:cs="华文中宋"/>
          <w:b/>
          <w:bCs/>
          <w:color w:val="auto"/>
          <w:sz w:val="36"/>
          <w:szCs w:val="36"/>
          <w:highlight w:val="none"/>
        </w:rPr>
      </w:pPr>
      <w:r>
        <w:rPr>
          <w:rFonts w:hint="eastAsia" w:ascii="华文中宋" w:hAnsi="华文中宋" w:eastAsia="华文中宋" w:cs="华文中宋"/>
          <w:b/>
          <w:bCs/>
          <w:color w:val="auto"/>
          <w:sz w:val="36"/>
          <w:szCs w:val="36"/>
          <w:highlight w:val="none"/>
        </w:rPr>
        <w:t>（项目编号：</w:t>
      </w:r>
      <w:r>
        <w:rPr>
          <w:rFonts w:hint="eastAsia" w:ascii="华文中宋" w:hAnsi="华文中宋" w:eastAsia="华文中宋" w:cs="华文中宋"/>
          <w:b/>
          <w:bCs/>
          <w:color w:val="auto"/>
          <w:sz w:val="36"/>
          <w:szCs w:val="36"/>
          <w:highlight w:val="none"/>
          <w:lang w:eastAsia="zh-CN"/>
        </w:rPr>
        <w:t>KMZC2026-G1-00747-YNZZ-0192</w:t>
      </w:r>
      <w:r>
        <w:rPr>
          <w:rFonts w:hint="eastAsia" w:ascii="华文中宋" w:hAnsi="华文中宋" w:eastAsia="华文中宋" w:cs="华文中宋"/>
          <w:b/>
          <w:bCs/>
          <w:color w:val="auto"/>
          <w:sz w:val="36"/>
          <w:szCs w:val="36"/>
          <w:highlight w:val="none"/>
        </w:rPr>
        <w:t>）</w:t>
      </w:r>
    </w:p>
    <w:p w14:paraId="45CA765A">
      <w:pPr>
        <w:adjustRightInd w:val="0"/>
        <w:snapToGrid w:val="0"/>
        <w:ind w:firstLine="0" w:firstLineChars="0"/>
        <w:jc w:val="center"/>
        <w:rPr>
          <w:rFonts w:ascii="华文中宋" w:hAnsi="华文中宋" w:eastAsia="华文中宋" w:cs="华文中宋"/>
          <w:b/>
          <w:bCs/>
          <w:color w:val="auto"/>
          <w:sz w:val="36"/>
          <w:szCs w:val="36"/>
          <w:highlight w:val="none"/>
        </w:rPr>
      </w:pPr>
    </w:p>
    <w:p w14:paraId="78618AD0">
      <w:pPr>
        <w:pStyle w:val="2"/>
        <w:spacing w:before="156"/>
        <w:rPr>
          <w:color w:val="auto"/>
          <w:highlight w:val="none"/>
        </w:rPr>
      </w:pPr>
    </w:p>
    <w:p w14:paraId="50D1B379">
      <w:pPr>
        <w:ind w:firstLine="420"/>
        <w:rPr>
          <w:color w:val="auto"/>
          <w:highlight w:val="none"/>
        </w:rPr>
      </w:pPr>
    </w:p>
    <w:bookmarkEnd w:id="0"/>
    <w:bookmarkEnd w:id="1"/>
    <w:p w14:paraId="4EC38996">
      <w:pPr>
        <w:adjustRightInd w:val="0"/>
        <w:snapToGrid w:val="0"/>
        <w:ind w:firstLine="0" w:firstLineChars="0"/>
        <w:jc w:val="center"/>
        <w:rPr>
          <w:rFonts w:ascii="华文中宋" w:hAnsi="华文中宋" w:eastAsia="华文中宋" w:cs="华文中宋"/>
          <w:b/>
          <w:color w:val="auto"/>
          <w:sz w:val="96"/>
          <w:szCs w:val="96"/>
          <w:highlight w:val="none"/>
        </w:rPr>
      </w:pPr>
      <w:r>
        <w:rPr>
          <w:rFonts w:hint="eastAsia" w:ascii="华文中宋" w:hAnsi="华文中宋" w:eastAsia="华文中宋" w:cs="华文中宋"/>
          <w:b/>
          <w:color w:val="auto"/>
          <w:sz w:val="96"/>
          <w:szCs w:val="96"/>
          <w:highlight w:val="none"/>
        </w:rPr>
        <w:t>招</w:t>
      </w:r>
      <w:bookmarkStart w:id="3" w:name="OLE_LINK284"/>
      <w:r>
        <w:rPr>
          <w:rFonts w:hint="eastAsia" w:ascii="华文中宋" w:hAnsi="华文中宋" w:eastAsia="华文中宋" w:cs="华文中宋"/>
          <w:b/>
          <w:color w:val="auto"/>
          <w:sz w:val="96"/>
          <w:szCs w:val="96"/>
          <w:highlight w:val="none"/>
        </w:rPr>
        <w:t>标文件</w:t>
      </w:r>
    </w:p>
    <w:bookmarkEnd w:id="3"/>
    <w:p w14:paraId="581BCE6E">
      <w:pPr>
        <w:adjustRightInd w:val="0"/>
        <w:snapToGrid w:val="0"/>
        <w:ind w:firstLine="0" w:firstLineChars="0"/>
        <w:jc w:val="center"/>
        <w:rPr>
          <w:rFonts w:ascii="华文中宋" w:hAnsi="华文中宋" w:eastAsia="华文中宋" w:cs="华文中宋"/>
          <w:b/>
          <w:bCs/>
          <w:color w:val="auto"/>
          <w:sz w:val="36"/>
          <w:szCs w:val="36"/>
          <w:highlight w:val="none"/>
        </w:rPr>
      </w:pPr>
    </w:p>
    <w:p w14:paraId="7F3B2069">
      <w:pPr>
        <w:adjustRightInd w:val="0"/>
        <w:snapToGrid w:val="0"/>
        <w:ind w:firstLine="0" w:firstLineChars="0"/>
        <w:jc w:val="center"/>
        <w:rPr>
          <w:rFonts w:ascii="华文中宋" w:hAnsi="华文中宋" w:eastAsia="华文中宋" w:cs="华文中宋"/>
          <w:b/>
          <w:bCs/>
          <w:color w:val="auto"/>
          <w:sz w:val="36"/>
          <w:szCs w:val="36"/>
          <w:highlight w:val="none"/>
        </w:rPr>
      </w:pPr>
    </w:p>
    <w:p w14:paraId="404AADCE">
      <w:pPr>
        <w:adjustRightInd w:val="0"/>
        <w:snapToGrid w:val="0"/>
        <w:ind w:firstLine="0" w:firstLineChars="0"/>
        <w:rPr>
          <w:rFonts w:ascii="华文中宋" w:hAnsi="华文中宋" w:eastAsia="华文中宋" w:cs="华文中宋"/>
          <w:b/>
          <w:bCs/>
          <w:color w:val="auto"/>
          <w:sz w:val="36"/>
          <w:szCs w:val="36"/>
          <w:highlight w:val="none"/>
        </w:rPr>
      </w:pPr>
    </w:p>
    <w:p w14:paraId="523B781F">
      <w:pPr>
        <w:adjustRightInd w:val="0"/>
        <w:snapToGrid w:val="0"/>
        <w:ind w:firstLine="0" w:firstLineChars="0"/>
        <w:jc w:val="center"/>
        <w:rPr>
          <w:rFonts w:ascii="华文中宋" w:hAnsi="华文中宋" w:eastAsia="华文中宋" w:cs="华文中宋"/>
          <w:b/>
          <w:bCs/>
          <w:color w:val="auto"/>
          <w:sz w:val="36"/>
          <w:szCs w:val="36"/>
          <w:highlight w:val="none"/>
        </w:rPr>
      </w:pPr>
      <w:r>
        <w:rPr>
          <w:rFonts w:hint="eastAsia" w:ascii="华文中宋" w:hAnsi="华文中宋" w:eastAsia="华文中宋" w:cs="华文中宋"/>
          <w:b/>
          <w:bCs/>
          <w:color w:val="auto"/>
          <w:sz w:val="36"/>
          <w:szCs w:val="36"/>
          <w:highlight w:val="none"/>
        </w:rPr>
        <w:t>采购人：昆明市盘龙区滇源街道中心卫生院</w:t>
      </w:r>
    </w:p>
    <w:p w14:paraId="0EC8938E">
      <w:pPr>
        <w:adjustRightInd w:val="0"/>
        <w:snapToGrid w:val="0"/>
        <w:ind w:firstLine="0" w:firstLineChars="0"/>
        <w:jc w:val="center"/>
        <w:rPr>
          <w:rFonts w:ascii="华文中宋" w:hAnsi="华文中宋" w:eastAsia="华文中宋" w:cs="华文中宋"/>
          <w:b/>
          <w:bCs/>
          <w:color w:val="auto"/>
          <w:sz w:val="36"/>
          <w:szCs w:val="36"/>
          <w:highlight w:val="none"/>
        </w:rPr>
      </w:pPr>
      <w:r>
        <w:rPr>
          <w:rFonts w:hint="eastAsia" w:ascii="华文中宋" w:hAnsi="华文中宋" w:eastAsia="华文中宋" w:cs="华文中宋"/>
          <w:b/>
          <w:color w:val="auto"/>
          <w:sz w:val="36"/>
          <w:szCs w:val="36"/>
          <w:highlight w:val="none"/>
        </w:rPr>
        <w:t>采购代理机构：</w:t>
      </w:r>
      <w:r>
        <w:rPr>
          <w:rFonts w:hint="eastAsia" w:ascii="华文中宋" w:hAnsi="华文中宋" w:eastAsia="华文中宋" w:cs="华文中宋"/>
          <w:b/>
          <w:bCs/>
          <w:color w:val="auto"/>
          <w:sz w:val="36"/>
          <w:szCs w:val="36"/>
          <w:highlight w:val="none"/>
        </w:rPr>
        <w:t>云南中咨海外咨询有限公司</w:t>
      </w:r>
    </w:p>
    <w:p w14:paraId="7DE49CA8">
      <w:pPr>
        <w:adjustRightInd w:val="0"/>
        <w:snapToGrid w:val="0"/>
        <w:ind w:firstLine="0" w:firstLineChars="0"/>
        <w:jc w:val="center"/>
        <w:rPr>
          <w:rFonts w:ascii="Times New Roman" w:hAnsi="Times New Roman" w:cs="Times New Roman"/>
          <w:b/>
          <w:bCs/>
          <w:color w:val="auto"/>
          <w:spacing w:val="20"/>
          <w:sz w:val="36"/>
          <w:szCs w:val="36"/>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17" w:right="1417" w:bottom="1418" w:left="1417" w:header="964" w:footer="1134" w:gutter="0"/>
          <w:pgNumType w:fmt="upperRoman" w:start="1"/>
          <w:cols w:space="425" w:num="1"/>
          <w:titlePg/>
          <w:docGrid w:type="lines" w:linePitch="312" w:charSpace="0"/>
        </w:sectPr>
      </w:pPr>
      <w:r>
        <w:rPr>
          <w:rFonts w:hint="eastAsia" w:ascii="华文中宋" w:hAnsi="华文中宋" w:eastAsia="华文中宋" w:cs="华文中宋"/>
          <w:b/>
          <w:bCs/>
          <w:color w:val="auto"/>
          <w:spacing w:val="20"/>
          <w:sz w:val="36"/>
          <w:szCs w:val="36"/>
          <w:highlight w:val="none"/>
        </w:rPr>
        <w:t>日期：二〇二六年</w:t>
      </w:r>
      <w:r>
        <w:rPr>
          <w:rFonts w:hint="eastAsia" w:ascii="华文中宋" w:hAnsi="华文中宋" w:eastAsia="华文中宋" w:cs="华文中宋"/>
          <w:b/>
          <w:bCs/>
          <w:color w:val="auto"/>
          <w:spacing w:val="20"/>
          <w:sz w:val="36"/>
          <w:szCs w:val="36"/>
          <w:highlight w:val="none"/>
          <w:lang w:val="en-US" w:eastAsia="zh-CN"/>
        </w:rPr>
        <w:t>五</w:t>
      </w:r>
      <w:r>
        <w:rPr>
          <w:rFonts w:hint="eastAsia" w:ascii="华文中宋" w:hAnsi="华文中宋" w:eastAsia="华文中宋" w:cs="华文中宋"/>
          <w:b/>
          <w:bCs/>
          <w:color w:val="auto"/>
          <w:spacing w:val="20"/>
          <w:sz w:val="36"/>
          <w:szCs w:val="36"/>
          <w:highlight w:val="none"/>
        </w:rPr>
        <w:t>月</w:t>
      </w:r>
    </w:p>
    <w:p w14:paraId="47304FE7">
      <w:pPr>
        <w:spacing w:line="720" w:lineRule="auto"/>
        <w:ind w:firstLine="0" w:firstLineChars="0"/>
        <w:jc w:val="center"/>
        <w:rPr>
          <w:rFonts w:ascii="黑体" w:hAnsi="黑体" w:eastAsia="黑体" w:cs="黑体"/>
          <w:b/>
          <w:bCs/>
          <w:color w:val="auto"/>
          <w:sz w:val="36"/>
          <w:szCs w:val="36"/>
          <w:highlight w:val="none"/>
        </w:rPr>
      </w:pPr>
      <w:r>
        <w:rPr>
          <w:rFonts w:hint="eastAsia" w:ascii="黑体" w:hAnsi="黑体" w:eastAsia="黑体" w:cs="黑体"/>
          <w:b/>
          <w:bCs/>
          <w:color w:val="auto"/>
          <w:sz w:val="36"/>
          <w:szCs w:val="36"/>
          <w:highlight w:val="none"/>
        </w:rPr>
        <w:t>目  录</w:t>
      </w:r>
    </w:p>
    <w:p w14:paraId="3A462A35">
      <w:pPr>
        <w:pStyle w:val="27"/>
        <w:tabs>
          <w:tab w:val="right" w:leader="dot" w:pos="8844"/>
        </w:tabs>
        <w:spacing w:line="720" w:lineRule="auto"/>
        <w:ind w:firstLine="0" w:firstLineChars="0"/>
        <w:rPr>
          <w:rFonts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fldChar w:fldCharType="begin"/>
      </w:r>
      <w:r>
        <w:rPr>
          <w:rFonts w:hint="eastAsia" w:ascii="黑体" w:hAnsi="黑体" w:eastAsia="黑体" w:cs="黑体"/>
          <w:b/>
          <w:bCs/>
          <w:color w:val="auto"/>
          <w:sz w:val="28"/>
          <w:szCs w:val="28"/>
          <w:highlight w:val="none"/>
        </w:rPr>
        <w:instrText xml:space="preserve"> TOC \o "1-3" \h \z \u </w:instrText>
      </w:r>
      <w:r>
        <w:rPr>
          <w:rFonts w:hint="eastAsia" w:ascii="黑体" w:hAnsi="黑体" w:eastAsia="黑体" w:cs="黑体"/>
          <w:b/>
          <w:bCs/>
          <w:color w:val="auto"/>
          <w:sz w:val="28"/>
          <w:szCs w:val="28"/>
          <w:highlight w:val="none"/>
        </w:rPr>
        <w:fldChar w:fldCharType="separate"/>
      </w:r>
      <w:r>
        <w:rPr>
          <w:color w:val="auto"/>
          <w:highlight w:val="none"/>
        </w:rPr>
        <w:fldChar w:fldCharType="begin"/>
      </w:r>
      <w:r>
        <w:rPr>
          <w:color w:val="auto"/>
          <w:highlight w:val="none"/>
        </w:rPr>
        <w:instrText xml:space="preserve"> HYPERLINK \l "_Toc207" </w:instrText>
      </w:r>
      <w:r>
        <w:rPr>
          <w:color w:val="auto"/>
          <w:highlight w:val="none"/>
        </w:rPr>
        <w:fldChar w:fldCharType="separate"/>
      </w:r>
      <w:r>
        <w:rPr>
          <w:rFonts w:hint="eastAsia" w:ascii="黑体" w:hAnsi="黑体" w:eastAsia="黑体" w:cs="黑体"/>
          <w:b/>
          <w:bCs/>
          <w:color w:val="auto"/>
          <w:sz w:val="28"/>
          <w:szCs w:val="28"/>
          <w:highlight w:val="none"/>
        </w:rPr>
        <w:t>第一章 招标公告</w:t>
      </w:r>
      <w:r>
        <w:rPr>
          <w:rFonts w:hint="eastAsia" w:ascii="黑体" w:hAnsi="黑体" w:eastAsia="黑体" w:cs="黑体"/>
          <w:b/>
          <w:bCs/>
          <w:color w:val="auto"/>
          <w:sz w:val="28"/>
          <w:szCs w:val="28"/>
          <w:highlight w:val="none"/>
        </w:rPr>
        <w:tab/>
      </w:r>
      <w:r>
        <w:rPr>
          <w:rFonts w:hint="eastAsia" w:ascii="黑体" w:hAnsi="黑体" w:eastAsia="黑体" w:cs="黑体"/>
          <w:b/>
          <w:bCs/>
          <w:color w:val="auto"/>
          <w:sz w:val="28"/>
          <w:szCs w:val="28"/>
          <w:highlight w:val="none"/>
        </w:rPr>
        <w:fldChar w:fldCharType="begin"/>
      </w:r>
      <w:r>
        <w:rPr>
          <w:rFonts w:hint="eastAsia" w:ascii="黑体" w:hAnsi="黑体" w:eastAsia="黑体" w:cs="黑体"/>
          <w:b/>
          <w:bCs/>
          <w:color w:val="auto"/>
          <w:sz w:val="28"/>
          <w:szCs w:val="28"/>
          <w:highlight w:val="none"/>
        </w:rPr>
        <w:instrText xml:space="preserve"> PAGEREF _Toc207 \h </w:instrText>
      </w:r>
      <w:r>
        <w:rPr>
          <w:rFonts w:hint="eastAsia" w:ascii="黑体" w:hAnsi="黑体" w:eastAsia="黑体" w:cs="黑体"/>
          <w:b/>
          <w:bCs/>
          <w:color w:val="auto"/>
          <w:sz w:val="28"/>
          <w:szCs w:val="28"/>
          <w:highlight w:val="none"/>
        </w:rPr>
        <w:fldChar w:fldCharType="separate"/>
      </w:r>
      <w:r>
        <w:rPr>
          <w:rFonts w:hint="eastAsia" w:ascii="黑体" w:hAnsi="黑体" w:eastAsia="黑体" w:cs="黑体"/>
          <w:b/>
          <w:bCs/>
          <w:color w:val="auto"/>
          <w:sz w:val="28"/>
          <w:szCs w:val="28"/>
          <w:highlight w:val="none"/>
        </w:rPr>
        <w:t>1</w:t>
      </w:r>
      <w:r>
        <w:rPr>
          <w:rFonts w:hint="eastAsia" w:ascii="黑体" w:hAnsi="黑体" w:eastAsia="黑体" w:cs="黑体"/>
          <w:b/>
          <w:bCs/>
          <w:color w:val="auto"/>
          <w:sz w:val="28"/>
          <w:szCs w:val="28"/>
          <w:highlight w:val="none"/>
        </w:rPr>
        <w:fldChar w:fldCharType="end"/>
      </w:r>
      <w:r>
        <w:rPr>
          <w:rFonts w:hint="eastAsia" w:ascii="黑体" w:hAnsi="黑体" w:eastAsia="黑体" w:cs="黑体"/>
          <w:b/>
          <w:bCs/>
          <w:color w:val="auto"/>
          <w:sz w:val="28"/>
          <w:szCs w:val="28"/>
          <w:highlight w:val="none"/>
        </w:rPr>
        <w:fldChar w:fldCharType="end"/>
      </w:r>
    </w:p>
    <w:p w14:paraId="552A8D03">
      <w:pPr>
        <w:pStyle w:val="27"/>
        <w:tabs>
          <w:tab w:val="right" w:leader="dot" w:pos="8844"/>
        </w:tabs>
        <w:spacing w:line="720" w:lineRule="auto"/>
        <w:ind w:firstLine="0" w:firstLineChars="0"/>
        <w:rPr>
          <w:rFonts w:ascii="黑体" w:hAnsi="黑体" w:eastAsia="黑体" w:cs="黑体"/>
          <w:b/>
          <w:bCs/>
          <w:color w:val="auto"/>
          <w:sz w:val="28"/>
          <w:szCs w:val="28"/>
          <w:highlight w:val="none"/>
        </w:rPr>
      </w:pPr>
      <w:bookmarkStart w:id="4" w:name="OLE_LINK161"/>
      <w:r>
        <w:rPr>
          <w:rFonts w:hint="eastAsia" w:ascii="黑体" w:hAnsi="黑体" w:eastAsia="黑体" w:cs="黑体"/>
          <w:b/>
          <w:bCs/>
          <w:color w:val="auto"/>
          <w:sz w:val="28"/>
          <w:szCs w:val="28"/>
          <w:highlight w:val="none"/>
        </w:rPr>
        <w:fldChar w:fldCharType="begin"/>
      </w:r>
      <w:r>
        <w:rPr>
          <w:rFonts w:hint="eastAsia" w:ascii="黑体" w:hAnsi="黑体" w:eastAsia="黑体" w:cs="黑体"/>
          <w:b/>
          <w:bCs/>
          <w:color w:val="auto"/>
          <w:sz w:val="28"/>
          <w:szCs w:val="28"/>
          <w:highlight w:val="none"/>
        </w:rPr>
        <w:instrText xml:space="preserve"> HYPERLINK \l _Toc10769 </w:instrText>
      </w:r>
      <w:r>
        <w:rPr>
          <w:rFonts w:hint="eastAsia" w:ascii="黑体" w:hAnsi="黑体" w:eastAsia="黑体" w:cs="黑体"/>
          <w:b/>
          <w:bCs/>
          <w:color w:val="auto"/>
          <w:sz w:val="28"/>
          <w:szCs w:val="28"/>
          <w:highlight w:val="none"/>
        </w:rPr>
        <w:fldChar w:fldCharType="separate"/>
      </w:r>
      <w:r>
        <w:rPr>
          <w:rFonts w:hint="eastAsia" w:ascii="黑体" w:hAnsi="黑体" w:eastAsia="黑体" w:cs="黑体"/>
          <w:b/>
          <w:bCs/>
          <w:color w:val="auto"/>
          <w:sz w:val="28"/>
          <w:szCs w:val="28"/>
          <w:highlight w:val="none"/>
        </w:rPr>
        <w:t>第二章 投标人须知</w:t>
      </w:r>
      <w:r>
        <w:rPr>
          <w:rFonts w:hint="eastAsia" w:ascii="黑体" w:hAnsi="黑体" w:eastAsia="黑体" w:cs="黑体"/>
          <w:b/>
          <w:bCs/>
          <w:color w:val="auto"/>
          <w:sz w:val="28"/>
          <w:szCs w:val="28"/>
          <w:highlight w:val="none"/>
        </w:rPr>
        <w:tab/>
      </w:r>
      <w:r>
        <w:rPr>
          <w:rFonts w:hint="eastAsia" w:ascii="黑体" w:hAnsi="黑体" w:eastAsia="黑体" w:cs="黑体"/>
          <w:b/>
          <w:bCs/>
          <w:color w:val="auto"/>
          <w:sz w:val="28"/>
          <w:szCs w:val="28"/>
          <w:highlight w:val="none"/>
        </w:rPr>
        <w:fldChar w:fldCharType="begin"/>
      </w:r>
      <w:r>
        <w:rPr>
          <w:rFonts w:hint="eastAsia" w:ascii="黑体" w:hAnsi="黑体" w:eastAsia="黑体" w:cs="黑体"/>
          <w:b/>
          <w:bCs/>
          <w:color w:val="auto"/>
          <w:sz w:val="28"/>
          <w:szCs w:val="28"/>
          <w:highlight w:val="none"/>
        </w:rPr>
        <w:instrText xml:space="preserve"> PAGEREF _Toc10769 \h </w:instrText>
      </w:r>
      <w:r>
        <w:rPr>
          <w:rFonts w:hint="eastAsia" w:ascii="黑体" w:hAnsi="黑体" w:eastAsia="黑体" w:cs="黑体"/>
          <w:b/>
          <w:bCs/>
          <w:color w:val="auto"/>
          <w:sz w:val="28"/>
          <w:szCs w:val="28"/>
          <w:highlight w:val="none"/>
        </w:rPr>
        <w:fldChar w:fldCharType="separate"/>
      </w:r>
      <w:r>
        <w:rPr>
          <w:rFonts w:hint="eastAsia" w:ascii="黑体" w:hAnsi="黑体" w:eastAsia="黑体" w:cs="黑体"/>
          <w:b/>
          <w:bCs/>
          <w:color w:val="auto"/>
          <w:sz w:val="28"/>
          <w:szCs w:val="28"/>
          <w:highlight w:val="none"/>
        </w:rPr>
        <w:t>7</w:t>
      </w:r>
      <w:r>
        <w:rPr>
          <w:rFonts w:hint="eastAsia" w:ascii="黑体" w:hAnsi="黑体" w:eastAsia="黑体" w:cs="黑体"/>
          <w:b/>
          <w:bCs/>
          <w:color w:val="auto"/>
          <w:sz w:val="28"/>
          <w:szCs w:val="28"/>
          <w:highlight w:val="none"/>
        </w:rPr>
        <w:fldChar w:fldCharType="end"/>
      </w:r>
      <w:r>
        <w:rPr>
          <w:rFonts w:hint="eastAsia" w:ascii="黑体" w:hAnsi="黑体" w:eastAsia="黑体" w:cs="黑体"/>
          <w:b/>
          <w:bCs/>
          <w:color w:val="auto"/>
          <w:sz w:val="28"/>
          <w:szCs w:val="28"/>
          <w:highlight w:val="none"/>
        </w:rPr>
        <w:fldChar w:fldCharType="end"/>
      </w:r>
    </w:p>
    <w:p w14:paraId="0DA47DD7">
      <w:pPr>
        <w:pStyle w:val="27"/>
        <w:tabs>
          <w:tab w:val="right" w:leader="dot" w:pos="8844"/>
        </w:tabs>
        <w:spacing w:line="720" w:lineRule="auto"/>
        <w:ind w:firstLine="0" w:firstLineChars="0"/>
        <w:rPr>
          <w:rFonts w:ascii="黑体" w:hAnsi="黑体" w:eastAsia="黑体" w:cs="黑体"/>
          <w:b/>
          <w:bCs/>
          <w:color w:val="auto"/>
          <w:sz w:val="28"/>
          <w:szCs w:val="28"/>
          <w:highlight w:val="none"/>
        </w:rPr>
      </w:pPr>
      <w:r>
        <w:rPr>
          <w:color w:val="auto"/>
          <w:highlight w:val="none"/>
        </w:rPr>
        <w:fldChar w:fldCharType="begin"/>
      </w:r>
      <w:r>
        <w:rPr>
          <w:color w:val="auto"/>
          <w:highlight w:val="none"/>
        </w:rPr>
        <w:instrText xml:space="preserve"> HYPERLINK \l "_Toc12720" </w:instrText>
      </w:r>
      <w:r>
        <w:rPr>
          <w:color w:val="auto"/>
          <w:highlight w:val="none"/>
        </w:rPr>
        <w:fldChar w:fldCharType="separate"/>
      </w:r>
      <w:r>
        <w:rPr>
          <w:rFonts w:hint="eastAsia" w:ascii="黑体" w:hAnsi="黑体" w:eastAsia="黑体" w:cs="黑体"/>
          <w:b/>
          <w:bCs/>
          <w:color w:val="auto"/>
          <w:sz w:val="28"/>
          <w:szCs w:val="28"/>
          <w:highlight w:val="none"/>
        </w:rPr>
        <w:t>第三章 合同书样式及主要条款</w:t>
      </w:r>
      <w:r>
        <w:rPr>
          <w:rFonts w:hint="eastAsia" w:ascii="黑体" w:hAnsi="黑体" w:eastAsia="黑体" w:cs="黑体"/>
          <w:b/>
          <w:bCs/>
          <w:color w:val="auto"/>
          <w:sz w:val="28"/>
          <w:szCs w:val="28"/>
          <w:highlight w:val="none"/>
        </w:rPr>
        <w:tab/>
      </w:r>
      <w:r>
        <w:rPr>
          <w:rFonts w:hint="eastAsia" w:ascii="黑体" w:hAnsi="黑体" w:eastAsia="黑体" w:cs="黑体"/>
          <w:b/>
          <w:bCs/>
          <w:color w:val="auto"/>
          <w:sz w:val="28"/>
          <w:szCs w:val="28"/>
          <w:highlight w:val="none"/>
        </w:rPr>
        <w:fldChar w:fldCharType="begin"/>
      </w:r>
      <w:r>
        <w:rPr>
          <w:rFonts w:hint="eastAsia" w:ascii="黑体" w:hAnsi="黑体" w:eastAsia="黑体" w:cs="黑体"/>
          <w:b/>
          <w:bCs/>
          <w:color w:val="auto"/>
          <w:sz w:val="28"/>
          <w:szCs w:val="28"/>
          <w:highlight w:val="none"/>
        </w:rPr>
        <w:instrText xml:space="preserve"> PAGEREF _Toc12720 \h </w:instrText>
      </w:r>
      <w:r>
        <w:rPr>
          <w:rFonts w:hint="eastAsia" w:ascii="黑体" w:hAnsi="黑体" w:eastAsia="黑体" w:cs="黑体"/>
          <w:b/>
          <w:bCs/>
          <w:color w:val="auto"/>
          <w:sz w:val="28"/>
          <w:szCs w:val="28"/>
          <w:highlight w:val="none"/>
        </w:rPr>
        <w:fldChar w:fldCharType="separate"/>
      </w:r>
      <w:r>
        <w:rPr>
          <w:rFonts w:hint="eastAsia" w:ascii="黑体" w:hAnsi="黑体" w:eastAsia="黑体" w:cs="黑体"/>
          <w:b/>
          <w:bCs/>
          <w:color w:val="auto"/>
          <w:sz w:val="28"/>
          <w:szCs w:val="28"/>
          <w:highlight w:val="none"/>
        </w:rPr>
        <w:t>27</w:t>
      </w:r>
      <w:r>
        <w:rPr>
          <w:rFonts w:hint="eastAsia" w:ascii="黑体" w:hAnsi="黑体" w:eastAsia="黑体" w:cs="黑体"/>
          <w:b/>
          <w:bCs/>
          <w:color w:val="auto"/>
          <w:sz w:val="28"/>
          <w:szCs w:val="28"/>
          <w:highlight w:val="none"/>
        </w:rPr>
        <w:fldChar w:fldCharType="end"/>
      </w:r>
      <w:r>
        <w:rPr>
          <w:rFonts w:hint="eastAsia" w:ascii="黑体" w:hAnsi="黑体" w:eastAsia="黑体" w:cs="黑体"/>
          <w:b/>
          <w:bCs/>
          <w:color w:val="auto"/>
          <w:sz w:val="28"/>
          <w:szCs w:val="28"/>
          <w:highlight w:val="none"/>
        </w:rPr>
        <w:fldChar w:fldCharType="end"/>
      </w:r>
    </w:p>
    <w:p w14:paraId="7C0C69E0">
      <w:pPr>
        <w:pStyle w:val="27"/>
        <w:tabs>
          <w:tab w:val="right" w:leader="dot" w:pos="8844"/>
        </w:tabs>
        <w:spacing w:line="720" w:lineRule="auto"/>
        <w:ind w:firstLine="0" w:firstLineChars="0"/>
        <w:rPr>
          <w:rFonts w:ascii="黑体" w:hAnsi="黑体" w:eastAsia="黑体" w:cs="黑体"/>
          <w:b/>
          <w:bCs/>
          <w:color w:val="auto"/>
          <w:sz w:val="28"/>
          <w:szCs w:val="28"/>
          <w:highlight w:val="none"/>
        </w:rPr>
      </w:pPr>
      <w:r>
        <w:rPr>
          <w:color w:val="auto"/>
          <w:highlight w:val="none"/>
        </w:rPr>
        <w:fldChar w:fldCharType="begin"/>
      </w:r>
      <w:r>
        <w:rPr>
          <w:color w:val="auto"/>
          <w:highlight w:val="none"/>
        </w:rPr>
        <w:instrText xml:space="preserve"> HYPERLINK \l "_Toc23671" </w:instrText>
      </w:r>
      <w:r>
        <w:rPr>
          <w:color w:val="auto"/>
          <w:highlight w:val="none"/>
        </w:rPr>
        <w:fldChar w:fldCharType="separate"/>
      </w:r>
      <w:r>
        <w:rPr>
          <w:rFonts w:hint="eastAsia" w:ascii="黑体" w:hAnsi="黑体" w:eastAsia="黑体" w:cs="黑体"/>
          <w:b/>
          <w:bCs/>
          <w:color w:val="auto"/>
          <w:sz w:val="28"/>
          <w:szCs w:val="28"/>
          <w:highlight w:val="none"/>
        </w:rPr>
        <w:t>第四章 投标文件格式</w:t>
      </w:r>
      <w:r>
        <w:rPr>
          <w:rFonts w:hint="eastAsia" w:ascii="黑体" w:hAnsi="黑体" w:eastAsia="黑体" w:cs="黑体"/>
          <w:b/>
          <w:bCs/>
          <w:color w:val="auto"/>
          <w:sz w:val="28"/>
          <w:szCs w:val="28"/>
          <w:highlight w:val="none"/>
        </w:rPr>
        <w:tab/>
      </w:r>
      <w:r>
        <w:rPr>
          <w:rFonts w:hint="eastAsia" w:ascii="黑体" w:hAnsi="黑体" w:eastAsia="黑体" w:cs="黑体"/>
          <w:b/>
          <w:bCs/>
          <w:color w:val="auto"/>
          <w:sz w:val="28"/>
          <w:szCs w:val="28"/>
          <w:highlight w:val="none"/>
        </w:rPr>
        <w:fldChar w:fldCharType="begin"/>
      </w:r>
      <w:r>
        <w:rPr>
          <w:rFonts w:hint="eastAsia" w:ascii="黑体" w:hAnsi="黑体" w:eastAsia="黑体" w:cs="黑体"/>
          <w:b/>
          <w:bCs/>
          <w:color w:val="auto"/>
          <w:sz w:val="28"/>
          <w:szCs w:val="28"/>
          <w:highlight w:val="none"/>
        </w:rPr>
        <w:instrText xml:space="preserve"> PAGEREF _Toc23671 \h </w:instrText>
      </w:r>
      <w:r>
        <w:rPr>
          <w:rFonts w:hint="eastAsia" w:ascii="黑体" w:hAnsi="黑体" w:eastAsia="黑体" w:cs="黑体"/>
          <w:b/>
          <w:bCs/>
          <w:color w:val="auto"/>
          <w:sz w:val="28"/>
          <w:szCs w:val="28"/>
          <w:highlight w:val="none"/>
        </w:rPr>
        <w:fldChar w:fldCharType="separate"/>
      </w:r>
      <w:r>
        <w:rPr>
          <w:rFonts w:hint="eastAsia" w:ascii="黑体" w:hAnsi="黑体" w:eastAsia="黑体" w:cs="黑体"/>
          <w:b/>
          <w:bCs/>
          <w:color w:val="auto"/>
          <w:sz w:val="28"/>
          <w:szCs w:val="28"/>
          <w:highlight w:val="none"/>
        </w:rPr>
        <w:t>37</w:t>
      </w:r>
      <w:r>
        <w:rPr>
          <w:rFonts w:hint="eastAsia" w:ascii="黑体" w:hAnsi="黑体" w:eastAsia="黑体" w:cs="黑体"/>
          <w:b/>
          <w:bCs/>
          <w:color w:val="auto"/>
          <w:sz w:val="28"/>
          <w:szCs w:val="28"/>
          <w:highlight w:val="none"/>
        </w:rPr>
        <w:fldChar w:fldCharType="end"/>
      </w:r>
      <w:r>
        <w:rPr>
          <w:rFonts w:hint="eastAsia" w:ascii="黑体" w:hAnsi="黑体" w:eastAsia="黑体" w:cs="黑体"/>
          <w:b/>
          <w:bCs/>
          <w:color w:val="auto"/>
          <w:sz w:val="28"/>
          <w:szCs w:val="28"/>
          <w:highlight w:val="none"/>
        </w:rPr>
        <w:fldChar w:fldCharType="end"/>
      </w:r>
      <w:bookmarkEnd w:id="4"/>
    </w:p>
    <w:p w14:paraId="4759285D">
      <w:pPr>
        <w:pStyle w:val="27"/>
        <w:tabs>
          <w:tab w:val="right" w:leader="dot" w:pos="8844"/>
        </w:tabs>
        <w:spacing w:line="720" w:lineRule="auto"/>
        <w:ind w:firstLine="0" w:firstLineChars="0"/>
        <w:rPr>
          <w:rFonts w:ascii="黑体" w:hAnsi="黑体" w:eastAsia="黑体" w:cs="黑体"/>
          <w:b/>
          <w:bCs/>
          <w:color w:val="auto"/>
          <w:sz w:val="28"/>
          <w:szCs w:val="28"/>
          <w:highlight w:val="none"/>
        </w:rPr>
      </w:pPr>
      <w:r>
        <w:rPr>
          <w:color w:val="auto"/>
          <w:highlight w:val="none"/>
        </w:rPr>
        <w:fldChar w:fldCharType="begin"/>
      </w:r>
      <w:r>
        <w:rPr>
          <w:color w:val="auto"/>
          <w:highlight w:val="none"/>
        </w:rPr>
        <w:instrText xml:space="preserve"> HYPERLINK \l "_Toc16410" </w:instrText>
      </w:r>
      <w:r>
        <w:rPr>
          <w:color w:val="auto"/>
          <w:highlight w:val="none"/>
        </w:rPr>
        <w:fldChar w:fldCharType="separate"/>
      </w:r>
      <w:r>
        <w:rPr>
          <w:rFonts w:hint="eastAsia" w:ascii="黑体" w:hAnsi="黑体" w:eastAsia="黑体" w:cs="黑体"/>
          <w:b/>
          <w:bCs/>
          <w:color w:val="auto"/>
          <w:sz w:val="28"/>
          <w:szCs w:val="28"/>
          <w:highlight w:val="none"/>
        </w:rPr>
        <w:t>第五章 采购需求</w:t>
      </w:r>
      <w:r>
        <w:rPr>
          <w:rFonts w:hint="eastAsia" w:ascii="黑体" w:hAnsi="黑体" w:eastAsia="黑体" w:cs="黑体"/>
          <w:b/>
          <w:bCs/>
          <w:color w:val="auto"/>
          <w:sz w:val="28"/>
          <w:szCs w:val="28"/>
          <w:highlight w:val="none"/>
        </w:rPr>
        <w:tab/>
      </w:r>
      <w:r>
        <w:rPr>
          <w:rFonts w:hint="eastAsia" w:ascii="黑体" w:hAnsi="黑体" w:eastAsia="黑体" w:cs="黑体"/>
          <w:b/>
          <w:bCs/>
          <w:color w:val="auto"/>
          <w:sz w:val="28"/>
          <w:szCs w:val="28"/>
          <w:highlight w:val="none"/>
        </w:rPr>
        <w:fldChar w:fldCharType="begin"/>
      </w:r>
      <w:r>
        <w:rPr>
          <w:rFonts w:hint="eastAsia" w:ascii="黑体" w:hAnsi="黑体" w:eastAsia="黑体" w:cs="黑体"/>
          <w:b/>
          <w:bCs/>
          <w:color w:val="auto"/>
          <w:sz w:val="28"/>
          <w:szCs w:val="28"/>
          <w:highlight w:val="none"/>
        </w:rPr>
        <w:instrText xml:space="preserve"> PAGEREF _Toc16410 \h </w:instrText>
      </w:r>
      <w:r>
        <w:rPr>
          <w:rFonts w:hint="eastAsia" w:ascii="黑体" w:hAnsi="黑体" w:eastAsia="黑体" w:cs="黑体"/>
          <w:b/>
          <w:bCs/>
          <w:color w:val="auto"/>
          <w:sz w:val="28"/>
          <w:szCs w:val="28"/>
          <w:highlight w:val="none"/>
        </w:rPr>
        <w:fldChar w:fldCharType="separate"/>
      </w:r>
      <w:r>
        <w:rPr>
          <w:rFonts w:hint="eastAsia" w:ascii="黑体" w:hAnsi="黑体" w:eastAsia="黑体" w:cs="黑体"/>
          <w:b/>
          <w:bCs/>
          <w:color w:val="auto"/>
          <w:sz w:val="28"/>
          <w:szCs w:val="28"/>
          <w:highlight w:val="none"/>
        </w:rPr>
        <w:t>64</w:t>
      </w:r>
      <w:r>
        <w:rPr>
          <w:rFonts w:hint="eastAsia" w:ascii="黑体" w:hAnsi="黑体" w:eastAsia="黑体" w:cs="黑体"/>
          <w:b/>
          <w:bCs/>
          <w:color w:val="auto"/>
          <w:sz w:val="28"/>
          <w:szCs w:val="28"/>
          <w:highlight w:val="none"/>
        </w:rPr>
        <w:fldChar w:fldCharType="end"/>
      </w:r>
      <w:r>
        <w:rPr>
          <w:rFonts w:hint="eastAsia" w:ascii="黑体" w:hAnsi="黑体" w:eastAsia="黑体" w:cs="黑体"/>
          <w:b/>
          <w:bCs/>
          <w:color w:val="auto"/>
          <w:sz w:val="28"/>
          <w:szCs w:val="28"/>
          <w:highlight w:val="none"/>
        </w:rPr>
        <w:fldChar w:fldCharType="end"/>
      </w:r>
    </w:p>
    <w:p w14:paraId="0B86B6B0">
      <w:pPr>
        <w:pStyle w:val="27"/>
        <w:tabs>
          <w:tab w:val="right" w:leader="dot" w:pos="8844"/>
        </w:tabs>
        <w:spacing w:line="720" w:lineRule="auto"/>
        <w:ind w:firstLine="0" w:firstLineChars="0"/>
        <w:rPr>
          <w:rFonts w:ascii="黑体" w:hAnsi="黑体" w:eastAsia="黑体" w:cs="黑体"/>
          <w:b/>
          <w:bCs/>
          <w:color w:val="auto"/>
          <w:sz w:val="28"/>
          <w:szCs w:val="28"/>
          <w:highlight w:val="none"/>
        </w:rPr>
      </w:pPr>
      <w:r>
        <w:rPr>
          <w:color w:val="auto"/>
          <w:highlight w:val="none"/>
        </w:rPr>
        <w:fldChar w:fldCharType="begin"/>
      </w:r>
      <w:r>
        <w:rPr>
          <w:color w:val="auto"/>
          <w:highlight w:val="none"/>
        </w:rPr>
        <w:instrText xml:space="preserve"> HYPERLINK \l "_Toc27718" </w:instrText>
      </w:r>
      <w:r>
        <w:rPr>
          <w:color w:val="auto"/>
          <w:highlight w:val="none"/>
        </w:rPr>
        <w:fldChar w:fldCharType="separate"/>
      </w:r>
      <w:r>
        <w:rPr>
          <w:rFonts w:hint="eastAsia" w:ascii="黑体" w:hAnsi="黑体" w:eastAsia="黑体" w:cs="黑体"/>
          <w:b/>
          <w:bCs/>
          <w:color w:val="auto"/>
          <w:sz w:val="28"/>
          <w:szCs w:val="28"/>
          <w:highlight w:val="none"/>
        </w:rPr>
        <w:t>第六章 资格审查</w:t>
      </w:r>
      <w:r>
        <w:rPr>
          <w:rFonts w:hint="eastAsia" w:ascii="黑体" w:hAnsi="黑体" w:eastAsia="黑体" w:cs="黑体"/>
          <w:b/>
          <w:bCs/>
          <w:color w:val="auto"/>
          <w:sz w:val="28"/>
          <w:szCs w:val="28"/>
          <w:highlight w:val="none"/>
        </w:rPr>
        <w:tab/>
      </w:r>
      <w:r>
        <w:rPr>
          <w:rFonts w:hint="eastAsia" w:ascii="黑体" w:hAnsi="黑体" w:eastAsia="黑体" w:cs="黑体"/>
          <w:b/>
          <w:bCs/>
          <w:color w:val="auto"/>
          <w:sz w:val="28"/>
          <w:szCs w:val="28"/>
          <w:highlight w:val="none"/>
        </w:rPr>
        <w:fldChar w:fldCharType="begin"/>
      </w:r>
      <w:r>
        <w:rPr>
          <w:rFonts w:hint="eastAsia" w:ascii="黑体" w:hAnsi="黑体" w:eastAsia="黑体" w:cs="黑体"/>
          <w:b/>
          <w:bCs/>
          <w:color w:val="auto"/>
          <w:sz w:val="28"/>
          <w:szCs w:val="28"/>
          <w:highlight w:val="none"/>
        </w:rPr>
        <w:instrText xml:space="preserve"> PAGEREF _Toc27718 \h </w:instrText>
      </w:r>
      <w:r>
        <w:rPr>
          <w:rFonts w:hint="eastAsia" w:ascii="黑体" w:hAnsi="黑体" w:eastAsia="黑体" w:cs="黑体"/>
          <w:b/>
          <w:bCs/>
          <w:color w:val="auto"/>
          <w:sz w:val="28"/>
          <w:szCs w:val="28"/>
          <w:highlight w:val="none"/>
        </w:rPr>
        <w:fldChar w:fldCharType="separate"/>
      </w:r>
      <w:r>
        <w:rPr>
          <w:rFonts w:hint="eastAsia" w:ascii="黑体" w:hAnsi="黑体" w:eastAsia="黑体" w:cs="黑体"/>
          <w:b/>
          <w:bCs/>
          <w:color w:val="auto"/>
          <w:sz w:val="28"/>
          <w:szCs w:val="28"/>
          <w:highlight w:val="none"/>
        </w:rPr>
        <w:t>76</w:t>
      </w:r>
      <w:r>
        <w:rPr>
          <w:rFonts w:hint="eastAsia" w:ascii="黑体" w:hAnsi="黑体" w:eastAsia="黑体" w:cs="黑体"/>
          <w:b/>
          <w:bCs/>
          <w:color w:val="auto"/>
          <w:sz w:val="28"/>
          <w:szCs w:val="28"/>
          <w:highlight w:val="none"/>
        </w:rPr>
        <w:fldChar w:fldCharType="end"/>
      </w:r>
      <w:r>
        <w:rPr>
          <w:rFonts w:hint="eastAsia" w:ascii="黑体" w:hAnsi="黑体" w:eastAsia="黑体" w:cs="黑体"/>
          <w:b/>
          <w:bCs/>
          <w:color w:val="auto"/>
          <w:sz w:val="28"/>
          <w:szCs w:val="28"/>
          <w:highlight w:val="none"/>
        </w:rPr>
        <w:fldChar w:fldCharType="end"/>
      </w:r>
    </w:p>
    <w:p w14:paraId="6D60EBD5">
      <w:pPr>
        <w:pStyle w:val="27"/>
        <w:tabs>
          <w:tab w:val="right" w:leader="dot" w:pos="8844"/>
        </w:tabs>
        <w:spacing w:line="720" w:lineRule="auto"/>
        <w:ind w:firstLine="0" w:firstLineChars="0"/>
        <w:rPr>
          <w:rFonts w:ascii="黑体" w:hAnsi="黑体" w:eastAsia="黑体" w:cs="黑体"/>
          <w:b/>
          <w:bCs/>
          <w:color w:val="auto"/>
          <w:sz w:val="28"/>
          <w:szCs w:val="28"/>
          <w:highlight w:val="none"/>
        </w:rPr>
      </w:pPr>
      <w:r>
        <w:rPr>
          <w:color w:val="auto"/>
          <w:highlight w:val="none"/>
        </w:rPr>
        <w:fldChar w:fldCharType="begin"/>
      </w:r>
      <w:r>
        <w:rPr>
          <w:color w:val="auto"/>
          <w:highlight w:val="none"/>
        </w:rPr>
        <w:instrText xml:space="preserve"> HYPERLINK \l "_Toc10932" </w:instrText>
      </w:r>
      <w:r>
        <w:rPr>
          <w:color w:val="auto"/>
          <w:highlight w:val="none"/>
        </w:rPr>
        <w:fldChar w:fldCharType="separate"/>
      </w:r>
      <w:r>
        <w:rPr>
          <w:rFonts w:hint="eastAsia" w:ascii="黑体" w:hAnsi="黑体" w:eastAsia="黑体" w:cs="黑体"/>
          <w:b/>
          <w:bCs/>
          <w:color w:val="auto"/>
          <w:sz w:val="28"/>
          <w:szCs w:val="28"/>
          <w:highlight w:val="none"/>
        </w:rPr>
        <w:t>第七章 评标方法</w:t>
      </w:r>
      <w:r>
        <w:rPr>
          <w:rFonts w:hint="eastAsia" w:ascii="黑体" w:hAnsi="黑体" w:eastAsia="黑体" w:cs="黑体"/>
          <w:b/>
          <w:bCs/>
          <w:color w:val="auto"/>
          <w:sz w:val="28"/>
          <w:szCs w:val="28"/>
          <w:highlight w:val="none"/>
        </w:rPr>
        <w:tab/>
      </w:r>
      <w:r>
        <w:rPr>
          <w:rFonts w:hint="eastAsia" w:ascii="黑体" w:hAnsi="黑体" w:eastAsia="黑体" w:cs="黑体"/>
          <w:b/>
          <w:bCs/>
          <w:color w:val="auto"/>
          <w:sz w:val="28"/>
          <w:szCs w:val="28"/>
          <w:highlight w:val="none"/>
        </w:rPr>
        <w:fldChar w:fldCharType="begin"/>
      </w:r>
      <w:r>
        <w:rPr>
          <w:rFonts w:hint="eastAsia" w:ascii="黑体" w:hAnsi="黑体" w:eastAsia="黑体" w:cs="黑体"/>
          <w:b/>
          <w:bCs/>
          <w:color w:val="auto"/>
          <w:sz w:val="28"/>
          <w:szCs w:val="28"/>
          <w:highlight w:val="none"/>
        </w:rPr>
        <w:instrText xml:space="preserve"> PAGEREF _Toc10932 \h </w:instrText>
      </w:r>
      <w:r>
        <w:rPr>
          <w:rFonts w:hint="eastAsia" w:ascii="黑体" w:hAnsi="黑体" w:eastAsia="黑体" w:cs="黑体"/>
          <w:b/>
          <w:bCs/>
          <w:color w:val="auto"/>
          <w:sz w:val="28"/>
          <w:szCs w:val="28"/>
          <w:highlight w:val="none"/>
        </w:rPr>
        <w:fldChar w:fldCharType="separate"/>
      </w:r>
      <w:r>
        <w:rPr>
          <w:rFonts w:hint="eastAsia" w:ascii="黑体" w:hAnsi="黑体" w:eastAsia="黑体" w:cs="黑体"/>
          <w:b/>
          <w:bCs/>
          <w:color w:val="auto"/>
          <w:sz w:val="28"/>
          <w:szCs w:val="28"/>
          <w:highlight w:val="none"/>
        </w:rPr>
        <w:t>77</w:t>
      </w:r>
      <w:r>
        <w:rPr>
          <w:rFonts w:hint="eastAsia" w:ascii="黑体" w:hAnsi="黑体" w:eastAsia="黑体" w:cs="黑体"/>
          <w:b/>
          <w:bCs/>
          <w:color w:val="auto"/>
          <w:sz w:val="28"/>
          <w:szCs w:val="28"/>
          <w:highlight w:val="none"/>
        </w:rPr>
        <w:fldChar w:fldCharType="end"/>
      </w:r>
      <w:r>
        <w:rPr>
          <w:rFonts w:hint="eastAsia" w:ascii="黑体" w:hAnsi="黑体" w:eastAsia="黑体" w:cs="黑体"/>
          <w:b/>
          <w:bCs/>
          <w:color w:val="auto"/>
          <w:sz w:val="28"/>
          <w:szCs w:val="28"/>
          <w:highlight w:val="none"/>
        </w:rPr>
        <w:fldChar w:fldCharType="end"/>
      </w:r>
    </w:p>
    <w:p w14:paraId="2EBA6F93">
      <w:pPr>
        <w:spacing w:line="720" w:lineRule="auto"/>
        <w:ind w:firstLine="562"/>
        <w:rPr>
          <w:color w:val="auto"/>
          <w:highlight w:val="none"/>
        </w:rPr>
      </w:pPr>
      <w:r>
        <w:rPr>
          <w:rFonts w:hint="eastAsia" w:ascii="黑体" w:hAnsi="黑体" w:eastAsia="黑体" w:cs="黑体"/>
          <w:b/>
          <w:bCs/>
          <w:color w:val="auto"/>
          <w:sz w:val="28"/>
          <w:szCs w:val="28"/>
          <w:highlight w:val="none"/>
        </w:rPr>
        <w:fldChar w:fldCharType="end"/>
      </w:r>
      <w:bookmarkEnd w:id="2"/>
    </w:p>
    <w:p w14:paraId="2674D01B">
      <w:pPr>
        <w:ind w:firstLine="0" w:firstLineChars="0"/>
        <w:jc w:val="center"/>
        <w:rPr>
          <w:rFonts w:ascii="Times New Roman" w:hAnsi="Times New Roman" w:cs="Times New Roman"/>
          <w:color w:val="auto"/>
          <w:sz w:val="36"/>
          <w:szCs w:val="36"/>
          <w:highlight w:val="none"/>
        </w:rPr>
      </w:pPr>
    </w:p>
    <w:p w14:paraId="70F31FEA">
      <w:pPr>
        <w:ind w:firstLine="420"/>
        <w:rPr>
          <w:color w:val="auto"/>
          <w:highlight w:val="none"/>
        </w:rPr>
        <w:sectPr>
          <w:headerReference r:id="rId12" w:type="first"/>
          <w:footerReference r:id="rId14" w:type="first"/>
          <w:headerReference r:id="rId11" w:type="default"/>
          <w:footerReference r:id="rId13" w:type="default"/>
          <w:pgSz w:w="11906" w:h="16838"/>
          <w:pgMar w:top="1417" w:right="1531" w:bottom="1418" w:left="1417" w:header="964" w:footer="1134" w:gutter="0"/>
          <w:pgNumType w:fmt="upperRoman" w:start="1"/>
          <w:cols w:space="425" w:num="1"/>
          <w:titlePg/>
          <w:docGrid w:type="lines" w:linePitch="312" w:charSpace="0"/>
        </w:sectPr>
      </w:pPr>
    </w:p>
    <w:p w14:paraId="1A14E15D">
      <w:pPr>
        <w:pStyle w:val="2"/>
        <w:spacing w:beforeLines="0"/>
        <w:rPr>
          <w:rFonts w:ascii="Times New Roman" w:hAnsi="Times New Roman" w:cs="Times New Roman"/>
          <w:color w:val="auto"/>
          <w:szCs w:val="20"/>
          <w:highlight w:val="none"/>
        </w:rPr>
      </w:pPr>
      <w:bookmarkStart w:id="5" w:name="_Toc207"/>
      <w:bookmarkStart w:id="6" w:name="_Toc38338258"/>
      <w:r>
        <w:rPr>
          <w:rFonts w:ascii="Times New Roman" w:hAnsi="Times New Roman" w:cs="Times New Roman"/>
          <w:color w:val="auto"/>
          <w:highlight w:val="none"/>
        </w:rPr>
        <w:t>第一章 招标公告</w:t>
      </w:r>
      <w:bookmarkEnd w:id="5"/>
      <w:bookmarkEnd w:id="6"/>
    </w:p>
    <w:p w14:paraId="286A2D32">
      <w:pPr>
        <w:pBdr>
          <w:top w:val="single" w:color="auto" w:sz="4" w:space="1"/>
          <w:left w:val="single" w:color="auto" w:sz="4" w:space="4"/>
          <w:bottom w:val="single" w:color="auto" w:sz="4" w:space="1"/>
          <w:right w:val="single" w:color="auto" w:sz="4" w:space="0"/>
        </w:pBdr>
        <w:spacing w:beforeLines="50"/>
        <w:ind w:firstLine="0" w:firstLineChars="0"/>
        <w:jc w:val="center"/>
        <w:rPr>
          <w:rFonts w:ascii="Times New Roman" w:hAnsi="Times New Roman" w:eastAsia="黑体" w:cs="Times New Roman"/>
          <w:b/>
          <w:bCs/>
          <w:color w:val="auto"/>
          <w:sz w:val="28"/>
          <w:szCs w:val="32"/>
          <w:highlight w:val="none"/>
        </w:rPr>
      </w:pPr>
      <w:r>
        <w:rPr>
          <w:rFonts w:ascii="Times New Roman" w:hAnsi="Times New Roman" w:eastAsia="黑体" w:cs="Times New Roman"/>
          <w:b/>
          <w:bCs/>
          <w:color w:val="auto"/>
          <w:sz w:val="28"/>
          <w:szCs w:val="32"/>
          <w:highlight w:val="none"/>
        </w:rPr>
        <w:t>项目概况</w:t>
      </w:r>
    </w:p>
    <w:p w14:paraId="06AFA71E">
      <w:pPr>
        <w:pBdr>
          <w:top w:val="single" w:color="auto" w:sz="4" w:space="1"/>
          <w:left w:val="single" w:color="auto" w:sz="4" w:space="4"/>
          <w:bottom w:val="single" w:color="auto" w:sz="4" w:space="1"/>
          <w:right w:val="single" w:color="auto" w:sz="4" w:space="0"/>
        </w:pBdr>
        <w:ind w:firstLine="420"/>
        <w:rPr>
          <w:rFonts w:ascii="宋体" w:hAnsi="宋体" w:cs="宋体"/>
          <w:color w:val="auto"/>
          <w:szCs w:val="21"/>
          <w:highlight w:val="none"/>
        </w:rPr>
      </w:pPr>
      <w:r>
        <w:rPr>
          <w:rFonts w:hint="eastAsia" w:ascii="宋体" w:hAnsi="宋体" w:cs="宋体"/>
          <w:color w:val="auto"/>
          <w:szCs w:val="21"/>
          <w:highlight w:val="none"/>
          <w:u w:val="single"/>
        </w:rPr>
        <w:t>昆明市盘龙区滇源街道中心卫生院重点中心乡镇卫生院提质建设项目医疗设备采购</w:t>
      </w:r>
      <w:r>
        <w:rPr>
          <w:rFonts w:hint="eastAsia" w:ascii="宋体" w:hAnsi="宋体" w:cs="宋体"/>
          <w:color w:val="auto"/>
          <w:szCs w:val="21"/>
          <w:highlight w:val="none"/>
        </w:rPr>
        <w:t>的潜在投标人应在</w:t>
      </w:r>
      <w:r>
        <w:rPr>
          <w:rFonts w:hint="eastAsia" w:ascii="宋体" w:hAnsi="宋体" w:cs="宋体"/>
          <w:color w:val="auto"/>
          <w:szCs w:val="21"/>
          <w:highlight w:val="none"/>
          <w:u w:val="single"/>
        </w:rPr>
        <w:t>政府采购云平台（</w:t>
      </w:r>
      <w:bookmarkStart w:id="7" w:name="OLE_LINK385"/>
      <w:r>
        <w:rPr>
          <w:rFonts w:hint="eastAsia" w:ascii="宋体" w:hAnsi="宋体" w:cs="宋体"/>
          <w:color w:val="auto"/>
          <w:szCs w:val="21"/>
          <w:highlight w:val="none"/>
          <w:u w:val="single"/>
        </w:rPr>
        <w:t>https://www.zcygov.cn/</w:t>
      </w:r>
      <w:bookmarkEnd w:id="7"/>
      <w:r>
        <w:rPr>
          <w:rFonts w:hint="eastAsia" w:ascii="宋体" w:hAnsi="宋体" w:cs="宋体"/>
          <w:color w:val="auto"/>
          <w:szCs w:val="21"/>
          <w:highlight w:val="none"/>
          <w:u w:val="single"/>
        </w:rPr>
        <w:t>）</w:t>
      </w:r>
      <w:r>
        <w:rPr>
          <w:rFonts w:hint="eastAsia" w:ascii="宋体" w:hAnsi="宋体" w:cs="宋体"/>
          <w:color w:val="auto"/>
          <w:szCs w:val="21"/>
          <w:highlight w:val="none"/>
        </w:rPr>
        <w:t>获取招标文件，并于</w:t>
      </w:r>
      <w:r>
        <w:rPr>
          <w:rFonts w:hint="eastAsia" w:ascii="宋体" w:hAnsi="宋体" w:cs="宋体"/>
          <w:color w:val="auto"/>
          <w:szCs w:val="21"/>
          <w:highlight w:val="none"/>
          <w:u w:val="single"/>
        </w:rPr>
        <w:t>2026年</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点</w:t>
      </w:r>
      <w:r>
        <w:rPr>
          <w:rFonts w:hint="eastAsia" w:ascii="宋体" w:hAnsi="宋体" w:cs="宋体"/>
          <w:color w:val="auto"/>
          <w:szCs w:val="21"/>
          <w:highlight w:val="none"/>
          <w:u w:val="single"/>
          <w:lang w:val="en-US" w:eastAsia="zh-CN"/>
        </w:rPr>
        <w:t>00</w:t>
      </w:r>
      <w:r>
        <w:rPr>
          <w:rFonts w:hint="eastAsia" w:ascii="宋体" w:hAnsi="宋体" w:cs="宋体"/>
          <w:color w:val="auto"/>
          <w:szCs w:val="21"/>
          <w:highlight w:val="none"/>
          <w:u w:val="single"/>
        </w:rPr>
        <w:t>分</w:t>
      </w:r>
      <w:r>
        <w:rPr>
          <w:rFonts w:hint="eastAsia" w:ascii="宋体" w:hAnsi="宋体" w:cs="宋体"/>
          <w:color w:val="auto"/>
          <w:szCs w:val="21"/>
          <w:highlight w:val="none"/>
        </w:rPr>
        <w:t>（北京时间）前递交</w:t>
      </w:r>
      <w:r>
        <w:rPr>
          <w:rFonts w:hint="eastAsia" w:ascii="宋体" w:hAnsi="宋体" w:cs="宋体"/>
          <w:bCs/>
          <w:color w:val="auto"/>
          <w:szCs w:val="21"/>
          <w:highlight w:val="none"/>
        </w:rPr>
        <w:t>投标文件</w:t>
      </w:r>
      <w:r>
        <w:rPr>
          <w:rFonts w:hint="eastAsia" w:ascii="宋体" w:hAnsi="宋体" w:cs="宋体"/>
          <w:color w:val="auto"/>
          <w:szCs w:val="21"/>
          <w:highlight w:val="none"/>
        </w:rPr>
        <w:t>。</w:t>
      </w:r>
    </w:p>
    <w:p w14:paraId="23F075FA">
      <w:pPr>
        <w:pStyle w:val="3"/>
        <w:spacing w:beforeLines="0"/>
        <w:rPr>
          <w:rFonts w:ascii="Times New Roman" w:hAnsi="Times New Roman" w:cs="Times New Roman"/>
          <w:color w:val="auto"/>
          <w:highlight w:val="none"/>
        </w:rPr>
      </w:pPr>
      <w:bookmarkStart w:id="8" w:name="_Toc9609"/>
      <w:bookmarkStart w:id="9" w:name="_Toc4832"/>
      <w:bookmarkStart w:id="10" w:name="_Toc28359079"/>
      <w:bookmarkStart w:id="11" w:name="_Toc28359002"/>
      <w:bookmarkStart w:id="12" w:name="_Toc17725"/>
      <w:bookmarkStart w:id="13" w:name="_Toc22449"/>
      <w:bookmarkStart w:id="14" w:name="_Toc35393790"/>
      <w:bookmarkStart w:id="15" w:name="_Toc35393621"/>
      <w:bookmarkStart w:id="16" w:name="_Toc12729"/>
      <w:bookmarkStart w:id="17" w:name="_Hlk24379207"/>
      <w:bookmarkStart w:id="18" w:name="OLE_LINK287"/>
      <w:r>
        <w:rPr>
          <w:rFonts w:ascii="Times New Roman" w:hAnsi="Times New Roman" w:cs="Times New Roman"/>
          <w:color w:val="auto"/>
          <w:highlight w:val="none"/>
        </w:rPr>
        <w:t>一、项目基本情况</w:t>
      </w:r>
      <w:bookmarkEnd w:id="8"/>
      <w:bookmarkEnd w:id="9"/>
      <w:bookmarkEnd w:id="10"/>
      <w:bookmarkEnd w:id="11"/>
      <w:bookmarkEnd w:id="12"/>
      <w:bookmarkEnd w:id="13"/>
      <w:bookmarkEnd w:id="14"/>
      <w:bookmarkEnd w:id="15"/>
      <w:bookmarkEnd w:id="16"/>
    </w:p>
    <w:p w14:paraId="56DAB345">
      <w:pPr>
        <w:ind w:firstLine="422"/>
        <w:rPr>
          <w:rFonts w:hint="eastAsia" w:ascii="宋体" w:hAnsi="宋体" w:eastAsia="宋体" w:cs="宋体"/>
          <w:color w:val="auto"/>
          <w:szCs w:val="21"/>
          <w:highlight w:val="none"/>
          <w:lang w:eastAsia="zh-CN"/>
        </w:rPr>
      </w:pPr>
      <w:r>
        <w:rPr>
          <w:rFonts w:hint="eastAsia" w:ascii="宋体" w:hAnsi="宋体" w:cs="宋体"/>
          <w:b/>
          <w:bCs/>
          <w:color w:val="auto"/>
          <w:szCs w:val="21"/>
          <w:highlight w:val="none"/>
        </w:rPr>
        <w:t>1</w:t>
      </w:r>
      <w:r>
        <w:rPr>
          <w:rFonts w:ascii="宋体" w:hAnsi="宋体" w:cs="宋体"/>
          <w:b/>
          <w:bCs/>
          <w:color w:val="auto"/>
          <w:szCs w:val="21"/>
          <w:highlight w:val="none"/>
        </w:rPr>
        <w:t>.</w:t>
      </w:r>
      <w:r>
        <w:rPr>
          <w:rFonts w:hint="eastAsia" w:ascii="宋体" w:hAnsi="宋体" w:cs="宋体"/>
          <w:b/>
          <w:bCs/>
          <w:color w:val="auto"/>
          <w:szCs w:val="21"/>
          <w:highlight w:val="none"/>
        </w:rPr>
        <w:t>项目编号：</w:t>
      </w:r>
      <w:r>
        <w:rPr>
          <w:rFonts w:hint="eastAsia" w:ascii="宋体" w:hAnsi="宋体" w:cs="宋体"/>
          <w:color w:val="auto"/>
          <w:szCs w:val="21"/>
          <w:highlight w:val="none"/>
          <w:lang w:eastAsia="zh-CN"/>
        </w:rPr>
        <w:t>KMZC2026-G1-00747-YNZZ-0192</w:t>
      </w:r>
    </w:p>
    <w:p w14:paraId="63265C33">
      <w:pPr>
        <w:ind w:firstLine="422"/>
        <w:rPr>
          <w:rFonts w:ascii="宋体" w:hAnsi="宋体" w:cs="宋体"/>
          <w:color w:val="auto"/>
          <w:szCs w:val="21"/>
          <w:highlight w:val="none"/>
        </w:rPr>
      </w:pPr>
      <w:r>
        <w:rPr>
          <w:rFonts w:hint="eastAsia" w:ascii="宋体" w:hAnsi="宋体" w:cs="宋体"/>
          <w:b/>
          <w:bCs/>
          <w:color w:val="auto"/>
          <w:szCs w:val="21"/>
          <w:highlight w:val="none"/>
        </w:rPr>
        <w:t>2.项目名称：</w:t>
      </w:r>
      <w:bookmarkEnd w:id="17"/>
      <w:r>
        <w:rPr>
          <w:rFonts w:hint="eastAsia" w:ascii="宋体" w:hAnsi="宋体" w:cs="宋体"/>
          <w:color w:val="auto"/>
          <w:szCs w:val="21"/>
          <w:highlight w:val="none"/>
        </w:rPr>
        <w:t>昆明市盘龙区滇源街道中心卫生院重点中心乡镇卫生院提质建设项目医疗设备采购</w:t>
      </w:r>
    </w:p>
    <w:p w14:paraId="0BA1BA72">
      <w:pPr>
        <w:ind w:firstLine="422"/>
        <w:rPr>
          <w:rFonts w:ascii="宋体" w:hAnsi="宋体" w:cs="宋体"/>
          <w:color w:val="auto"/>
          <w:szCs w:val="21"/>
          <w:highlight w:val="none"/>
        </w:rPr>
      </w:pPr>
      <w:r>
        <w:rPr>
          <w:rFonts w:hint="eastAsia" w:ascii="宋体" w:hAnsi="宋体" w:cs="宋体"/>
          <w:b/>
          <w:bCs/>
          <w:color w:val="auto"/>
          <w:szCs w:val="21"/>
          <w:highlight w:val="none"/>
        </w:rPr>
        <w:t>3</w:t>
      </w:r>
      <w:r>
        <w:rPr>
          <w:rFonts w:ascii="宋体" w:hAnsi="宋体" w:cs="宋体"/>
          <w:b/>
          <w:bCs/>
          <w:color w:val="auto"/>
          <w:szCs w:val="21"/>
          <w:highlight w:val="none"/>
        </w:rPr>
        <w:t>.</w:t>
      </w:r>
      <w:r>
        <w:rPr>
          <w:rFonts w:hint="eastAsia" w:ascii="宋体" w:hAnsi="宋体" w:cs="宋体"/>
          <w:b/>
          <w:bCs/>
          <w:color w:val="auto"/>
          <w:szCs w:val="21"/>
          <w:highlight w:val="none"/>
        </w:rPr>
        <w:t>预算金额：</w:t>
      </w:r>
      <w:r>
        <w:rPr>
          <w:rFonts w:hint="eastAsia" w:ascii="宋体" w:hAnsi="宋体" w:cs="宋体"/>
          <w:color w:val="auto"/>
          <w:szCs w:val="21"/>
          <w:highlight w:val="none"/>
        </w:rPr>
        <w:t>2295000.00元；</w:t>
      </w:r>
    </w:p>
    <w:p w14:paraId="7D354B81">
      <w:pPr>
        <w:ind w:firstLine="422"/>
        <w:rPr>
          <w:rFonts w:ascii="宋体" w:hAnsi="宋体" w:cs="宋体"/>
          <w:color w:val="auto"/>
          <w:szCs w:val="21"/>
          <w:highlight w:val="none"/>
        </w:rPr>
      </w:pPr>
      <w:r>
        <w:rPr>
          <w:rFonts w:hint="eastAsia" w:ascii="宋体" w:hAnsi="宋体" w:cs="宋体"/>
          <w:b/>
          <w:bCs/>
          <w:color w:val="auto"/>
          <w:szCs w:val="21"/>
          <w:highlight w:val="none"/>
        </w:rPr>
        <w:t>4</w:t>
      </w:r>
      <w:r>
        <w:rPr>
          <w:rFonts w:ascii="宋体" w:hAnsi="宋体" w:cs="宋体"/>
          <w:b/>
          <w:bCs/>
          <w:color w:val="auto"/>
          <w:szCs w:val="21"/>
          <w:highlight w:val="none"/>
        </w:rPr>
        <w:t>.</w:t>
      </w:r>
      <w:r>
        <w:rPr>
          <w:rFonts w:hint="eastAsia" w:ascii="宋体" w:hAnsi="宋体" w:cs="宋体"/>
          <w:b/>
          <w:bCs/>
          <w:color w:val="auto"/>
          <w:szCs w:val="21"/>
          <w:highlight w:val="none"/>
        </w:rPr>
        <w:t>最高限价：</w:t>
      </w:r>
      <w:r>
        <w:rPr>
          <w:rFonts w:hint="eastAsia" w:ascii="宋体" w:hAnsi="宋体" w:cs="宋体"/>
          <w:color w:val="auto"/>
          <w:szCs w:val="21"/>
          <w:highlight w:val="none"/>
        </w:rPr>
        <w:t>2295000.00元；</w:t>
      </w:r>
    </w:p>
    <w:p w14:paraId="3879F901">
      <w:pPr>
        <w:ind w:firstLine="422"/>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w:t>
      </w:r>
      <w:r>
        <w:rPr>
          <w:rFonts w:hint="eastAsia" w:ascii="宋体" w:hAnsi="宋体" w:cs="宋体"/>
          <w:b/>
          <w:bCs/>
          <w:color w:val="auto"/>
          <w:szCs w:val="21"/>
          <w:highlight w:val="none"/>
        </w:rPr>
        <w:t>采购需求：</w:t>
      </w:r>
    </w:p>
    <w:tbl>
      <w:tblPr>
        <w:tblStyle w:val="35"/>
        <w:tblW w:w="9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439"/>
        <w:gridCol w:w="2562"/>
        <w:gridCol w:w="488"/>
        <w:gridCol w:w="712"/>
        <w:gridCol w:w="1288"/>
        <w:gridCol w:w="1087"/>
        <w:gridCol w:w="1138"/>
        <w:gridCol w:w="1326"/>
      </w:tblGrid>
      <w:tr w14:paraId="0D715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noWrap/>
            <w:vAlign w:val="center"/>
          </w:tcPr>
          <w:p w14:paraId="7510AAD8">
            <w:pPr>
              <w:widowControl/>
              <w:spacing w:line="400" w:lineRule="exact"/>
              <w:ind w:firstLine="0" w:firstLineChars="0"/>
              <w:jc w:val="center"/>
              <w:textAlignment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标段</w:t>
            </w:r>
          </w:p>
        </w:tc>
        <w:tc>
          <w:tcPr>
            <w:tcW w:w="439" w:type="dxa"/>
            <w:noWrap/>
            <w:vAlign w:val="center"/>
          </w:tcPr>
          <w:p w14:paraId="2352B62D">
            <w:pPr>
              <w:widowControl/>
              <w:spacing w:line="400" w:lineRule="exact"/>
              <w:ind w:firstLine="0" w:firstLineChars="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color w:val="auto"/>
                <w:kern w:val="0"/>
                <w:sz w:val="21"/>
                <w:szCs w:val="21"/>
                <w:highlight w:val="none"/>
              </w:rPr>
              <w:t>序号</w:t>
            </w:r>
          </w:p>
        </w:tc>
        <w:tc>
          <w:tcPr>
            <w:tcW w:w="2562" w:type="dxa"/>
            <w:noWrap/>
            <w:vAlign w:val="center"/>
          </w:tcPr>
          <w:p w14:paraId="20023258">
            <w:pPr>
              <w:widowControl/>
              <w:ind w:firstLine="0" w:firstLineChars="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产品（项目）名称</w:t>
            </w:r>
          </w:p>
        </w:tc>
        <w:tc>
          <w:tcPr>
            <w:tcW w:w="488" w:type="dxa"/>
            <w:noWrap/>
            <w:vAlign w:val="center"/>
          </w:tcPr>
          <w:p w14:paraId="48DF1FAD">
            <w:pPr>
              <w:widowControl/>
              <w:ind w:firstLine="0" w:firstLineChars="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数量</w:t>
            </w:r>
          </w:p>
        </w:tc>
        <w:tc>
          <w:tcPr>
            <w:tcW w:w="712" w:type="dxa"/>
            <w:noWrap/>
            <w:vAlign w:val="center"/>
          </w:tcPr>
          <w:p w14:paraId="2FB72FED">
            <w:pPr>
              <w:widowControl/>
              <w:ind w:firstLine="0" w:firstLineChars="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单位</w:t>
            </w:r>
          </w:p>
        </w:tc>
        <w:tc>
          <w:tcPr>
            <w:tcW w:w="1288" w:type="dxa"/>
            <w:noWrap/>
            <w:vAlign w:val="center"/>
          </w:tcPr>
          <w:p w14:paraId="29020D62">
            <w:pPr>
              <w:widowControl/>
              <w:ind w:firstLine="0" w:firstLineChars="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是否接受进口产品</w:t>
            </w:r>
          </w:p>
        </w:tc>
        <w:tc>
          <w:tcPr>
            <w:tcW w:w="1087" w:type="dxa"/>
            <w:noWrap/>
            <w:vAlign w:val="center"/>
          </w:tcPr>
          <w:p w14:paraId="555415ED">
            <w:pPr>
              <w:widowControl/>
              <w:ind w:firstLine="0" w:firstLineChars="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是否为核心产品</w:t>
            </w:r>
          </w:p>
        </w:tc>
        <w:tc>
          <w:tcPr>
            <w:tcW w:w="1138" w:type="dxa"/>
            <w:noWrap/>
            <w:vAlign w:val="center"/>
          </w:tcPr>
          <w:p w14:paraId="027207FB">
            <w:pPr>
              <w:widowControl/>
              <w:ind w:firstLine="0" w:firstLineChars="0"/>
              <w:jc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bCs/>
                <w:color w:val="auto"/>
                <w:kern w:val="0"/>
                <w:sz w:val="21"/>
                <w:szCs w:val="21"/>
                <w:highlight w:val="none"/>
              </w:rPr>
              <w:t>单价限价（万元）</w:t>
            </w:r>
          </w:p>
        </w:tc>
        <w:tc>
          <w:tcPr>
            <w:tcW w:w="1326" w:type="dxa"/>
            <w:noWrap/>
            <w:vAlign w:val="center"/>
          </w:tcPr>
          <w:p w14:paraId="0813AAC8">
            <w:pPr>
              <w:widowControl/>
              <w:ind w:firstLine="0" w:firstLineChars="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简要技术（服务）需求</w:t>
            </w:r>
          </w:p>
        </w:tc>
      </w:tr>
      <w:tr w14:paraId="5F0C2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568" w:type="dxa"/>
            <w:vMerge w:val="restart"/>
            <w:noWrap/>
            <w:vAlign w:val="center"/>
          </w:tcPr>
          <w:p w14:paraId="1411DF4C">
            <w:pPr>
              <w:widowControl/>
              <w:spacing w:line="40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39" w:type="dxa"/>
            <w:noWrap/>
            <w:vAlign w:val="center"/>
          </w:tcPr>
          <w:p w14:paraId="7D0D93BE">
            <w:pPr>
              <w:widowControl/>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2562" w:type="dxa"/>
            <w:noWrap/>
            <w:vAlign w:val="center"/>
          </w:tcPr>
          <w:p w14:paraId="3E6530F8">
            <w:pPr>
              <w:widowControl/>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X射线计算机断层摄影设备（CT）</w:t>
            </w:r>
          </w:p>
        </w:tc>
        <w:tc>
          <w:tcPr>
            <w:tcW w:w="488" w:type="dxa"/>
            <w:noWrap/>
            <w:vAlign w:val="center"/>
          </w:tcPr>
          <w:p w14:paraId="1E6A7D26">
            <w:pPr>
              <w:widowControl/>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712" w:type="dxa"/>
            <w:noWrap/>
            <w:vAlign w:val="center"/>
          </w:tcPr>
          <w:p w14:paraId="5DEB9AB5">
            <w:pPr>
              <w:widowControl/>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1288" w:type="dxa"/>
            <w:noWrap/>
            <w:vAlign w:val="center"/>
          </w:tcPr>
          <w:p w14:paraId="0470CD73">
            <w:pPr>
              <w:widowControl/>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否</w:t>
            </w:r>
          </w:p>
        </w:tc>
        <w:tc>
          <w:tcPr>
            <w:tcW w:w="1087" w:type="dxa"/>
            <w:noWrap/>
            <w:vAlign w:val="center"/>
          </w:tcPr>
          <w:p w14:paraId="28D995EE">
            <w:pPr>
              <w:widowControl/>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是</w:t>
            </w:r>
          </w:p>
        </w:tc>
        <w:tc>
          <w:tcPr>
            <w:tcW w:w="1138" w:type="dxa"/>
            <w:noWrap/>
            <w:vAlign w:val="center"/>
          </w:tcPr>
          <w:p w14:paraId="68DA9D25">
            <w:pPr>
              <w:widowControl/>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218.00 </w:t>
            </w:r>
          </w:p>
        </w:tc>
        <w:tc>
          <w:tcPr>
            <w:tcW w:w="1326" w:type="dxa"/>
            <w:vMerge w:val="restart"/>
            <w:noWrap/>
            <w:vAlign w:val="center"/>
          </w:tcPr>
          <w:p w14:paraId="481C636C">
            <w:pPr>
              <w:widowControl/>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本项目采购1批医疗设备，用于昆明市盘龙区滇源街道中心卫生院重点中心乡镇卫生院提质建设。</w:t>
            </w:r>
          </w:p>
        </w:tc>
      </w:tr>
      <w:tr w14:paraId="70430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568" w:type="dxa"/>
            <w:vMerge w:val="continue"/>
            <w:noWrap/>
            <w:vAlign w:val="center"/>
          </w:tcPr>
          <w:p w14:paraId="3AA53AB3">
            <w:pPr>
              <w:widowControl/>
              <w:spacing w:line="400" w:lineRule="exact"/>
              <w:ind w:firstLine="0" w:firstLineChars="0"/>
              <w:jc w:val="center"/>
              <w:textAlignment w:val="center"/>
              <w:rPr>
                <w:rFonts w:hint="eastAsia" w:ascii="宋体" w:hAnsi="宋体" w:eastAsia="宋体" w:cs="宋体"/>
                <w:color w:val="auto"/>
                <w:sz w:val="21"/>
                <w:szCs w:val="21"/>
                <w:highlight w:val="none"/>
              </w:rPr>
            </w:pPr>
          </w:p>
        </w:tc>
        <w:tc>
          <w:tcPr>
            <w:tcW w:w="439" w:type="dxa"/>
            <w:noWrap/>
            <w:vAlign w:val="center"/>
          </w:tcPr>
          <w:p w14:paraId="78C9F1D5">
            <w:pPr>
              <w:widowControl/>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2562" w:type="dxa"/>
            <w:noWrap/>
            <w:vAlign w:val="center"/>
          </w:tcPr>
          <w:p w14:paraId="17C6582B">
            <w:pPr>
              <w:widowControl/>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血凝仪</w:t>
            </w:r>
          </w:p>
        </w:tc>
        <w:tc>
          <w:tcPr>
            <w:tcW w:w="488" w:type="dxa"/>
            <w:noWrap/>
            <w:vAlign w:val="center"/>
          </w:tcPr>
          <w:p w14:paraId="305D7596">
            <w:pPr>
              <w:widowControl/>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712" w:type="dxa"/>
            <w:noWrap/>
            <w:vAlign w:val="center"/>
          </w:tcPr>
          <w:p w14:paraId="2FEC0B3D">
            <w:pPr>
              <w:widowControl/>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1288" w:type="dxa"/>
            <w:noWrap/>
            <w:vAlign w:val="center"/>
          </w:tcPr>
          <w:p w14:paraId="24EEE9A7">
            <w:pPr>
              <w:widowControl/>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否</w:t>
            </w:r>
          </w:p>
        </w:tc>
        <w:tc>
          <w:tcPr>
            <w:tcW w:w="1087" w:type="dxa"/>
            <w:noWrap/>
            <w:vAlign w:val="center"/>
          </w:tcPr>
          <w:p w14:paraId="1E80B50F">
            <w:pPr>
              <w:widowControl/>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否</w:t>
            </w:r>
          </w:p>
        </w:tc>
        <w:tc>
          <w:tcPr>
            <w:tcW w:w="1138" w:type="dxa"/>
            <w:noWrap/>
            <w:vAlign w:val="center"/>
          </w:tcPr>
          <w:p w14:paraId="339C7DC1">
            <w:pPr>
              <w:widowControl/>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3.70 </w:t>
            </w:r>
          </w:p>
        </w:tc>
        <w:tc>
          <w:tcPr>
            <w:tcW w:w="1326" w:type="dxa"/>
            <w:vMerge w:val="continue"/>
            <w:noWrap/>
            <w:vAlign w:val="center"/>
          </w:tcPr>
          <w:p w14:paraId="28F4B3A8">
            <w:pPr>
              <w:widowControl/>
              <w:ind w:firstLine="0" w:firstLineChars="0"/>
              <w:jc w:val="center"/>
              <w:textAlignment w:val="center"/>
              <w:rPr>
                <w:rFonts w:hint="eastAsia" w:ascii="宋体" w:hAnsi="宋体" w:eastAsia="宋体" w:cs="宋体"/>
                <w:color w:val="auto"/>
                <w:kern w:val="0"/>
                <w:sz w:val="21"/>
                <w:szCs w:val="21"/>
                <w:highlight w:val="none"/>
              </w:rPr>
            </w:pPr>
          </w:p>
        </w:tc>
      </w:tr>
      <w:tr w14:paraId="34CD1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68" w:type="dxa"/>
            <w:vMerge w:val="continue"/>
            <w:noWrap/>
            <w:vAlign w:val="center"/>
          </w:tcPr>
          <w:p w14:paraId="7E98F9AD">
            <w:pPr>
              <w:widowControl/>
              <w:spacing w:line="400" w:lineRule="exact"/>
              <w:ind w:firstLine="0" w:firstLineChars="0"/>
              <w:jc w:val="center"/>
              <w:textAlignment w:val="center"/>
              <w:rPr>
                <w:rFonts w:hint="eastAsia" w:ascii="宋体" w:hAnsi="宋体" w:eastAsia="宋体" w:cs="宋体"/>
                <w:color w:val="auto"/>
                <w:sz w:val="21"/>
                <w:szCs w:val="21"/>
                <w:highlight w:val="none"/>
              </w:rPr>
            </w:pPr>
          </w:p>
        </w:tc>
        <w:tc>
          <w:tcPr>
            <w:tcW w:w="439" w:type="dxa"/>
            <w:noWrap/>
            <w:vAlign w:val="center"/>
          </w:tcPr>
          <w:p w14:paraId="7FF48DDA">
            <w:pPr>
              <w:widowControl/>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2562" w:type="dxa"/>
            <w:noWrap/>
            <w:vAlign w:val="center"/>
          </w:tcPr>
          <w:p w14:paraId="45BE2A65">
            <w:pPr>
              <w:widowControl/>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婴幼儿医学测听仪（儿科）</w:t>
            </w:r>
          </w:p>
        </w:tc>
        <w:tc>
          <w:tcPr>
            <w:tcW w:w="488" w:type="dxa"/>
            <w:noWrap/>
            <w:vAlign w:val="center"/>
          </w:tcPr>
          <w:p w14:paraId="22552B2D">
            <w:pPr>
              <w:widowControl/>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712" w:type="dxa"/>
            <w:noWrap/>
            <w:vAlign w:val="center"/>
          </w:tcPr>
          <w:p w14:paraId="06E84A28">
            <w:pPr>
              <w:widowControl/>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1288" w:type="dxa"/>
            <w:noWrap/>
            <w:vAlign w:val="center"/>
          </w:tcPr>
          <w:p w14:paraId="45E5A166">
            <w:pPr>
              <w:widowControl/>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否</w:t>
            </w:r>
          </w:p>
        </w:tc>
        <w:tc>
          <w:tcPr>
            <w:tcW w:w="1087" w:type="dxa"/>
            <w:noWrap/>
            <w:vAlign w:val="center"/>
          </w:tcPr>
          <w:p w14:paraId="6531999C">
            <w:pPr>
              <w:widowControl/>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否</w:t>
            </w:r>
          </w:p>
        </w:tc>
        <w:tc>
          <w:tcPr>
            <w:tcW w:w="1138" w:type="dxa"/>
            <w:noWrap/>
            <w:vAlign w:val="center"/>
          </w:tcPr>
          <w:p w14:paraId="3BE8C2C4">
            <w:pPr>
              <w:widowControl/>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0.60 </w:t>
            </w:r>
          </w:p>
        </w:tc>
        <w:tc>
          <w:tcPr>
            <w:tcW w:w="1326" w:type="dxa"/>
            <w:vMerge w:val="continue"/>
            <w:noWrap/>
            <w:vAlign w:val="center"/>
          </w:tcPr>
          <w:p w14:paraId="0319DDB0">
            <w:pPr>
              <w:widowControl/>
              <w:ind w:firstLine="0" w:firstLineChars="0"/>
              <w:jc w:val="center"/>
              <w:textAlignment w:val="center"/>
              <w:rPr>
                <w:rFonts w:hint="eastAsia" w:ascii="宋体" w:hAnsi="宋体" w:eastAsia="宋体" w:cs="宋体"/>
                <w:color w:val="auto"/>
                <w:kern w:val="0"/>
                <w:sz w:val="21"/>
                <w:szCs w:val="21"/>
                <w:highlight w:val="none"/>
              </w:rPr>
            </w:pPr>
          </w:p>
        </w:tc>
      </w:tr>
      <w:tr w14:paraId="11CD1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68" w:type="dxa"/>
            <w:vMerge w:val="continue"/>
            <w:noWrap/>
            <w:vAlign w:val="center"/>
          </w:tcPr>
          <w:p w14:paraId="505C483C">
            <w:pPr>
              <w:widowControl/>
              <w:spacing w:line="400" w:lineRule="exact"/>
              <w:ind w:firstLine="0" w:firstLineChars="0"/>
              <w:jc w:val="center"/>
              <w:textAlignment w:val="center"/>
              <w:rPr>
                <w:rFonts w:hint="eastAsia" w:ascii="宋体" w:hAnsi="宋体" w:eastAsia="宋体" w:cs="宋体"/>
                <w:color w:val="auto"/>
                <w:sz w:val="21"/>
                <w:szCs w:val="21"/>
                <w:highlight w:val="none"/>
              </w:rPr>
            </w:pPr>
          </w:p>
        </w:tc>
        <w:tc>
          <w:tcPr>
            <w:tcW w:w="439" w:type="dxa"/>
            <w:noWrap/>
            <w:vAlign w:val="center"/>
          </w:tcPr>
          <w:p w14:paraId="6E21464C">
            <w:pPr>
              <w:widowControl/>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2562" w:type="dxa"/>
            <w:noWrap/>
            <w:vAlign w:val="center"/>
          </w:tcPr>
          <w:p w14:paraId="3C0FA858">
            <w:pPr>
              <w:widowControl/>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口腔科根测仪（口腔科）</w:t>
            </w:r>
          </w:p>
        </w:tc>
        <w:tc>
          <w:tcPr>
            <w:tcW w:w="488" w:type="dxa"/>
            <w:noWrap/>
            <w:vAlign w:val="center"/>
          </w:tcPr>
          <w:p w14:paraId="015755F5">
            <w:pPr>
              <w:widowControl/>
              <w:ind w:firstLine="0" w:firstLineChars="0"/>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1</w:t>
            </w:r>
          </w:p>
        </w:tc>
        <w:tc>
          <w:tcPr>
            <w:tcW w:w="712" w:type="dxa"/>
            <w:noWrap/>
            <w:vAlign w:val="center"/>
          </w:tcPr>
          <w:p w14:paraId="30115CCB">
            <w:pPr>
              <w:widowControl/>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1288" w:type="dxa"/>
            <w:noWrap/>
            <w:vAlign w:val="center"/>
          </w:tcPr>
          <w:p w14:paraId="114435C5">
            <w:pPr>
              <w:widowControl/>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否</w:t>
            </w:r>
          </w:p>
        </w:tc>
        <w:tc>
          <w:tcPr>
            <w:tcW w:w="1087" w:type="dxa"/>
            <w:noWrap/>
            <w:vAlign w:val="center"/>
          </w:tcPr>
          <w:p w14:paraId="663D07BE">
            <w:pPr>
              <w:widowControl/>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否</w:t>
            </w:r>
          </w:p>
        </w:tc>
        <w:tc>
          <w:tcPr>
            <w:tcW w:w="1138" w:type="dxa"/>
            <w:noWrap/>
            <w:vAlign w:val="center"/>
          </w:tcPr>
          <w:p w14:paraId="3EF796C8">
            <w:pPr>
              <w:widowControl/>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0.20 </w:t>
            </w:r>
          </w:p>
        </w:tc>
        <w:tc>
          <w:tcPr>
            <w:tcW w:w="1326" w:type="dxa"/>
            <w:vMerge w:val="continue"/>
            <w:noWrap/>
            <w:vAlign w:val="center"/>
          </w:tcPr>
          <w:p w14:paraId="2690F15B">
            <w:pPr>
              <w:widowControl/>
              <w:ind w:firstLine="0" w:firstLineChars="0"/>
              <w:jc w:val="center"/>
              <w:textAlignment w:val="center"/>
              <w:rPr>
                <w:rFonts w:hint="eastAsia" w:ascii="宋体" w:hAnsi="宋体" w:eastAsia="宋体" w:cs="宋体"/>
                <w:color w:val="auto"/>
                <w:kern w:val="0"/>
                <w:sz w:val="21"/>
                <w:szCs w:val="21"/>
                <w:highlight w:val="none"/>
              </w:rPr>
            </w:pPr>
          </w:p>
        </w:tc>
      </w:tr>
      <w:tr w14:paraId="22BF7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68" w:type="dxa"/>
            <w:vMerge w:val="continue"/>
            <w:noWrap/>
            <w:vAlign w:val="center"/>
          </w:tcPr>
          <w:p w14:paraId="337C2775">
            <w:pPr>
              <w:widowControl/>
              <w:spacing w:line="400" w:lineRule="exact"/>
              <w:ind w:firstLine="0" w:firstLineChars="0"/>
              <w:jc w:val="center"/>
              <w:textAlignment w:val="center"/>
              <w:rPr>
                <w:rFonts w:hint="eastAsia" w:ascii="宋体" w:hAnsi="宋体" w:eastAsia="宋体" w:cs="宋体"/>
                <w:color w:val="auto"/>
                <w:sz w:val="21"/>
                <w:szCs w:val="21"/>
                <w:highlight w:val="none"/>
              </w:rPr>
            </w:pPr>
          </w:p>
        </w:tc>
        <w:tc>
          <w:tcPr>
            <w:tcW w:w="439" w:type="dxa"/>
            <w:noWrap/>
            <w:vAlign w:val="center"/>
          </w:tcPr>
          <w:p w14:paraId="5D7E39A7">
            <w:pPr>
              <w:widowControl/>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2562" w:type="dxa"/>
            <w:noWrap/>
            <w:vAlign w:val="center"/>
          </w:tcPr>
          <w:p w14:paraId="36C0EACA">
            <w:pPr>
              <w:widowControl/>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呼叫系统（内科）</w:t>
            </w:r>
          </w:p>
        </w:tc>
        <w:tc>
          <w:tcPr>
            <w:tcW w:w="488" w:type="dxa"/>
            <w:noWrap/>
            <w:vAlign w:val="center"/>
          </w:tcPr>
          <w:p w14:paraId="3F742165">
            <w:pPr>
              <w:widowControl/>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712" w:type="dxa"/>
            <w:noWrap/>
            <w:vAlign w:val="center"/>
          </w:tcPr>
          <w:p w14:paraId="2F3EBDC7">
            <w:pPr>
              <w:widowControl/>
              <w:ind w:firstLine="0" w:firstLineChars="0"/>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套</w:t>
            </w:r>
          </w:p>
        </w:tc>
        <w:tc>
          <w:tcPr>
            <w:tcW w:w="1288" w:type="dxa"/>
            <w:noWrap/>
            <w:vAlign w:val="center"/>
          </w:tcPr>
          <w:p w14:paraId="08E39A5C">
            <w:pPr>
              <w:widowControl/>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否</w:t>
            </w:r>
          </w:p>
        </w:tc>
        <w:tc>
          <w:tcPr>
            <w:tcW w:w="1087" w:type="dxa"/>
            <w:noWrap/>
            <w:vAlign w:val="center"/>
          </w:tcPr>
          <w:p w14:paraId="2CB41F6C">
            <w:pPr>
              <w:widowControl/>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否</w:t>
            </w:r>
          </w:p>
        </w:tc>
        <w:tc>
          <w:tcPr>
            <w:tcW w:w="1138" w:type="dxa"/>
            <w:noWrap/>
            <w:vAlign w:val="center"/>
          </w:tcPr>
          <w:p w14:paraId="3F8FDB7D">
            <w:pPr>
              <w:widowControl/>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2.00 </w:t>
            </w:r>
          </w:p>
        </w:tc>
        <w:tc>
          <w:tcPr>
            <w:tcW w:w="1326" w:type="dxa"/>
            <w:vMerge w:val="continue"/>
            <w:noWrap/>
            <w:vAlign w:val="center"/>
          </w:tcPr>
          <w:p w14:paraId="709618CF">
            <w:pPr>
              <w:widowControl/>
              <w:ind w:firstLine="0" w:firstLineChars="0"/>
              <w:jc w:val="center"/>
              <w:textAlignment w:val="center"/>
              <w:rPr>
                <w:rFonts w:hint="eastAsia" w:ascii="宋体" w:hAnsi="宋体" w:eastAsia="宋体" w:cs="宋体"/>
                <w:color w:val="auto"/>
                <w:kern w:val="0"/>
                <w:sz w:val="21"/>
                <w:szCs w:val="21"/>
                <w:highlight w:val="none"/>
              </w:rPr>
            </w:pPr>
          </w:p>
        </w:tc>
      </w:tr>
      <w:tr w14:paraId="6BBB8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68" w:type="dxa"/>
            <w:vMerge w:val="continue"/>
            <w:noWrap/>
            <w:vAlign w:val="center"/>
          </w:tcPr>
          <w:p w14:paraId="0EDC3775">
            <w:pPr>
              <w:widowControl/>
              <w:spacing w:line="400" w:lineRule="exact"/>
              <w:ind w:firstLine="0" w:firstLineChars="0"/>
              <w:jc w:val="center"/>
              <w:textAlignment w:val="center"/>
              <w:rPr>
                <w:rFonts w:hint="eastAsia" w:ascii="宋体" w:hAnsi="宋体" w:eastAsia="宋体" w:cs="宋体"/>
                <w:color w:val="auto"/>
                <w:sz w:val="21"/>
                <w:szCs w:val="21"/>
                <w:highlight w:val="none"/>
              </w:rPr>
            </w:pPr>
          </w:p>
        </w:tc>
        <w:tc>
          <w:tcPr>
            <w:tcW w:w="439" w:type="dxa"/>
            <w:noWrap/>
            <w:vAlign w:val="center"/>
          </w:tcPr>
          <w:p w14:paraId="382EE460">
            <w:pPr>
              <w:widowControl/>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2562" w:type="dxa"/>
            <w:noWrap/>
            <w:vAlign w:val="center"/>
          </w:tcPr>
          <w:p w14:paraId="508D7D20">
            <w:pPr>
              <w:widowControl/>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碳14幽门螺杆菌测试仪（内科）</w:t>
            </w:r>
          </w:p>
        </w:tc>
        <w:tc>
          <w:tcPr>
            <w:tcW w:w="488" w:type="dxa"/>
            <w:noWrap/>
            <w:vAlign w:val="center"/>
          </w:tcPr>
          <w:p w14:paraId="4D694928">
            <w:pPr>
              <w:widowControl/>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712" w:type="dxa"/>
            <w:noWrap/>
            <w:vAlign w:val="center"/>
          </w:tcPr>
          <w:p w14:paraId="64AAA24B">
            <w:pPr>
              <w:widowControl/>
              <w:ind w:firstLine="0" w:firstLineChars="0"/>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台</w:t>
            </w:r>
          </w:p>
        </w:tc>
        <w:tc>
          <w:tcPr>
            <w:tcW w:w="1288" w:type="dxa"/>
            <w:noWrap/>
            <w:vAlign w:val="center"/>
          </w:tcPr>
          <w:p w14:paraId="21288686">
            <w:pPr>
              <w:widowControl/>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否</w:t>
            </w:r>
          </w:p>
        </w:tc>
        <w:tc>
          <w:tcPr>
            <w:tcW w:w="1087" w:type="dxa"/>
            <w:noWrap/>
            <w:vAlign w:val="center"/>
          </w:tcPr>
          <w:p w14:paraId="6F9AF559">
            <w:pPr>
              <w:widowControl/>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否</w:t>
            </w:r>
          </w:p>
        </w:tc>
        <w:tc>
          <w:tcPr>
            <w:tcW w:w="1138" w:type="dxa"/>
            <w:noWrap/>
            <w:vAlign w:val="center"/>
          </w:tcPr>
          <w:p w14:paraId="0C44A0CB">
            <w:pPr>
              <w:widowControl/>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3.20 </w:t>
            </w:r>
          </w:p>
        </w:tc>
        <w:tc>
          <w:tcPr>
            <w:tcW w:w="1326" w:type="dxa"/>
            <w:vMerge w:val="continue"/>
            <w:noWrap/>
            <w:vAlign w:val="center"/>
          </w:tcPr>
          <w:p w14:paraId="249735A3">
            <w:pPr>
              <w:widowControl/>
              <w:ind w:firstLine="0" w:firstLineChars="0"/>
              <w:jc w:val="center"/>
              <w:textAlignment w:val="center"/>
              <w:rPr>
                <w:rFonts w:hint="eastAsia" w:ascii="宋体" w:hAnsi="宋体" w:eastAsia="宋体" w:cs="宋体"/>
                <w:color w:val="auto"/>
                <w:kern w:val="0"/>
                <w:sz w:val="21"/>
                <w:szCs w:val="21"/>
                <w:highlight w:val="none"/>
              </w:rPr>
            </w:pPr>
          </w:p>
        </w:tc>
      </w:tr>
      <w:tr w14:paraId="00EA4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68" w:type="dxa"/>
            <w:vMerge w:val="continue"/>
            <w:noWrap/>
            <w:vAlign w:val="center"/>
          </w:tcPr>
          <w:p w14:paraId="72A72173">
            <w:pPr>
              <w:widowControl/>
              <w:spacing w:line="400" w:lineRule="exact"/>
              <w:ind w:firstLine="0" w:firstLineChars="0"/>
              <w:jc w:val="center"/>
              <w:textAlignment w:val="center"/>
              <w:rPr>
                <w:rFonts w:hint="eastAsia" w:ascii="宋体" w:hAnsi="宋体" w:eastAsia="宋体" w:cs="宋体"/>
                <w:color w:val="auto"/>
                <w:sz w:val="21"/>
                <w:szCs w:val="21"/>
                <w:highlight w:val="none"/>
              </w:rPr>
            </w:pPr>
          </w:p>
        </w:tc>
        <w:tc>
          <w:tcPr>
            <w:tcW w:w="439" w:type="dxa"/>
            <w:noWrap/>
            <w:vAlign w:val="center"/>
          </w:tcPr>
          <w:p w14:paraId="3C9A0A7C">
            <w:pPr>
              <w:widowControl/>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2562" w:type="dxa"/>
            <w:noWrap/>
            <w:vAlign w:val="center"/>
          </w:tcPr>
          <w:p w14:paraId="2DCD3C67">
            <w:pPr>
              <w:widowControl/>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超声胎音仪（妇产科）</w:t>
            </w:r>
          </w:p>
        </w:tc>
        <w:tc>
          <w:tcPr>
            <w:tcW w:w="488" w:type="dxa"/>
            <w:noWrap/>
            <w:vAlign w:val="center"/>
          </w:tcPr>
          <w:p w14:paraId="6F3A5D7A">
            <w:pPr>
              <w:widowControl/>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712" w:type="dxa"/>
            <w:noWrap/>
            <w:vAlign w:val="center"/>
          </w:tcPr>
          <w:p w14:paraId="0992F081">
            <w:pPr>
              <w:widowControl/>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1288" w:type="dxa"/>
            <w:noWrap/>
            <w:vAlign w:val="center"/>
          </w:tcPr>
          <w:p w14:paraId="41DD1B16">
            <w:pPr>
              <w:widowControl/>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否</w:t>
            </w:r>
          </w:p>
        </w:tc>
        <w:tc>
          <w:tcPr>
            <w:tcW w:w="1087" w:type="dxa"/>
            <w:noWrap/>
            <w:vAlign w:val="center"/>
          </w:tcPr>
          <w:p w14:paraId="5112181D">
            <w:pPr>
              <w:widowControl/>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否</w:t>
            </w:r>
          </w:p>
        </w:tc>
        <w:tc>
          <w:tcPr>
            <w:tcW w:w="1138" w:type="dxa"/>
            <w:noWrap/>
            <w:vAlign w:val="center"/>
          </w:tcPr>
          <w:p w14:paraId="249F5A02">
            <w:pPr>
              <w:widowControl/>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0.50 </w:t>
            </w:r>
          </w:p>
        </w:tc>
        <w:tc>
          <w:tcPr>
            <w:tcW w:w="1326" w:type="dxa"/>
            <w:vMerge w:val="continue"/>
            <w:noWrap/>
            <w:vAlign w:val="center"/>
          </w:tcPr>
          <w:p w14:paraId="1B4BB24D">
            <w:pPr>
              <w:widowControl/>
              <w:ind w:firstLine="0" w:firstLineChars="0"/>
              <w:jc w:val="center"/>
              <w:textAlignment w:val="center"/>
              <w:rPr>
                <w:rFonts w:hint="eastAsia" w:ascii="宋体" w:hAnsi="宋体" w:eastAsia="宋体" w:cs="宋体"/>
                <w:color w:val="auto"/>
                <w:kern w:val="0"/>
                <w:sz w:val="21"/>
                <w:szCs w:val="21"/>
                <w:highlight w:val="none"/>
              </w:rPr>
            </w:pPr>
          </w:p>
        </w:tc>
      </w:tr>
      <w:tr w14:paraId="23BC3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68" w:type="dxa"/>
            <w:vMerge w:val="continue"/>
            <w:noWrap/>
            <w:vAlign w:val="center"/>
          </w:tcPr>
          <w:p w14:paraId="4FB040EE">
            <w:pPr>
              <w:widowControl/>
              <w:spacing w:line="400" w:lineRule="exact"/>
              <w:ind w:firstLine="0" w:firstLineChars="0"/>
              <w:jc w:val="center"/>
              <w:textAlignment w:val="center"/>
              <w:rPr>
                <w:rFonts w:hint="eastAsia" w:ascii="宋体" w:hAnsi="宋体" w:eastAsia="宋体" w:cs="宋体"/>
                <w:color w:val="auto"/>
                <w:sz w:val="21"/>
                <w:szCs w:val="21"/>
                <w:highlight w:val="none"/>
              </w:rPr>
            </w:pPr>
          </w:p>
        </w:tc>
        <w:tc>
          <w:tcPr>
            <w:tcW w:w="439" w:type="dxa"/>
            <w:noWrap/>
            <w:vAlign w:val="center"/>
          </w:tcPr>
          <w:p w14:paraId="48F6E486">
            <w:pPr>
              <w:widowControl/>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w:t>
            </w:r>
          </w:p>
        </w:tc>
        <w:tc>
          <w:tcPr>
            <w:tcW w:w="2562" w:type="dxa"/>
            <w:noWrap/>
            <w:vAlign w:val="center"/>
          </w:tcPr>
          <w:p w14:paraId="119860AA">
            <w:pPr>
              <w:widowControl/>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经皮黄疸仪（儿科）</w:t>
            </w:r>
          </w:p>
        </w:tc>
        <w:tc>
          <w:tcPr>
            <w:tcW w:w="488" w:type="dxa"/>
            <w:noWrap/>
            <w:vAlign w:val="center"/>
          </w:tcPr>
          <w:p w14:paraId="40B1D274">
            <w:pPr>
              <w:widowControl/>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712" w:type="dxa"/>
            <w:noWrap/>
            <w:vAlign w:val="center"/>
          </w:tcPr>
          <w:p w14:paraId="40303B90">
            <w:pPr>
              <w:widowControl/>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1288" w:type="dxa"/>
            <w:noWrap/>
            <w:vAlign w:val="center"/>
          </w:tcPr>
          <w:p w14:paraId="2170793F">
            <w:pPr>
              <w:widowControl/>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否</w:t>
            </w:r>
          </w:p>
        </w:tc>
        <w:tc>
          <w:tcPr>
            <w:tcW w:w="1087" w:type="dxa"/>
            <w:noWrap/>
            <w:vAlign w:val="center"/>
          </w:tcPr>
          <w:p w14:paraId="6D320CEB">
            <w:pPr>
              <w:widowControl/>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否</w:t>
            </w:r>
          </w:p>
        </w:tc>
        <w:tc>
          <w:tcPr>
            <w:tcW w:w="1138" w:type="dxa"/>
            <w:noWrap/>
            <w:vAlign w:val="center"/>
          </w:tcPr>
          <w:p w14:paraId="4F54A782">
            <w:pPr>
              <w:widowControl/>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1.30 </w:t>
            </w:r>
          </w:p>
        </w:tc>
        <w:tc>
          <w:tcPr>
            <w:tcW w:w="1326" w:type="dxa"/>
            <w:vMerge w:val="continue"/>
            <w:noWrap/>
            <w:vAlign w:val="center"/>
          </w:tcPr>
          <w:p w14:paraId="52D26045">
            <w:pPr>
              <w:widowControl/>
              <w:ind w:firstLine="0" w:firstLineChars="0"/>
              <w:jc w:val="center"/>
              <w:textAlignment w:val="center"/>
              <w:rPr>
                <w:rFonts w:hint="eastAsia" w:ascii="宋体" w:hAnsi="宋体" w:eastAsia="宋体" w:cs="宋体"/>
                <w:color w:val="auto"/>
                <w:kern w:val="0"/>
                <w:sz w:val="21"/>
                <w:szCs w:val="21"/>
                <w:highlight w:val="none"/>
              </w:rPr>
            </w:pPr>
          </w:p>
        </w:tc>
      </w:tr>
    </w:tbl>
    <w:p w14:paraId="1A5F90B6">
      <w:pPr>
        <w:ind w:firstLine="422"/>
        <w:rPr>
          <w:rFonts w:ascii="宋体" w:hAnsi="宋体" w:cs="宋体"/>
          <w:b/>
          <w:bCs/>
          <w:color w:val="auto"/>
          <w:szCs w:val="21"/>
          <w:highlight w:val="none"/>
        </w:rPr>
      </w:pPr>
    </w:p>
    <w:p w14:paraId="04E331D6">
      <w:pPr>
        <w:ind w:firstLine="422"/>
        <w:rPr>
          <w:rFonts w:ascii="宋体" w:hAnsi="宋体" w:cs="宋体"/>
          <w:bCs/>
          <w:color w:val="auto"/>
          <w:szCs w:val="21"/>
          <w:highlight w:val="none"/>
        </w:rPr>
      </w:pPr>
      <w:r>
        <w:rPr>
          <w:rFonts w:hint="eastAsia" w:ascii="宋体" w:hAnsi="宋体" w:cs="宋体"/>
          <w:b/>
          <w:bCs/>
          <w:color w:val="auto"/>
          <w:szCs w:val="21"/>
          <w:highlight w:val="none"/>
        </w:rPr>
        <w:t>注：</w:t>
      </w:r>
      <w:r>
        <w:rPr>
          <w:rFonts w:hint="eastAsia" w:ascii="宋体" w:hAnsi="宋体" w:cs="宋体"/>
          <w:bCs/>
          <w:color w:val="auto"/>
          <w:szCs w:val="21"/>
          <w:highlight w:val="none"/>
        </w:rPr>
        <w:t>（1）本项目共设</w:t>
      </w:r>
      <w:r>
        <w:rPr>
          <w:rFonts w:hint="eastAsia" w:ascii="宋体" w:hAnsi="宋体" w:cs="宋体"/>
          <w:b/>
          <w:color w:val="auto"/>
          <w:szCs w:val="21"/>
          <w:highlight w:val="none"/>
          <w:u w:val="single"/>
        </w:rPr>
        <w:t>1</w:t>
      </w:r>
      <w:r>
        <w:rPr>
          <w:rFonts w:hint="eastAsia" w:ascii="宋体" w:hAnsi="宋体" w:cs="宋体"/>
          <w:bCs/>
          <w:color w:val="auto"/>
          <w:szCs w:val="21"/>
          <w:highlight w:val="none"/>
        </w:rPr>
        <w:t>个标段，投标人必须对所投标段内所有内容进行完整报价，不得缺项、漏项或零报价，否则投标文件按无效处理。</w:t>
      </w:r>
    </w:p>
    <w:p w14:paraId="0645D863">
      <w:pPr>
        <w:ind w:firstLine="420"/>
        <w:rPr>
          <w:color w:val="auto"/>
          <w:highlight w:val="none"/>
        </w:rPr>
      </w:pPr>
      <w:bookmarkStart w:id="19" w:name="OLE_LINK138"/>
      <w:r>
        <w:rPr>
          <w:rFonts w:hint="eastAsia" w:ascii="宋体" w:hAnsi="宋体" w:cs="宋体"/>
          <w:color w:val="auto"/>
          <w:szCs w:val="21"/>
          <w:highlight w:val="none"/>
        </w:rPr>
        <w:t>（2）具</w:t>
      </w:r>
      <w:r>
        <w:rPr>
          <w:rFonts w:hint="eastAsia"/>
          <w:color w:val="auto"/>
          <w:highlight w:val="none"/>
        </w:rPr>
        <w:t>体要求等详见本招标文件第五章《采购需求》。</w:t>
      </w:r>
    </w:p>
    <w:p w14:paraId="6C0A5E06">
      <w:pPr>
        <w:ind w:firstLine="422"/>
        <w:rPr>
          <w:rFonts w:ascii="宋体" w:hAnsi="宋体" w:cs="宋体"/>
          <w:color w:val="auto"/>
          <w:szCs w:val="21"/>
          <w:highlight w:val="none"/>
        </w:rPr>
      </w:pPr>
      <w:r>
        <w:rPr>
          <w:rFonts w:hint="eastAsia" w:ascii="宋体" w:hAnsi="宋体" w:cs="宋体"/>
          <w:b/>
          <w:bCs/>
          <w:color w:val="auto"/>
          <w:szCs w:val="21"/>
          <w:highlight w:val="none"/>
        </w:rPr>
        <w:t>6</w:t>
      </w:r>
      <w:r>
        <w:rPr>
          <w:rFonts w:ascii="宋体" w:hAnsi="宋体" w:cs="宋体"/>
          <w:b/>
          <w:bCs/>
          <w:color w:val="auto"/>
          <w:szCs w:val="21"/>
          <w:highlight w:val="none"/>
        </w:rPr>
        <w:t>.</w:t>
      </w:r>
      <w:r>
        <w:rPr>
          <w:rFonts w:hint="eastAsia" w:ascii="宋体" w:hAnsi="宋体" w:cs="宋体"/>
          <w:b/>
          <w:bCs/>
          <w:color w:val="auto"/>
          <w:szCs w:val="21"/>
          <w:highlight w:val="none"/>
        </w:rPr>
        <w:t>交货期：</w:t>
      </w:r>
      <w:r>
        <w:rPr>
          <w:rFonts w:hint="eastAsia" w:ascii="宋体" w:hAnsi="宋体" w:cs="宋体"/>
          <w:color w:val="auto"/>
          <w:szCs w:val="21"/>
          <w:highlight w:val="none"/>
          <w:lang w:eastAsia="zh-CN"/>
        </w:rPr>
        <w:t>自采购人下发配送通知之日起60个工作日内完成设备配送、安装、调试、验收合格并交付使用（包含完成CT机房的装修，并经采购人验收合格）</w:t>
      </w:r>
      <w:r>
        <w:rPr>
          <w:rFonts w:hint="eastAsia" w:ascii="宋体" w:hAnsi="宋体" w:cs="宋体"/>
          <w:color w:val="auto"/>
          <w:szCs w:val="21"/>
          <w:highlight w:val="none"/>
        </w:rPr>
        <w:t>。</w:t>
      </w:r>
    </w:p>
    <w:p w14:paraId="28D76A33">
      <w:pPr>
        <w:ind w:firstLine="422"/>
        <w:rPr>
          <w:rFonts w:ascii="宋体" w:hAnsi="宋体" w:cs="宋体"/>
          <w:color w:val="auto"/>
          <w:szCs w:val="21"/>
          <w:highlight w:val="none"/>
        </w:rPr>
      </w:pPr>
      <w:r>
        <w:rPr>
          <w:rFonts w:hint="eastAsia" w:ascii="宋体" w:hAnsi="宋体" w:cs="宋体"/>
          <w:b/>
          <w:bCs/>
          <w:color w:val="auto"/>
          <w:szCs w:val="21"/>
          <w:highlight w:val="none"/>
        </w:rPr>
        <w:t>7.合同履行期限：</w:t>
      </w:r>
      <w:r>
        <w:rPr>
          <w:rFonts w:hint="eastAsia" w:ascii="宋体" w:hAnsi="宋体" w:cs="宋体"/>
          <w:color w:val="auto"/>
          <w:szCs w:val="21"/>
          <w:highlight w:val="none"/>
          <w:lang w:eastAsia="zh-CN"/>
        </w:rPr>
        <w:t>自采购人下发配送通知之日起60个工作日内完成设备配送、安装、调试、验收合格并交付使用（包含完成CT机房的装修，并经采购人验收合格）</w:t>
      </w:r>
      <w:r>
        <w:rPr>
          <w:rFonts w:hint="eastAsia" w:ascii="宋体" w:hAnsi="宋体" w:cs="宋体"/>
          <w:color w:val="auto"/>
          <w:szCs w:val="21"/>
          <w:highlight w:val="none"/>
        </w:rPr>
        <w:t>。</w:t>
      </w:r>
    </w:p>
    <w:p w14:paraId="09F7F153">
      <w:pPr>
        <w:ind w:firstLine="422"/>
        <w:rPr>
          <w:rFonts w:ascii="宋体" w:hAnsi="宋体" w:cs="宋体"/>
          <w:color w:val="auto"/>
          <w:szCs w:val="21"/>
          <w:highlight w:val="none"/>
        </w:rPr>
      </w:pPr>
      <w:r>
        <w:rPr>
          <w:rFonts w:hint="eastAsia" w:ascii="宋体" w:hAnsi="宋体" w:cs="宋体"/>
          <w:b/>
          <w:bCs/>
          <w:color w:val="auto"/>
          <w:szCs w:val="21"/>
          <w:highlight w:val="none"/>
        </w:rPr>
        <w:t>8</w:t>
      </w:r>
      <w:r>
        <w:rPr>
          <w:rFonts w:ascii="宋体" w:hAnsi="宋体" w:cs="宋体"/>
          <w:b/>
          <w:bCs/>
          <w:color w:val="auto"/>
          <w:szCs w:val="21"/>
          <w:highlight w:val="none"/>
        </w:rPr>
        <w:t>.</w:t>
      </w:r>
      <w:bookmarkStart w:id="20" w:name="OLE_LINK1"/>
      <w:r>
        <w:rPr>
          <w:rFonts w:hint="eastAsia" w:ascii="宋体" w:hAnsi="宋体" w:cs="宋体"/>
          <w:b/>
          <w:bCs/>
          <w:color w:val="auto"/>
          <w:szCs w:val="21"/>
          <w:highlight w:val="none"/>
        </w:rPr>
        <w:t>交付（或实施）地点</w:t>
      </w:r>
      <w:bookmarkEnd w:id="20"/>
      <w:r>
        <w:rPr>
          <w:rFonts w:hint="eastAsia" w:ascii="宋体" w:hAnsi="宋体" w:cs="宋体"/>
          <w:b/>
          <w:bCs/>
          <w:color w:val="auto"/>
          <w:szCs w:val="21"/>
          <w:highlight w:val="none"/>
        </w:rPr>
        <w:t>：</w:t>
      </w:r>
      <w:r>
        <w:rPr>
          <w:rFonts w:hint="eastAsia" w:ascii="宋体" w:hAnsi="宋体" w:cs="宋体"/>
          <w:color w:val="auto"/>
          <w:szCs w:val="21"/>
          <w:highlight w:val="none"/>
        </w:rPr>
        <w:t>采购人指定地点。</w:t>
      </w:r>
    </w:p>
    <w:p w14:paraId="1F997752">
      <w:pPr>
        <w:ind w:firstLine="420"/>
        <w:rPr>
          <w:rFonts w:ascii="Times New Roman" w:hAnsi="Times New Roman" w:cs="Times New Roman"/>
          <w:color w:val="auto"/>
          <w:szCs w:val="21"/>
          <w:highlight w:val="none"/>
        </w:rPr>
      </w:pPr>
      <w:r>
        <w:rPr>
          <w:rFonts w:hint="eastAsia" w:ascii="宋体" w:hAnsi="宋体" w:cs="宋体"/>
          <w:color w:val="auto"/>
          <w:szCs w:val="21"/>
          <w:highlight w:val="none"/>
        </w:rPr>
        <w:t>9.本项目</w:t>
      </w:r>
      <w:r>
        <w:rPr>
          <w:rFonts w:hint="eastAsia" w:ascii="宋体" w:hAnsi="宋体" w:cs="宋体"/>
          <w:b/>
          <w:bCs/>
          <w:color w:val="auto"/>
          <w:szCs w:val="21"/>
          <w:highlight w:val="none"/>
          <w:u w:val="single"/>
        </w:rPr>
        <w:t>不接受</w:t>
      </w:r>
      <w:r>
        <w:rPr>
          <w:rFonts w:hint="eastAsia" w:ascii="宋体" w:hAnsi="宋体" w:cs="宋体"/>
          <w:color w:val="auto"/>
          <w:szCs w:val="21"/>
          <w:highlight w:val="none"/>
        </w:rPr>
        <w:t>联合体。</w:t>
      </w:r>
    </w:p>
    <w:bookmarkEnd w:id="19"/>
    <w:p w14:paraId="2C0102E0">
      <w:pPr>
        <w:pStyle w:val="3"/>
        <w:spacing w:beforeLines="0"/>
        <w:rPr>
          <w:rFonts w:ascii="Times New Roman" w:hAnsi="Times New Roman" w:cs="Times New Roman"/>
          <w:color w:val="auto"/>
          <w:highlight w:val="none"/>
        </w:rPr>
      </w:pPr>
      <w:bookmarkStart w:id="21" w:name="_Toc35393791"/>
      <w:bookmarkStart w:id="22" w:name="_Toc28359080"/>
      <w:bookmarkStart w:id="23" w:name="_Toc31401"/>
      <w:bookmarkStart w:id="24" w:name="_Toc25425"/>
      <w:bookmarkStart w:id="25" w:name="_Toc20415"/>
      <w:bookmarkStart w:id="26" w:name="_Toc10836"/>
      <w:bookmarkStart w:id="27" w:name="_Toc3808"/>
      <w:bookmarkStart w:id="28" w:name="_Toc28359003"/>
      <w:bookmarkStart w:id="29" w:name="_Toc35393622"/>
      <w:r>
        <w:rPr>
          <w:rFonts w:ascii="Times New Roman" w:hAnsi="Times New Roman" w:cs="Times New Roman"/>
          <w:color w:val="auto"/>
          <w:highlight w:val="none"/>
        </w:rPr>
        <w:t>二</w:t>
      </w:r>
      <w:bookmarkStart w:id="30" w:name="OLE_LINK23"/>
      <w:r>
        <w:rPr>
          <w:rFonts w:ascii="Times New Roman" w:hAnsi="Times New Roman" w:cs="Times New Roman"/>
          <w:color w:val="auto"/>
          <w:highlight w:val="none"/>
        </w:rPr>
        <w:t>、</w:t>
      </w:r>
      <w:bookmarkStart w:id="31" w:name="OLE_LINK140"/>
      <w:r>
        <w:rPr>
          <w:rFonts w:hint="eastAsia" w:ascii="Times New Roman" w:hAnsi="Times New Roman" w:cs="Times New Roman"/>
          <w:color w:val="auto"/>
          <w:highlight w:val="none"/>
        </w:rPr>
        <w:t>申请</w:t>
      </w:r>
      <w:bookmarkStart w:id="32" w:name="OLE_LINK139"/>
      <w:r>
        <w:rPr>
          <w:rFonts w:hint="eastAsia" w:ascii="Times New Roman" w:hAnsi="Times New Roman" w:cs="Times New Roman"/>
          <w:color w:val="auto"/>
          <w:highlight w:val="none"/>
        </w:rPr>
        <w:t>人</w:t>
      </w:r>
      <w:r>
        <w:rPr>
          <w:rFonts w:ascii="Times New Roman" w:hAnsi="Times New Roman" w:cs="Times New Roman"/>
          <w:color w:val="auto"/>
          <w:highlight w:val="none"/>
        </w:rPr>
        <w:t>的资格要求</w:t>
      </w:r>
      <w:bookmarkEnd w:id="21"/>
      <w:bookmarkEnd w:id="22"/>
      <w:bookmarkEnd w:id="23"/>
      <w:bookmarkEnd w:id="24"/>
      <w:bookmarkEnd w:id="25"/>
      <w:bookmarkEnd w:id="26"/>
      <w:bookmarkEnd w:id="27"/>
      <w:bookmarkEnd w:id="28"/>
      <w:bookmarkEnd w:id="29"/>
      <w:bookmarkEnd w:id="30"/>
      <w:bookmarkEnd w:id="31"/>
      <w:bookmarkEnd w:id="32"/>
    </w:p>
    <w:p w14:paraId="568AEBEF">
      <w:pPr>
        <w:ind w:firstLine="422"/>
        <w:rPr>
          <w:rFonts w:ascii="宋体" w:hAnsi="宋体" w:cs="宋体"/>
          <w:color w:val="auto"/>
          <w:kern w:val="0"/>
          <w:szCs w:val="21"/>
          <w:highlight w:val="none"/>
        </w:rPr>
      </w:pPr>
      <w:bookmarkStart w:id="33" w:name="OLE_LINK66"/>
      <w:r>
        <w:rPr>
          <w:rFonts w:hint="eastAsia" w:ascii="宋体" w:hAnsi="宋体" w:cs="宋体"/>
          <w:b/>
          <w:bCs/>
          <w:color w:val="auto"/>
          <w:szCs w:val="21"/>
          <w:highlight w:val="none"/>
        </w:rPr>
        <w:t>1.满足《中华人民共和国政府采购法》第二十二条规定：</w:t>
      </w:r>
      <w:bookmarkStart w:id="34" w:name="_Toc28359004"/>
      <w:bookmarkStart w:id="35" w:name="_Toc28359081"/>
    </w:p>
    <w:p w14:paraId="5783C21A">
      <w:pPr>
        <w:ind w:firstLine="422"/>
        <w:rPr>
          <w:rFonts w:ascii="宋体" w:hAnsi="宋体" w:cs="宋体"/>
          <w:b/>
          <w:bCs/>
          <w:color w:val="auto"/>
          <w:kern w:val="0"/>
          <w:szCs w:val="21"/>
          <w:highlight w:val="none"/>
        </w:rPr>
      </w:pPr>
      <w:r>
        <w:rPr>
          <w:rFonts w:hint="eastAsia" w:ascii="宋体" w:hAnsi="宋体" w:cs="宋体"/>
          <w:b/>
          <w:bCs/>
          <w:color w:val="auto"/>
          <w:szCs w:val="21"/>
          <w:highlight w:val="none"/>
        </w:rPr>
        <w:t>1.1</w:t>
      </w:r>
      <w:r>
        <w:rPr>
          <w:rFonts w:hint="eastAsia" w:ascii="宋体" w:hAnsi="宋体" w:cs="宋体"/>
          <w:b/>
          <w:bCs/>
          <w:color w:val="auto"/>
          <w:kern w:val="0"/>
          <w:szCs w:val="21"/>
          <w:highlight w:val="none"/>
        </w:rPr>
        <w:t>具有独立承担民事责任的能力：</w:t>
      </w:r>
      <w:r>
        <w:rPr>
          <w:rFonts w:hint="eastAsia" w:ascii="宋体" w:hAnsi="宋体" w:cs="宋体"/>
          <w:color w:val="auto"/>
          <w:kern w:val="0"/>
          <w:szCs w:val="21"/>
          <w:highlight w:val="none"/>
        </w:rPr>
        <w:t>投标人须是具有独立承担民事责任能力的</w:t>
      </w:r>
      <w:r>
        <w:rPr>
          <w:rFonts w:hint="eastAsia" w:ascii="宋体" w:hAnsi="宋体" w:cs="宋体"/>
          <w:color w:val="auto"/>
          <w:szCs w:val="21"/>
          <w:highlight w:val="none"/>
        </w:rPr>
        <w:t>法人、</w:t>
      </w:r>
      <w:bookmarkStart w:id="36" w:name="OLE_LINK275"/>
      <w:bookmarkStart w:id="37" w:name="OLE_LINK274"/>
      <w:r>
        <w:rPr>
          <w:rFonts w:hint="eastAsia" w:ascii="宋体" w:hAnsi="宋体" w:cs="宋体"/>
          <w:color w:val="auto"/>
          <w:szCs w:val="21"/>
          <w:highlight w:val="none"/>
        </w:rPr>
        <w:t>其他组织</w:t>
      </w:r>
      <w:bookmarkEnd w:id="36"/>
      <w:r>
        <w:rPr>
          <w:rFonts w:hint="eastAsia" w:ascii="宋体" w:hAnsi="宋体" w:cs="宋体"/>
          <w:color w:val="auto"/>
          <w:szCs w:val="21"/>
          <w:highlight w:val="none"/>
        </w:rPr>
        <w:t>或</w:t>
      </w:r>
      <w:bookmarkEnd w:id="37"/>
      <w:r>
        <w:rPr>
          <w:rFonts w:hint="eastAsia" w:ascii="宋体" w:hAnsi="宋体" w:cs="宋体"/>
          <w:color w:val="auto"/>
          <w:szCs w:val="21"/>
          <w:highlight w:val="none"/>
        </w:rPr>
        <w:t>者自然人；（①若投标人是企业，提供有效的“营业执照”；②</w:t>
      </w:r>
      <w:bookmarkStart w:id="38" w:name="OLE_LINK8"/>
      <w:r>
        <w:rPr>
          <w:rFonts w:hint="eastAsia" w:ascii="宋体" w:hAnsi="宋体" w:cs="宋体"/>
          <w:color w:val="auto"/>
          <w:szCs w:val="21"/>
          <w:highlight w:val="none"/>
        </w:rPr>
        <w:t>若投标人</w:t>
      </w:r>
      <w:bookmarkEnd w:id="38"/>
      <w:r>
        <w:rPr>
          <w:rFonts w:hint="eastAsia" w:ascii="宋体" w:hAnsi="宋体" w:cs="宋体"/>
          <w:color w:val="auto"/>
          <w:szCs w:val="21"/>
          <w:highlight w:val="none"/>
        </w:rPr>
        <w:t>是事业单位，提供有效的“事业单位法人证书”；③若投标人是社会团体或非企业专业服务机构等其他形式的组织，提供有效的法定证明文件；④若投标人是个体工商户，提供有效的“个体工商户营业执照”；⑤若投标人是自然人，提供有效的自然人身份证明）。</w:t>
      </w:r>
    </w:p>
    <w:p w14:paraId="7DBD4560">
      <w:pPr>
        <w:ind w:firstLine="422"/>
        <w:rPr>
          <w:rFonts w:ascii="宋体" w:hAnsi="宋体" w:cs="宋体"/>
          <w:b/>
          <w:bCs/>
          <w:color w:val="auto"/>
          <w:szCs w:val="21"/>
          <w:highlight w:val="none"/>
        </w:rPr>
      </w:pPr>
      <w:r>
        <w:rPr>
          <w:rFonts w:hint="eastAsia" w:ascii="宋体" w:hAnsi="宋体" w:cs="宋体"/>
          <w:b/>
          <w:bCs/>
          <w:color w:val="auto"/>
          <w:szCs w:val="21"/>
          <w:highlight w:val="none"/>
        </w:rPr>
        <w:t>1.2具有良好的商业信誉和健全的财务会计制度</w:t>
      </w:r>
    </w:p>
    <w:p w14:paraId="69737C34">
      <w:pPr>
        <w:ind w:firstLine="422"/>
        <w:rPr>
          <w:rFonts w:ascii="宋体" w:hAnsi="宋体" w:cs="宋体"/>
          <w:color w:val="auto"/>
          <w:szCs w:val="21"/>
          <w:highlight w:val="none"/>
        </w:rPr>
      </w:pPr>
      <w:r>
        <w:rPr>
          <w:rFonts w:hint="eastAsia" w:ascii="宋体" w:hAnsi="宋体" w:cs="宋体"/>
          <w:b/>
          <w:bCs/>
          <w:color w:val="auto"/>
          <w:szCs w:val="21"/>
          <w:highlight w:val="none"/>
        </w:rPr>
        <w:t>1.2.1具有良好的商业信誉</w:t>
      </w:r>
      <w:bookmarkStart w:id="39" w:name="OLE_LINK38"/>
      <w:r>
        <w:rPr>
          <w:rFonts w:hint="eastAsia" w:ascii="宋体" w:hAnsi="宋体" w:cs="宋体"/>
          <w:b/>
          <w:bCs/>
          <w:color w:val="auto"/>
          <w:szCs w:val="21"/>
          <w:highlight w:val="none"/>
        </w:rPr>
        <w:t>：</w:t>
      </w:r>
      <w:r>
        <w:rPr>
          <w:rFonts w:hint="eastAsia" w:ascii="宋体" w:hAnsi="宋体" w:cs="宋体"/>
          <w:color w:val="auto"/>
          <w:szCs w:val="21"/>
          <w:highlight w:val="none"/>
        </w:rPr>
        <w:t>①查询渠道</w:t>
      </w:r>
      <w:bookmarkEnd w:id="39"/>
      <w:r>
        <w:rPr>
          <w:rFonts w:hint="eastAsia" w:ascii="宋体" w:hAnsi="宋体" w:cs="宋体"/>
          <w:color w:val="auto"/>
          <w:szCs w:val="21"/>
          <w:highlight w:val="none"/>
        </w:rPr>
        <w:t>：“信用中国”网站（www.creditchina.gov.cn）和“中国政府采购网”（www.ccgp.gov.cn）</w:t>
      </w:r>
      <w:bookmarkStart w:id="40" w:name="OLE_LINK175"/>
      <w:r>
        <w:rPr>
          <w:rFonts w:hint="eastAsia" w:ascii="宋体" w:hAnsi="宋体" w:cs="宋体"/>
          <w:color w:val="auto"/>
          <w:szCs w:val="21"/>
          <w:highlight w:val="none"/>
        </w:rPr>
        <w:t>；</w:t>
      </w:r>
      <w:bookmarkEnd w:id="40"/>
      <w:bookmarkStart w:id="41" w:name="OLE_LINK176"/>
      <w:r>
        <w:rPr>
          <w:rFonts w:hint="eastAsia" w:ascii="宋体" w:hAnsi="宋体" w:cs="宋体"/>
          <w:color w:val="auto"/>
          <w:kern w:val="0"/>
          <w:szCs w:val="21"/>
          <w:highlight w:val="none"/>
        </w:rPr>
        <w:t>②</w:t>
      </w:r>
      <w:r>
        <w:rPr>
          <w:rFonts w:hint="eastAsia" w:ascii="宋体" w:hAnsi="宋体" w:cs="宋体"/>
          <w:color w:val="auto"/>
          <w:szCs w:val="21"/>
          <w:highlight w:val="none"/>
        </w:rPr>
        <w:t>截止时点</w:t>
      </w:r>
      <w:bookmarkEnd w:id="41"/>
      <w:bookmarkStart w:id="42" w:name="OLE_LINK174"/>
      <w:r>
        <w:rPr>
          <w:rFonts w:hint="eastAsia" w:ascii="宋体" w:hAnsi="宋体" w:cs="宋体"/>
          <w:color w:val="auto"/>
          <w:szCs w:val="21"/>
          <w:highlight w:val="none"/>
        </w:rPr>
        <w:t>：采购人或采购代理机构的实际查询时间为投标截止时间以后、资格审查阶段</w:t>
      </w:r>
      <w:bookmarkEnd w:id="42"/>
      <w:r>
        <w:rPr>
          <w:rFonts w:hint="eastAsia" w:ascii="宋体" w:hAnsi="宋体" w:cs="宋体"/>
          <w:color w:val="auto"/>
          <w:szCs w:val="21"/>
          <w:highlight w:val="none"/>
        </w:rPr>
        <w:t>；</w:t>
      </w:r>
      <w:bookmarkStart w:id="43" w:name="OLE_LINK177"/>
      <w:r>
        <w:rPr>
          <w:rFonts w:hint="eastAsia" w:ascii="宋体" w:hAnsi="宋体" w:cs="宋体"/>
          <w:color w:val="auto"/>
          <w:kern w:val="0"/>
          <w:szCs w:val="21"/>
          <w:highlight w:val="none"/>
        </w:rPr>
        <w:t>③</w:t>
      </w:r>
      <w:r>
        <w:rPr>
          <w:rFonts w:hint="eastAsia" w:ascii="宋体" w:hAnsi="宋体" w:cs="宋体"/>
          <w:color w:val="auto"/>
          <w:szCs w:val="21"/>
          <w:highlight w:val="none"/>
        </w:rPr>
        <w:t>信用信息查询记录和证据留存具体方式：查询结果网页打印页作为查询记录和证据，与其他采购文件一并保存；④信用信息的使用原则</w:t>
      </w:r>
      <w:bookmarkEnd w:id="43"/>
      <w:r>
        <w:rPr>
          <w:rFonts w:hint="eastAsia" w:ascii="宋体" w:hAnsi="宋体" w:cs="宋体"/>
          <w:color w:val="auto"/>
          <w:szCs w:val="21"/>
          <w:highlight w:val="none"/>
        </w:rPr>
        <w:t>：经认定被列入严重失信主体名单、失信被执行人、重大税收违法案件当事人名单、政府采购严重违法失信行为记录名单的投标人，其投标无效（被禁止在一定期限内参加采购活动但期限届满的，或仅被处于非较大数额罚款的除外）。</w:t>
      </w:r>
      <w:r>
        <w:rPr>
          <w:rFonts w:hint="eastAsia" w:ascii="宋体" w:hAnsi="宋体" w:cs="宋体"/>
          <w:b/>
          <w:color w:val="auto"/>
          <w:highlight w:val="none"/>
        </w:rPr>
        <w:t>（此部分不需要投标人提供证明材料，</w:t>
      </w:r>
      <w:r>
        <w:rPr>
          <w:rFonts w:hint="eastAsia" w:ascii="宋体" w:hAnsi="宋体" w:cs="宋体"/>
          <w:color w:val="auto"/>
          <w:szCs w:val="21"/>
          <w:highlight w:val="none"/>
        </w:rPr>
        <w:t>以采购人、采购代理机构查询结果为准</w:t>
      </w:r>
      <w:r>
        <w:rPr>
          <w:rFonts w:hint="eastAsia" w:ascii="宋体" w:hAnsi="宋体" w:cs="宋体"/>
          <w:b/>
          <w:color w:val="auto"/>
          <w:highlight w:val="none"/>
        </w:rPr>
        <w:t>）</w:t>
      </w:r>
    </w:p>
    <w:p w14:paraId="60187384">
      <w:pPr>
        <w:ind w:firstLine="422"/>
        <w:rPr>
          <w:rFonts w:ascii="宋体" w:hAnsi="宋体" w:cs="宋体"/>
          <w:b/>
          <w:bCs/>
          <w:color w:val="auto"/>
          <w:kern w:val="0"/>
          <w:szCs w:val="21"/>
          <w:highlight w:val="none"/>
        </w:rPr>
      </w:pPr>
      <w:r>
        <w:rPr>
          <w:rFonts w:hint="eastAsia" w:ascii="宋体" w:hAnsi="宋体" w:cs="宋体"/>
          <w:b/>
          <w:bCs/>
          <w:color w:val="auto"/>
          <w:szCs w:val="21"/>
          <w:highlight w:val="none"/>
        </w:rPr>
        <w:t>1.2.2</w:t>
      </w:r>
      <w:r>
        <w:rPr>
          <w:rFonts w:hint="eastAsia" w:ascii="宋体" w:hAnsi="宋体" w:cs="宋体"/>
          <w:b/>
          <w:bCs/>
          <w:color w:val="auto"/>
          <w:kern w:val="0"/>
          <w:szCs w:val="21"/>
          <w:highlight w:val="none"/>
        </w:rPr>
        <w:t>具有健全的财务会计制度</w:t>
      </w:r>
    </w:p>
    <w:p w14:paraId="0F57C567">
      <w:pPr>
        <w:ind w:firstLine="422"/>
        <w:rPr>
          <w:color w:val="auto"/>
          <w:highlight w:val="none"/>
        </w:rPr>
      </w:pPr>
      <w:r>
        <w:rPr>
          <w:rFonts w:hint="eastAsia" w:ascii="宋体" w:hAnsi="宋体" w:cs="宋体"/>
          <w:b/>
          <w:bCs/>
          <w:color w:val="auto"/>
          <w:kern w:val="0"/>
          <w:szCs w:val="21"/>
          <w:highlight w:val="none"/>
        </w:rPr>
        <w:t>以下①-②项证明材料具有同等效力，投标人应根据自身情况提供下列任意一种证明材料</w:t>
      </w:r>
      <w:r>
        <w:rPr>
          <w:rFonts w:hint="eastAsia" w:ascii="宋体" w:hAnsi="宋体" w:cs="宋体"/>
          <w:b/>
          <w:bCs/>
          <w:color w:val="auto"/>
          <w:szCs w:val="21"/>
          <w:highlight w:val="none"/>
        </w:rPr>
        <w:t>：</w:t>
      </w:r>
    </w:p>
    <w:p w14:paraId="6F4CB2EE">
      <w:pPr>
        <w:pStyle w:val="14"/>
        <w:ind w:firstLine="420"/>
        <w:rPr>
          <w:rFonts w:ascii="宋体" w:hAnsi="宋体" w:cs="宋体"/>
          <w:color w:val="auto"/>
          <w:kern w:val="0"/>
          <w:szCs w:val="21"/>
          <w:highlight w:val="none"/>
        </w:rPr>
      </w:pPr>
      <w:r>
        <w:rPr>
          <w:rFonts w:hint="eastAsia" w:ascii="宋体" w:hAnsi="宋体" w:cs="宋体"/>
          <w:color w:val="auto"/>
          <w:kern w:val="0"/>
          <w:szCs w:val="21"/>
          <w:highlight w:val="none"/>
        </w:rPr>
        <w:t>①投标人须提供</w:t>
      </w:r>
      <w:r>
        <w:rPr>
          <w:rFonts w:hint="eastAsia" w:ascii="宋体" w:hAnsi="宋体" w:cs="宋体"/>
          <w:color w:val="auto"/>
          <w:szCs w:val="21"/>
          <w:highlight w:val="none"/>
        </w:rPr>
        <w:t>2024年度或2025年度</w:t>
      </w:r>
      <w:r>
        <w:rPr>
          <w:rFonts w:hint="eastAsia" w:ascii="宋体" w:hAnsi="宋体" w:cs="宋体"/>
          <w:color w:val="auto"/>
          <w:kern w:val="0"/>
          <w:szCs w:val="21"/>
          <w:highlight w:val="none"/>
        </w:rPr>
        <w:t>经审计的财务会计报告及报表资料（至少包括：财务审计报告、资产负债表、利润表、现金流量表）；2026年以来新成立的单位，可提供成立至今的财务报表。</w:t>
      </w:r>
    </w:p>
    <w:p w14:paraId="7C4847FE">
      <w:pPr>
        <w:ind w:firstLine="420"/>
        <w:rPr>
          <w:rFonts w:ascii="宋体" w:hAnsi="宋体" w:cs="宋体"/>
          <w:color w:val="auto"/>
          <w:kern w:val="0"/>
          <w:szCs w:val="21"/>
          <w:highlight w:val="none"/>
        </w:rPr>
      </w:pPr>
      <w:r>
        <w:rPr>
          <w:rFonts w:hint="eastAsia" w:ascii="宋体" w:hAnsi="宋体" w:cs="宋体"/>
          <w:color w:val="auto"/>
          <w:kern w:val="0"/>
          <w:szCs w:val="21"/>
          <w:highlight w:val="none"/>
        </w:rPr>
        <w:t>②投标人须提供在</w:t>
      </w:r>
      <w:r>
        <w:rPr>
          <w:rFonts w:ascii="宋体" w:hAnsi="宋体" w:cs="宋体"/>
          <w:color w:val="auto"/>
          <w:kern w:val="0"/>
          <w:szCs w:val="21"/>
          <w:highlight w:val="none"/>
        </w:rPr>
        <w:t>提交投标文件截止时间</w:t>
      </w:r>
      <w:r>
        <w:rPr>
          <w:rFonts w:hint="eastAsia" w:ascii="宋体" w:hAnsi="宋体" w:cs="宋体"/>
          <w:color w:val="auto"/>
          <w:kern w:val="0"/>
          <w:szCs w:val="21"/>
          <w:highlight w:val="none"/>
        </w:rPr>
        <w:t>前三个月内银行开具的资信证明（银行出具的资信证明无需针对本项目或本项目采购人）。</w:t>
      </w:r>
    </w:p>
    <w:p w14:paraId="0E8CDDBD">
      <w:pPr>
        <w:ind w:firstLine="422"/>
        <w:rPr>
          <w:rFonts w:ascii="宋体" w:hAnsi="宋体" w:cs="宋体"/>
          <w:b/>
          <w:bCs/>
          <w:color w:val="auto"/>
          <w:szCs w:val="21"/>
          <w:highlight w:val="none"/>
        </w:rPr>
      </w:pPr>
      <w:r>
        <w:rPr>
          <w:rFonts w:hint="eastAsia" w:ascii="宋体" w:hAnsi="宋体" w:cs="宋体"/>
          <w:b/>
          <w:bCs/>
          <w:color w:val="auto"/>
          <w:szCs w:val="21"/>
          <w:highlight w:val="none"/>
        </w:rPr>
        <w:t>1.</w:t>
      </w:r>
      <w:r>
        <w:rPr>
          <w:rFonts w:ascii="宋体" w:hAnsi="宋体" w:cs="宋体"/>
          <w:b/>
          <w:bCs/>
          <w:color w:val="auto"/>
          <w:szCs w:val="21"/>
          <w:highlight w:val="none"/>
        </w:rPr>
        <w:t>3</w:t>
      </w:r>
      <w:r>
        <w:rPr>
          <w:rFonts w:hint="eastAsia" w:ascii="宋体" w:hAnsi="宋体" w:cs="宋体"/>
          <w:b/>
          <w:bCs/>
          <w:color w:val="auto"/>
          <w:szCs w:val="21"/>
          <w:highlight w:val="none"/>
        </w:rPr>
        <w:t>有依法缴纳税收和社会保障资金的良好记录</w:t>
      </w:r>
    </w:p>
    <w:p w14:paraId="715FB786">
      <w:pPr>
        <w:pStyle w:val="12"/>
        <w:ind w:firstLine="422"/>
        <w:rPr>
          <w:rFonts w:ascii="宋体" w:hAnsi="宋体" w:cs="宋体"/>
          <w:color w:val="auto"/>
          <w:szCs w:val="21"/>
          <w:highlight w:val="none"/>
        </w:rPr>
      </w:pPr>
      <w:r>
        <w:rPr>
          <w:rFonts w:ascii="宋体" w:hAnsi="宋体" w:cs="宋体"/>
          <w:b/>
          <w:bCs/>
          <w:color w:val="auto"/>
          <w:szCs w:val="21"/>
          <w:highlight w:val="none"/>
        </w:rPr>
        <w:t xml:space="preserve">1.3.1 </w:t>
      </w:r>
      <w:r>
        <w:rPr>
          <w:rFonts w:hint="eastAsia"/>
          <w:b/>
          <w:bCs/>
          <w:color w:val="auto"/>
          <w:highlight w:val="none"/>
        </w:rPr>
        <w:t>依法缴纳税收：</w:t>
      </w:r>
      <w:r>
        <w:rPr>
          <w:rFonts w:hint="eastAsia" w:ascii="宋体" w:hAnsi="宋体" w:cs="宋体"/>
          <w:color w:val="auto"/>
          <w:kern w:val="0"/>
          <w:szCs w:val="21"/>
          <w:highlight w:val="none"/>
        </w:rPr>
        <w:t>投标人须提供缴税所属时间在2025年4月1日起至提交投标文件截止之日内任意2个月的税务局税收通用缴款书或银行电子缴税（费）凭证或税务局出具纳税情况的相关证明</w:t>
      </w:r>
      <w:r>
        <w:rPr>
          <w:rFonts w:ascii="宋体" w:hAnsi="宋体" w:cs="宋体"/>
          <w:color w:val="auto"/>
          <w:kern w:val="0"/>
          <w:szCs w:val="21"/>
          <w:highlight w:val="none"/>
        </w:rPr>
        <w:t>；依法免税的，应提供依法免税的相关证明文件；</w:t>
      </w:r>
      <w:r>
        <w:rPr>
          <w:rFonts w:hint="eastAsia" w:ascii="宋体" w:hAnsi="宋体" w:cs="宋体"/>
          <w:color w:val="auto"/>
          <w:szCs w:val="21"/>
          <w:highlight w:val="none"/>
        </w:rPr>
        <w:t>成立未满2个月的提供成立以来的纳税证明材料。</w:t>
      </w:r>
    </w:p>
    <w:p w14:paraId="3F95CE71">
      <w:pPr>
        <w:ind w:firstLine="422"/>
        <w:rPr>
          <w:rFonts w:ascii="宋体" w:hAnsi="宋体" w:cs="宋体"/>
          <w:b/>
          <w:bCs/>
          <w:color w:val="auto"/>
          <w:szCs w:val="21"/>
          <w:highlight w:val="none"/>
        </w:rPr>
      </w:pPr>
      <w:r>
        <w:rPr>
          <w:rFonts w:hint="eastAsia" w:ascii="宋体" w:hAnsi="宋体" w:cs="宋体"/>
          <w:b/>
          <w:bCs/>
          <w:color w:val="auto"/>
          <w:szCs w:val="21"/>
          <w:highlight w:val="none"/>
        </w:rPr>
        <w:t>1.</w:t>
      </w:r>
      <w:r>
        <w:rPr>
          <w:rFonts w:ascii="宋体" w:hAnsi="宋体" w:cs="宋体"/>
          <w:b/>
          <w:bCs/>
          <w:color w:val="auto"/>
          <w:szCs w:val="21"/>
          <w:highlight w:val="none"/>
        </w:rPr>
        <w:t>3</w:t>
      </w:r>
      <w:r>
        <w:rPr>
          <w:rFonts w:hint="eastAsia" w:ascii="宋体" w:hAnsi="宋体" w:cs="宋体"/>
          <w:b/>
          <w:bCs/>
          <w:color w:val="auto"/>
          <w:szCs w:val="21"/>
          <w:highlight w:val="none"/>
        </w:rPr>
        <w:t>.2依法缴纳社会保障资金：</w:t>
      </w:r>
      <w:r>
        <w:rPr>
          <w:rFonts w:hint="eastAsia" w:ascii="宋体" w:hAnsi="宋体" w:cs="宋体"/>
          <w:color w:val="auto"/>
          <w:kern w:val="0"/>
          <w:szCs w:val="21"/>
          <w:highlight w:val="none"/>
        </w:rPr>
        <w:t>投标人须提供缴费所属时间在2025年4月1日起至提交投标文件截止之日内任意2个月的社会保险费缴款书或银行电子缴税（费）凭证或社保管理部门出具的有效的缴款证明</w:t>
      </w:r>
      <w:r>
        <w:rPr>
          <w:rFonts w:ascii="宋体" w:hAnsi="宋体" w:cs="宋体"/>
          <w:color w:val="auto"/>
          <w:kern w:val="0"/>
          <w:szCs w:val="21"/>
          <w:highlight w:val="none"/>
        </w:rPr>
        <w:t>；依法</w:t>
      </w:r>
      <w:r>
        <w:rPr>
          <w:rFonts w:hint="eastAsia"/>
          <w:color w:val="auto"/>
          <w:szCs w:val="21"/>
          <w:highlight w:val="none"/>
        </w:rPr>
        <w:t>不需要缴纳社会保障资金</w:t>
      </w:r>
      <w:r>
        <w:rPr>
          <w:rFonts w:ascii="宋体" w:hAnsi="宋体" w:cs="宋体"/>
          <w:color w:val="auto"/>
          <w:kern w:val="0"/>
          <w:szCs w:val="21"/>
          <w:highlight w:val="none"/>
        </w:rPr>
        <w:t>的，应提供依法免缴的相关证明文件；</w:t>
      </w:r>
      <w:r>
        <w:rPr>
          <w:rFonts w:hint="eastAsia" w:ascii="宋体" w:hAnsi="宋体" w:cs="宋体"/>
          <w:color w:val="auto"/>
          <w:szCs w:val="21"/>
          <w:highlight w:val="none"/>
        </w:rPr>
        <w:t>成立未满2个月的提供成立以来的社保资金缴纳证明材料</w:t>
      </w:r>
      <w:r>
        <w:rPr>
          <w:rFonts w:hint="eastAsia" w:ascii="宋体" w:hAnsi="宋体" w:cs="宋体"/>
          <w:color w:val="auto"/>
          <w:kern w:val="0"/>
          <w:szCs w:val="21"/>
          <w:highlight w:val="none"/>
        </w:rPr>
        <w:t>。</w:t>
      </w:r>
    </w:p>
    <w:p w14:paraId="6FA6026F">
      <w:pPr>
        <w:ind w:firstLine="422"/>
        <w:rPr>
          <w:rFonts w:ascii="宋体" w:hAnsi="宋体" w:cs="宋体"/>
          <w:b/>
          <w:bCs/>
          <w:color w:val="auto"/>
          <w:szCs w:val="21"/>
          <w:highlight w:val="none"/>
        </w:rPr>
      </w:pPr>
      <w:r>
        <w:rPr>
          <w:rFonts w:hint="eastAsia" w:ascii="宋体" w:hAnsi="宋体" w:cs="宋体"/>
          <w:b/>
          <w:bCs/>
          <w:color w:val="auto"/>
          <w:szCs w:val="21"/>
          <w:highlight w:val="none"/>
        </w:rPr>
        <w:t>1.</w:t>
      </w:r>
      <w:r>
        <w:rPr>
          <w:rFonts w:ascii="宋体" w:hAnsi="宋体" w:cs="宋体"/>
          <w:b/>
          <w:bCs/>
          <w:color w:val="auto"/>
          <w:szCs w:val="21"/>
          <w:highlight w:val="none"/>
        </w:rPr>
        <w:t>4</w:t>
      </w:r>
      <w:r>
        <w:rPr>
          <w:rFonts w:hint="eastAsia" w:ascii="宋体" w:hAnsi="宋体" w:cs="宋体"/>
          <w:b/>
          <w:bCs/>
          <w:color w:val="auto"/>
          <w:szCs w:val="21"/>
          <w:highlight w:val="none"/>
        </w:rPr>
        <w:t>具有履行合同所必需的设备和专业技术能力：</w:t>
      </w:r>
      <w:r>
        <w:rPr>
          <w:rFonts w:hint="eastAsia" w:ascii="宋体" w:hAnsi="宋体" w:cs="宋体"/>
          <w:color w:val="auto"/>
          <w:szCs w:val="21"/>
          <w:highlight w:val="none"/>
        </w:rPr>
        <w:t>须提供投标人具有履行合同所必需的设备和专业技术能力的承诺书或相关证明材料。</w:t>
      </w:r>
    </w:p>
    <w:p w14:paraId="724B1934">
      <w:pPr>
        <w:ind w:firstLine="422"/>
        <w:rPr>
          <w:rFonts w:ascii="宋体" w:hAnsi="宋体" w:cs="宋体"/>
          <w:b/>
          <w:bCs/>
          <w:color w:val="auto"/>
          <w:szCs w:val="21"/>
          <w:highlight w:val="none"/>
        </w:rPr>
      </w:pPr>
      <w:r>
        <w:rPr>
          <w:rFonts w:hint="eastAsia" w:ascii="宋体" w:hAnsi="宋体" w:cs="宋体"/>
          <w:b/>
          <w:bCs/>
          <w:color w:val="auto"/>
          <w:szCs w:val="21"/>
          <w:highlight w:val="none"/>
        </w:rPr>
        <w:t>1.5参加政府采购活动前三年内，在经营活动中没有重大违法记录</w:t>
      </w:r>
      <w:r>
        <w:rPr>
          <w:rFonts w:hint="eastAsia" w:ascii="宋体" w:hAnsi="宋体" w:cs="宋体"/>
          <w:color w:val="auto"/>
          <w:szCs w:val="21"/>
          <w:highlight w:val="none"/>
        </w:rPr>
        <w:t>：须提供投标人参加政府采购活动前三年内，在经营活动中没有重大违法记录（重大违法记录，是指投标人因违法经营受到刑事处罚或者责令停产停业、吊销许可证或者执照、较大数额罚款等行政处罚）的书面声明或承诺书。</w:t>
      </w:r>
    </w:p>
    <w:p w14:paraId="0F96646E">
      <w:pPr>
        <w:ind w:firstLine="422"/>
        <w:rPr>
          <w:rFonts w:ascii="宋体" w:hAnsi="宋体" w:cs="宋体"/>
          <w:b/>
          <w:bCs/>
          <w:color w:val="auto"/>
          <w:szCs w:val="21"/>
          <w:highlight w:val="none"/>
        </w:rPr>
      </w:pPr>
      <w:r>
        <w:rPr>
          <w:rFonts w:hint="eastAsia" w:ascii="宋体" w:hAnsi="宋体" w:cs="宋体"/>
          <w:b/>
          <w:bCs/>
          <w:color w:val="auto"/>
          <w:szCs w:val="21"/>
          <w:highlight w:val="none"/>
        </w:rPr>
        <w:t>1.6</w:t>
      </w:r>
      <w:bookmarkStart w:id="44" w:name="OLE_LINK212"/>
      <w:r>
        <w:rPr>
          <w:rFonts w:hint="eastAsia" w:ascii="宋体" w:hAnsi="宋体" w:cs="宋体"/>
          <w:b/>
          <w:bCs/>
          <w:color w:val="auto"/>
          <w:szCs w:val="21"/>
          <w:highlight w:val="none"/>
        </w:rPr>
        <w:t>法律、行政法规规定的其他条件：</w:t>
      </w:r>
    </w:p>
    <w:p w14:paraId="3D42469A">
      <w:pPr>
        <w:ind w:firstLine="422"/>
        <w:rPr>
          <w:rFonts w:ascii="宋体" w:hAnsi="宋体" w:cs="宋体"/>
          <w:b/>
          <w:bCs/>
          <w:color w:val="auto"/>
          <w:szCs w:val="21"/>
          <w:highlight w:val="none"/>
        </w:rPr>
      </w:pPr>
      <w:r>
        <w:rPr>
          <w:rFonts w:hint="eastAsia" w:ascii="宋体" w:hAnsi="宋体" w:cs="宋体"/>
          <w:b/>
          <w:bCs/>
          <w:color w:val="auto"/>
          <w:szCs w:val="21"/>
          <w:highlight w:val="none"/>
        </w:rPr>
        <w:t>1.6.1</w:t>
      </w:r>
      <w:r>
        <w:rPr>
          <w:rFonts w:hint="eastAsia" w:ascii="宋体" w:hAnsi="宋体" w:cs="宋体"/>
          <w:color w:val="auto"/>
          <w:szCs w:val="21"/>
          <w:highlight w:val="none"/>
        </w:rPr>
        <w:t>单位负责人为同一人或者存在直接控股、管理关系的不同投标人，不得参加同一合同项下的政府采购活动</w:t>
      </w:r>
      <w:bookmarkEnd w:id="44"/>
      <w:r>
        <w:rPr>
          <w:rFonts w:hint="eastAsia" w:ascii="宋体" w:hAnsi="宋体" w:cs="宋体"/>
          <w:color w:val="auto"/>
          <w:szCs w:val="21"/>
          <w:highlight w:val="none"/>
        </w:rPr>
        <w:t>（提供投标人关联单位情况声明）。</w:t>
      </w:r>
    </w:p>
    <w:p w14:paraId="255B5789">
      <w:pPr>
        <w:widowControl/>
        <w:ind w:firstLine="422"/>
        <w:jc w:val="left"/>
        <w:rPr>
          <w:color w:val="auto"/>
          <w:highlight w:val="none"/>
        </w:rPr>
      </w:pPr>
      <w:r>
        <w:rPr>
          <w:rFonts w:hint="eastAsia" w:ascii="宋体" w:hAnsi="宋体" w:cs="宋体"/>
          <w:b/>
          <w:bCs/>
          <w:color w:val="auto"/>
          <w:szCs w:val="21"/>
          <w:highlight w:val="none"/>
        </w:rPr>
        <w:t>1.6.2</w:t>
      </w:r>
      <w:r>
        <w:rPr>
          <w:rFonts w:hint="eastAsia" w:ascii="宋体" w:hAnsi="宋体" w:cs="宋体"/>
          <w:color w:val="auto"/>
          <w:szCs w:val="21"/>
          <w:highlight w:val="none"/>
        </w:rPr>
        <w:t>为采购项目提供整体设计、规范编制或者项目管理、 监理、检测等服务的投标人，不得再参加该采购项目的其他采购活动（提供承诺书）。</w:t>
      </w:r>
    </w:p>
    <w:p w14:paraId="0FE92F8D">
      <w:pPr>
        <w:ind w:firstLine="422"/>
        <w:rPr>
          <w:rFonts w:ascii="宋体" w:hAnsi="宋体" w:cs="宋体"/>
          <w:color w:val="auto"/>
          <w:szCs w:val="21"/>
          <w:highlight w:val="none"/>
        </w:rPr>
      </w:pPr>
      <w:r>
        <w:rPr>
          <w:rFonts w:hint="eastAsia" w:ascii="宋体" w:hAnsi="宋体" w:cs="宋体"/>
          <w:b/>
          <w:bCs/>
          <w:color w:val="auto"/>
          <w:szCs w:val="21"/>
          <w:highlight w:val="none"/>
        </w:rPr>
        <w:t>2.落实政府采购政策需满足的资格要求：</w:t>
      </w:r>
      <w:r>
        <w:rPr>
          <w:rFonts w:hint="eastAsia" w:ascii="宋体" w:hAnsi="宋体" w:cs="宋体"/>
          <w:color w:val="auto"/>
          <w:szCs w:val="21"/>
          <w:highlight w:val="none"/>
        </w:rPr>
        <w:t>无，本项目非专门面向中小企业采购项目。</w:t>
      </w:r>
    </w:p>
    <w:p w14:paraId="1225CFA4">
      <w:pPr>
        <w:ind w:firstLine="422"/>
        <w:rPr>
          <w:rFonts w:ascii="宋体" w:hAnsi="宋体" w:cs="宋体"/>
          <w:color w:val="auto"/>
          <w:szCs w:val="21"/>
          <w:highlight w:val="none"/>
        </w:rPr>
      </w:pPr>
      <w:r>
        <w:rPr>
          <w:rFonts w:ascii="宋体" w:hAnsi="宋体" w:cs="宋体"/>
          <w:b/>
          <w:bCs/>
          <w:color w:val="auto"/>
          <w:szCs w:val="21"/>
          <w:highlight w:val="none"/>
        </w:rPr>
        <w:t>3</w:t>
      </w:r>
      <w:r>
        <w:rPr>
          <w:rFonts w:hint="eastAsia" w:ascii="宋体" w:hAnsi="宋体" w:cs="宋体"/>
          <w:b/>
          <w:bCs/>
          <w:color w:val="auto"/>
          <w:szCs w:val="21"/>
          <w:highlight w:val="none"/>
        </w:rPr>
        <w:t>.本项目的特定资格要求：</w:t>
      </w:r>
      <w:bookmarkEnd w:id="33"/>
      <w:r>
        <w:rPr>
          <w:rFonts w:hint="eastAsia" w:ascii="宋体" w:hAnsi="宋体" w:cs="宋体"/>
          <w:color w:val="auto"/>
          <w:szCs w:val="21"/>
          <w:highlight w:val="none"/>
        </w:rPr>
        <w:t>若投标产品在《医疗器械分类目录》内，作为医疗器械管理的：投标人如果是代理商或经销商，须提供①投标人医疗器械经营许可证/备案凭证、②所投产品制造商医疗器械生产许可证/备案凭证（制造商工商注册地在中华人民共和国境外的，不作此要求）、③所投产品医疗器械注册证/备案信息表；投标人如果是制造商，须提供①医疗器械生产许可证/备案凭证（制造商工商注册地在中华人民共和国境外的，不作此要求）、②所投产品医疗器械注册证/备案信息表。注：医疗器械生产或经营许可证/备案凭证的生产或经营范围须覆盖所投产品所属类别医疗器械（根据中华人民共和国国务院令第739号《医疗器械监督管理条例》和国家药品监督管理局《医疗器械分类目录》的规定，在《医疗器械分类目录》内的产品必须按照《医疗器械监督管理条例》的要求提供，其他不在《医疗器械分类目录》内的不作强行要求）。本项目拟</w:t>
      </w:r>
      <w:r>
        <w:rPr>
          <w:rFonts w:hint="eastAsia" w:ascii="宋体" w:hAnsi="宋体" w:cs="宋体"/>
          <w:color w:val="auto"/>
          <w:szCs w:val="21"/>
          <w:highlight w:val="none"/>
          <w:lang w:val="en-US" w:eastAsia="zh-CN"/>
        </w:rPr>
        <w:t>采购的</w:t>
      </w:r>
      <w:r>
        <w:rPr>
          <w:rFonts w:hint="eastAsia" w:ascii="宋体" w:hAnsi="宋体" w:cs="宋体"/>
          <w:color w:val="auto"/>
          <w:szCs w:val="21"/>
          <w:highlight w:val="none"/>
        </w:rPr>
        <w:t>X射线计算机断层摄影设备（CT）属于射线装置，投标人若是代理商或经销商的，须提供投标人有效的《辐射安全许可证》（种类范围须覆盖销售类别）和制造商有效的《辐射安全许可证》（种类范围须覆盖生产类别）。投标人为制造商的，须提供有效的《辐射安全许可证》（种类范围须覆盖生产类别）。</w:t>
      </w:r>
    </w:p>
    <w:p w14:paraId="12616FEC">
      <w:pPr>
        <w:pStyle w:val="3"/>
        <w:spacing w:beforeLines="0"/>
        <w:rPr>
          <w:rFonts w:ascii="Times New Roman" w:hAnsi="Times New Roman" w:cs="Times New Roman"/>
          <w:color w:val="auto"/>
          <w:highlight w:val="none"/>
        </w:rPr>
      </w:pPr>
      <w:bookmarkStart w:id="45" w:name="_Toc35393623"/>
      <w:bookmarkStart w:id="46" w:name="_Toc20118"/>
      <w:bookmarkStart w:id="47" w:name="_Toc17197"/>
      <w:bookmarkStart w:id="48" w:name="_Toc2689"/>
      <w:bookmarkStart w:id="49" w:name="_Toc1560"/>
      <w:bookmarkStart w:id="50" w:name="_Toc23786"/>
      <w:bookmarkStart w:id="51" w:name="_Toc35393792"/>
      <w:r>
        <w:rPr>
          <w:rFonts w:ascii="Times New Roman" w:hAnsi="Times New Roman" w:cs="Times New Roman"/>
          <w:color w:val="auto"/>
          <w:highlight w:val="none"/>
        </w:rPr>
        <w:t>三、获取招标文件</w:t>
      </w:r>
      <w:bookmarkEnd w:id="34"/>
      <w:bookmarkEnd w:id="35"/>
      <w:bookmarkEnd w:id="45"/>
      <w:bookmarkEnd w:id="46"/>
      <w:bookmarkEnd w:id="47"/>
      <w:bookmarkEnd w:id="48"/>
      <w:bookmarkEnd w:id="49"/>
      <w:bookmarkEnd w:id="50"/>
      <w:bookmarkEnd w:id="51"/>
    </w:p>
    <w:p w14:paraId="22C34C82">
      <w:pPr>
        <w:ind w:firstLine="422"/>
        <w:rPr>
          <w:rFonts w:ascii="宋体" w:hAnsi="宋体" w:cs="宋体"/>
          <w:color w:val="auto"/>
          <w:szCs w:val="21"/>
          <w:highlight w:val="none"/>
          <w:u w:val="none"/>
        </w:rPr>
      </w:pPr>
      <w:bookmarkStart w:id="52" w:name="_Toc28359082"/>
      <w:bookmarkStart w:id="53" w:name="_Toc28359005"/>
      <w:bookmarkStart w:id="54" w:name="_Toc35393624"/>
      <w:bookmarkStart w:id="55" w:name="_Toc6731"/>
      <w:bookmarkStart w:id="56" w:name="_Toc35393793"/>
      <w:bookmarkStart w:id="57" w:name="_Toc20986"/>
      <w:bookmarkStart w:id="58" w:name="_Toc10554"/>
      <w:r>
        <w:rPr>
          <w:rFonts w:hint="eastAsia" w:ascii="宋体" w:hAnsi="宋体" w:cs="宋体"/>
          <w:b/>
          <w:bCs/>
          <w:color w:val="auto"/>
          <w:szCs w:val="21"/>
          <w:highlight w:val="none"/>
        </w:rPr>
        <w:t>时间：</w:t>
      </w:r>
      <w:r>
        <w:rPr>
          <w:rFonts w:hint="eastAsia" w:ascii="宋体" w:hAnsi="宋体" w:cs="宋体"/>
          <w:color w:val="auto"/>
          <w:szCs w:val="21"/>
          <w:highlight w:val="none"/>
          <w:u w:val="none"/>
        </w:rPr>
        <w:t>2026年</w:t>
      </w:r>
      <w:r>
        <w:rPr>
          <w:rFonts w:hint="eastAsia" w:ascii="宋体" w:hAnsi="宋体" w:cs="宋体"/>
          <w:color w:val="auto"/>
          <w:szCs w:val="21"/>
          <w:highlight w:val="none"/>
          <w:u w:val="none"/>
          <w:lang w:val="en-US" w:eastAsia="zh-CN"/>
        </w:rPr>
        <w:t>5</w:t>
      </w:r>
      <w:r>
        <w:rPr>
          <w:rFonts w:hint="eastAsia" w:ascii="宋体" w:hAnsi="宋体" w:cs="宋体"/>
          <w:color w:val="auto"/>
          <w:szCs w:val="21"/>
          <w:highlight w:val="none"/>
          <w:u w:val="none"/>
        </w:rPr>
        <w:t>月</w:t>
      </w:r>
      <w:r>
        <w:rPr>
          <w:rFonts w:hint="eastAsia" w:ascii="宋体" w:hAnsi="宋体" w:cs="宋体"/>
          <w:color w:val="auto"/>
          <w:szCs w:val="21"/>
          <w:highlight w:val="none"/>
          <w:u w:val="none"/>
          <w:lang w:val="en-US" w:eastAsia="zh-CN"/>
        </w:rPr>
        <w:t>7</w:t>
      </w:r>
      <w:r>
        <w:rPr>
          <w:rFonts w:hint="eastAsia" w:ascii="宋体" w:hAnsi="宋体" w:cs="宋体"/>
          <w:color w:val="auto"/>
          <w:szCs w:val="21"/>
          <w:highlight w:val="none"/>
          <w:u w:val="none"/>
        </w:rPr>
        <w:t>日至2026年</w:t>
      </w:r>
      <w:r>
        <w:rPr>
          <w:rFonts w:hint="eastAsia" w:ascii="宋体" w:hAnsi="宋体" w:cs="宋体"/>
          <w:color w:val="auto"/>
          <w:szCs w:val="21"/>
          <w:highlight w:val="none"/>
          <w:u w:val="none"/>
          <w:lang w:val="en-US" w:eastAsia="zh-CN"/>
        </w:rPr>
        <w:t>5</w:t>
      </w:r>
      <w:r>
        <w:rPr>
          <w:rFonts w:hint="eastAsia" w:ascii="宋体" w:hAnsi="宋体" w:cs="宋体"/>
          <w:color w:val="auto"/>
          <w:szCs w:val="21"/>
          <w:highlight w:val="none"/>
          <w:u w:val="none"/>
        </w:rPr>
        <w:t>月</w:t>
      </w:r>
      <w:r>
        <w:rPr>
          <w:rFonts w:hint="eastAsia" w:ascii="宋体" w:hAnsi="宋体" w:cs="宋体"/>
          <w:color w:val="auto"/>
          <w:szCs w:val="21"/>
          <w:highlight w:val="none"/>
          <w:u w:val="none"/>
          <w:lang w:val="en-US" w:eastAsia="zh-CN"/>
        </w:rPr>
        <w:t>13</w:t>
      </w:r>
      <w:r>
        <w:rPr>
          <w:rFonts w:hint="eastAsia" w:ascii="宋体" w:hAnsi="宋体" w:cs="宋体"/>
          <w:color w:val="auto"/>
          <w:szCs w:val="21"/>
          <w:highlight w:val="none"/>
          <w:u w:val="none"/>
        </w:rPr>
        <w:t>日每天上午6:00至12:00，下午12:00至23:59（北京时间）。</w:t>
      </w:r>
    </w:p>
    <w:p w14:paraId="12FE8A77">
      <w:pPr>
        <w:ind w:firstLine="422"/>
        <w:rPr>
          <w:rFonts w:ascii="宋体" w:hAnsi="宋体" w:cs="宋体"/>
          <w:color w:val="auto"/>
          <w:szCs w:val="21"/>
          <w:highlight w:val="none"/>
          <w:u w:val="single"/>
        </w:rPr>
      </w:pPr>
      <w:r>
        <w:rPr>
          <w:rFonts w:hint="eastAsia" w:ascii="宋体" w:hAnsi="宋体" w:cs="宋体"/>
          <w:b/>
          <w:bCs/>
          <w:color w:val="auto"/>
          <w:szCs w:val="21"/>
          <w:highlight w:val="none"/>
        </w:rPr>
        <w:t>地点：</w:t>
      </w:r>
      <w:r>
        <w:rPr>
          <w:rFonts w:hint="eastAsia" w:ascii="宋体" w:hAnsi="宋体" w:cs="宋体"/>
          <w:color w:val="auto"/>
          <w:szCs w:val="21"/>
          <w:highlight w:val="none"/>
        </w:rPr>
        <w:t>政府采购云平台（</w:t>
      </w:r>
      <w:bookmarkStart w:id="59" w:name="OLE_LINK303"/>
      <w:r>
        <w:rPr>
          <w:rFonts w:ascii="宋体" w:hAnsi="宋体" w:cs="宋体"/>
          <w:color w:val="auto"/>
          <w:szCs w:val="21"/>
          <w:highlight w:val="none"/>
        </w:rPr>
        <w:t>https://www.zcygov.cn/</w:t>
      </w:r>
      <w:bookmarkEnd w:id="59"/>
      <w:r>
        <w:rPr>
          <w:rFonts w:ascii="宋体" w:hAnsi="宋体" w:cs="宋体"/>
          <w:color w:val="auto"/>
          <w:szCs w:val="21"/>
          <w:highlight w:val="none"/>
        </w:rPr>
        <w:t>）</w:t>
      </w:r>
      <w:r>
        <w:rPr>
          <w:rFonts w:hint="eastAsia" w:ascii="宋体" w:hAnsi="宋体" w:cs="宋体"/>
          <w:color w:val="auto"/>
          <w:szCs w:val="21"/>
          <w:highlight w:val="none"/>
        </w:rPr>
        <w:t>（操作路径：登录政府采购云平台-项目采购-获取招标文件 -找到本项目-点击“申请获取招标文件”）。</w:t>
      </w:r>
    </w:p>
    <w:p w14:paraId="6DE8C227">
      <w:pPr>
        <w:ind w:firstLine="422"/>
        <w:rPr>
          <w:rFonts w:ascii="宋体" w:hAnsi="宋体" w:cs="宋体"/>
          <w:color w:val="auto"/>
          <w:szCs w:val="21"/>
          <w:highlight w:val="none"/>
        </w:rPr>
      </w:pPr>
      <w:r>
        <w:rPr>
          <w:rFonts w:hint="eastAsia" w:ascii="宋体" w:hAnsi="宋体" w:cs="宋体"/>
          <w:b/>
          <w:bCs/>
          <w:color w:val="auto"/>
          <w:szCs w:val="21"/>
          <w:highlight w:val="none"/>
        </w:rPr>
        <w:t>方式：</w:t>
      </w:r>
      <w:r>
        <w:rPr>
          <w:rFonts w:hint="eastAsia" w:ascii="宋体" w:hAnsi="宋体" w:cs="宋体"/>
          <w:color w:val="auto"/>
          <w:szCs w:val="21"/>
          <w:highlight w:val="none"/>
        </w:rPr>
        <w:t>1.凡有意参加本项目投标的潜在投标人，须在政府采购云平台办理数字证书（CA），并在政采云绑定数字证书（CA）后线上获取招标文件及其他采购资料。CA申领链接：http：//yzt.ynsmartcert.cn/cms/yztynzzhw.html（壹证通客服热线：0871-67276028＜紧急可拨19988166369&gt;）或https://middle.zcygov.cn/ca/apply/list?_app_=zcy.sys（政采云），CA申领后需</w:t>
      </w:r>
      <w:bookmarkStart w:id="60" w:name="OLE_LINK304"/>
      <w:r>
        <w:rPr>
          <w:rFonts w:hint="eastAsia" w:ascii="宋体" w:hAnsi="宋体" w:cs="宋体"/>
          <w:color w:val="auto"/>
          <w:szCs w:val="21"/>
          <w:highlight w:val="none"/>
        </w:rPr>
        <w:t>登录政府采购云平台完成数字证书（CA）绑定才可以使用，数字证书</w:t>
      </w:r>
      <w:bookmarkEnd w:id="60"/>
      <w:r>
        <w:rPr>
          <w:rFonts w:hint="eastAsia" w:ascii="宋体" w:hAnsi="宋体" w:cs="宋体"/>
          <w:color w:val="auto"/>
          <w:szCs w:val="21"/>
          <w:highlight w:val="none"/>
        </w:rPr>
        <w:t>（CA）详见其办理流程。注：</w:t>
      </w:r>
      <w:bookmarkStart w:id="61" w:name="OLE_LINK305"/>
      <w:r>
        <w:rPr>
          <w:rFonts w:hint="eastAsia" w:ascii="宋体" w:hAnsi="宋体" w:cs="宋体"/>
          <w:color w:val="auto"/>
          <w:szCs w:val="21"/>
          <w:highlight w:val="none"/>
        </w:rPr>
        <w:t>云南本地供应商如之前已在云南CA在线数字证书办理网进行过注册并办理过企业数字证书</w:t>
      </w:r>
      <w:bookmarkEnd w:id="61"/>
      <w:r>
        <w:rPr>
          <w:rFonts w:hint="eastAsia" w:ascii="宋体" w:hAnsi="宋体" w:cs="宋体"/>
          <w:color w:val="auto"/>
          <w:szCs w:val="21"/>
          <w:highlight w:val="none"/>
        </w:rPr>
        <w:t>（CA），直接绑定即可，无需重复办理（2022年1月1日前办理的云南CA需到云南CA办理处进行升级）。外省供应商在政府采购云平台办理的其他CA可直接使用，无需重复办理；2.</w:t>
      </w:r>
      <w:r>
        <w:rPr>
          <w:rFonts w:ascii="宋体" w:hAnsi="宋体" w:cs="宋体"/>
          <w:color w:val="auto"/>
          <w:szCs w:val="21"/>
          <w:highlight w:val="none"/>
        </w:rPr>
        <w:t>按上述要求获取</w:t>
      </w:r>
      <w:r>
        <w:rPr>
          <w:rFonts w:hint="eastAsia" w:ascii="宋体" w:hAnsi="宋体" w:cs="宋体"/>
          <w:color w:val="auto"/>
          <w:szCs w:val="21"/>
          <w:highlight w:val="none"/>
        </w:rPr>
        <w:t>招标</w:t>
      </w:r>
      <w:r>
        <w:rPr>
          <w:rFonts w:ascii="宋体" w:hAnsi="宋体" w:cs="宋体"/>
          <w:color w:val="auto"/>
          <w:szCs w:val="21"/>
          <w:highlight w:val="none"/>
        </w:rPr>
        <w:t>文件的</w:t>
      </w:r>
      <w:r>
        <w:rPr>
          <w:rFonts w:hint="eastAsia" w:ascii="宋体" w:hAnsi="宋体" w:cs="宋体"/>
          <w:color w:val="auto"/>
          <w:szCs w:val="21"/>
          <w:highlight w:val="none"/>
        </w:rPr>
        <w:t>潜在投标人</w:t>
      </w:r>
      <w:r>
        <w:rPr>
          <w:rFonts w:ascii="宋体" w:hAnsi="宋体" w:cs="宋体"/>
          <w:color w:val="auto"/>
          <w:szCs w:val="21"/>
          <w:highlight w:val="none"/>
        </w:rPr>
        <w:t>视为合法获取了本项目</w:t>
      </w:r>
      <w:r>
        <w:rPr>
          <w:rFonts w:hint="eastAsia" w:ascii="宋体" w:hAnsi="宋体" w:cs="宋体"/>
          <w:color w:val="auto"/>
          <w:szCs w:val="21"/>
          <w:highlight w:val="none"/>
        </w:rPr>
        <w:t>招标</w:t>
      </w:r>
      <w:r>
        <w:rPr>
          <w:rFonts w:ascii="宋体" w:hAnsi="宋体" w:cs="宋体"/>
          <w:color w:val="auto"/>
          <w:szCs w:val="21"/>
          <w:highlight w:val="none"/>
        </w:rPr>
        <w:t>文件</w:t>
      </w:r>
      <w:r>
        <w:rPr>
          <w:rFonts w:hint="eastAsia" w:ascii="宋体" w:hAnsi="宋体" w:cs="宋体"/>
          <w:color w:val="auto"/>
          <w:szCs w:val="21"/>
          <w:highlight w:val="none"/>
        </w:rPr>
        <w:t>，</w:t>
      </w:r>
      <w:r>
        <w:rPr>
          <w:rFonts w:hint="eastAsia"/>
          <w:color w:val="auto"/>
          <w:highlight w:val="none"/>
        </w:rPr>
        <w:t>可以参与本项目投标</w:t>
      </w:r>
      <w:r>
        <w:rPr>
          <w:rFonts w:hint="eastAsia" w:ascii="宋体" w:hAnsi="宋体" w:cs="宋体"/>
          <w:color w:val="auto"/>
          <w:szCs w:val="21"/>
          <w:highlight w:val="none"/>
        </w:rPr>
        <w:t>。</w:t>
      </w:r>
    </w:p>
    <w:p w14:paraId="22ECC1D8">
      <w:pPr>
        <w:pStyle w:val="12"/>
        <w:ind w:firstLine="422"/>
        <w:rPr>
          <w:rFonts w:ascii="宋体" w:hAnsi="宋体" w:cs="宋体"/>
          <w:b/>
          <w:bCs/>
          <w:color w:val="auto"/>
          <w:szCs w:val="21"/>
          <w:highlight w:val="none"/>
        </w:rPr>
      </w:pPr>
      <w:r>
        <w:rPr>
          <w:rFonts w:hint="eastAsia" w:ascii="宋体" w:hAnsi="宋体" w:cs="宋体"/>
          <w:b/>
          <w:bCs/>
          <w:color w:val="auto"/>
          <w:szCs w:val="21"/>
          <w:highlight w:val="none"/>
        </w:rPr>
        <w:t>售价：</w:t>
      </w:r>
      <w:r>
        <w:rPr>
          <w:rFonts w:hint="eastAsia" w:ascii="宋体" w:hAnsi="宋体" w:cs="宋体"/>
          <w:color w:val="auto"/>
          <w:szCs w:val="21"/>
          <w:highlight w:val="none"/>
          <w:u w:val="single"/>
        </w:rPr>
        <w:t>0</w:t>
      </w:r>
      <w:r>
        <w:rPr>
          <w:rFonts w:hint="eastAsia" w:ascii="宋体" w:hAnsi="宋体" w:cs="宋体"/>
          <w:color w:val="auto"/>
          <w:szCs w:val="21"/>
          <w:highlight w:val="none"/>
        </w:rPr>
        <w:t>元。</w:t>
      </w:r>
    </w:p>
    <w:p w14:paraId="7D41FC10">
      <w:pPr>
        <w:pStyle w:val="3"/>
        <w:spacing w:beforeLines="0"/>
        <w:rPr>
          <w:rFonts w:ascii="Times New Roman" w:hAnsi="Times New Roman" w:cs="Times New Roman"/>
          <w:color w:val="auto"/>
          <w:highlight w:val="none"/>
        </w:rPr>
      </w:pPr>
      <w:bookmarkStart w:id="62" w:name="_Toc11045"/>
      <w:r>
        <w:rPr>
          <w:rFonts w:ascii="Times New Roman" w:hAnsi="Times New Roman" w:cs="Times New Roman"/>
          <w:color w:val="auto"/>
          <w:highlight w:val="none"/>
        </w:rPr>
        <w:t>四、提交投标文件</w:t>
      </w:r>
      <w:bookmarkEnd w:id="52"/>
      <w:bookmarkEnd w:id="53"/>
      <w:r>
        <w:rPr>
          <w:rFonts w:ascii="Times New Roman" w:hAnsi="Times New Roman" w:cs="Times New Roman"/>
          <w:color w:val="auto"/>
          <w:highlight w:val="none"/>
        </w:rPr>
        <w:t>截止时间、开标时间和地点</w:t>
      </w:r>
      <w:bookmarkEnd w:id="54"/>
      <w:bookmarkEnd w:id="55"/>
      <w:bookmarkEnd w:id="56"/>
      <w:bookmarkEnd w:id="57"/>
      <w:bookmarkEnd w:id="58"/>
      <w:bookmarkEnd w:id="62"/>
    </w:p>
    <w:p w14:paraId="30770E50">
      <w:pPr>
        <w:ind w:firstLine="422"/>
        <w:rPr>
          <w:rFonts w:ascii="宋体" w:hAnsi="宋体" w:cs="宋体"/>
          <w:bCs/>
          <w:color w:val="auto"/>
          <w:szCs w:val="21"/>
          <w:highlight w:val="none"/>
          <w:u w:val="single"/>
        </w:rPr>
      </w:pPr>
      <w:r>
        <w:rPr>
          <w:rFonts w:hint="eastAsia" w:ascii="宋体" w:hAnsi="宋体" w:cs="宋体"/>
          <w:b/>
          <w:bCs/>
          <w:color w:val="auto"/>
          <w:szCs w:val="21"/>
          <w:highlight w:val="none"/>
        </w:rPr>
        <w:t>截止时间、开标时间：</w:t>
      </w:r>
      <w:r>
        <w:rPr>
          <w:rFonts w:hint="eastAsia" w:ascii="宋体" w:hAnsi="宋体" w:cs="宋体"/>
          <w:color w:val="auto"/>
          <w:szCs w:val="21"/>
          <w:highlight w:val="none"/>
        </w:rPr>
        <w:t>2026年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点</w:t>
      </w:r>
      <w:r>
        <w:rPr>
          <w:rFonts w:hint="eastAsia" w:ascii="宋体" w:hAnsi="宋体" w:cs="宋体"/>
          <w:color w:val="auto"/>
          <w:szCs w:val="21"/>
          <w:highlight w:val="none"/>
          <w:lang w:val="en-US" w:eastAsia="zh-CN"/>
        </w:rPr>
        <w:t>00</w:t>
      </w:r>
      <w:r>
        <w:rPr>
          <w:rFonts w:hint="eastAsia" w:ascii="宋体" w:hAnsi="宋体" w:cs="宋体"/>
          <w:color w:val="auto"/>
          <w:szCs w:val="21"/>
          <w:highlight w:val="none"/>
        </w:rPr>
        <w:t>分</w:t>
      </w:r>
      <w:r>
        <w:rPr>
          <w:rFonts w:hint="eastAsia" w:ascii="宋体" w:hAnsi="宋体" w:cs="宋体"/>
          <w:bCs/>
          <w:color w:val="auto"/>
          <w:szCs w:val="21"/>
          <w:highlight w:val="none"/>
        </w:rPr>
        <w:t>（北京时间）。</w:t>
      </w:r>
    </w:p>
    <w:p w14:paraId="334A9C21">
      <w:pPr>
        <w:ind w:firstLine="422"/>
        <w:rPr>
          <w:rFonts w:ascii="宋体" w:hAnsi="宋体" w:cs="宋体"/>
          <w:color w:val="auto"/>
          <w:szCs w:val="21"/>
          <w:highlight w:val="none"/>
        </w:rPr>
      </w:pPr>
      <w:r>
        <w:rPr>
          <w:rFonts w:hint="eastAsia" w:ascii="宋体" w:hAnsi="宋体" w:cs="宋体"/>
          <w:b/>
          <w:bCs/>
          <w:color w:val="auto"/>
          <w:szCs w:val="21"/>
          <w:highlight w:val="none"/>
        </w:rPr>
        <w:t>地点：</w:t>
      </w:r>
      <w:r>
        <w:rPr>
          <w:rFonts w:hint="eastAsia"/>
          <w:color w:val="auto"/>
          <w:highlight w:val="none"/>
        </w:rPr>
        <w:t>云南中咨海外咨询有限公司三楼评标</w:t>
      </w:r>
      <w:r>
        <w:rPr>
          <w:rFonts w:hint="eastAsia"/>
          <w:color w:val="auto"/>
          <w:highlight w:val="none"/>
          <w:lang w:val="en-US" w:eastAsia="zh-CN"/>
        </w:rPr>
        <w:t>三</w:t>
      </w:r>
      <w:r>
        <w:rPr>
          <w:rFonts w:hint="eastAsia"/>
          <w:color w:val="auto"/>
          <w:highlight w:val="none"/>
        </w:rPr>
        <w:t>厅（云南省昆明市滇池度假区中天融域小区17幢1单元），投标人无需到达开标地点，须在</w:t>
      </w:r>
      <w:r>
        <w:rPr>
          <w:rFonts w:hint="eastAsia" w:ascii="宋体" w:hAnsi="宋体" w:cs="宋体"/>
          <w:color w:val="auto"/>
          <w:szCs w:val="21"/>
          <w:highlight w:val="none"/>
        </w:rPr>
        <w:t>政府采购云平台</w:t>
      </w:r>
      <w:r>
        <w:rPr>
          <w:rFonts w:hint="eastAsia"/>
          <w:color w:val="auto"/>
          <w:highlight w:val="none"/>
        </w:rPr>
        <w:t>进行</w:t>
      </w:r>
      <w:r>
        <w:rPr>
          <w:rFonts w:hint="eastAsia"/>
          <w:b/>
          <w:bCs/>
          <w:color w:val="auto"/>
          <w:highlight w:val="none"/>
        </w:rPr>
        <w:t>远程解密</w:t>
      </w:r>
      <w:r>
        <w:rPr>
          <w:rFonts w:hint="eastAsia"/>
          <w:color w:val="auto"/>
          <w:highlight w:val="none"/>
        </w:rPr>
        <w:t>电子版投标文件。</w:t>
      </w:r>
    </w:p>
    <w:p w14:paraId="7B34F36C">
      <w:pPr>
        <w:pStyle w:val="3"/>
        <w:spacing w:beforeLines="0"/>
        <w:rPr>
          <w:rFonts w:ascii="Times New Roman" w:hAnsi="Times New Roman" w:cs="Times New Roman"/>
          <w:color w:val="auto"/>
          <w:highlight w:val="none"/>
        </w:rPr>
      </w:pPr>
      <w:bookmarkStart w:id="63" w:name="_Toc11901"/>
      <w:bookmarkStart w:id="64" w:name="_Toc35393794"/>
      <w:bookmarkStart w:id="65" w:name="_Toc28359084"/>
      <w:bookmarkStart w:id="66" w:name="_Toc18082"/>
      <w:bookmarkStart w:id="67" w:name="_Toc29729"/>
      <w:bookmarkStart w:id="68" w:name="_Toc35393625"/>
      <w:bookmarkStart w:id="69" w:name="_Toc28359007"/>
      <w:bookmarkStart w:id="70" w:name="_Toc22439"/>
      <w:bookmarkStart w:id="71" w:name="_Toc26157"/>
      <w:r>
        <w:rPr>
          <w:rFonts w:ascii="Times New Roman" w:hAnsi="Times New Roman" w:cs="Times New Roman"/>
          <w:color w:val="auto"/>
          <w:highlight w:val="none"/>
        </w:rPr>
        <w:t>五、公告期限</w:t>
      </w:r>
      <w:bookmarkEnd w:id="63"/>
      <w:bookmarkEnd w:id="64"/>
      <w:bookmarkEnd w:id="65"/>
      <w:bookmarkEnd w:id="66"/>
      <w:bookmarkEnd w:id="67"/>
      <w:bookmarkEnd w:id="68"/>
      <w:bookmarkEnd w:id="69"/>
      <w:bookmarkEnd w:id="70"/>
      <w:bookmarkEnd w:id="71"/>
    </w:p>
    <w:p w14:paraId="408EEC27">
      <w:pPr>
        <w:ind w:firstLine="42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4C228396">
      <w:pPr>
        <w:pStyle w:val="3"/>
        <w:spacing w:beforeLines="0"/>
        <w:rPr>
          <w:rFonts w:ascii="Times New Roman" w:hAnsi="Times New Roman" w:cs="Times New Roman"/>
          <w:color w:val="auto"/>
          <w:highlight w:val="none"/>
        </w:rPr>
      </w:pPr>
      <w:bookmarkStart w:id="72" w:name="_Toc26032"/>
      <w:bookmarkStart w:id="73" w:name="_Toc13693"/>
      <w:bookmarkStart w:id="74" w:name="_Toc31021"/>
      <w:bookmarkStart w:id="75" w:name="_Toc35393626"/>
      <w:bookmarkStart w:id="76" w:name="_Toc23711"/>
      <w:bookmarkStart w:id="77" w:name="_Toc35393795"/>
      <w:bookmarkStart w:id="78" w:name="_Toc20252"/>
      <w:r>
        <w:rPr>
          <w:rFonts w:ascii="Times New Roman" w:hAnsi="Times New Roman" w:cs="Times New Roman"/>
          <w:color w:val="auto"/>
          <w:highlight w:val="none"/>
        </w:rPr>
        <w:t>六、其他补充事宜</w:t>
      </w:r>
      <w:bookmarkEnd w:id="72"/>
      <w:bookmarkEnd w:id="73"/>
      <w:bookmarkEnd w:id="74"/>
      <w:bookmarkEnd w:id="75"/>
      <w:bookmarkEnd w:id="76"/>
      <w:bookmarkEnd w:id="77"/>
      <w:bookmarkEnd w:id="78"/>
    </w:p>
    <w:p w14:paraId="72FE2F10">
      <w:pPr>
        <w:ind w:firstLine="42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w:t>
      </w:r>
      <w:r>
        <w:rPr>
          <w:rFonts w:hint="eastAsia" w:ascii="宋体" w:hAnsi="宋体" w:cs="宋体"/>
          <w:bCs/>
          <w:color w:val="auto"/>
          <w:szCs w:val="21"/>
          <w:highlight w:val="none"/>
        </w:rPr>
        <w:t>本次招标公告</w:t>
      </w:r>
      <w:bookmarkStart w:id="79" w:name="OLE_LINK317"/>
      <w:r>
        <w:rPr>
          <w:rFonts w:hint="eastAsia" w:ascii="宋体" w:hAnsi="宋体" w:cs="宋体"/>
          <w:bCs/>
          <w:color w:val="auto"/>
          <w:szCs w:val="21"/>
          <w:highlight w:val="none"/>
        </w:rPr>
        <w:t>在《云南省</w:t>
      </w:r>
      <w:bookmarkEnd w:id="79"/>
      <w:r>
        <w:rPr>
          <w:rFonts w:hint="eastAsia" w:ascii="宋体" w:hAnsi="宋体" w:cs="宋体"/>
          <w:bCs/>
          <w:color w:val="auto"/>
          <w:szCs w:val="21"/>
          <w:highlight w:val="none"/>
        </w:rPr>
        <w:t>政府采购网》上发布，采购人及采购代理机构对其他网站发布或转载的公告内容不承担任何责任</w:t>
      </w:r>
      <w:r>
        <w:rPr>
          <w:rFonts w:hint="eastAsia" w:ascii="宋体" w:hAnsi="宋体" w:cs="宋体"/>
          <w:color w:val="auto"/>
          <w:szCs w:val="21"/>
          <w:highlight w:val="none"/>
        </w:rPr>
        <w:t>。</w:t>
      </w:r>
    </w:p>
    <w:p w14:paraId="5057FB40">
      <w:pPr>
        <w:ind w:firstLine="420"/>
        <w:rPr>
          <w:rFonts w:ascii="宋体" w:hAnsi="宋体" w:cs="宋体"/>
          <w:b/>
          <w:color w:val="auto"/>
          <w:szCs w:val="21"/>
          <w:highlight w:val="none"/>
          <w:u w:val="single"/>
        </w:rPr>
      </w:pPr>
      <w:r>
        <w:rPr>
          <w:rFonts w:hint="eastAsia" w:ascii="宋体" w:hAnsi="宋体" w:cs="宋体"/>
          <w:color w:val="auto"/>
          <w:szCs w:val="21"/>
          <w:highlight w:val="none"/>
        </w:rPr>
        <w:t>2.采购项目需要落实的政府采购政策：</w:t>
      </w:r>
      <w:r>
        <w:rPr>
          <w:rFonts w:hint="eastAsia" w:ascii="宋体" w:hAnsi="宋体" w:cs="宋体"/>
          <w:b/>
          <w:color w:val="auto"/>
          <w:szCs w:val="21"/>
          <w:highlight w:val="none"/>
          <w:u w:val="single"/>
        </w:rPr>
        <w:t>政府采购节能产品、环境标志产品政策，政府采购促进中小企业发展政策，政府采购支持监狱企业发展政策，政府采购促进残疾人就业政策，政府采购实施本国产品标准相关政策等。</w:t>
      </w:r>
    </w:p>
    <w:p w14:paraId="726576EF">
      <w:pPr>
        <w:ind w:firstLine="420"/>
        <w:rPr>
          <w:rFonts w:ascii="宋体" w:hAnsi="宋体" w:cs="宋体"/>
          <w:bCs/>
          <w:color w:val="auto"/>
          <w:szCs w:val="21"/>
          <w:highlight w:val="none"/>
        </w:rPr>
      </w:pPr>
      <w:bookmarkStart w:id="80" w:name="_Toc28359085"/>
      <w:bookmarkStart w:id="81" w:name="_Toc32637"/>
      <w:bookmarkStart w:id="82" w:name="_Toc12949"/>
      <w:bookmarkStart w:id="83" w:name="_Toc30872"/>
      <w:bookmarkStart w:id="84" w:name="_Toc35393627"/>
      <w:bookmarkStart w:id="85" w:name="_Toc28359008"/>
      <w:bookmarkStart w:id="86" w:name="_Toc7673"/>
      <w:bookmarkStart w:id="87" w:name="_Toc35393796"/>
      <w:bookmarkStart w:id="88" w:name="_Toc9142"/>
      <w:r>
        <w:rPr>
          <w:rFonts w:hint="eastAsia" w:ascii="Times New Roman" w:hAnsi="Times New Roman" w:cs="Times New Roman"/>
          <w:color w:val="auto"/>
          <w:highlight w:val="none"/>
        </w:rPr>
        <w:t>3.</w:t>
      </w:r>
      <w:r>
        <w:rPr>
          <w:rFonts w:hint="eastAsia" w:ascii="宋体" w:hAnsi="宋体" w:cs="宋体"/>
          <w:bCs/>
          <w:color w:val="auto"/>
          <w:szCs w:val="21"/>
          <w:highlight w:val="none"/>
        </w:rPr>
        <w:t>本项目实行网上投标，采用电子投标文件。投标人按照采购文件规定和电子交易平台操作流程要求，参加政府采购电子化交易活动。因未完成注册、未办理CA数字证书等原因造成无法投标或投标失败的，自行承担责任。</w:t>
      </w:r>
    </w:p>
    <w:p w14:paraId="2A6991E1">
      <w:pPr>
        <w:ind w:firstLine="420"/>
        <w:rPr>
          <w:rFonts w:ascii="Times New Roman" w:hAnsi="Times New Roman" w:eastAsia="黑体" w:cs="Times New Roman"/>
          <w:color w:val="auto"/>
          <w:highlight w:val="none"/>
        </w:rPr>
      </w:pPr>
      <w:r>
        <w:rPr>
          <w:rFonts w:hint="eastAsia" w:ascii="宋体" w:hAnsi="宋体" w:cs="宋体"/>
          <w:bCs/>
          <w:color w:val="auto"/>
          <w:szCs w:val="21"/>
          <w:highlight w:val="none"/>
        </w:rPr>
        <w:t>4.为进一步发挥政府采购政策功能，支持和促进中小企业发展，鼓励供应商使用电子保函/保证保险替代投标、履约保证金，支持供应商基于成交项目进行合同融资。供应商可登录【云南省政府采购金融服务支撑平台】（https://jinrong.zcygov.cn/luban/finance/yunnan）进行了解和办理。</w:t>
      </w:r>
    </w:p>
    <w:p w14:paraId="6DE60500">
      <w:pPr>
        <w:pStyle w:val="3"/>
        <w:spacing w:beforeLines="0"/>
        <w:rPr>
          <w:rFonts w:ascii="Times New Roman" w:hAnsi="Times New Roman" w:cs="Times New Roman"/>
          <w:color w:val="auto"/>
          <w:highlight w:val="none"/>
        </w:rPr>
      </w:pPr>
      <w:r>
        <w:rPr>
          <w:rFonts w:ascii="Times New Roman" w:hAnsi="Times New Roman" w:cs="Times New Roman"/>
          <w:color w:val="auto"/>
          <w:highlight w:val="none"/>
        </w:rPr>
        <w:t>七、对本次招标提出询问，请按以下方式联系</w:t>
      </w:r>
      <w:bookmarkEnd w:id="80"/>
      <w:bookmarkEnd w:id="81"/>
      <w:bookmarkEnd w:id="82"/>
      <w:bookmarkEnd w:id="83"/>
      <w:bookmarkEnd w:id="84"/>
      <w:bookmarkEnd w:id="85"/>
      <w:bookmarkEnd w:id="86"/>
      <w:bookmarkEnd w:id="87"/>
      <w:bookmarkEnd w:id="88"/>
    </w:p>
    <w:p w14:paraId="1BEC8AC9">
      <w:pPr>
        <w:ind w:firstLine="422"/>
        <w:rPr>
          <w:rFonts w:ascii="宋体" w:hAnsi="宋体" w:cs="宋体"/>
          <w:b/>
          <w:bCs/>
          <w:color w:val="auto"/>
          <w:szCs w:val="21"/>
          <w:highlight w:val="none"/>
        </w:rPr>
      </w:pPr>
      <w:r>
        <w:rPr>
          <w:rFonts w:hint="eastAsia" w:ascii="宋体" w:hAnsi="宋体" w:cs="宋体"/>
          <w:b/>
          <w:bCs/>
          <w:color w:val="auto"/>
          <w:szCs w:val="21"/>
          <w:highlight w:val="none"/>
        </w:rPr>
        <w:t>1.采购人信息</w:t>
      </w:r>
    </w:p>
    <w:p w14:paraId="0CF2BED0">
      <w:pPr>
        <w:ind w:firstLine="420"/>
        <w:rPr>
          <w:rFonts w:ascii="宋体" w:hAnsi="宋体" w:cs="宋体"/>
          <w:color w:val="auto"/>
          <w:szCs w:val="21"/>
          <w:highlight w:val="none"/>
        </w:rPr>
      </w:pPr>
      <w:bookmarkStart w:id="89" w:name="_Toc28359009"/>
      <w:bookmarkStart w:id="90" w:name="_Toc28359086"/>
      <w:r>
        <w:rPr>
          <w:rFonts w:hint="eastAsia" w:ascii="宋体" w:hAnsi="宋体" w:cs="宋体"/>
          <w:color w:val="auto"/>
          <w:szCs w:val="21"/>
          <w:highlight w:val="none"/>
        </w:rPr>
        <w:t>名称：昆明市盘龙区滇源街道中心卫生院</w:t>
      </w:r>
    </w:p>
    <w:p w14:paraId="752FAC67">
      <w:pPr>
        <w:ind w:firstLine="420"/>
        <w:rPr>
          <w:rFonts w:ascii="宋体" w:hAnsi="宋体" w:cs="宋体"/>
          <w:color w:val="auto"/>
          <w:kern w:val="0"/>
          <w:szCs w:val="21"/>
          <w:highlight w:val="none"/>
        </w:rPr>
      </w:pPr>
      <w:r>
        <w:rPr>
          <w:rFonts w:hint="eastAsia" w:ascii="宋体" w:hAnsi="宋体" w:cs="宋体"/>
          <w:color w:val="auto"/>
          <w:szCs w:val="21"/>
          <w:highlight w:val="none"/>
        </w:rPr>
        <w:t>地址：昆明市盘龙区滇源街道白马路14号</w:t>
      </w:r>
    </w:p>
    <w:p w14:paraId="20DE38F8">
      <w:pPr>
        <w:ind w:firstLine="420"/>
        <w:rPr>
          <w:rFonts w:ascii="宋体" w:hAnsi="宋体" w:cs="宋体"/>
          <w:color w:val="auto"/>
          <w:szCs w:val="21"/>
          <w:highlight w:val="none"/>
        </w:rPr>
      </w:pPr>
      <w:r>
        <w:rPr>
          <w:rFonts w:hint="eastAsia" w:ascii="宋体" w:hAnsi="宋体" w:cs="宋体"/>
          <w:color w:val="auto"/>
          <w:szCs w:val="21"/>
          <w:highlight w:val="none"/>
        </w:rPr>
        <w:t>联系方式：毛老师（0871-67957162）</w:t>
      </w:r>
    </w:p>
    <w:p w14:paraId="4211184F">
      <w:pPr>
        <w:ind w:firstLine="422"/>
        <w:rPr>
          <w:rFonts w:ascii="宋体" w:hAnsi="宋体" w:cs="宋体"/>
          <w:b/>
          <w:bCs/>
          <w:color w:val="auto"/>
          <w:szCs w:val="21"/>
          <w:highlight w:val="none"/>
        </w:rPr>
      </w:pPr>
      <w:r>
        <w:rPr>
          <w:rFonts w:hint="eastAsia" w:ascii="宋体" w:hAnsi="宋体" w:cs="宋体"/>
          <w:b/>
          <w:bCs/>
          <w:color w:val="auto"/>
          <w:szCs w:val="21"/>
          <w:highlight w:val="none"/>
        </w:rPr>
        <w:t>2.</w:t>
      </w:r>
      <w:bookmarkEnd w:id="18"/>
      <w:bookmarkEnd w:id="89"/>
      <w:bookmarkEnd w:id="90"/>
      <w:r>
        <w:rPr>
          <w:rFonts w:hint="eastAsia" w:ascii="宋体" w:hAnsi="宋体" w:cs="宋体"/>
          <w:b/>
          <w:bCs/>
          <w:color w:val="auto"/>
          <w:szCs w:val="21"/>
          <w:highlight w:val="none"/>
        </w:rPr>
        <w:t>采购代理机构信息</w:t>
      </w:r>
    </w:p>
    <w:p w14:paraId="24C19CD1">
      <w:pPr>
        <w:ind w:firstLine="420"/>
        <w:rPr>
          <w:rFonts w:ascii="宋体" w:hAnsi="宋体" w:cs="宋体"/>
          <w:color w:val="auto"/>
          <w:kern w:val="0"/>
          <w:szCs w:val="21"/>
          <w:highlight w:val="none"/>
        </w:rPr>
      </w:pPr>
      <w:r>
        <w:rPr>
          <w:rFonts w:hint="eastAsia" w:ascii="宋体" w:hAnsi="宋体" w:cs="宋体"/>
          <w:color w:val="auto"/>
          <w:kern w:val="0"/>
          <w:szCs w:val="21"/>
          <w:highlight w:val="none"/>
        </w:rPr>
        <w:t>名称：云南中咨海外咨询有限公司</w:t>
      </w:r>
    </w:p>
    <w:p w14:paraId="025A28B3">
      <w:pPr>
        <w:ind w:firstLine="420"/>
        <w:rPr>
          <w:rFonts w:ascii="宋体" w:hAnsi="宋体" w:cs="宋体"/>
          <w:color w:val="auto"/>
          <w:kern w:val="0"/>
          <w:szCs w:val="21"/>
          <w:highlight w:val="none"/>
        </w:rPr>
      </w:pPr>
      <w:r>
        <w:rPr>
          <w:rFonts w:hint="eastAsia" w:ascii="宋体" w:hAnsi="宋体" w:cs="宋体"/>
          <w:color w:val="auto"/>
          <w:kern w:val="0"/>
          <w:szCs w:val="21"/>
          <w:highlight w:val="none"/>
        </w:rPr>
        <w:t>地址：云南省昆明市滇池度假区中天融域小区17幢1单元4楼</w:t>
      </w:r>
    </w:p>
    <w:p w14:paraId="66024D3B">
      <w:pPr>
        <w:ind w:firstLine="420"/>
        <w:rPr>
          <w:rFonts w:ascii="宋体" w:hAnsi="宋体" w:cs="宋体"/>
          <w:color w:val="auto"/>
          <w:kern w:val="0"/>
          <w:szCs w:val="21"/>
          <w:highlight w:val="none"/>
        </w:rPr>
      </w:pPr>
      <w:r>
        <w:rPr>
          <w:rFonts w:hint="eastAsia" w:ascii="宋体" w:hAnsi="宋体" w:cs="宋体"/>
          <w:color w:val="auto"/>
          <w:kern w:val="0"/>
          <w:szCs w:val="21"/>
          <w:highlight w:val="none"/>
        </w:rPr>
        <w:t>联系方式：</w:t>
      </w:r>
      <w:bookmarkStart w:id="91" w:name="_Toc28359087"/>
      <w:bookmarkStart w:id="92" w:name="_Toc28359010"/>
      <w:r>
        <w:rPr>
          <w:rFonts w:hint="eastAsia" w:ascii="宋体" w:hAnsi="宋体" w:cs="宋体"/>
          <w:color w:val="auto"/>
          <w:kern w:val="0"/>
          <w:szCs w:val="21"/>
          <w:highlight w:val="none"/>
        </w:rPr>
        <w:t>0871-68101522</w:t>
      </w:r>
    </w:p>
    <w:p w14:paraId="023BB8EE">
      <w:pPr>
        <w:ind w:firstLine="422"/>
        <w:rPr>
          <w:rFonts w:ascii="宋体" w:hAnsi="宋体" w:cs="宋体"/>
          <w:b/>
          <w:bCs/>
          <w:color w:val="auto"/>
          <w:szCs w:val="21"/>
          <w:highlight w:val="none"/>
        </w:rPr>
      </w:pPr>
      <w:r>
        <w:rPr>
          <w:rFonts w:hint="eastAsia" w:ascii="宋体" w:hAnsi="宋体" w:cs="宋体"/>
          <w:b/>
          <w:bCs/>
          <w:color w:val="auto"/>
          <w:szCs w:val="21"/>
          <w:highlight w:val="none"/>
        </w:rPr>
        <w:t>3.项目联系方式</w:t>
      </w:r>
      <w:bookmarkEnd w:id="91"/>
      <w:bookmarkEnd w:id="92"/>
    </w:p>
    <w:p w14:paraId="66220745">
      <w:pPr>
        <w:ind w:firstLine="420"/>
        <w:rPr>
          <w:rFonts w:ascii="宋体" w:hAnsi="宋体" w:cs="宋体"/>
          <w:color w:val="auto"/>
          <w:kern w:val="0"/>
          <w:szCs w:val="21"/>
          <w:highlight w:val="none"/>
        </w:rPr>
      </w:pPr>
      <w:r>
        <w:rPr>
          <w:rFonts w:hint="eastAsia" w:ascii="宋体" w:hAnsi="宋体" w:cs="宋体"/>
          <w:color w:val="auto"/>
          <w:kern w:val="0"/>
          <w:szCs w:val="21"/>
          <w:highlight w:val="none"/>
        </w:rPr>
        <w:t>项目联系人：李娜、吴昊珊、陈生媛、罗枝维、李宇、土杰灵、杨涵屹、李婷、李杰</w:t>
      </w:r>
    </w:p>
    <w:p w14:paraId="47C1A43E">
      <w:pPr>
        <w:ind w:firstLine="420"/>
        <w:rPr>
          <w:rFonts w:ascii="宋体" w:hAnsi="宋体" w:cs="宋体"/>
          <w:color w:val="auto"/>
          <w:kern w:val="0"/>
          <w:szCs w:val="21"/>
          <w:highlight w:val="none"/>
        </w:rPr>
      </w:pPr>
      <w:r>
        <w:rPr>
          <w:rFonts w:hint="eastAsia" w:ascii="宋体" w:hAnsi="宋体" w:cs="宋体"/>
          <w:color w:val="auto"/>
          <w:kern w:val="0"/>
          <w:szCs w:val="21"/>
          <w:highlight w:val="none"/>
        </w:rPr>
        <w:t>电话：0871-68101522</w:t>
      </w:r>
    </w:p>
    <w:p w14:paraId="21AF9CA4">
      <w:pPr>
        <w:ind w:firstLine="480"/>
        <w:rPr>
          <w:rFonts w:ascii="宋体" w:hAnsi="宋体" w:cs="宋体"/>
          <w:color w:val="auto"/>
          <w:sz w:val="24"/>
          <w:szCs w:val="24"/>
          <w:highlight w:val="none"/>
        </w:rPr>
      </w:pPr>
      <w:r>
        <w:rPr>
          <w:rFonts w:ascii="宋体" w:hAnsi="宋体" w:cs="宋体"/>
          <w:color w:val="auto"/>
          <w:sz w:val="24"/>
          <w:szCs w:val="24"/>
          <w:highlight w:val="none"/>
        </w:rPr>
        <w:br w:type="page"/>
      </w:r>
    </w:p>
    <w:p w14:paraId="23A0AB83">
      <w:pPr>
        <w:pStyle w:val="2"/>
        <w:spacing w:beforeLines="0"/>
        <w:rPr>
          <w:rFonts w:ascii="Times New Roman" w:hAnsi="Times New Roman" w:cs="Times New Roman"/>
          <w:color w:val="auto"/>
          <w:highlight w:val="none"/>
        </w:rPr>
      </w:pPr>
      <w:bookmarkStart w:id="93" w:name="_Toc38338266"/>
      <w:bookmarkStart w:id="94" w:name="_Toc10769"/>
      <w:bookmarkStart w:id="95" w:name="OLE_LINK173"/>
      <w:r>
        <w:rPr>
          <w:rFonts w:ascii="Times New Roman" w:hAnsi="Times New Roman" w:cs="Times New Roman"/>
          <w:color w:val="auto"/>
          <w:highlight w:val="none"/>
        </w:rPr>
        <w:t>第二章 投标人须知</w:t>
      </w:r>
      <w:bookmarkEnd w:id="93"/>
      <w:bookmarkEnd w:id="94"/>
    </w:p>
    <w:p w14:paraId="342DCCEF">
      <w:pPr>
        <w:pStyle w:val="3"/>
        <w:spacing w:beforeLines="0"/>
        <w:jc w:val="center"/>
        <w:rPr>
          <w:rFonts w:ascii="Times New Roman" w:hAnsi="Times New Roman" w:cs="Times New Roman"/>
          <w:color w:val="auto"/>
          <w:highlight w:val="none"/>
        </w:rPr>
      </w:pPr>
      <w:bookmarkStart w:id="96" w:name="_Toc38338267"/>
      <w:bookmarkStart w:id="97" w:name="_Toc401342132"/>
      <w:bookmarkStart w:id="98" w:name="_Toc378239349"/>
      <w:bookmarkStart w:id="99" w:name="_Toc378239076"/>
      <w:bookmarkStart w:id="100" w:name="_Toc378239168"/>
      <w:bookmarkStart w:id="101" w:name="_Toc480817642"/>
      <w:bookmarkStart w:id="102" w:name="_Toc489145702"/>
      <w:bookmarkStart w:id="103" w:name="_Toc12595"/>
      <w:bookmarkStart w:id="104" w:name="_Toc488633603"/>
      <w:bookmarkStart w:id="105" w:name="_Toc37716347"/>
      <w:bookmarkStart w:id="106" w:name="_Toc24524"/>
      <w:r>
        <w:rPr>
          <w:rFonts w:ascii="Times New Roman" w:hAnsi="Times New Roman" w:cs="Times New Roman"/>
          <w:color w:val="auto"/>
          <w:highlight w:val="none"/>
        </w:rPr>
        <w:t>投标人须知前附表</w:t>
      </w:r>
      <w:bookmarkEnd w:id="96"/>
      <w:bookmarkEnd w:id="97"/>
      <w:bookmarkEnd w:id="98"/>
      <w:bookmarkEnd w:id="99"/>
      <w:bookmarkEnd w:id="100"/>
      <w:bookmarkEnd w:id="101"/>
      <w:bookmarkEnd w:id="102"/>
      <w:bookmarkEnd w:id="103"/>
      <w:bookmarkEnd w:id="104"/>
      <w:bookmarkEnd w:id="105"/>
      <w:bookmarkEnd w:id="106"/>
    </w:p>
    <w:tbl>
      <w:tblPr>
        <w:tblStyle w:val="34"/>
        <w:tblW w:w="8932"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13"/>
        <w:gridCol w:w="2486"/>
        <w:gridCol w:w="5333"/>
      </w:tblGrid>
      <w:tr w14:paraId="120584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trPr>
        <w:tc>
          <w:tcPr>
            <w:tcW w:w="1113" w:type="dxa"/>
            <w:vAlign w:val="center"/>
          </w:tcPr>
          <w:p w14:paraId="1D46C3D2">
            <w:pPr>
              <w:ind w:firstLine="0" w:firstLineChars="0"/>
              <w:jc w:val="center"/>
              <w:rPr>
                <w:rFonts w:ascii="Times New Roman" w:hAnsi="Times New Roman" w:cs="Times New Roman"/>
                <w:b/>
                <w:color w:val="auto"/>
                <w:szCs w:val="21"/>
                <w:highlight w:val="none"/>
              </w:rPr>
            </w:pPr>
            <w:r>
              <w:rPr>
                <w:rFonts w:ascii="Times New Roman" w:hAnsi="Times New Roman" w:cs="Times New Roman"/>
                <w:b/>
                <w:color w:val="auto"/>
                <w:szCs w:val="21"/>
                <w:highlight w:val="none"/>
              </w:rPr>
              <w:t>条款号</w:t>
            </w:r>
          </w:p>
        </w:tc>
        <w:tc>
          <w:tcPr>
            <w:tcW w:w="2486" w:type="dxa"/>
            <w:vAlign w:val="center"/>
          </w:tcPr>
          <w:p w14:paraId="4874B043">
            <w:pPr>
              <w:ind w:firstLine="0" w:firstLineChars="0"/>
              <w:jc w:val="center"/>
              <w:rPr>
                <w:rFonts w:ascii="Times New Roman" w:hAnsi="Times New Roman" w:cs="Times New Roman"/>
                <w:b/>
                <w:color w:val="auto"/>
                <w:szCs w:val="21"/>
                <w:highlight w:val="none"/>
              </w:rPr>
            </w:pPr>
            <w:r>
              <w:rPr>
                <w:rFonts w:ascii="Times New Roman" w:hAnsi="Times New Roman" w:cs="Times New Roman"/>
                <w:b/>
                <w:color w:val="auto"/>
                <w:szCs w:val="21"/>
                <w:highlight w:val="none"/>
              </w:rPr>
              <w:t>条款名称</w:t>
            </w:r>
          </w:p>
        </w:tc>
        <w:tc>
          <w:tcPr>
            <w:tcW w:w="5333" w:type="dxa"/>
            <w:vAlign w:val="center"/>
          </w:tcPr>
          <w:p w14:paraId="623E3DCC">
            <w:pPr>
              <w:ind w:firstLine="0" w:firstLineChars="0"/>
              <w:jc w:val="center"/>
              <w:rPr>
                <w:rFonts w:ascii="Times New Roman" w:hAnsi="Times New Roman" w:cs="Times New Roman"/>
                <w:b/>
                <w:color w:val="auto"/>
                <w:szCs w:val="21"/>
                <w:highlight w:val="none"/>
              </w:rPr>
            </w:pPr>
            <w:r>
              <w:rPr>
                <w:rFonts w:ascii="Times New Roman" w:hAnsi="Times New Roman" w:cs="Times New Roman"/>
                <w:b/>
                <w:color w:val="auto"/>
                <w:szCs w:val="21"/>
                <w:highlight w:val="none"/>
              </w:rPr>
              <w:t>编列内容</w:t>
            </w:r>
          </w:p>
        </w:tc>
      </w:tr>
      <w:bookmarkEnd w:id="95"/>
      <w:tr w14:paraId="0A415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13" w:type="dxa"/>
            <w:vAlign w:val="center"/>
          </w:tcPr>
          <w:p w14:paraId="1537F265">
            <w:pPr>
              <w:ind w:firstLine="0" w:firstLineChars="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1.1</w:t>
            </w:r>
          </w:p>
        </w:tc>
        <w:tc>
          <w:tcPr>
            <w:tcW w:w="2486" w:type="dxa"/>
            <w:vAlign w:val="center"/>
          </w:tcPr>
          <w:p w14:paraId="7225EA2C">
            <w:pPr>
              <w:ind w:firstLine="0" w:firstLineChars="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采购人</w:t>
            </w:r>
          </w:p>
        </w:tc>
        <w:tc>
          <w:tcPr>
            <w:tcW w:w="5333" w:type="dxa"/>
            <w:vAlign w:val="center"/>
          </w:tcPr>
          <w:p w14:paraId="0FED8E2E">
            <w:pPr>
              <w:ind w:firstLine="0" w:firstLineChars="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昆明市盘龙区滇源街道中心卫生院</w:t>
            </w:r>
          </w:p>
        </w:tc>
      </w:tr>
      <w:tr w14:paraId="34EFBB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1113" w:type="dxa"/>
            <w:vAlign w:val="center"/>
          </w:tcPr>
          <w:p w14:paraId="3CFF8EFD">
            <w:pPr>
              <w:ind w:firstLine="0" w:firstLineChars="0"/>
              <w:jc w:val="center"/>
              <w:rPr>
                <w:rFonts w:ascii="Times New Roman" w:hAnsi="Times New Roman" w:cs="Times New Roman"/>
                <w:color w:val="auto"/>
                <w:szCs w:val="21"/>
                <w:highlight w:val="none"/>
              </w:rPr>
            </w:pPr>
            <w:bookmarkStart w:id="107" w:name="OLE_LINK45" w:colFirst="1" w:colLast="1"/>
            <w:r>
              <w:rPr>
                <w:rFonts w:ascii="Times New Roman" w:hAnsi="Times New Roman" w:cs="Times New Roman"/>
                <w:color w:val="auto"/>
                <w:szCs w:val="21"/>
                <w:highlight w:val="none"/>
              </w:rPr>
              <w:t>1.2</w:t>
            </w:r>
          </w:p>
        </w:tc>
        <w:tc>
          <w:tcPr>
            <w:tcW w:w="2486" w:type="dxa"/>
            <w:vAlign w:val="center"/>
          </w:tcPr>
          <w:p w14:paraId="7668152B">
            <w:pPr>
              <w:ind w:firstLine="0" w:firstLineChars="0"/>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采购代理机构</w:t>
            </w:r>
          </w:p>
        </w:tc>
        <w:tc>
          <w:tcPr>
            <w:tcW w:w="5333" w:type="dxa"/>
            <w:vAlign w:val="center"/>
          </w:tcPr>
          <w:p w14:paraId="044AFB9E">
            <w:pPr>
              <w:ind w:firstLine="0" w:firstLineChars="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云南中咨海外咨询有限公司</w:t>
            </w:r>
          </w:p>
        </w:tc>
      </w:tr>
      <w:bookmarkEnd w:id="107"/>
      <w:tr w14:paraId="577002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1" w:hRule="atLeast"/>
        </w:trPr>
        <w:tc>
          <w:tcPr>
            <w:tcW w:w="1113" w:type="dxa"/>
            <w:vAlign w:val="center"/>
          </w:tcPr>
          <w:p w14:paraId="76F1F064">
            <w:pPr>
              <w:ind w:firstLine="0" w:firstLineChars="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2.1</w:t>
            </w:r>
          </w:p>
        </w:tc>
        <w:tc>
          <w:tcPr>
            <w:tcW w:w="2486" w:type="dxa"/>
            <w:vAlign w:val="center"/>
          </w:tcPr>
          <w:p w14:paraId="321F38DE">
            <w:pPr>
              <w:ind w:firstLine="0" w:firstLineChars="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项目名称及项目编号</w:t>
            </w:r>
          </w:p>
        </w:tc>
        <w:tc>
          <w:tcPr>
            <w:tcW w:w="5333" w:type="dxa"/>
            <w:vAlign w:val="center"/>
          </w:tcPr>
          <w:p w14:paraId="0472E967">
            <w:pPr>
              <w:ind w:firstLine="0" w:firstLineChars="0"/>
              <w:rPr>
                <w:rFonts w:ascii="Times New Roman" w:hAnsi="Times New Roman" w:cs="Times New Roman"/>
                <w:color w:val="auto"/>
                <w:szCs w:val="21"/>
                <w:highlight w:val="none"/>
              </w:rPr>
            </w:pPr>
            <w:r>
              <w:rPr>
                <w:rFonts w:ascii="Times New Roman" w:hAnsi="Times New Roman" w:cs="Times New Roman"/>
                <w:color w:val="auto"/>
                <w:szCs w:val="21"/>
                <w:highlight w:val="none"/>
              </w:rPr>
              <w:t>项目名称：</w:t>
            </w:r>
            <w:r>
              <w:rPr>
                <w:rFonts w:hint="eastAsia" w:ascii="Times New Roman" w:hAnsi="Times New Roman" w:cs="Times New Roman"/>
                <w:color w:val="auto"/>
                <w:szCs w:val="21"/>
                <w:highlight w:val="none"/>
              </w:rPr>
              <w:t>昆明市盘龙区滇源街道中心卫生院重点中心乡镇卫生院提质建设项目医疗设备采购</w:t>
            </w:r>
          </w:p>
          <w:p w14:paraId="25767858">
            <w:pPr>
              <w:ind w:firstLine="0" w:firstLineChars="0"/>
              <w:rPr>
                <w:rFonts w:hint="eastAsia" w:ascii="Times New Roman" w:hAnsi="Times New Roman" w:eastAsia="宋体" w:cs="Times New Roman"/>
                <w:color w:val="auto"/>
                <w:szCs w:val="21"/>
                <w:highlight w:val="none"/>
                <w:lang w:eastAsia="zh-CN"/>
              </w:rPr>
            </w:pPr>
            <w:r>
              <w:rPr>
                <w:rFonts w:ascii="Times New Roman" w:hAnsi="Times New Roman" w:cs="Times New Roman"/>
                <w:color w:val="auto"/>
                <w:szCs w:val="21"/>
                <w:highlight w:val="none"/>
              </w:rPr>
              <w:t>项目编号：</w:t>
            </w: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KMZC2026-G1-00747-YNZZ-0192</w:t>
            </w:r>
          </w:p>
        </w:tc>
      </w:tr>
      <w:tr w14:paraId="75E811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1113" w:type="dxa"/>
            <w:vAlign w:val="center"/>
          </w:tcPr>
          <w:p w14:paraId="443FDD49">
            <w:pPr>
              <w:ind w:firstLine="0" w:firstLineChars="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2.2</w:t>
            </w:r>
          </w:p>
        </w:tc>
        <w:tc>
          <w:tcPr>
            <w:tcW w:w="2486" w:type="dxa"/>
            <w:vAlign w:val="center"/>
          </w:tcPr>
          <w:p w14:paraId="026A067C">
            <w:pPr>
              <w:ind w:firstLine="0" w:firstLineChars="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预算金额及最高限价</w:t>
            </w:r>
          </w:p>
        </w:tc>
        <w:tc>
          <w:tcPr>
            <w:tcW w:w="5333" w:type="dxa"/>
            <w:vAlign w:val="center"/>
          </w:tcPr>
          <w:p w14:paraId="303B9A9F">
            <w:pPr>
              <w:ind w:firstLine="0" w:firstLineChars="0"/>
              <w:rPr>
                <w:rFonts w:ascii="Times New Roman" w:hAnsi="Times New Roman" w:cs="Times New Roman"/>
                <w:color w:val="auto"/>
                <w:szCs w:val="21"/>
                <w:highlight w:val="none"/>
              </w:rPr>
            </w:pPr>
            <w:r>
              <w:rPr>
                <w:rFonts w:ascii="Times New Roman" w:hAnsi="Times New Roman" w:cs="Times New Roman"/>
                <w:color w:val="auto"/>
                <w:szCs w:val="21"/>
                <w:highlight w:val="none"/>
              </w:rPr>
              <w:t>详见招标文件第一章《招标公告》</w:t>
            </w:r>
          </w:p>
        </w:tc>
      </w:tr>
      <w:tr w14:paraId="5C7659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17" w:hRule="atLeast"/>
        </w:trPr>
        <w:tc>
          <w:tcPr>
            <w:tcW w:w="1113" w:type="dxa"/>
            <w:vAlign w:val="center"/>
          </w:tcPr>
          <w:p w14:paraId="6443AA0A">
            <w:pPr>
              <w:ind w:firstLine="0" w:firstLineChars="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2.3</w:t>
            </w:r>
          </w:p>
        </w:tc>
        <w:tc>
          <w:tcPr>
            <w:tcW w:w="2486" w:type="dxa"/>
            <w:vAlign w:val="center"/>
          </w:tcPr>
          <w:p w14:paraId="1818CD80">
            <w:pPr>
              <w:ind w:firstLine="0" w:firstLineChars="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采购需求</w:t>
            </w:r>
          </w:p>
        </w:tc>
        <w:tc>
          <w:tcPr>
            <w:tcW w:w="5333" w:type="dxa"/>
            <w:vAlign w:val="center"/>
          </w:tcPr>
          <w:p w14:paraId="21409637">
            <w:pPr>
              <w:ind w:firstLine="0" w:firstLineChars="0"/>
              <w:rPr>
                <w:rFonts w:ascii="Times New Roman" w:hAnsi="Times New Roman" w:cs="Times New Roman"/>
                <w:color w:val="auto"/>
                <w:szCs w:val="21"/>
                <w:highlight w:val="none"/>
              </w:rPr>
            </w:pPr>
            <w:r>
              <w:rPr>
                <w:rFonts w:ascii="Times New Roman" w:hAnsi="Times New Roman" w:cs="Times New Roman"/>
                <w:color w:val="auto"/>
                <w:szCs w:val="21"/>
                <w:highlight w:val="none"/>
              </w:rPr>
              <w:t>详见招标文件第一章《招标公告》，具体要求等详见本招标文件第五章《采购需求》</w:t>
            </w:r>
          </w:p>
        </w:tc>
      </w:tr>
      <w:tr w14:paraId="5E9D56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1113" w:type="dxa"/>
            <w:vAlign w:val="center"/>
          </w:tcPr>
          <w:p w14:paraId="0AE10FE0">
            <w:pPr>
              <w:ind w:firstLine="0" w:firstLineChars="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2.4</w:t>
            </w:r>
          </w:p>
        </w:tc>
        <w:tc>
          <w:tcPr>
            <w:tcW w:w="2486" w:type="dxa"/>
            <w:vAlign w:val="center"/>
          </w:tcPr>
          <w:p w14:paraId="154EA3E3">
            <w:pPr>
              <w:ind w:firstLine="0" w:firstLineChars="0"/>
              <w:jc w:val="center"/>
              <w:rPr>
                <w:rFonts w:ascii="Times New Roman" w:hAnsi="Times New Roman" w:cs="Times New Roman"/>
                <w:color w:val="auto"/>
                <w:szCs w:val="21"/>
                <w:highlight w:val="none"/>
              </w:rPr>
            </w:pPr>
            <w:r>
              <w:rPr>
                <w:rFonts w:hint="eastAsia" w:ascii="Times New Roman" w:hAnsi="Times New Roman" w:cs="Times New Roman"/>
                <w:bCs/>
                <w:color w:val="auto"/>
                <w:szCs w:val="21"/>
                <w:highlight w:val="none"/>
              </w:rPr>
              <w:t>交货期及</w:t>
            </w:r>
            <w:r>
              <w:rPr>
                <w:rFonts w:ascii="Times New Roman" w:hAnsi="Times New Roman" w:cs="Times New Roman"/>
                <w:bCs/>
                <w:color w:val="auto"/>
                <w:szCs w:val="21"/>
                <w:highlight w:val="none"/>
              </w:rPr>
              <w:t>合同履行期限</w:t>
            </w:r>
          </w:p>
        </w:tc>
        <w:tc>
          <w:tcPr>
            <w:tcW w:w="5333" w:type="dxa"/>
            <w:vAlign w:val="center"/>
          </w:tcPr>
          <w:p w14:paraId="4D389CE6">
            <w:pPr>
              <w:ind w:firstLine="0" w:firstLineChars="0"/>
              <w:rPr>
                <w:rFonts w:ascii="Times New Roman" w:hAnsi="Times New Roman" w:cs="Times New Roman"/>
                <w:color w:val="auto"/>
                <w:szCs w:val="21"/>
                <w:highlight w:val="none"/>
              </w:rPr>
            </w:pPr>
            <w:r>
              <w:rPr>
                <w:rFonts w:ascii="Times New Roman" w:hAnsi="Times New Roman" w:cs="Times New Roman"/>
                <w:color w:val="auto"/>
                <w:szCs w:val="21"/>
                <w:highlight w:val="none"/>
              </w:rPr>
              <w:t>详见招标文件第一章《招标公告》</w:t>
            </w:r>
          </w:p>
        </w:tc>
      </w:tr>
      <w:tr w14:paraId="2411E2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7" w:hRule="atLeast"/>
        </w:trPr>
        <w:tc>
          <w:tcPr>
            <w:tcW w:w="1113" w:type="dxa"/>
            <w:vAlign w:val="center"/>
          </w:tcPr>
          <w:p w14:paraId="5E11AF1E">
            <w:pPr>
              <w:ind w:firstLine="0" w:firstLineChars="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2.5</w:t>
            </w:r>
          </w:p>
        </w:tc>
        <w:tc>
          <w:tcPr>
            <w:tcW w:w="2486" w:type="dxa"/>
            <w:vAlign w:val="center"/>
          </w:tcPr>
          <w:p w14:paraId="7FE06FD9">
            <w:pPr>
              <w:ind w:firstLine="0" w:firstLineChars="0"/>
              <w:jc w:val="center"/>
              <w:rPr>
                <w:rFonts w:ascii="Times New Roman" w:hAnsi="Times New Roman" w:cs="Times New Roman"/>
                <w:color w:val="auto"/>
                <w:szCs w:val="21"/>
                <w:highlight w:val="none"/>
              </w:rPr>
            </w:pPr>
            <w:bookmarkStart w:id="108" w:name="OLE_LINK3"/>
            <w:r>
              <w:rPr>
                <w:rFonts w:hint="eastAsia" w:ascii="Times New Roman" w:hAnsi="Times New Roman" w:cs="Times New Roman"/>
                <w:color w:val="auto"/>
                <w:szCs w:val="21"/>
                <w:highlight w:val="none"/>
              </w:rPr>
              <w:t>交付（或实施）地点</w:t>
            </w:r>
            <w:bookmarkEnd w:id="108"/>
          </w:p>
        </w:tc>
        <w:tc>
          <w:tcPr>
            <w:tcW w:w="5333" w:type="dxa"/>
            <w:vAlign w:val="center"/>
          </w:tcPr>
          <w:p w14:paraId="1C94F287">
            <w:pPr>
              <w:ind w:firstLine="0" w:firstLineChars="0"/>
              <w:rPr>
                <w:rFonts w:ascii="Times New Roman" w:hAnsi="Times New Roman" w:cs="Times New Roman"/>
                <w:color w:val="auto"/>
                <w:szCs w:val="21"/>
                <w:highlight w:val="none"/>
              </w:rPr>
            </w:pPr>
            <w:r>
              <w:rPr>
                <w:rFonts w:ascii="Times New Roman" w:hAnsi="Times New Roman" w:cs="Times New Roman"/>
                <w:color w:val="auto"/>
                <w:szCs w:val="21"/>
                <w:highlight w:val="none"/>
              </w:rPr>
              <w:t>详见招标</w:t>
            </w:r>
            <w:bookmarkStart w:id="109" w:name="OLE_LINK4"/>
            <w:r>
              <w:rPr>
                <w:rFonts w:ascii="Times New Roman" w:hAnsi="Times New Roman" w:cs="Times New Roman"/>
                <w:color w:val="auto"/>
                <w:szCs w:val="21"/>
                <w:highlight w:val="none"/>
              </w:rPr>
              <w:t>文件第</w:t>
            </w:r>
            <w:bookmarkEnd w:id="109"/>
            <w:r>
              <w:rPr>
                <w:rFonts w:ascii="Times New Roman" w:hAnsi="Times New Roman" w:cs="Times New Roman"/>
                <w:color w:val="auto"/>
                <w:szCs w:val="21"/>
                <w:highlight w:val="none"/>
              </w:rPr>
              <w:t>一章《招标公告》</w:t>
            </w:r>
          </w:p>
        </w:tc>
      </w:tr>
      <w:tr w14:paraId="634544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trPr>
        <w:tc>
          <w:tcPr>
            <w:tcW w:w="1113" w:type="dxa"/>
            <w:vAlign w:val="center"/>
          </w:tcPr>
          <w:p w14:paraId="41B61702">
            <w:pPr>
              <w:ind w:firstLine="0" w:firstLineChars="0"/>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3.1</w:t>
            </w:r>
          </w:p>
        </w:tc>
        <w:tc>
          <w:tcPr>
            <w:tcW w:w="2486" w:type="dxa"/>
            <w:vAlign w:val="center"/>
          </w:tcPr>
          <w:p w14:paraId="5341AD25">
            <w:pPr>
              <w:ind w:firstLine="0" w:firstLineChars="0"/>
              <w:jc w:val="center"/>
              <w:rPr>
                <w:rFonts w:ascii="Times New Roman" w:hAnsi="Times New Roman" w:cs="Times New Roman"/>
                <w:bCs/>
                <w:color w:val="auto"/>
                <w:szCs w:val="21"/>
                <w:highlight w:val="none"/>
              </w:rPr>
            </w:pPr>
            <w:r>
              <w:rPr>
                <w:rFonts w:ascii="Times New Roman" w:hAnsi="Times New Roman" w:cs="Times New Roman"/>
                <w:bCs/>
                <w:color w:val="auto"/>
                <w:szCs w:val="21"/>
                <w:highlight w:val="none"/>
              </w:rPr>
              <w:t>投标人的资格要求</w:t>
            </w:r>
          </w:p>
        </w:tc>
        <w:tc>
          <w:tcPr>
            <w:tcW w:w="5333" w:type="dxa"/>
            <w:vAlign w:val="center"/>
          </w:tcPr>
          <w:p w14:paraId="425154BA">
            <w:pPr>
              <w:ind w:firstLine="0" w:firstLineChars="0"/>
              <w:rPr>
                <w:rFonts w:ascii="Times New Roman" w:hAnsi="Times New Roman" w:cs="Times New Roman"/>
                <w:color w:val="auto"/>
                <w:szCs w:val="21"/>
                <w:highlight w:val="none"/>
              </w:rPr>
            </w:pPr>
            <w:r>
              <w:rPr>
                <w:rFonts w:ascii="Times New Roman" w:hAnsi="Times New Roman" w:cs="Times New Roman"/>
                <w:color w:val="auto"/>
                <w:szCs w:val="21"/>
                <w:highlight w:val="none"/>
              </w:rPr>
              <w:t>详见招标文件第一章《招标公告》</w:t>
            </w:r>
          </w:p>
        </w:tc>
      </w:tr>
      <w:tr w14:paraId="37F6B1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trPr>
        <w:tc>
          <w:tcPr>
            <w:tcW w:w="1113" w:type="dxa"/>
            <w:vAlign w:val="center"/>
          </w:tcPr>
          <w:p w14:paraId="56653268">
            <w:pPr>
              <w:ind w:firstLine="0" w:firstLineChars="0"/>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3.2</w:t>
            </w:r>
          </w:p>
        </w:tc>
        <w:tc>
          <w:tcPr>
            <w:tcW w:w="2486" w:type="dxa"/>
            <w:vAlign w:val="center"/>
          </w:tcPr>
          <w:p w14:paraId="633CF81B">
            <w:pPr>
              <w:ind w:firstLine="0" w:firstLineChars="0"/>
              <w:jc w:val="center"/>
              <w:rPr>
                <w:rFonts w:ascii="Times New Roman" w:hAnsi="Times New Roman" w:cs="Times New Roman"/>
                <w:bCs/>
                <w:color w:val="auto"/>
                <w:szCs w:val="21"/>
                <w:highlight w:val="none"/>
              </w:rPr>
            </w:pPr>
            <w:r>
              <w:rPr>
                <w:rFonts w:ascii="Times New Roman" w:hAnsi="Times New Roman" w:cs="Times New Roman"/>
                <w:bCs/>
                <w:color w:val="auto"/>
                <w:szCs w:val="21"/>
                <w:highlight w:val="none"/>
              </w:rPr>
              <w:t>落实政府采购政策需满足的资格要求</w:t>
            </w:r>
          </w:p>
        </w:tc>
        <w:tc>
          <w:tcPr>
            <w:tcW w:w="5333" w:type="dxa"/>
            <w:vAlign w:val="center"/>
          </w:tcPr>
          <w:p w14:paraId="5B4B0CEB">
            <w:pPr>
              <w:ind w:firstLine="0" w:firstLineChars="0"/>
              <w:rPr>
                <w:rFonts w:ascii="Times New Roman" w:hAnsi="Times New Roman" w:cs="Times New Roman"/>
                <w:color w:val="auto"/>
                <w:szCs w:val="21"/>
                <w:highlight w:val="none"/>
              </w:rPr>
            </w:pPr>
            <w:r>
              <w:rPr>
                <w:rFonts w:ascii="Times New Roman" w:hAnsi="Times New Roman" w:cs="Times New Roman"/>
                <w:color w:val="auto"/>
                <w:szCs w:val="21"/>
                <w:highlight w:val="none"/>
              </w:rPr>
              <w:t>详见</w:t>
            </w:r>
            <w:bookmarkStart w:id="110" w:name="OLE_LINK181"/>
            <w:r>
              <w:rPr>
                <w:rFonts w:ascii="Times New Roman" w:hAnsi="Times New Roman" w:cs="Times New Roman"/>
                <w:color w:val="auto"/>
                <w:szCs w:val="21"/>
                <w:highlight w:val="none"/>
              </w:rPr>
              <w:t>招标文件第一章</w:t>
            </w:r>
            <w:bookmarkEnd w:id="110"/>
            <w:r>
              <w:rPr>
                <w:rFonts w:ascii="Times New Roman" w:hAnsi="Times New Roman" w:cs="Times New Roman"/>
                <w:color w:val="auto"/>
                <w:szCs w:val="21"/>
                <w:highlight w:val="none"/>
              </w:rPr>
              <w:t>《招标公告》</w:t>
            </w:r>
          </w:p>
        </w:tc>
      </w:tr>
      <w:tr w14:paraId="67D63D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1113" w:type="dxa"/>
            <w:vAlign w:val="center"/>
          </w:tcPr>
          <w:p w14:paraId="0D1F6D5B">
            <w:pPr>
              <w:ind w:firstLine="0" w:firstLineChars="0"/>
              <w:jc w:val="center"/>
              <w:rPr>
                <w:rFonts w:ascii="Times New Roman" w:hAnsi="Times New Roman" w:cs="Times New Roman"/>
                <w:color w:val="auto"/>
                <w:szCs w:val="21"/>
                <w:highlight w:val="none"/>
              </w:rPr>
            </w:pPr>
            <w:bookmarkStart w:id="111" w:name="OLE_LINK7" w:colFirst="1" w:colLast="2"/>
            <w:r>
              <w:rPr>
                <w:rFonts w:hint="eastAsia" w:ascii="Times New Roman" w:hAnsi="Times New Roman" w:cs="Times New Roman"/>
                <w:color w:val="auto"/>
                <w:szCs w:val="21"/>
                <w:highlight w:val="none"/>
              </w:rPr>
              <w:t>3.3</w:t>
            </w:r>
          </w:p>
        </w:tc>
        <w:tc>
          <w:tcPr>
            <w:tcW w:w="2486" w:type="dxa"/>
            <w:vAlign w:val="center"/>
          </w:tcPr>
          <w:p w14:paraId="05D8D995">
            <w:pPr>
              <w:ind w:firstLine="0" w:firstLineChars="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本项目的特定资格要求</w:t>
            </w:r>
          </w:p>
        </w:tc>
        <w:tc>
          <w:tcPr>
            <w:tcW w:w="5333" w:type="dxa"/>
            <w:vAlign w:val="center"/>
          </w:tcPr>
          <w:p w14:paraId="1A1E0446">
            <w:pPr>
              <w:ind w:firstLine="0" w:firstLineChars="0"/>
              <w:jc w:val="left"/>
              <w:rPr>
                <w:rFonts w:ascii="Times New Roman" w:hAnsi="Times New Roman" w:cs="Times New Roman"/>
                <w:color w:val="auto"/>
                <w:szCs w:val="21"/>
                <w:highlight w:val="none"/>
              </w:rPr>
            </w:pPr>
            <w:r>
              <w:rPr>
                <w:rFonts w:ascii="Times New Roman" w:hAnsi="Times New Roman" w:cs="Times New Roman"/>
                <w:color w:val="auto"/>
                <w:szCs w:val="21"/>
                <w:highlight w:val="none"/>
              </w:rPr>
              <w:t>详见招标文件第一章《招标公告》</w:t>
            </w:r>
          </w:p>
        </w:tc>
      </w:tr>
      <w:tr w14:paraId="467F12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1113" w:type="dxa"/>
            <w:vAlign w:val="center"/>
          </w:tcPr>
          <w:p w14:paraId="6BD92667">
            <w:pPr>
              <w:ind w:firstLine="0" w:firstLineChars="0"/>
              <w:jc w:val="center"/>
              <w:rPr>
                <w:rFonts w:ascii="Times New Roman" w:hAnsi="Times New Roman" w:cs="Times New Roman"/>
                <w:color w:val="auto"/>
                <w:szCs w:val="21"/>
                <w:highlight w:val="none"/>
              </w:rPr>
            </w:pPr>
            <w:bookmarkStart w:id="112" w:name="OLE_LINK6" w:colFirst="2" w:colLast="2"/>
            <w:bookmarkStart w:id="113" w:name="OLE_LINK5" w:colFirst="1" w:colLast="1"/>
            <w:r>
              <w:rPr>
                <w:rFonts w:hint="eastAsia" w:ascii="Times New Roman" w:hAnsi="Times New Roman" w:cs="Times New Roman"/>
                <w:color w:val="auto"/>
                <w:szCs w:val="21"/>
                <w:highlight w:val="none"/>
              </w:rPr>
              <w:t>4.1</w:t>
            </w:r>
          </w:p>
        </w:tc>
        <w:tc>
          <w:tcPr>
            <w:tcW w:w="2486" w:type="dxa"/>
            <w:vAlign w:val="center"/>
          </w:tcPr>
          <w:p w14:paraId="185C5289">
            <w:pPr>
              <w:ind w:firstLine="0" w:firstLineChars="0"/>
              <w:jc w:val="center"/>
              <w:rPr>
                <w:rFonts w:ascii="Times New Roman" w:hAnsi="Times New Roman" w:cs="Times New Roman"/>
                <w:color w:val="auto"/>
                <w:szCs w:val="21"/>
                <w:highlight w:val="none"/>
              </w:rPr>
            </w:pPr>
            <w:r>
              <w:rPr>
                <w:rFonts w:ascii="Times New Roman" w:hAnsi="Times New Roman" w:cs="Times New Roman"/>
                <w:bCs/>
                <w:color w:val="auto"/>
                <w:szCs w:val="21"/>
                <w:highlight w:val="none"/>
              </w:rPr>
              <w:t>是否接受联合体</w:t>
            </w:r>
          </w:p>
        </w:tc>
        <w:tc>
          <w:tcPr>
            <w:tcW w:w="5333" w:type="dxa"/>
            <w:vAlign w:val="center"/>
          </w:tcPr>
          <w:p w14:paraId="6219EDE4">
            <w:pPr>
              <w:ind w:firstLine="0" w:firstLineChars="0"/>
              <w:rPr>
                <w:rFonts w:ascii="Times New Roman" w:hAnsi="Times New Roman" w:cs="Times New Roman"/>
                <w:color w:val="auto"/>
                <w:szCs w:val="21"/>
                <w:highlight w:val="none"/>
              </w:rPr>
            </w:pPr>
            <w:r>
              <w:rPr>
                <w:rFonts w:ascii="Times New Roman" w:hAnsi="Times New Roman" w:cs="Times New Roman"/>
                <w:color w:val="auto"/>
                <w:szCs w:val="21"/>
                <w:highlight w:val="none"/>
              </w:rPr>
              <w:t>详见招标文件第一章《招标公告》</w:t>
            </w:r>
          </w:p>
        </w:tc>
      </w:tr>
      <w:bookmarkEnd w:id="111"/>
      <w:tr w14:paraId="03F898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113" w:type="dxa"/>
            <w:vAlign w:val="center"/>
          </w:tcPr>
          <w:p w14:paraId="067B0BBA">
            <w:pPr>
              <w:ind w:firstLine="0" w:firstLineChars="0"/>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5.1</w:t>
            </w:r>
          </w:p>
        </w:tc>
        <w:tc>
          <w:tcPr>
            <w:tcW w:w="2486" w:type="dxa"/>
            <w:vAlign w:val="center"/>
          </w:tcPr>
          <w:p w14:paraId="6CF55AB5">
            <w:pPr>
              <w:ind w:firstLine="0" w:firstLineChars="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现场考察</w:t>
            </w:r>
          </w:p>
        </w:tc>
        <w:tc>
          <w:tcPr>
            <w:tcW w:w="5333" w:type="dxa"/>
            <w:vAlign w:val="center"/>
          </w:tcPr>
          <w:p w14:paraId="713784F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Cs w:val="21"/>
                <w:highlight w:val="none"/>
              </w:rPr>
            </w:pPr>
            <w:bookmarkStart w:id="114" w:name="OLE_LINK182"/>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不组织 </w:t>
            </w:r>
          </w:p>
          <w:p w14:paraId="10B6130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组织</w:t>
            </w:r>
            <w:bookmarkEnd w:id="114"/>
          </w:p>
          <w:p w14:paraId="29826A88">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考察时间：</w:t>
            </w:r>
            <w:r>
              <w:rPr>
                <w:rFonts w:hint="eastAsia" w:ascii="宋体" w:hAnsi="宋体" w:eastAsia="宋体" w:cs="宋体"/>
                <w:color w:val="auto"/>
                <w:highlight w:val="none"/>
                <w:u w:val="single"/>
              </w:rPr>
              <w:t>2026年</w:t>
            </w:r>
            <w:r>
              <w:rPr>
                <w:rFonts w:hint="eastAsia" w:ascii="宋体" w:hAnsi="宋体" w:cs="宋体"/>
                <w:color w:val="auto"/>
                <w:highlight w:val="none"/>
                <w:u w:val="single"/>
                <w:lang w:val="en-US" w:eastAsia="zh-CN"/>
              </w:rPr>
              <w:t>5</w:t>
            </w:r>
            <w:r>
              <w:rPr>
                <w:rFonts w:hint="eastAsia" w:ascii="宋体" w:hAnsi="宋体" w:eastAsia="宋体" w:cs="宋体"/>
                <w:color w:val="auto"/>
                <w:highlight w:val="none"/>
                <w:u w:val="single"/>
              </w:rPr>
              <w:t>月</w:t>
            </w:r>
            <w:r>
              <w:rPr>
                <w:rFonts w:hint="eastAsia" w:ascii="宋体" w:hAnsi="宋体" w:cs="宋体"/>
                <w:color w:val="auto"/>
                <w:highlight w:val="none"/>
                <w:u w:val="single"/>
                <w:lang w:val="en-US" w:eastAsia="zh-CN"/>
              </w:rPr>
              <w:t>14</w:t>
            </w:r>
            <w:r>
              <w:rPr>
                <w:rFonts w:hint="eastAsia" w:ascii="宋体" w:hAnsi="宋体" w:eastAsia="宋体" w:cs="宋体"/>
                <w:color w:val="auto"/>
                <w:highlight w:val="none"/>
                <w:u w:val="single"/>
              </w:rPr>
              <w:t>日</w:t>
            </w:r>
            <w:r>
              <w:rPr>
                <w:rFonts w:hint="eastAsia" w:ascii="宋体" w:hAnsi="宋体" w:cs="宋体"/>
                <w:color w:val="auto"/>
                <w:highlight w:val="none"/>
                <w:u w:val="single"/>
                <w:lang w:val="en-US" w:eastAsia="zh-CN"/>
              </w:rPr>
              <w:t>15</w:t>
            </w:r>
            <w:r>
              <w:rPr>
                <w:rFonts w:hint="eastAsia" w:ascii="宋体" w:hAnsi="宋体" w:eastAsia="宋体" w:cs="宋体"/>
                <w:color w:val="auto"/>
                <w:highlight w:val="none"/>
                <w:u w:val="single"/>
              </w:rPr>
              <w:t>点</w:t>
            </w:r>
            <w:r>
              <w:rPr>
                <w:rFonts w:hint="eastAsia" w:ascii="宋体" w:hAnsi="宋体" w:cs="宋体"/>
                <w:color w:val="auto"/>
                <w:highlight w:val="none"/>
                <w:u w:val="single"/>
                <w:lang w:val="en-US" w:eastAsia="zh-CN"/>
              </w:rPr>
              <w:t>00</w:t>
            </w:r>
            <w:r>
              <w:rPr>
                <w:rFonts w:hint="eastAsia" w:ascii="宋体" w:hAnsi="宋体" w:eastAsia="宋体" w:cs="宋体"/>
                <w:color w:val="auto"/>
                <w:highlight w:val="none"/>
                <w:u w:val="single"/>
              </w:rPr>
              <w:t>分</w:t>
            </w:r>
            <w:r>
              <w:rPr>
                <w:rFonts w:hint="eastAsia" w:ascii="宋体" w:hAnsi="宋体" w:eastAsia="宋体" w:cs="宋体"/>
                <w:color w:val="auto"/>
                <w:highlight w:val="none"/>
              </w:rPr>
              <w:t xml:space="preserve"> </w:t>
            </w:r>
          </w:p>
          <w:p w14:paraId="4E65AE52">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color w:val="auto"/>
                <w:highlight w:val="none"/>
                <w:u w:val="single"/>
                <w:lang w:eastAsia="zh-CN"/>
              </w:rPr>
            </w:pPr>
            <w:r>
              <w:rPr>
                <w:rFonts w:hint="eastAsia" w:ascii="宋体" w:hAnsi="宋体" w:eastAsia="宋体" w:cs="宋体"/>
                <w:color w:val="auto"/>
                <w:highlight w:val="none"/>
              </w:rPr>
              <w:t>考察集合地点：</w:t>
            </w:r>
            <w:r>
              <w:rPr>
                <w:rFonts w:hint="eastAsia" w:ascii="宋体" w:hAnsi="宋体" w:eastAsia="宋体" w:cs="宋体"/>
                <w:color w:val="auto"/>
                <w:highlight w:val="none"/>
                <w:u w:val="single"/>
              </w:rPr>
              <w:t>昆明市盘龙区滇源街道中心卫生院</w:t>
            </w:r>
            <w:r>
              <w:rPr>
                <w:rFonts w:hint="eastAsia" w:ascii="宋体" w:hAnsi="宋体" w:eastAsia="宋体" w:cs="宋体"/>
                <w:color w:val="auto"/>
                <w:highlight w:val="none"/>
                <w:u w:val="single"/>
                <w:lang w:eastAsia="zh-CN"/>
              </w:rPr>
              <w:t>（</w:t>
            </w:r>
            <w:r>
              <w:rPr>
                <w:rFonts w:hint="eastAsia" w:ascii="宋体" w:hAnsi="宋体" w:cs="宋体"/>
                <w:color w:val="auto"/>
                <w:szCs w:val="21"/>
                <w:highlight w:val="none"/>
                <w:u w:val="single"/>
              </w:rPr>
              <w:t>昆明市盘龙区滇源街道白马路14号</w:t>
            </w:r>
            <w:r>
              <w:rPr>
                <w:rFonts w:hint="eastAsia" w:ascii="宋体" w:hAnsi="宋体" w:eastAsia="宋体" w:cs="宋体"/>
                <w:color w:val="auto"/>
                <w:highlight w:val="none"/>
                <w:u w:val="single"/>
                <w:lang w:eastAsia="zh-CN"/>
              </w:rPr>
              <w:t>）</w:t>
            </w:r>
          </w:p>
          <w:p w14:paraId="5CC3F064">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现场考察联系人及电话：</w:t>
            </w:r>
            <w:r>
              <w:rPr>
                <w:rFonts w:hint="eastAsia" w:ascii="宋体" w:hAnsi="宋体" w:eastAsia="宋体" w:cs="宋体"/>
                <w:color w:val="auto"/>
                <w:highlight w:val="none"/>
                <w:u w:val="single"/>
              </w:rPr>
              <w:t>李娜  0871-68101522</w:t>
            </w:r>
            <w:r>
              <w:rPr>
                <w:rFonts w:hint="eastAsia" w:ascii="宋体" w:hAnsi="宋体" w:eastAsia="宋体" w:cs="宋体"/>
                <w:color w:val="auto"/>
                <w:highlight w:val="none"/>
              </w:rPr>
              <w:t>；</w:t>
            </w:r>
          </w:p>
          <w:p w14:paraId="5ABC2CB0">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注：①</w:t>
            </w:r>
            <w:r>
              <w:rPr>
                <w:rFonts w:hint="eastAsia" w:ascii="宋体" w:hAnsi="宋体" w:eastAsia="宋体" w:cs="宋体"/>
                <w:color w:val="auto"/>
                <w:highlight w:val="none"/>
                <w:lang w:val="en-US" w:eastAsia="zh-CN"/>
              </w:rPr>
              <w:t>投标人</w:t>
            </w:r>
            <w:r>
              <w:rPr>
                <w:rFonts w:hint="eastAsia" w:ascii="宋体" w:hAnsi="宋体" w:eastAsia="宋体" w:cs="宋体"/>
                <w:color w:val="auto"/>
                <w:highlight w:val="none"/>
              </w:rPr>
              <w:t>在现场考察期间应遵守采购人相关规定，现场考察期间人身安全、财产安全由</w:t>
            </w:r>
            <w:r>
              <w:rPr>
                <w:rFonts w:hint="eastAsia" w:ascii="宋体" w:hAnsi="宋体" w:eastAsia="宋体" w:cs="宋体"/>
                <w:color w:val="auto"/>
                <w:highlight w:val="none"/>
                <w:lang w:val="en-US" w:eastAsia="zh-CN"/>
              </w:rPr>
              <w:t>投标人</w:t>
            </w:r>
            <w:r>
              <w:rPr>
                <w:rFonts w:hint="eastAsia" w:ascii="宋体" w:hAnsi="宋体" w:eastAsia="宋体" w:cs="宋体"/>
                <w:color w:val="auto"/>
                <w:highlight w:val="none"/>
              </w:rPr>
              <w:t>自行负责。</w:t>
            </w:r>
          </w:p>
          <w:p w14:paraId="6B7C5787">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②采购人在考察现场中介绍的项目信息等相关情况，仅供</w:t>
            </w:r>
            <w:r>
              <w:rPr>
                <w:rFonts w:hint="eastAsia" w:ascii="宋体" w:hAnsi="宋体" w:eastAsia="宋体" w:cs="宋体"/>
                <w:color w:val="auto"/>
                <w:highlight w:val="none"/>
                <w:lang w:val="en-US" w:eastAsia="zh-CN"/>
              </w:rPr>
              <w:t>投标人</w:t>
            </w:r>
            <w:r>
              <w:rPr>
                <w:rFonts w:hint="eastAsia" w:ascii="宋体" w:hAnsi="宋体" w:eastAsia="宋体" w:cs="宋体"/>
                <w:color w:val="auto"/>
                <w:highlight w:val="none"/>
              </w:rPr>
              <w:t>在编制</w:t>
            </w: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rPr>
              <w:t>文件时参考，采购人不对</w:t>
            </w:r>
            <w:r>
              <w:rPr>
                <w:rFonts w:hint="eastAsia" w:ascii="宋体" w:hAnsi="宋体" w:eastAsia="宋体" w:cs="宋体"/>
                <w:color w:val="auto"/>
                <w:highlight w:val="none"/>
                <w:lang w:val="en-US" w:eastAsia="zh-CN"/>
              </w:rPr>
              <w:t>投标人</w:t>
            </w:r>
            <w:r>
              <w:rPr>
                <w:rFonts w:hint="eastAsia" w:ascii="宋体" w:hAnsi="宋体" w:eastAsia="宋体" w:cs="宋体"/>
                <w:color w:val="auto"/>
                <w:highlight w:val="none"/>
              </w:rPr>
              <w:t xml:space="preserve">据此作出的判断和决策负责。 </w:t>
            </w:r>
          </w:p>
        </w:tc>
      </w:tr>
      <w:tr w14:paraId="41761B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8" w:hRule="atLeast"/>
        </w:trPr>
        <w:tc>
          <w:tcPr>
            <w:tcW w:w="1113" w:type="dxa"/>
            <w:vAlign w:val="center"/>
          </w:tcPr>
          <w:p w14:paraId="181A8A19">
            <w:pPr>
              <w:ind w:firstLine="0" w:firstLineChars="0"/>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6.1</w:t>
            </w:r>
          </w:p>
        </w:tc>
        <w:tc>
          <w:tcPr>
            <w:tcW w:w="2486" w:type="dxa"/>
            <w:vAlign w:val="center"/>
          </w:tcPr>
          <w:p w14:paraId="13433623">
            <w:pPr>
              <w:ind w:firstLine="0" w:firstLineChars="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开标前答疑会</w:t>
            </w:r>
          </w:p>
        </w:tc>
        <w:tc>
          <w:tcPr>
            <w:tcW w:w="5333" w:type="dxa"/>
            <w:vAlign w:val="center"/>
          </w:tcPr>
          <w:p w14:paraId="13C617BC">
            <w:pPr>
              <w:ind w:firstLine="0" w:firstLineChars="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☑不</w:t>
            </w:r>
            <w:bookmarkStart w:id="115" w:name="OLE_LINK183"/>
            <w:r>
              <w:rPr>
                <w:rFonts w:hint="eastAsia" w:ascii="Times New Roman" w:hAnsi="Times New Roman" w:cs="Times New Roman"/>
                <w:color w:val="auto"/>
                <w:szCs w:val="21"/>
                <w:highlight w:val="none"/>
              </w:rPr>
              <w:t>召开</w:t>
            </w:r>
            <w:bookmarkEnd w:id="115"/>
          </w:p>
          <w:p w14:paraId="66CA59A7">
            <w:pPr>
              <w:ind w:firstLine="0" w:firstLineChars="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□召开</w:t>
            </w:r>
          </w:p>
          <w:p w14:paraId="646158E1">
            <w:pPr>
              <w:ind w:firstLine="0" w:firstLineChars="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 xml:space="preserve">召开时间：年月日点分 </w:t>
            </w:r>
          </w:p>
          <w:p w14:paraId="5576A08A">
            <w:pPr>
              <w:ind w:firstLine="0" w:firstLineChars="0"/>
              <w:jc w:val="left"/>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召开地点：</w:t>
            </w:r>
            <w:r>
              <w:rPr>
                <w:rFonts w:ascii="Times New Roman" w:hAnsi="Times New Roman" w:cs="Times New Roman"/>
                <w:color w:val="auto"/>
                <w:szCs w:val="21"/>
                <w:highlight w:val="none"/>
              </w:rPr>
              <w:t>____________</w:t>
            </w:r>
          </w:p>
        </w:tc>
      </w:tr>
      <w:bookmarkEnd w:id="112"/>
      <w:bookmarkEnd w:id="113"/>
      <w:tr w14:paraId="16EF8A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8" w:hRule="atLeast"/>
        </w:trPr>
        <w:tc>
          <w:tcPr>
            <w:tcW w:w="1113" w:type="dxa"/>
            <w:vAlign w:val="center"/>
          </w:tcPr>
          <w:p w14:paraId="626B4698">
            <w:pPr>
              <w:ind w:firstLine="0" w:firstLineChars="0"/>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10.1</w:t>
            </w:r>
          </w:p>
        </w:tc>
        <w:tc>
          <w:tcPr>
            <w:tcW w:w="2486" w:type="dxa"/>
            <w:vAlign w:val="center"/>
          </w:tcPr>
          <w:p w14:paraId="095310AE">
            <w:pPr>
              <w:ind w:firstLine="0" w:firstLineChars="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询问</w:t>
            </w:r>
          </w:p>
        </w:tc>
        <w:tc>
          <w:tcPr>
            <w:tcW w:w="5333" w:type="dxa"/>
            <w:vAlign w:val="center"/>
          </w:tcPr>
          <w:p w14:paraId="22AAF786">
            <w:pPr>
              <w:ind w:firstLine="0" w:firstLineChars="0"/>
              <w:rPr>
                <w:rFonts w:ascii="Times New Roman" w:hAnsi="Times New Roman" w:cs="Times New Roman"/>
                <w:color w:val="auto"/>
                <w:szCs w:val="21"/>
                <w:highlight w:val="none"/>
              </w:rPr>
            </w:pPr>
            <w:r>
              <w:rPr>
                <w:rFonts w:ascii="Times New Roman" w:hAnsi="Times New Roman" w:cs="Times New Roman"/>
                <w:color w:val="auto"/>
                <w:szCs w:val="21"/>
                <w:highlight w:val="none"/>
              </w:rPr>
              <w:t>投标人</w:t>
            </w:r>
            <w:r>
              <w:rPr>
                <w:rFonts w:hint="eastAsia" w:ascii="Times New Roman" w:hAnsi="Times New Roman" w:cs="Times New Roman"/>
                <w:color w:val="auto"/>
                <w:szCs w:val="21"/>
                <w:highlight w:val="none"/>
              </w:rPr>
              <w:t>对招标文件</w:t>
            </w:r>
            <w:r>
              <w:rPr>
                <w:rFonts w:ascii="Times New Roman" w:hAnsi="Times New Roman" w:cs="Times New Roman"/>
                <w:color w:val="auto"/>
                <w:szCs w:val="21"/>
                <w:highlight w:val="none"/>
              </w:rPr>
              <w:t>有疑问的，可以向采购人或采购代理机构提出询问</w:t>
            </w:r>
            <w:r>
              <w:rPr>
                <w:rFonts w:hint="eastAsia" w:ascii="Times New Roman" w:hAnsi="Times New Roman" w:cs="Times New Roman"/>
                <w:color w:val="auto"/>
                <w:szCs w:val="21"/>
                <w:highlight w:val="none"/>
              </w:rPr>
              <w:t>，采购人或者采购代理机构在接到询问后的3个工作日内对投标人依法提出的询问作出答复，但答复的内容不涉及商业秘密</w:t>
            </w:r>
            <w:r>
              <w:rPr>
                <w:rFonts w:ascii="Times New Roman" w:hAnsi="Times New Roman" w:cs="Times New Roman"/>
                <w:color w:val="auto"/>
                <w:szCs w:val="21"/>
                <w:highlight w:val="none"/>
              </w:rPr>
              <w:t>。</w:t>
            </w:r>
          </w:p>
        </w:tc>
      </w:tr>
      <w:tr w14:paraId="2972B6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8" w:hRule="atLeast"/>
        </w:trPr>
        <w:tc>
          <w:tcPr>
            <w:tcW w:w="1113" w:type="dxa"/>
            <w:vAlign w:val="center"/>
          </w:tcPr>
          <w:p w14:paraId="37D755A2">
            <w:pPr>
              <w:ind w:firstLine="0" w:firstLineChars="0"/>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10.3</w:t>
            </w:r>
          </w:p>
        </w:tc>
        <w:tc>
          <w:tcPr>
            <w:tcW w:w="2486" w:type="dxa"/>
            <w:vAlign w:val="center"/>
          </w:tcPr>
          <w:p w14:paraId="313B491B">
            <w:pPr>
              <w:ind w:firstLine="0" w:firstLineChars="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询问联系方式</w:t>
            </w:r>
          </w:p>
        </w:tc>
        <w:tc>
          <w:tcPr>
            <w:tcW w:w="5333" w:type="dxa"/>
            <w:vAlign w:val="center"/>
          </w:tcPr>
          <w:p w14:paraId="29DCA2D3">
            <w:pPr>
              <w:ind w:firstLine="0" w:firstLineChars="0"/>
              <w:rPr>
                <w:rFonts w:ascii="Times New Roman" w:hAnsi="Times New Roman" w:cs="Times New Roman"/>
                <w:color w:val="auto"/>
                <w:szCs w:val="21"/>
                <w:highlight w:val="none"/>
              </w:rPr>
            </w:pPr>
            <w:r>
              <w:rPr>
                <w:rFonts w:ascii="Times New Roman" w:hAnsi="Times New Roman" w:cs="Times New Roman"/>
                <w:color w:val="auto"/>
                <w:szCs w:val="21"/>
                <w:highlight w:val="none"/>
              </w:rPr>
              <w:t>详见招标文件第一章《招标公告》</w:t>
            </w:r>
          </w:p>
        </w:tc>
      </w:tr>
      <w:tr w14:paraId="6E176E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13" w:type="dxa"/>
            <w:vAlign w:val="center"/>
          </w:tcPr>
          <w:p w14:paraId="7E6EE2CA">
            <w:pPr>
              <w:ind w:firstLine="0" w:firstLineChars="0"/>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11.4</w:t>
            </w:r>
          </w:p>
        </w:tc>
        <w:tc>
          <w:tcPr>
            <w:tcW w:w="2486" w:type="dxa"/>
            <w:vAlign w:val="center"/>
          </w:tcPr>
          <w:p w14:paraId="48A752AC">
            <w:pPr>
              <w:ind w:firstLine="0" w:firstLineChars="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招标文件澄清、修改时间</w:t>
            </w:r>
          </w:p>
        </w:tc>
        <w:tc>
          <w:tcPr>
            <w:tcW w:w="5333" w:type="dxa"/>
            <w:vAlign w:val="center"/>
          </w:tcPr>
          <w:p w14:paraId="6012FEF4">
            <w:pPr>
              <w:ind w:firstLine="0" w:firstLineChars="0"/>
              <w:rPr>
                <w:rFonts w:ascii="Times New Roman" w:hAnsi="Times New Roman" w:cs="Times New Roman"/>
                <w:color w:val="auto"/>
                <w:szCs w:val="21"/>
                <w:highlight w:val="none"/>
              </w:rPr>
            </w:pPr>
            <w:bookmarkStart w:id="116" w:name="OLE_LINK50"/>
            <w:r>
              <w:rPr>
                <w:rFonts w:hint="eastAsia" w:ascii="Times New Roman" w:hAnsi="Times New Roman" w:cs="Times New Roman"/>
                <w:color w:val="auto"/>
                <w:szCs w:val="21"/>
                <w:highlight w:val="none"/>
              </w:rPr>
              <w:t>采购人或者采购代理机构可以对已发出的招标文件进行必要的澄清或者修改。澄清或者修改的内容可能影响投标文件编制的，采</w:t>
            </w:r>
            <w:bookmarkStart w:id="117" w:name="OLE_LINK48"/>
            <w:r>
              <w:rPr>
                <w:rFonts w:hint="eastAsia" w:ascii="Times New Roman" w:hAnsi="Times New Roman" w:cs="Times New Roman"/>
                <w:color w:val="auto"/>
                <w:szCs w:val="21"/>
                <w:highlight w:val="none"/>
              </w:rPr>
              <w:t>购人或者采购代理机构应当在投标截止时间至少15日前，以书面形式通知所有获取招标文件的潜在投标人；不足15日的，采购人或者采购代理机构应当顺延提交投标文件的截止时间。</w:t>
            </w:r>
            <w:bookmarkEnd w:id="116"/>
            <w:bookmarkEnd w:id="117"/>
          </w:p>
        </w:tc>
      </w:tr>
      <w:tr w14:paraId="291819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113" w:type="dxa"/>
            <w:vAlign w:val="center"/>
          </w:tcPr>
          <w:p w14:paraId="42D9184C">
            <w:pPr>
              <w:ind w:firstLine="0" w:firstLineChars="0"/>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17.1</w:t>
            </w:r>
          </w:p>
        </w:tc>
        <w:tc>
          <w:tcPr>
            <w:tcW w:w="2486" w:type="dxa"/>
            <w:vAlign w:val="center"/>
          </w:tcPr>
          <w:p w14:paraId="7CEEE203">
            <w:pPr>
              <w:ind w:firstLine="0" w:firstLineChars="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投标有效期</w:t>
            </w:r>
          </w:p>
        </w:tc>
        <w:tc>
          <w:tcPr>
            <w:tcW w:w="5333" w:type="dxa"/>
            <w:vAlign w:val="center"/>
          </w:tcPr>
          <w:p w14:paraId="2499BAF3">
            <w:pPr>
              <w:ind w:firstLine="0" w:firstLineChars="0"/>
              <w:rPr>
                <w:rFonts w:ascii="Times New Roman" w:hAnsi="Times New Roman" w:cs="Times New Roman"/>
                <w:color w:val="auto"/>
                <w:szCs w:val="21"/>
                <w:highlight w:val="none"/>
              </w:rPr>
            </w:pPr>
            <w:r>
              <w:rPr>
                <w:rFonts w:ascii="Times New Roman" w:hAnsi="Times New Roman" w:cs="Times New Roman"/>
                <w:color w:val="auto"/>
                <w:szCs w:val="21"/>
                <w:highlight w:val="none"/>
              </w:rPr>
              <w:t>从提交投标文件截止之日起</w:t>
            </w:r>
            <w:bookmarkStart w:id="118" w:name="OLE_LINK42"/>
            <w:r>
              <w:rPr>
                <w:rFonts w:ascii="Times New Roman" w:hAnsi="Times New Roman" w:cs="Times New Roman"/>
                <w:color w:val="auto"/>
                <w:szCs w:val="21"/>
                <w:highlight w:val="none"/>
                <w:u w:val="single"/>
              </w:rPr>
              <w:t>90</w:t>
            </w:r>
            <w:bookmarkEnd w:id="118"/>
            <w:r>
              <w:rPr>
                <w:rFonts w:ascii="Times New Roman" w:hAnsi="Times New Roman" w:cs="Times New Roman"/>
                <w:color w:val="auto"/>
                <w:szCs w:val="21"/>
                <w:highlight w:val="none"/>
              </w:rPr>
              <w:t>日历天。</w:t>
            </w:r>
          </w:p>
        </w:tc>
      </w:tr>
      <w:tr w14:paraId="6AC7F2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1113" w:type="dxa"/>
            <w:vAlign w:val="center"/>
          </w:tcPr>
          <w:p w14:paraId="777B589C">
            <w:pPr>
              <w:ind w:firstLine="0" w:firstLineChars="0"/>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18.1</w:t>
            </w:r>
          </w:p>
        </w:tc>
        <w:tc>
          <w:tcPr>
            <w:tcW w:w="2486" w:type="dxa"/>
            <w:vAlign w:val="center"/>
          </w:tcPr>
          <w:p w14:paraId="792D32F1">
            <w:pPr>
              <w:ind w:firstLine="0" w:firstLineChars="0"/>
              <w:jc w:val="center"/>
              <w:rPr>
                <w:rFonts w:ascii="Times New Roman" w:hAnsi="Times New Roman" w:cs="Times New Roman"/>
                <w:color w:val="auto"/>
                <w:szCs w:val="21"/>
                <w:highlight w:val="none"/>
              </w:rPr>
            </w:pPr>
            <w:r>
              <w:rPr>
                <w:rFonts w:ascii="Times New Roman" w:hAnsi="Times New Roman" w:cs="Times New Roman"/>
                <w:bCs/>
                <w:color w:val="auto"/>
                <w:szCs w:val="21"/>
                <w:highlight w:val="none"/>
              </w:rPr>
              <w:t>投标</w:t>
            </w:r>
            <w:r>
              <w:rPr>
                <w:rFonts w:ascii="Times New Roman" w:hAnsi="Times New Roman" w:cs="Times New Roman"/>
                <w:color w:val="auto"/>
                <w:szCs w:val="21"/>
                <w:highlight w:val="none"/>
              </w:rPr>
              <w:t>保证金</w:t>
            </w:r>
          </w:p>
        </w:tc>
        <w:tc>
          <w:tcPr>
            <w:tcW w:w="5333" w:type="dxa"/>
            <w:vAlign w:val="center"/>
          </w:tcPr>
          <w:p w14:paraId="692A8042">
            <w:pPr>
              <w:topLinePunct/>
              <w:autoSpaceDE w:val="0"/>
              <w:autoSpaceDN w:val="0"/>
              <w:adjustRightInd w:val="0"/>
              <w:snapToGrid w:val="0"/>
              <w:ind w:firstLine="0" w:firstLineChars="0"/>
              <w:rPr>
                <w:rFonts w:ascii="Times New Roman" w:hAnsi="Times New Roman" w:cs="Times New Roman"/>
                <w:snapToGrid w:val="0"/>
                <w:color w:val="auto"/>
                <w:szCs w:val="21"/>
                <w:highlight w:val="none"/>
                <w:lang w:val="zh-CN"/>
              </w:rPr>
            </w:pPr>
            <w:r>
              <w:rPr>
                <w:rFonts w:ascii="宋体" w:hAnsi="宋体" w:cs="Times New Roman"/>
                <w:color w:val="auto"/>
                <w:szCs w:val="21"/>
                <w:highlight w:val="none"/>
                <w:shd w:val="clear" w:color="auto" w:fill="FFFFFF"/>
              </w:rPr>
              <w:sym w:font="Wingdings" w:char="00A8"/>
            </w:r>
            <w:r>
              <w:rPr>
                <w:rFonts w:ascii="Times New Roman" w:hAnsi="Times New Roman" w:cs="Times New Roman"/>
                <w:color w:val="auto"/>
                <w:szCs w:val="21"/>
                <w:highlight w:val="none"/>
              </w:rPr>
              <w:t>不要求提供</w:t>
            </w:r>
          </w:p>
          <w:p w14:paraId="2B296FCC">
            <w:pPr>
              <w:topLinePunct/>
              <w:autoSpaceDE w:val="0"/>
              <w:autoSpaceDN w:val="0"/>
              <w:adjustRightInd w:val="0"/>
              <w:snapToGrid w:val="0"/>
              <w:ind w:firstLine="0" w:firstLineChars="0"/>
              <w:rPr>
                <w:rFonts w:ascii="宋体" w:hAnsi="宋体" w:cs="宋体"/>
                <w:color w:val="auto"/>
                <w:szCs w:val="21"/>
                <w:highlight w:val="none"/>
              </w:rPr>
            </w:pPr>
            <w:r>
              <w:rPr>
                <w:rFonts w:ascii="宋体" w:hAnsi="宋体" w:cs="Times New Roman"/>
                <w:color w:val="auto"/>
                <w:szCs w:val="21"/>
                <w:highlight w:val="none"/>
                <w:shd w:val="clear" w:color="auto" w:fill="FFFFFF"/>
              </w:rPr>
              <w:sym w:font="Wingdings" w:char="00FE"/>
            </w:r>
            <w:r>
              <w:rPr>
                <w:rFonts w:ascii="Times New Roman" w:hAnsi="Times New Roman" w:cs="Times New Roman"/>
                <w:color w:val="auto"/>
                <w:szCs w:val="21"/>
                <w:highlight w:val="none"/>
              </w:rPr>
              <w:t>要求提供：</w:t>
            </w:r>
          </w:p>
          <w:p w14:paraId="4270E2A9">
            <w:pPr>
              <w:ind w:firstLine="0" w:firstLineChars="0"/>
              <w:rPr>
                <w:rFonts w:ascii="宋体" w:hAnsi="宋体" w:cs="宋体"/>
                <w:color w:val="auto"/>
                <w:szCs w:val="21"/>
                <w:highlight w:val="none"/>
              </w:rPr>
            </w:pPr>
            <w:r>
              <w:rPr>
                <w:rFonts w:hint="eastAsia" w:ascii="宋体" w:hAnsi="宋体" w:cs="宋体"/>
                <w:color w:val="auto"/>
                <w:szCs w:val="21"/>
                <w:highlight w:val="none"/>
              </w:rPr>
              <w:t>投标保证金的形式：网银、电汇、支票、汇票、本票、保函等非现金方式缴纳或提交。</w:t>
            </w:r>
          </w:p>
          <w:p w14:paraId="627CFCAB">
            <w:pPr>
              <w:ind w:firstLine="0" w:firstLineChars="0"/>
              <w:rPr>
                <w:rFonts w:ascii="宋体" w:hAnsi="宋体" w:cs="宋体"/>
                <w:b/>
                <w:color w:val="auto"/>
                <w:szCs w:val="21"/>
                <w:highlight w:val="none"/>
              </w:rPr>
            </w:pPr>
            <w:r>
              <w:rPr>
                <w:rFonts w:hint="eastAsia" w:ascii="宋体" w:hAnsi="宋体" w:cs="宋体"/>
                <w:color w:val="auto"/>
                <w:szCs w:val="21"/>
                <w:highlight w:val="none"/>
              </w:rPr>
              <w:t>投标保证金金额：</w:t>
            </w:r>
            <w:r>
              <w:rPr>
                <w:rFonts w:hint="eastAsia" w:ascii="宋体" w:hAnsi="宋体" w:cs="宋体"/>
                <w:b/>
                <w:bCs/>
                <w:color w:val="auto"/>
                <w:szCs w:val="21"/>
                <w:highlight w:val="none"/>
              </w:rPr>
              <w:t>贰万贰仟元整（¥</w:t>
            </w:r>
            <w:r>
              <w:rPr>
                <w:rFonts w:hint="eastAsia" w:ascii="宋体" w:hAnsi="宋体" w:cs="宋体"/>
                <w:b/>
                <w:bCs/>
                <w:color w:val="auto"/>
                <w:szCs w:val="21"/>
                <w:highlight w:val="none"/>
                <w:u w:val="single"/>
              </w:rPr>
              <w:t>22000.00</w:t>
            </w:r>
            <w:r>
              <w:rPr>
                <w:rFonts w:hint="eastAsia" w:ascii="宋体" w:hAnsi="宋体" w:cs="宋体"/>
                <w:b/>
                <w:bCs/>
                <w:color w:val="auto"/>
                <w:szCs w:val="21"/>
                <w:highlight w:val="none"/>
              </w:rPr>
              <w:t>元）</w:t>
            </w:r>
          </w:p>
          <w:p w14:paraId="6D2EA89B">
            <w:pPr>
              <w:ind w:firstLine="0" w:firstLineChars="0"/>
              <w:rPr>
                <w:rFonts w:ascii="宋体" w:hAnsi="宋体" w:cs="宋体"/>
                <w:color w:val="auto"/>
                <w:szCs w:val="21"/>
                <w:highlight w:val="none"/>
              </w:rPr>
            </w:pPr>
            <w:r>
              <w:rPr>
                <w:rFonts w:hint="eastAsia" w:ascii="宋体" w:hAnsi="宋体" w:cs="宋体"/>
                <w:color w:val="auto"/>
                <w:szCs w:val="21"/>
                <w:highlight w:val="none"/>
              </w:rPr>
              <w:t>保证金按规定金额、形式从投标人账户缴纳至：</w:t>
            </w:r>
          </w:p>
          <w:p w14:paraId="54CA5548">
            <w:pPr>
              <w:ind w:firstLine="0" w:firstLineChars="0"/>
              <w:rPr>
                <w:rFonts w:ascii="宋体" w:hAnsi="宋体" w:cs="宋体"/>
                <w:color w:val="auto"/>
                <w:szCs w:val="21"/>
                <w:highlight w:val="none"/>
              </w:rPr>
            </w:pPr>
            <w:r>
              <w:rPr>
                <w:rFonts w:hint="eastAsia" w:ascii="宋体" w:hAnsi="宋体" w:cs="宋体"/>
                <w:color w:val="auto"/>
                <w:szCs w:val="21"/>
                <w:highlight w:val="none"/>
              </w:rPr>
              <w:t xml:space="preserve">开户名称：云南中咨海外咨询有限公司 </w:t>
            </w:r>
          </w:p>
          <w:p w14:paraId="4EB9D836">
            <w:pPr>
              <w:ind w:firstLine="0" w:firstLineChars="0"/>
              <w:rPr>
                <w:rFonts w:ascii="宋体" w:hAnsi="宋体" w:cs="宋体"/>
                <w:color w:val="auto"/>
                <w:szCs w:val="21"/>
                <w:highlight w:val="none"/>
              </w:rPr>
            </w:pPr>
            <w:r>
              <w:rPr>
                <w:rFonts w:hint="eastAsia" w:ascii="宋体" w:hAnsi="宋体" w:cs="宋体"/>
                <w:color w:val="auto"/>
                <w:szCs w:val="21"/>
                <w:highlight w:val="none"/>
              </w:rPr>
              <w:t>开户银行：平安银行昆明南亚支行</w:t>
            </w:r>
          </w:p>
          <w:p w14:paraId="2BE89346">
            <w:pPr>
              <w:ind w:firstLine="0" w:firstLineChars="0"/>
              <w:rPr>
                <w:rFonts w:ascii="宋体" w:hAnsi="宋体" w:cs="宋体"/>
                <w:color w:val="auto"/>
                <w:szCs w:val="21"/>
                <w:highlight w:val="none"/>
              </w:rPr>
            </w:pPr>
            <w:r>
              <w:rPr>
                <w:rFonts w:hint="eastAsia" w:ascii="宋体" w:hAnsi="宋体" w:cs="宋体"/>
                <w:color w:val="auto"/>
                <w:szCs w:val="21"/>
                <w:highlight w:val="none"/>
              </w:rPr>
              <w:t>账号：30205378065404</w:t>
            </w:r>
          </w:p>
          <w:p w14:paraId="034BD847">
            <w:pPr>
              <w:ind w:firstLine="0" w:firstLineChars="0"/>
              <w:rPr>
                <w:rFonts w:ascii="宋体" w:hAnsi="宋体" w:cs="宋体"/>
                <w:color w:val="auto"/>
                <w:szCs w:val="21"/>
                <w:highlight w:val="none"/>
              </w:rPr>
            </w:pPr>
            <w:r>
              <w:rPr>
                <w:rFonts w:hint="eastAsia" w:ascii="宋体" w:hAnsi="宋体" w:cs="宋体"/>
                <w:color w:val="auto"/>
                <w:szCs w:val="21"/>
                <w:highlight w:val="none"/>
              </w:rPr>
              <w:t>保证金</w:t>
            </w:r>
            <w:bookmarkStart w:id="119" w:name="OLE_LINK219"/>
            <w:r>
              <w:rPr>
                <w:rFonts w:hint="eastAsia" w:ascii="宋体" w:hAnsi="宋体" w:cs="宋体"/>
                <w:color w:val="auto"/>
                <w:szCs w:val="21"/>
                <w:highlight w:val="none"/>
              </w:rPr>
              <w:t>缴纳</w:t>
            </w:r>
            <w:bookmarkEnd w:id="119"/>
            <w:r>
              <w:rPr>
                <w:rFonts w:hint="eastAsia" w:ascii="宋体" w:hAnsi="宋体" w:cs="宋体"/>
                <w:color w:val="auto"/>
                <w:szCs w:val="21"/>
                <w:highlight w:val="none"/>
              </w:rPr>
              <w:t>说明：</w:t>
            </w:r>
          </w:p>
          <w:p w14:paraId="3A479C28">
            <w:pPr>
              <w:ind w:firstLine="0" w:firstLineChars="0"/>
              <w:rPr>
                <w:rFonts w:ascii="宋体" w:hAnsi="宋体" w:cs="宋体"/>
                <w:color w:val="auto"/>
                <w:szCs w:val="21"/>
                <w:highlight w:val="none"/>
              </w:rPr>
            </w:pPr>
            <w:r>
              <w:rPr>
                <w:rFonts w:hint="eastAsia" w:ascii="宋体" w:hAnsi="宋体" w:cs="宋体"/>
                <w:color w:val="auto"/>
                <w:szCs w:val="21"/>
                <w:highlight w:val="none"/>
              </w:rPr>
              <w:t xml:space="preserve">（1）网银或电汇或电子保函方式提交的，缴款回单或电子凭证即为缴纳凭证；其他方式提交保证金的投标人应持有效凭证（纸质原件）至云南中咨海外咨询有限公司财务室换取保证金收据。联系人：赵老师 联系方式：0871-63104709     </w:t>
            </w:r>
          </w:p>
          <w:p w14:paraId="2656659E">
            <w:pPr>
              <w:ind w:firstLine="0" w:firstLineChars="0"/>
              <w:rPr>
                <w:rFonts w:ascii="宋体" w:hAnsi="宋体" w:cs="宋体"/>
                <w:color w:val="auto"/>
                <w:szCs w:val="21"/>
                <w:highlight w:val="none"/>
              </w:rPr>
            </w:pPr>
            <w:r>
              <w:rPr>
                <w:rFonts w:hint="eastAsia" w:ascii="宋体" w:hAnsi="宋体" w:cs="宋体"/>
                <w:color w:val="auto"/>
                <w:szCs w:val="21"/>
                <w:highlight w:val="none"/>
              </w:rPr>
              <w:t>（2）投标人未按照招标文件要求提交投标保证金的，其投标无效。</w:t>
            </w:r>
          </w:p>
        </w:tc>
      </w:tr>
      <w:tr w14:paraId="398941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1113" w:type="dxa"/>
            <w:vAlign w:val="center"/>
          </w:tcPr>
          <w:p w14:paraId="51B98A37">
            <w:pPr>
              <w:ind w:firstLine="0" w:firstLineChars="0"/>
              <w:jc w:val="center"/>
              <w:rPr>
                <w:rFonts w:ascii="Times New Roman" w:hAnsi="Times New Roman" w:cs="Times New Roman"/>
                <w:color w:val="auto"/>
                <w:szCs w:val="21"/>
                <w:highlight w:val="none"/>
              </w:rPr>
            </w:pPr>
            <w:bookmarkStart w:id="120" w:name="OLE_LINK288" w:colFirst="0" w:colLast="1"/>
            <w:r>
              <w:rPr>
                <w:rFonts w:hint="eastAsia" w:ascii="Times New Roman" w:hAnsi="Times New Roman" w:cs="Times New Roman"/>
                <w:color w:val="auto"/>
                <w:szCs w:val="21"/>
                <w:highlight w:val="none"/>
              </w:rPr>
              <w:t>19.4</w:t>
            </w:r>
          </w:p>
        </w:tc>
        <w:tc>
          <w:tcPr>
            <w:tcW w:w="2486" w:type="dxa"/>
            <w:vAlign w:val="center"/>
          </w:tcPr>
          <w:p w14:paraId="75E754F6">
            <w:pPr>
              <w:ind w:firstLine="0" w:firstLineChars="0"/>
              <w:jc w:val="center"/>
              <w:rPr>
                <w:rFonts w:ascii="Times New Roman" w:hAnsi="Times New Roman" w:cs="Times New Roman"/>
                <w:bCs/>
                <w:color w:val="auto"/>
                <w:szCs w:val="21"/>
                <w:highlight w:val="none"/>
              </w:rPr>
            </w:pPr>
            <w:r>
              <w:rPr>
                <w:rFonts w:hint="eastAsia" w:ascii="Times New Roman" w:hAnsi="Times New Roman" w:cs="Times New Roman"/>
                <w:bCs/>
                <w:color w:val="auto"/>
                <w:szCs w:val="21"/>
                <w:highlight w:val="none"/>
              </w:rPr>
              <w:t>投标文件盖章及签署</w:t>
            </w:r>
          </w:p>
        </w:tc>
        <w:tc>
          <w:tcPr>
            <w:tcW w:w="5333" w:type="dxa"/>
            <w:vAlign w:val="center"/>
          </w:tcPr>
          <w:p w14:paraId="67F0018A">
            <w:pPr>
              <w:ind w:firstLine="0" w:firstLineChars="0"/>
              <w:rPr>
                <w:rFonts w:ascii="宋体" w:hAnsi="宋体" w:cs="宋体"/>
                <w:color w:val="auto"/>
                <w:szCs w:val="21"/>
                <w:highlight w:val="none"/>
              </w:rPr>
            </w:pPr>
            <w:r>
              <w:rPr>
                <w:rFonts w:hint="eastAsia" w:ascii="宋体" w:hAnsi="宋体" w:cs="宋体"/>
                <w:color w:val="auto"/>
                <w:szCs w:val="21"/>
                <w:highlight w:val="none"/>
              </w:rPr>
              <w:t>投标文件应按本招标文件中投标文件格式规定的</w:t>
            </w:r>
            <w:r>
              <w:rPr>
                <w:rFonts w:hint="eastAsia" w:ascii="宋体" w:hAnsi="宋体" w:cs="宋体"/>
                <w:b/>
                <w:bCs/>
                <w:color w:val="auto"/>
                <w:szCs w:val="21"/>
                <w:highlight w:val="none"/>
              </w:rPr>
              <w:t>签名或签章处逐一签名或签章，要求盖章处盖投标人公章</w:t>
            </w:r>
            <w:r>
              <w:rPr>
                <w:rFonts w:hint="eastAsia" w:ascii="宋体" w:hAnsi="宋体" w:cs="宋体"/>
                <w:color w:val="auto"/>
                <w:highlight w:val="none"/>
              </w:rPr>
              <w:t>。要求第三方出具的盖章件原件（如联合体协议、分包意向协议、制造商授权书等），投标文件中应使用原件的扫描件或照片等电子文件。</w:t>
            </w:r>
          </w:p>
        </w:tc>
      </w:tr>
      <w:tr w14:paraId="3B1ED3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trPr>
        <w:tc>
          <w:tcPr>
            <w:tcW w:w="1113" w:type="dxa"/>
            <w:vAlign w:val="center"/>
          </w:tcPr>
          <w:p w14:paraId="30B9B818">
            <w:pPr>
              <w:ind w:firstLine="0" w:firstLineChars="0"/>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20.1</w:t>
            </w:r>
          </w:p>
        </w:tc>
        <w:tc>
          <w:tcPr>
            <w:tcW w:w="2486" w:type="dxa"/>
            <w:vAlign w:val="center"/>
          </w:tcPr>
          <w:p w14:paraId="6DCF9086">
            <w:pPr>
              <w:ind w:firstLine="0" w:firstLineChars="0"/>
              <w:jc w:val="center"/>
              <w:rPr>
                <w:rFonts w:ascii="Times New Roman" w:hAnsi="Times New Roman" w:cs="Times New Roman"/>
                <w:color w:val="auto"/>
                <w:szCs w:val="21"/>
                <w:highlight w:val="none"/>
              </w:rPr>
            </w:pPr>
            <w:bookmarkStart w:id="121" w:name="OLE_LINK141"/>
            <w:r>
              <w:rPr>
                <w:rFonts w:ascii="Times New Roman" w:hAnsi="Times New Roman" w:cs="Times New Roman"/>
                <w:color w:val="auto"/>
                <w:szCs w:val="21"/>
                <w:highlight w:val="none"/>
              </w:rPr>
              <w:t>投标报价</w:t>
            </w:r>
            <w:bookmarkEnd w:id="121"/>
          </w:p>
        </w:tc>
        <w:tc>
          <w:tcPr>
            <w:tcW w:w="5333" w:type="dxa"/>
            <w:vAlign w:val="center"/>
          </w:tcPr>
          <w:p w14:paraId="45C17FEE">
            <w:pPr>
              <w:widowControl/>
              <w:ind w:firstLine="0" w:firstLineChars="0"/>
              <w:jc w:val="left"/>
              <w:rPr>
                <w:rFonts w:ascii="宋体" w:hAnsi="宋体" w:cs="宋体"/>
                <w:color w:val="auto"/>
                <w:highlight w:val="none"/>
              </w:rPr>
            </w:pPr>
            <w:r>
              <w:rPr>
                <w:rFonts w:hint="eastAsia" w:ascii="宋体" w:hAnsi="宋体" w:cs="宋体"/>
                <w:color w:val="auto"/>
                <w:highlight w:val="none"/>
              </w:rPr>
              <w:t>（1）投标人必须对本次</w:t>
            </w:r>
            <w:bookmarkStart w:id="122" w:name="OLE_LINK2"/>
            <w:r>
              <w:rPr>
                <w:rFonts w:hint="eastAsia" w:ascii="宋体" w:hAnsi="宋体" w:cs="宋体"/>
                <w:color w:val="auto"/>
                <w:highlight w:val="none"/>
              </w:rPr>
              <w:t>招标范围内所有内容作出完整唯一的投标报价，</w:t>
            </w:r>
            <w:bookmarkStart w:id="123" w:name="OLE_LINK264"/>
            <w:r>
              <w:rPr>
                <w:rFonts w:hint="eastAsia" w:ascii="宋体" w:hAnsi="宋体" w:cs="宋体"/>
                <w:color w:val="auto"/>
                <w:highlight w:val="none"/>
              </w:rPr>
              <w:t>不得缺项</w:t>
            </w:r>
            <w:bookmarkEnd w:id="123"/>
            <w:r>
              <w:rPr>
                <w:rFonts w:hint="eastAsia" w:ascii="宋体" w:hAnsi="宋体" w:cs="宋体"/>
                <w:color w:val="auto"/>
                <w:highlight w:val="none"/>
              </w:rPr>
              <w:t>、漏项</w:t>
            </w:r>
            <w:bookmarkEnd w:id="122"/>
            <w:r>
              <w:rPr>
                <w:rFonts w:hint="eastAsia" w:ascii="宋体" w:hAnsi="宋体" w:cs="宋体"/>
                <w:color w:val="auto"/>
                <w:highlight w:val="none"/>
              </w:rPr>
              <w:t>，否则投标文件将按无效处理。</w:t>
            </w:r>
          </w:p>
          <w:p w14:paraId="07C47D13">
            <w:pPr>
              <w:widowControl/>
              <w:ind w:firstLine="0" w:firstLineChars="0"/>
              <w:jc w:val="left"/>
              <w:rPr>
                <w:rFonts w:ascii="宋体" w:hAnsi="宋体" w:cs="宋体"/>
                <w:color w:val="auto"/>
                <w:highlight w:val="none"/>
              </w:rPr>
            </w:pPr>
            <w:r>
              <w:rPr>
                <w:rFonts w:hint="eastAsia" w:ascii="宋体" w:hAnsi="宋体" w:cs="宋体"/>
                <w:color w:val="auto"/>
                <w:highlight w:val="none"/>
              </w:rPr>
              <w:t>（2）投标人的报价应包括但不限于下列内容：</w:t>
            </w:r>
          </w:p>
          <w:p w14:paraId="539EDDA0">
            <w:pPr>
              <w:widowControl/>
              <w:ind w:firstLine="0" w:firstLineChars="0"/>
              <w:jc w:val="left"/>
              <w:rPr>
                <w:rFonts w:ascii="宋体" w:hAnsi="宋体" w:cs="宋体"/>
                <w:color w:val="auto"/>
                <w:highlight w:val="none"/>
              </w:rPr>
            </w:pPr>
            <w:r>
              <w:rPr>
                <w:rFonts w:hint="eastAsia" w:ascii="宋体" w:hAnsi="宋体" w:cs="宋体"/>
                <w:color w:val="auto"/>
                <w:highlight w:val="none"/>
              </w:rPr>
              <w:t>1）投标产品</w:t>
            </w:r>
            <w:r>
              <w:rPr>
                <w:rFonts w:ascii="宋体" w:hAnsi="宋体" w:cs="宋体"/>
                <w:color w:val="auto"/>
                <w:highlight w:val="none"/>
              </w:rPr>
              <w:t>出厂价、配套货物、设备验收开始使用后至保质期内正常、连续地使用所必须的备品备件、随机必需的辅助专用工具、运杂费、货</w:t>
            </w:r>
            <w:bookmarkStart w:id="124" w:name="OLE_LINK24"/>
            <w:r>
              <w:rPr>
                <w:rFonts w:ascii="宋体" w:hAnsi="宋体" w:cs="宋体"/>
                <w:color w:val="auto"/>
                <w:highlight w:val="none"/>
              </w:rPr>
              <w:t>物安装调</w:t>
            </w:r>
            <w:bookmarkEnd w:id="124"/>
            <w:r>
              <w:rPr>
                <w:rFonts w:ascii="宋体" w:hAnsi="宋体" w:cs="宋体"/>
                <w:color w:val="auto"/>
                <w:highlight w:val="none"/>
              </w:rPr>
              <w:t>试、检验、技术服务费、货物运输保险、保证期内缺陷的修复补救费用、市场价格变化的风险费用、</w:t>
            </w:r>
            <w:r>
              <w:rPr>
                <w:rFonts w:hint="eastAsia" w:ascii="宋体" w:hAnsi="宋体" w:cs="宋体"/>
                <w:color w:val="auto"/>
                <w:highlight w:val="none"/>
              </w:rPr>
              <w:t>采购</w:t>
            </w:r>
            <w:r>
              <w:rPr>
                <w:rFonts w:ascii="宋体" w:hAnsi="宋体" w:cs="宋体"/>
                <w:color w:val="auto"/>
                <w:highlight w:val="none"/>
              </w:rPr>
              <w:t>代理</w:t>
            </w:r>
            <w:r>
              <w:rPr>
                <w:rFonts w:hint="eastAsia" w:ascii="宋体" w:hAnsi="宋体" w:cs="宋体"/>
                <w:color w:val="auto"/>
                <w:highlight w:val="none"/>
              </w:rPr>
              <w:t>服务</w:t>
            </w:r>
            <w:r>
              <w:rPr>
                <w:rFonts w:ascii="宋体" w:hAnsi="宋体" w:cs="宋体"/>
                <w:color w:val="auto"/>
                <w:highlight w:val="none"/>
              </w:rPr>
              <w:t>费、</w:t>
            </w:r>
            <w:r>
              <w:rPr>
                <w:rFonts w:hint="eastAsia" w:ascii="宋体" w:hAnsi="宋体" w:cs="宋体"/>
                <w:color w:val="auto"/>
                <w:highlight w:val="none"/>
              </w:rPr>
              <w:t>企业管理费、</w:t>
            </w:r>
            <w:r>
              <w:rPr>
                <w:rFonts w:ascii="宋体" w:hAnsi="宋体" w:cs="宋体"/>
                <w:color w:val="auto"/>
                <w:highlight w:val="none"/>
              </w:rPr>
              <w:t>利润、税金等全部费用的总</w:t>
            </w:r>
            <w:bookmarkStart w:id="125" w:name="OLE_LINK9"/>
            <w:r>
              <w:rPr>
                <w:rFonts w:ascii="宋体" w:hAnsi="宋体" w:cs="宋体"/>
                <w:color w:val="auto"/>
                <w:highlight w:val="none"/>
              </w:rPr>
              <w:t>和</w:t>
            </w:r>
            <w:r>
              <w:rPr>
                <w:rFonts w:hint="eastAsia" w:ascii="宋体" w:hAnsi="宋体" w:cs="宋体"/>
                <w:color w:val="auto"/>
                <w:highlight w:val="none"/>
              </w:rPr>
              <w:t>。</w:t>
            </w:r>
            <w:bookmarkEnd w:id="125"/>
          </w:p>
          <w:p w14:paraId="1EBA4CD7">
            <w:pPr>
              <w:widowControl/>
              <w:ind w:firstLine="0" w:firstLineChars="0"/>
              <w:jc w:val="left"/>
              <w:rPr>
                <w:rFonts w:ascii="宋体" w:hAnsi="宋体" w:cs="宋体"/>
                <w:color w:val="auto"/>
                <w:highlight w:val="none"/>
              </w:rPr>
            </w:pPr>
            <w:r>
              <w:rPr>
                <w:rFonts w:hint="eastAsia" w:ascii="宋体" w:hAnsi="宋体" w:cs="宋体"/>
                <w:color w:val="auto"/>
                <w:highlight w:val="none"/>
              </w:rPr>
              <w:t>2）</w:t>
            </w:r>
            <w:r>
              <w:rPr>
                <w:rFonts w:ascii="宋体" w:hAnsi="宋体" w:cs="宋体"/>
                <w:color w:val="auto"/>
                <w:highlight w:val="none"/>
              </w:rPr>
              <w:t>该报价应符合市场行情并能保证投标人完成履行合同所需的一切工作</w:t>
            </w:r>
            <w:r>
              <w:rPr>
                <w:rFonts w:hint="eastAsia" w:ascii="宋体" w:hAnsi="宋体" w:cs="宋体"/>
                <w:color w:val="auto"/>
                <w:highlight w:val="none"/>
              </w:rPr>
              <w:t>。</w:t>
            </w:r>
          </w:p>
          <w:p w14:paraId="7634C009">
            <w:pPr>
              <w:widowControl/>
              <w:ind w:firstLine="0" w:firstLineChars="0"/>
              <w:jc w:val="left"/>
              <w:rPr>
                <w:rFonts w:ascii="Times New Roman" w:hAnsi="Times New Roman" w:cs="Times New Roman"/>
                <w:color w:val="auto"/>
                <w:szCs w:val="21"/>
                <w:highlight w:val="none"/>
              </w:rPr>
            </w:pPr>
            <w:r>
              <w:rPr>
                <w:rFonts w:hint="eastAsia" w:ascii="宋体" w:hAnsi="宋体" w:cs="宋体"/>
                <w:color w:val="auto"/>
                <w:highlight w:val="none"/>
              </w:rPr>
              <w:t>3）项目实施过程中产生的措施费等费用由投标人自行承担，相关费用包含在投标报价中。</w:t>
            </w:r>
          </w:p>
        </w:tc>
      </w:tr>
      <w:bookmarkEnd w:id="120"/>
      <w:tr w14:paraId="6011BB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7" w:hRule="atLeast"/>
        </w:trPr>
        <w:tc>
          <w:tcPr>
            <w:tcW w:w="1113" w:type="dxa"/>
            <w:vAlign w:val="center"/>
          </w:tcPr>
          <w:p w14:paraId="1013E91A">
            <w:pPr>
              <w:ind w:firstLine="0" w:firstLineChars="0"/>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22.1</w:t>
            </w:r>
          </w:p>
        </w:tc>
        <w:tc>
          <w:tcPr>
            <w:tcW w:w="2486" w:type="dxa"/>
            <w:vAlign w:val="center"/>
          </w:tcPr>
          <w:p w14:paraId="2007116D">
            <w:pPr>
              <w:ind w:firstLine="0" w:firstLineChars="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提交投标文件截止时间</w:t>
            </w:r>
            <w:r>
              <w:rPr>
                <w:rFonts w:hint="eastAsia" w:ascii="Times New Roman" w:hAnsi="Times New Roman" w:cs="Times New Roman"/>
                <w:color w:val="auto"/>
                <w:szCs w:val="21"/>
                <w:highlight w:val="none"/>
              </w:rPr>
              <w:t>和地点</w:t>
            </w:r>
          </w:p>
        </w:tc>
        <w:tc>
          <w:tcPr>
            <w:tcW w:w="5333" w:type="dxa"/>
            <w:vAlign w:val="center"/>
          </w:tcPr>
          <w:p w14:paraId="01278B27">
            <w:pPr>
              <w:ind w:firstLine="0" w:firstLineChars="0"/>
              <w:rPr>
                <w:rFonts w:ascii="Times New Roman" w:hAnsi="Times New Roman" w:cs="Times New Roman"/>
                <w:color w:val="auto"/>
                <w:szCs w:val="21"/>
                <w:highlight w:val="none"/>
              </w:rPr>
            </w:pPr>
            <w:r>
              <w:rPr>
                <w:rFonts w:ascii="Times New Roman" w:hAnsi="Times New Roman" w:cs="Times New Roman"/>
                <w:color w:val="auto"/>
                <w:szCs w:val="21"/>
                <w:highlight w:val="none"/>
              </w:rPr>
              <w:t>详见第一章《招标公告》</w:t>
            </w:r>
          </w:p>
        </w:tc>
      </w:tr>
      <w:tr w14:paraId="24FEAC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13" w:type="dxa"/>
            <w:vAlign w:val="center"/>
          </w:tcPr>
          <w:p w14:paraId="5590A85B">
            <w:pPr>
              <w:ind w:firstLine="0" w:firstLineChars="0"/>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26.2</w:t>
            </w:r>
          </w:p>
        </w:tc>
        <w:tc>
          <w:tcPr>
            <w:tcW w:w="2486" w:type="dxa"/>
            <w:vAlign w:val="center"/>
          </w:tcPr>
          <w:p w14:paraId="7C7512E6">
            <w:pPr>
              <w:ind w:firstLine="0" w:firstLineChars="0"/>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评标委员会</w:t>
            </w:r>
          </w:p>
        </w:tc>
        <w:tc>
          <w:tcPr>
            <w:tcW w:w="5333" w:type="dxa"/>
            <w:vAlign w:val="center"/>
          </w:tcPr>
          <w:p w14:paraId="3A39AE15">
            <w:pPr>
              <w:ind w:firstLine="0" w:firstLineChars="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评标委员会由采购人代表和评审专家组成，成员人数为5人以上单数（采购预算金额在1000万元以上成员人数为</w:t>
            </w:r>
            <w:r>
              <w:rPr>
                <w:rFonts w:ascii="Times New Roman" w:hAnsi="Times New Roman" w:cs="Times New Roman"/>
                <w:color w:val="auto"/>
                <w:szCs w:val="21"/>
                <w:highlight w:val="none"/>
              </w:rPr>
              <w:t>7</w:t>
            </w:r>
            <w:r>
              <w:rPr>
                <w:rFonts w:hint="eastAsia" w:ascii="Times New Roman" w:hAnsi="Times New Roman" w:cs="Times New Roman"/>
                <w:color w:val="auto"/>
                <w:szCs w:val="21"/>
                <w:highlight w:val="none"/>
              </w:rPr>
              <w:t>人以上单数），其中评审专家不得少于成员总数的三分之二。评标委员会应当推选组长，但采购人代表不得担任组长。</w:t>
            </w:r>
          </w:p>
        </w:tc>
      </w:tr>
      <w:tr w14:paraId="1ABC4E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113" w:type="dxa"/>
            <w:vAlign w:val="center"/>
          </w:tcPr>
          <w:p w14:paraId="3E1694DD">
            <w:pPr>
              <w:ind w:firstLine="0" w:firstLineChars="0"/>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26.5</w:t>
            </w:r>
          </w:p>
        </w:tc>
        <w:tc>
          <w:tcPr>
            <w:tcW w:w="2486" w:type="dxa"/>
            <w:vAlign w:val="center"/>
          </w:tcPr>
          <w:p w14:paraId="682C1E15">
            <w:pPr>
              <w:ind w:firstLine="0" w:firstLineChars="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评标方法</w:t>
            </w:r>
          </w:p>
        </w:tc>
        <w:tc>
          <w:tcPr>
            <w:tcW w:w="5333" w:type="dxa"/>
            <w:vAlign w:val="center"/>
          </w:tcPr>
          <w:p w14:paraId="68BCFCFE">
            <w:pPr>
              <w:ind w:firstLine="0" w:firstLineChars="0"/>
              <w:rPr>
                <w:rFonts w:ascii="Times New Roman" w:hAnsi="Times New Roman" w:cs="Times New Roman"/>
                <w:color w:val="auto"/>
                <w:szCs w:val="21"/>
                <w:highlight w:val="none"/>
              </w:rPr>
            </w:pPr>
            <w:r>
              <w:rPr>
                <w:rFonts w:ascii="Times New Roman" w:hAnsi="Times New Roman" w:cs="Times New Roman"/>
                <w:color w:val="auto"/>
                <w:szCs w:val="21"/>
                <w:highlight w:val="none"/>
              </w:rPr>
              <w:t>本项目评标方法采用</w:t>
            </w:r>
            <w:r>
              <w:rPr>
                <w:rFonts w:ascii="Times New Roman" w:hAnsi="Times New Roman" w:cs="Times New Roman"/>
                <w:b/>
                <w:bCs/>
                <w:color w:val="auto"/>
                <w:szCs w:val="21"/>
                <w:highlight w:val="none"/>
                <w:u w:val="single"/>
              </w:rPr>
              <w:t>综合评分法</w:t>
            </w:r>
            <w:r>
              <w:rPr>
                <w:rFonts w:ascii="Times New Roman" w:hAnsi="Times New Roman" w:cs="Times New Roman"/>
                <w:color w:val="auto"/>
                <w:szCs w:val="21"/>
                <w:highlight w:val="none"/>
              </w:rPr>
              <w:t>，是指投标文件满足招标文件全部实质性要求，且按照评审因素的量化指标评审得分最高的投标人为中标候选人的评标方法。</w:t>
            </w:r>
          </w:p>
        </w:tc>
      </w:tr>
      <w:tr w14:paraId="4A6331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1113" w:type="dxa"/>
            <w:vAlign w:val="center"/>
          </w:tcPr>
          <w:p w14:paraId="4289FE3F">
            <w:pPr>
              <w:ind w:firstLine="0" w:firstLineChars="0"/>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32.6</w:t>
            </w:r>
          </w:p>
        </w:tc>
        <w:tc>
          <w:tcPr>
            <w:tcW w:w="2486" w:type="dxa"/>
            <w:vAlign w:val="center"/>
          </w:tcPr>
          <w:p w14:paraId="5FC5CACF">
            <w:pPr>
              <w:ind w:firstLine="0" w:firstLineChars="0"/>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分包</w:t>
            </w:r>
          </w:p>
        </w:tc>
        <w:tc>
          <w:tcPr>
            <w:tcW w:w="5333" w:type="dxa"/>
            <w:vAlign w:val="center"/>
          </w:tcPr>
          <w:p w14:paraId="6360AEFB">
            <w:pPr>
              <w:ind w:firstLine="0" w:firstLineChars="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 xml:space="preserve">本项目的非主体、非关键性工作是否允许分包： </w:t>
            </w:r>
          </w:p>
          <w:p w14:paraId="2F5FB486">
            <w:pPr>
              <w:ind w:firstLine="0" w:firstLineChars="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sym w:font="Wingdings" w:char="00A8"/>
            </w:r>
            <w:r>
              <w:rPr>
                <w:rFonts w:hint="eastAsia" w:ascii="Times New Roman" w:hAnsi="Times New Roman" w:cs="Times New Roman"/>
                <w:color w:val="auto"/>
                <w:szCs w:val="21"/>
                <w:highlight w:val="none"/>
              </w:rPr>
              <w:t xml:space="preserve">不允许 </w:t>
            </w:r>
          </w:p>
          <w:p w14:paraId="2F925FE7">
            <w:pPr>
              <w:ind w:firstLine="0" w:firstLineChars="0"/>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sym w:font="Wingdings" w:char="00FE"/>
            </w:r>
            <w:r>
              <w:rPr>
                <w:rFonts w:hint="eastAsia" w:ascii="Times New Roman" w:hAnsi="Times New Roman" w:cs="Times New Roman"/>
                <w:color w:val="auto"/>
                <w:szCs w:val="21"/>
                <w:highlight w:val="none"/>
              </w:rPr>
              <w:t>允许</w:t>
            </w:r>
          </w:p>
          <w:p w14:paraId="70264B04">
            <w:pPr>
              <w:keepNext w:val="0"/>
              <w:keepLines w:val="0"/>
              <w:pageBreakBefore w:val="0"/>
              <w:suppressLineNumbers w:val="0"/>
              <w:kinsoku/>
              <w:wordWrap/>
              <w:overflowPunct/>
              <w:bidi w:val="0"/>
              <w:spacing w:before="0" w:beforeAutospacing="0" w:after="0" w:afterAutospacing="0" w:line="360" w:lineRule="auto"/>
              <w:ind w:left="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（1）可以分包履行的具体内容：</w:t>
            </w:r>
            <w:r>
              <w:rPr>
                <w:rFonts w:hint="eastAsia" w:ascii="宋体" w:hAnsi="宋体" w:eastAsia="宋体" w:cs="宋体"/>
                <w:color w:val="auto"/>
                <w:sz w:val="21"/>
                <w:szCs w:val="21"/>
                <w:highlight w:val="none"/>
                <w:u w:val="single"/>
                <w:lang w:val="en-US" w:eastAsia="zh-CN"/>
              </w:rPr>
              <w:t>①</w:t>
            </w:r>
            <w:r>
              <w:rPr>
                <w:rFonts w:hint="eastAsia" w:ascii="宋体" w:hAnsi="宋体" w:cs="宋体"/>
                <w:color w:val="auto"/>
                <w:sz w:val="21"/>
                <w:szCs w:val="21"/>
                <w:highlight w:val="none"/>
                <w:u w:val="single"/>
                <w:lang w:val="en-US" w:eastAsia="zh-CN"/>
              </w:rPr>
              <w:t>CT</w:t>
            </w:r>
            <w:r>
              <w:rPr>
                <w:rFonts w:hint="eastAsia" w:ascii="宋体" w:hAnsi="宋体" w:eastAsia="宋体" w:cs="宋体"/>
                <w:color w:val="auto"/>
                <w:sz w:val="21"/>
                <w:szCs w:val="21"/>
                <w:highlight w:val="none"/>
                <w:u w:val="single"/>
                <w:lang w:val="en-US" w:eastAsia="zh-CN"/>
              </w:rPr>
              <w:t>机房装修</w:t>
            </w:r>
            <w:r>
              <w:rPr>
                <w:rFonts w:hint="eastAsia" w:ascii="宋体" w:hAnsi="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lang w:val="en-US" w:eastAsia="zh-CN"/>
              </w:rPr>
              <w:t>②箱式变压器（250kVA ）的配置</w:t>
            </w:r>
            <w:r>
              <w:rPr>
                <w:rFonts w:hint="eastAsia" w:ascii="宋体" w:hAnsi="宋体" w:cs="宋体"/>
                <w:color w:val="auto"/>
                <w:sz w:val="21"/>
                <w:szCs w:val="21"/>
                <w:highlight w:val="none"/>
                <w:u w:val="single"/>
                <w:lang w:val="en-US" w:eastAsia="zh-CN"/>
              </w:rPr>
              <w:t>及</w:t>
            </w:r>
            <w:r>
              <w:rPr>
                <w:rFonts w:hint="eastAsia" w:ascii="宋体" w:hAnsi="宋体" w:eastAsia="宋体" w:cs="宋体"/>
                <w:color w:val="auto"/>
                <w:sz w:val="21"/>
                <w:szCs w:val="21"/>
                <w:highlight w:val="none"/>
                <w:u w:val="single"/>
                <w:lang w:val="en-US" w:eastAsia="zh-CN"/>
              </w:rPr>
              <w:t>安装</w:t>
            </w:r>
            <w:r>
              <w:rPr>
                <w:rFonts w:hint="eastAsia" w:ascii="宋体" w:hAnsi="宋体" w:eastAsia="宋体" w:cs="宋体"/>
                <w:color w:val="auto"/>
                <w:sz w:val="21"/>
                <w:szCs w:val="21"/>
                <w:highlight w:val="none"/>
                <w:lang w:val="en-US" w:eastAsia="zh-CN"/>
              </w:rPr>
              <w:t xml:space="preserve">； </w:t>
            </w:r>
          </w:p>
          <w:p w14:paraId="12C0B05F">
            <w:pPr>
              <w:keepNext w:val="0"/>
              <w:keepLines w:val="0"/>
              <w:pageBreakBefore w:val="0"/>
              <w:suppressLineNumbers w:val="0"/>
              <w:kinsoku/>
              <w:wordWrap/>
              <w:overflowPunct/>
              <w:bidi w:val="0"/>
              <w:spacing w:before="0" w:beforeAutospacing="0" w:after="0" w:afterAutospacing="0" w:line="360" w:lineRule="auto"/>
              <w:ind w:left="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（2）允许分包的金额或者比例：</w:t>
            </w:r>
            <w:r>
              <w:rPr>
                <w:rFonts w:hint="eastAsia" w:ascii="宋体" w:hAnsi="宋体" w:eastAsia="宋体" w:cs="宋体"/>
                <w:color w:val="auto"/>
                <w:sz w:val="21"/>
                <w:szCs w:val="21"/>
                <w:highlight w:val="none"/>
                <w:u w:val="single"/>
                <w:lang w:val="en-US" w:eastAsia="zh-CN"/>
              </w:rPr>
              <w:t>①</w:t>
            </w:r>
            <w:r>
              <w:rPr>
                <w:rFonts w:hint="eastAsia" w:ascii="宋体" w:hAnsi="宋体" w:cs="宋体"/>
                <w:color w:val="auto"/>
                <w:sz w:val="21"/>
                <w:szCs w:val="21"/>
                <w:highlight w:val="none"/>
                <w:u w:val="single"/>
                <w:lang w:val="en-US" w:eastAsia="zh-CN"/>
              </w:rPr>
              <w:t>CT</w:t>
            </w:r>
            <w:r>
              <w:rPr>
                <w:rFonts w:hint="eastAsia" w:ascii="宋体" w:hAnsi="宋体" w:eastAsia="宋体" w:cs="宋体"/>
                <w:color w:val="auto"/>
                <w:sz w:val="21"/>
                <w:szCs w:val="21"/>
                <w:highlight w:val="none"/>
                <w:u w:val="single"/>
                <w:lang w:val="en-US" w:eastAsia="zh-CN"/>
              </w:rPr>
              <w:t>机房装修：预算金额：</w:t>
            </w:r>
            <w:r>
              <w:rPr>
                <w:rFonts w:hint="eastAsia" w:ascii="宋体" w:hAnsi="宋体" w:cs="宋体"/>
                <w:color w:val="auto"/>
                <w:sz w:val="21"/>
                <w:szCs w:val="21"/>
                <w:highlight w:val="none"/>
                <w:u w:val="single"/>
                <w:lang w:val="en-US" w:eastAsia="zh-CN"/>
              </w:rPr>
              <w:t>100</w:t>
            </w:r>
            <w:r>
              <w:rPr>
                <w:rFonts w:hint="eastAsia" w:ascii="宋体" w:hAnsi="宋体" w:eastAsia="宋体" w:cs="宋体"/>
                <w:color w:val="auto"/>
                <w:sz w:val="21"/>
                <w:szCs w:val="21"/>
                <w:highlight w:val="none"/>
                <w:u w:val="single"/>
                <w:lang w:val="en-US" w:eastAsia="zh-CN"/>
              </w:rPr>
              <w:t>000.00元；②箱式变压器（250kVA ）的配置</w:t>
            </w:r>
            <w:r>
              <w:rPr>
                <w:rFonts w:hint="eastAsia" w:ascii="宋体" w:hAnsi="宋体" w:cs="宋体"/>
                <w:color w:val="auto"/>
                <w:sz w:val="21"/>
                <w:szCs w:val="21"/>
                <w:highlight w:val="none"/>
                <w:u w:val="single"/>
                <w:lang w:val="en-US" w:eastAsia="zh-CN"/>
              </w:rPr>
              <w:t>及</w:t>
            </w:r>
            <w:r>
              <w:rPr>
                <w:rFonts w:hint="eastAsia" w:ascii="宋体" w:hAnsi="宋体" w:eastAsia="宋体" w:cs="宋体"/>
                <w:color w:val="auto"/>
                <w:sz w:val="21"/>
                <w:szCs w:val="21"/>
                <w:highlight w:val="none"/>
                <w:u w:val="single"/>
                <w:lang w:val="en-US" w:eastAsia="zh-CN"/>
              </w:rPr>
              <w:t>安装预算金额：200000.00元；</w:t>
            </w:r>
            <w:r>
              <w:rPr>
                <w:rFonts w:hint="eastAsia" w:ascii="宋体" w:hAnsi="宋体" w:eastAsia="宋体" w:cs="宋体"/>
                <w:color w:val="auto"/>
                <w:sz w:val="21"/>
                <w:szCs w:val="21"/>
                <w:highlight w:val="none"/>
                <w:lang w:val="en-US" w:eastAsia="zh-CN"/>
              </w:rPr>
              <w:t xml:space="preserve"> </w:t>
            </w:r>
          </w:p>
          <w:p w14:paraId="62C7A4B9">
            <w:pPr>
              <w:spacing w:line="360" w:lineRule="auto"/>
              <w:ind w:left="0" w:leftChars="0" w:firstLine="0" w:firstLineChars="0"/>
              <w:rPr>
                <w:color w:val="auto"/>
                <w:highlight w:val="none"/>
              </w:rPr>
            </w:pPr>
            <w:r>
              <w:rPr>
                <w:rFonts w:hint="eastAsia" w:ascii="宋体" w:hAnsi="宋体" w:eastAsia="宋体" w:cs="宋体"/>
                <w:color w:val="auto"/>
                <w:sz w:val="21"/>
                <w:szCs w:val="21"/>
                <w:highlight w:val="none"/>
                <w:lang w:val="en-US" w:eastAsia="zh-CN"/>
              </w:rPr>
              <w:t>（3）其他要求：</w:t>
            </w:r>
            <w:r>
              <w:rPr>
                <w:rFonts w:hint="eastAsia" w:ascii="宋体" w:hAnsi="宋体" w:eastAsia="宋体" w:cs="宋体"/>
                <w:color w:val="auto"/>
                <w:sz w:val="21"/>
                <w:szCs w:val="21"/>
                <w:highlight w:val="none"/>
                <w:u w:val="single"/>
                <w:lang w:val="en-US" w:eastAsia="zh-CN"/>
              </w:rPr>
              <w:t>①</w:t>
            </w:r>
            <w:r>
              <w:rPr>
                <w:rFonts w:hint="eastAsia" w:ascii="宋体" w:hAnsi="宋体" w:cs="宋体"/>
                <w:color w:val="auto"/>
                <w:sz w:val="21"/>
                <w:szCs w:val="21"/>
                <w:highlight w:val="none"/>
                <w:u w:val="single"/>
                <w:lang w:val="en-US" w:eastAsia="zh-CN"/>
              </w:rPr>
              <w:t>CT</w:t>
            </w:r>
            <w:r>
              <w:rPr>
                <w:rFonts w:hint="eastAsia" w:ascii="宋体" w:hAnsi="宋体" w:eastAsia="宋体" w:cs="宋体"/>
                <w:color w:val="auto"/>
                <w:sz w:val="21"/>
                <w:szCs w:val="21"/>
                <w:highlight w:val="none"/>
                <w:u w:val="single"/>
                <w:lang w:val="en-US" w:eastAsia="zh-CN"/>
              </w:rPr>
              <w:t>机房装修：分包承担主体应为具备行政主管部门颁发的建筑装修装饰工程专业承包二级及以上资质</w:t>
            </w:r>
            <w:r>
              <w:rPr>
                <w:rFonts w:hint="eastAsia" w:ascii="宋体" w:hAnsi="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lang w:val="en-US" w:eastAsia="zh-CN"/>
              </w:rPr>
              <w:t>同时具备有效的安全生产许可证</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；②箱式变压器（250kVA ）的配置</w:t>
            </w:r>
            <w:r>
              <w:rPr>
                <w:rFonts w:hint="eastAsia" w:ascii="宋体" w:hAnsi="宋体" w:cs="宋体"/>
                <w:color w:val="auto"/>
                <w:sz w:val="21"/>
                <w:szCs w:val="21"/>
                <w:highlight w:val="none"/>
                <w:u w:val="single"/>
                <w:lang w:val="en-US" w:eastAsia="zh-CN"/>
              </w:rPr>
              <w:t>及</w:t>
            </w:r>
            <w:r>
              <w:rPr>
                <w:rFonts w:hint="eastAsia" w:ascii="宋体" w:hAnsi="宋体" w:eastAsia="宋体" w:cs="宋体"/>
                <w:color w:val="auto"/>
                <w:sz w:val="21"/>
                <w:szCs w:val="21"/>
                <w:highlight w:val="none"/>
                <w:u w:val="single"/>
                <w:lang w:val="en-US" w:eastAsia="zh-CN"/>
              </w:rPr>
              <w:t>安装：分包承担主体应为具有建设行政主管部门核发的输变电工程专业承包叁级(含叁级)以上资质；同时具备有效的《承装（修、试）电力设施许可证》（承装类三级（含三级）及以上资质）及安全生产许可证</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p>
        </w:tc>
      </w:tr>
      <w:tr w14:paraId="705527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113" w:type="dxa"/>
            <w:vAlign w:val="center"/>
          </w:tcPr>
          <w:p w14:paraId="2D98236F">
            <w:pPr>
              <w:ind w:firstLine="0" w:firstLineChars="0"/>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33.1</w:t>
            </w:r>
          </w:p>
        </w:tc>
        <w:tc>
          <w:tcPr>
            <w:tcW w:w="2486" w:type="dxa"/>
            <w:vAlign w:val="center"/>
          </w:tcPr>
          <w:p w14:paraId="46140776">
            <w:pPr>
              <w:ind w:firstLine="0" w:firstLineChars="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履约保证金</w:t>
            </w:r>
          </w:p>
        </w:tc>
        <w:tc>
          <w:tcPr>
            <w:tcW w:w="5333" w:type="dxa"/>
            <w:vAlign w:val="center"/>
          </w:tcPr>
          <w:p w14:paraId="5A69F337">
            <w:pPr>
              <w:widowControl/>
              <w:ind w:firstLine="0" w:firstLineChars="0"/>
              <w:jc w:val="left"/>
              <w:rPr>
                <w:rFonts w:ascii="宋体" w:hAnsi="宋体" w:cs="Times New Roman"/>
                <w:color w:val="auto"/>
                <w:szCs w:val="21"/>
                <w:highlight w:val="none"/>
                <w:shd w:val="clear" w:color="auto" w:fill="FFFFFF"/>
                <w:lang w:val="zh-CN"/>
              </w:rPr>
            </w:pPr>
            <w:r>
              <w:rPr>
                <w:rFonts w:ascii="宋体" w:hAnsi="宋体" w:cs="Times New Roman"/>
                <w:color w:val="auto"/>
                <w:szCs w:val="21"/>
                <w:highlight w:val="none"/>
                <w:shd w:val="clear" w:color="auto" w:fill="FFFFFF"/>
              </w:rPr>
              <w:sym w:font="Wingdings" w:char="00FE"/>
            </w:r>
            <w:r>
              <w:rPr>
                <w:rFonts w:ascii="宋体" w:hAnsi="宋体" w:cs="Times New Roman"/>
                <w:color w:val="auto"/>
                <w:szCs w:val="21"/>
                <w:highlight w:val="none"/>
                <w:shd w:val="clear" w:color="auto" w:fill="FFFFFF"/>
              </w:rPr>
              <w:t>不要求提供</w:t>
            </w:r>
          </w:p>
          <w:p w14:paraId="3AFD96F5">
            <w:pPr>
              <w:widowControl/>
              <w:ind w:firstLine="0" w:firstLineChars="0"/>
              <w:jc w:val="left"/>
              <w:rPr>
                <w:rFonts w:ascii="宋体" w:hAnsi="宋体" w:cs="Times New Roman"/>
                <w:color w:val="auto"/>
                <w:szCs w:val="21"/>
                <w:highlight w:val="none"/>
                <w:shd w:val="clear" w:color="auto" w:fill="FFFFFF"/>
              </w:rPr>
            </w:pPr>
            <w:r>
              <w:rPr>
                <w:rFonts w:ascii="宋体" w:hAnsi="宋体" w:cs="Times New Roman"/>
                <w:color w:val="auto"/>
                <w:szCs w:val="21"/>
                <w:highlight w:val="none"/>
                <w:shd w:val="clear" w:color="auto" w:fill="FFFFFF"/>
              </w:rPr>
              <w:sym w:font="Wingdings" w:char="00A8"/>
            </w:r>
            <w:r>
              <w:rPr>
                <w:rFonts w:ascii="宋体" w:hAnsi="宋体" w:cs="Times New Roman"/>
                <w:color w:val="auto"/>
                <w:szCs w:val="21"/>
                <w:highlight w:val="none"/>
                <w:shd w:val="clear" w:color="auto" w:fill="FFFFFF"/>
              </w:rPr>
              <w:t>要求提供：</w:t>
            </w:r>
          </w:p>
        </w:tc>
      </w:tr>
      <w:tr w14:paraId="7DFB27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113" w:type="dxa"/>
            <w:vAlign w:val="center"/>
          </w:tcPr>
          <w:p w14:paraId="7D4099B4">
            <w:pPr>
              <w:ind w:firstLine="0" w:firstLineChars="0"/>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36.1</w:t>
            </w:r>
          </w:p>
        </w:tc>
        <w:tc>
          <w:tcPr>
            <w:tcW w:w="2486" w:type="dxa"/>
            <w:vAlign w:val="center"/>
          </w:tcPr>
          <w:p w14:paraId="5B7141EB">
            <w:pPr>
              <w:ind w:firstLine="0" w:firstLineChars="0"/>
              <w:jc w:val="center"/>
              <w:rPr>
                <w:rFonts w:ascii="Times New Roman" w:hAnsi="Times New Roman" w:cs="Times New Roman"/>
                <w:bCs/>
                <w:color w:val="auto"/>
                <w:szCs w:val="21"/>
                <w:highlight w:val="none"/>
              </w:rPr>
            </w:pPr>
            <w:r>
              <w:rPr>
                <w:rFonts w:ascii="Times New Roman" w:hAnsi="Times New Roman" w:cs="Times New Roman"/>
                <w:color w:val="auto"/>
                <w:szCs w:val="21"/>
                <w:highlight w:val="none"/>
              </w:rPr>
              <w:t>采购代理服务费</w:t>
            </w:r>
          </w:p>
        </w:tc>
        <w:tc>
          <w:tcPr>
            <w:tcW w:w="5333" w:type="dxa"/>
          </w:tcPr>
          <w:p w14:paraId="70BFB582">
            <w:pPr>
              <w:ind w:firstLine="0" w:firstLineChars="0"/>
              <w:rPr>
                <w:rFonts w:ascii="Times New Roman" w:hAnsi="Times New Roman" w:cs="Times New Roman"/>
                <w:color w:val="auto"/>
                <w:szCs w:val="21"/>
                <w:highlight w:val="none"/>
              </w:rPr>
            </w:pPr>
            <w:r>
              <w:rPr>
                <w:rFonts w:ascii="Times New Roman" w:hAnsi="Times New Roman" w:cs="Times New Roman"/>
                <w:color w:val="auto"/>
                <w:szCs w:val="21"/>
                <w:highlight w:val="none"/>
              </w:rPr>
              <w:t>采购代理服务费参照《云南省招标代理服务收费指导标准》规定的货物类收费标准下浮20%向中标人收取（计算基准价为中标金额）。</w:t>
            </w:r>
          </w:p>
        </w:tc>
      </w:tr>
      <w:tr w14:paraId="02E126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1" w:hRule="atLeast"/>
        </w:trPr>
        <w:tc>
          <w:tcPr>
            <w:tcW w:w="1113" w:type="dxa"/>
            <w:vAlign w:val="center"/>
          </w:tcPr>
          <w:p w14:paraId="7BD2F297">
            <w:pPr>
              <w:ind w:firstLine="0" w:firstLineChars="0"/>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37</w:t>
            </w:r>
          </w:p>
        </w:tc>
        <w:tc>
          <w:tcPr>
            <w:tcW w:w="7819" w:type="dxa"/>
            <w:gridSpan w:val="2"/>
            <w:vAlign w:val="center"/>
          </w:tcPr>
          <w:p w14:paraId="45BA60C5">
            <w:pPr>
              <w:ind w:firstLine="0" w:firstLineChars="0"/>
              <w:rPr>
                <w:rFonts w:ascii="Times New Roman" w:hAnsi="Times New Roman" w:cs="Times New Roman"/>
                <w:color w:val="auto"/>
                <w:szCs w:val="21"/>
                <w:highlight w:val="none"/>
              </w:rPr>
            </w:pPr>
            <w:r>
              <w:rPr>
                <w:rFonts w:ascii="Times New Roman" w:hAnsi="Times New Roman" w:cs="Times New Roman"/>
                <w:color w:val="auto"/>
                <w:szCs w:val="21"/>
                <w:highlight w:val="none"/>
              </w:rPr>
              <w:t>需要补充的其他内容</w:t>
            </w:r>
            <w:r>
              <w:rPr>
                <w:rFonts w:hint="eastAsia" w:ascii="Times New Roman" w:hAnsi="Times New Roman" w:cs="Times New Roman"/>
                <w:color w:val="auto"/>
                <w:szCs w:val="21"/>
                <w:highlight w:val="none"/>
              </w:rPr>
              <w:t>：</w:t>
            </w:r>
          </w:p>
        </w:tc>
      </w:tr>
      <w:tr w14:paraId="7BBA30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vAlign w:val="center"/>
          </w:tcPr>
          <w:p w14:paraId="027A806C">
            <w:pPr>
              <w:ind w:firstLine="0" w:firstLineChars="0"/>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37.1</w:t>
            </w:r>
          </w:p>
        </w:tc>
        <w:tc>
          <w:tcPr>
            <w:tcW w:w="2486" w:type="dxa"/>
            <w:tcBorders>
              <w:right w:val="single" w:color="auto" w:sz="4" w:space="0"/>
            </w:tcBorders>
            <w:vAlign w:val="center"/>
          </w:tcPr>
          <w:p w14:paraId="7CC2C59B">
            <w:pPr>
              <w:ind w:firstLine="0" w:firstLineChars="0"/>
              <w:jc w:val="center"/>
              <w:rPr>
                <w:rFonts w:ascii="Times New Roman" w:hAnsi="Times New Roman" w:cs="Times New Roman"/>
                <w:bCs/>
                <w:color w:val="auto"/>
                <w:szCs w:val="21"/>
                <w:highlight w:val="none"/>
              </w:rPr>
            </w:pPr>
            <w:r>
              <w:rPr>
                <w:rFonts w:hint="eastAsia" w:ascii="Times New Roman" w:hAnsi="Times New Roman" w:cs="Times New Roman"/>
                <w:bCs/>
                <w:color w:val="auto"/>
                <w:szCs w:val="21"/>
                <w:highlight w:val="none"/>
              </w:rPr>
              <w:t>类似业绩</w:t>
            </w:r>
          </w:p>
        </w:tc>
        <w:tc>
          <w:tcPr>
            <w:tcW w:w="5333" w:type="dxa"/>
            <w:tcBorders>
              <w:left w:val="single" w:color="auto" w:sz="4" w:space="0"/>
            </w:tcBorders>
            <w:vAlign w:val="center"/>
          </w:tcPr>
          <w:p w14:paraId="5E11F0E3">
            <w:pPr>
              <w:ind w:firstLine="0" w:firstLineChars="0"/>
              <w:rPr>
                <w:rFonts w:ascii="宋体" w:hAnsi="宋体"/>
                <w:b w:val="0"/>
                <w:bCs w:val="0"/>
                <w:color w:val="auto"/>
                <w:kern w:val="0"/>
                <w:szCs w:val="21"/>
                <w:highlight w:val="none"/>
              </w:rPr>
            </w:pPr>
            <w:r>
              <w:rPr>
                <w:rFonts w:hint="eastAsia" w:ascii="宋体" w:hAnsi="宋体"/>
                <w:b/>
                <w:bCs/>
                <w:color w:val="auto"/>
                <w:kern w:val="0"/>
                <w:szCs w:val="21"/>
                <w:highlight w:val="none"/>
              </w:rPr>
              <w:t>类似业绩指：</w:t>
            </w:r>
            <w:r>
              <w:rPr>
                <w:rFonts w:hint="eastAsia" w:ascii="宋体" w:hAnsi="宋体"/>
                <w:b w:val="0"/>
                <w:bCs w:val="0"/>
                <w:color w:val="auto"/>
                <w:kern w:val="0"/>
                <w:szCs w:val="21"/>
                <w:highlight w:val="none"/>
                <w:u w:val="single"/>
              </w:rPr>
              <w:t>合同标的内容含有</w:t>
            </w:r>
            <w:r>
              <w:rPr>
                <w:rFonts w:hint="eastAsia" w:ascii="宋体" w:hAnsi="宋体"/>
                <w:b w:val="0"/>
                <w:bCs w:val="0"/>
                <w:color w:val="auto"/>
                <w:kern w:val="0"/>
                <w:szCs w:val="21"/>
                <w:highlight w:val="none"/>
                <w:u w:val="single"/>
                <w:lang w:val="en-US" w:eastAsia="zh-CN"/>
              </w:rPr>
              <w:t>本项目核心产品</w:t>
            </w:r>
            <w:r>
              <w:rPr>
                <w:rFonts w:hint="eastAsia" w:ascii="宋体" w:hAnsi="宋体"/>
                <w:b w:val="0"/>
                <w:bCs w:val="0"/>
                <w:color w:val="auto"/>
                <w:kern w:val="0"/>
                <w:szCs w:val="21"/>
                <w:highlight w:val="none"/>
                <w:u w:val="single"/>
              </w:rPr>
              <w:t>的</w:t>
            </w:r>
            <w:r>
              <w:rPr>
                <w:rFonts w:hint="eastAsia" w:ascii="宋体" w:hAnsi="宋体"/>
                <w:b w:val="0"/>
                <w:bCs w:val="0"/>
                <w:color w:val="auto"/>
                <w:kern w:val="0"/>
                <w:szCs w:val="21"/>
                <w:highlight w:val="none"/>
                <w:u w:val="single"/>
                <w:lang w:val="en-US" w:eastAsia="zh-CN"/>
              </w:rPr>
              <w:t>类似设备</w:t>
            </w:r>
            <w:r>
              <w:rPr>
                <w:rFonts w:hint="eastAsia" w:ascii="宋体" w:hAnsi="宋体"/>
                <w:b w:val="0"/>
                <w:bCs w:val="0"/>
                <w:color w:val="auto"/>
                <w:kern w:val="0"/>
                <w:szCs w:val="21"/>
                <w:highlight w:val="none"/>
                <w:u w:val="single"/>
              </w:rPr>
              <w:t>供货业绩</w:t>
            </w:r>
          </w:p>
          <w:p w14:paraId="7FB84A86">
            <w:pPr>
              <w:ind w:firstLine="0" w:firstLineChars="0"/>
              <w:rPr>
                <w:rFonts w:ascii="Times New Roman" w:hAnsi="Times New Roman" w:cs="Times New Roman"/>
                <w:color w:val="auto"/>
                <w:szCs w:val="21"/>
                <w:highlight w:val="none"/>
              </w:rPr>
            </w:pPr>
            <w:r>
              <w:rPr>
                <w:rFonts w:hint="eastAsia" w:ascii="宋体" w:hAnsi="宋体"/>
                <w:b/>
                <w:bCs/>
                <w:color w:val="auto"/>
                <w:kern w:val="0"/>
                <w:szCs w:val="21"/>
                <w:highlight w:val="none"/>
              </w:rPr>
              <w:t>业绩证明材料：</w:t>
            </w:r>
            <w:r>
              <w:rPr>
                <w:rFonts w:hint="eastAsia" w:ascii="宋体" w:hAnsi="宋体"/>
                <w:color w:val="auto"/>
                <w:kern w:val="0"/>
                <w:szCs w:val="21"/>
                <w:highlight w:val="none"/>
                <w:u w:val="single"/>
              </w:rPr>
              <w:t>业绩证明材料须提供合同，提供的合同应包含合同名称、合同标的内容、合同履行期限（交货期或服务期）、合同价格、签订时间、合同签字盖章页等关键信息，</w:t>
            </w:r>
            <w:r>
              <w:rPr>
                <w:rFonts w:hint="eastAsia" w:ascii="宋体" w:hAnsi="宋体"/>
                <w:b/>
                <w:bCs/>
                <w:color w:val="auto"/>
                <w:kern w:val="0"/>
                <w:szCs w:val="21"/>
                <w:highlight w:val="none"/>
                <w:u w:val="single"/>
              </w:rPr>
              <w:t>否则不予认可</w:t>
            </w:r>
            <w:r>
              <w:rPr>
                <w:rFonts w:hint="eastAsia" w:ascii="宋体" w:hAnsi="宋体"/>
                <w:color w:val="auto"/>
                <w:kern w:val="0"/>
                <w:szCs w:val="21"/>
                <w:highlight w:val="none"/>
                <w:u w:val="single"/>
              </w:rPr>
              <w:t>。</w:t>
            </w:r>
          </w:p>
        </w:tc>
      </w:tr>
      <w:tr w14:paraId="1A5559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 w:hRule="atLeast"/>
        </w:trPr>
        <w:tc>
          <w:tcPr>
            <w:tcW w:w="1113" w:type="dxa"/>
            <w:shd w:val="clear" w:color="auto" w:fill="auto"/>
            <w:vAlign w:val="center"/>
          </w:tcPr>
          <w:p w14:paraId="79A0DBD4">
            <w:pPr>
              <w:ind w:firstLine="0" w:firstLineChars="0"/>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37.2</w:t>
            </w:r>
          </w:p>
        </w:tc>
        <w:tc>
          <w:tcPr>
            <w:tcW w:w="2486" w:type="dxa"/>
            <w:tcBorders>
              <w:right w:val="single" w:color="auto" w:sz="4" w:space="0"/>
            </w:tcBorders>
            <w:shd w:val="clear" w:color="auto" w:fill="auto"/>
            <w:vAlign w:val="center"/>
          </w:tcPr>
          <w:p w14:paraId="161C5AD0">
            <w:pPr>
              <w:ind w:firstLine="0" w:firstLineChars="0"/>
              <w:jc w:val="center"/>
              <w:rPr>
                <w:rFonts w:cs="Times New Roman"/>
                <w:color w:val="auto"/>
                <w:highlight w:val="none"/>
              </w:rPr>
            </w:pPr>
            <w:r>
              <w:rPr>
                <w:rFonts w:hint="eastAsia" w:cs="Times New Roman"/>
                <w:color w:val="auto"/>
                <w:highlight w:val="none"/>
              </w:rPr>
              <w:t>本国产品标准适用范围</w:t>
            </w:r>
          </w:p>
        </w:tc>
        <w:tc>
          <w:tcPr>
            <w:tcW w:w="5333" w:type="dxa"/>
            <w:tcBorders>
              <w:left w:val="single" w:color="auto" w:sz="4" w:space="0"/>
            </w:tcBorders>
            <w:shd w:val="clear" w:color="auto" w:fill="auto"/>
            <w:vAlign w:val="center"/>
          </w:tcPr>
          <w:p w14:paraId="1A38F08F">
            <w:pPr>
              <w:ind w:firstLine="0" w:firstLineChars="0"/>
              <w:rPr>
                <w:rFonts w:ascii="宋体" w:hAnsi="宋体" w:cs="宋体"/>
                <w:color w:val="auto"/>
                <w:highlight w:val="none"/>
              </w:rPr>
            </w:pPr>
            <w:r>
              <w:rPr>
                <w:rFonts w:hint="eastAsia" w:ascii="宋体" w:hAnsi="宋体" w:cs="宋体"/>
                <w:color w:val="auto"/>
                <w:highlight w:val="none"/>
              </w:rPr>
              <w:t>本项目是否属于《国务院办公厅关于在政府采购中实施本国产品标准及相关政策的通知》（国办发〔2025〕34号）规定的本国产品标准及相关政策适用范围：</w:t>
            </w:r>
          </w:p>
          <w:p w14:paraId="3B6E8FC7">
            <w:pPr>
              <w:ind w:firstLine="0" w:firstLineChars="0"/>
              <w:rPr>
                <w:rFonts w:cs="Times New Roman"/>
                <w:color w:val="auto"/>
                <w:highlight w:val="none"/>
              </w:rPr>
            </w:pPr>
            <w:r>
              <w:rPr>
                <w:rFonts w:hint="eastAsia" w:ascii="宋体" w:hAnsi="宋体" w:cs="宋体"/>
                <w:color w:val="auto"/>
                <w:highlight w:val="none"/>
              </w:rPr>
              <w:t xml:space="preserve">☑ </w:t>
            </w:r>
            <w:r>
              <w:rPr>
                <w:rFonts w:hint="eastAsia" w:cs="Times New Roman"/>
                <w:color w:val="auto"/>
                <w:highlight w:val="none"/>
              </w:rPr>
              <w:t>是</w:t>
            </w:r>
          </w:p>
          <w:p w14:paraId="33F3359C">
            <w:pPr>
              <w:ind w:firstLine="0" w:firstLineChars="0"/>
              <w:rPr>
                <w:rFonts w:cs="Times New Roman"/>
                <w:color w:val="auto"/>
                <w:highlight w:val="none"/>
              </w:rPr>
            </w:pPr>
            <w:r>
              <w:rPr>
                <w:rFonts w:hint="eastAsia" w:ascii="宋体" w:hAnsi="宋体" w:cs="宋体"/>
                <w:color w:val="auto"/>
                <w:highlight w:val="none"/>
              </w:rPr>
              <w:t>□</w:t>
            </w:r>
            <w:r>
              <w:rPr>
                <w:rFonts w:hint="eastAsia" w:cs="Times New Roman"/>
                <w:color w:val="auto"/>
                <w:highlight w:val="none"/>
              </w:rPr>
              <w:t xml:space="preserve"> 否</w:t>
            </w:r>
          </w:p>
        </w:tc>
      </w:tr>
      <w:tr w14:paraId="01BC7A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shd w:val="clear" w:color="auto" w:fill="auto"/>
            <w:vAlign w:val="center"/>
          </w:tcPr>
          <w:p w14:paraId="7497F34F">
            <w:pPr>
              <w:ind w:firstLine="0" w:firstLineChars="0"/>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37</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3</w:t>
            </w:r>
          </w:p>
        </w:tc>
        <w:tc>
          <w:tcPr>
            <w:tcW w:w="2486" w:type="dxa"/>
            <w:tcBorders>
              <w:right w:val="single" w:color="auto" w:sz="4" w:space="0"/>
            </w:tcBorders>
            <w:shd w:val="clear" w:color="auto" w:fill="auto"/>
            <w:vAlign w:val="center"/>
          </w:tcPr>
          <w:p w14:paraId="6C17CC11">
            <w:pPr>
              <w:ind w:firstLine="0" w:firstLineChars="0"/>
              <w:jc w:val="center"/>
              <w:rPr>
                <w:rFonts w:ascii="Times New Roman" w:hAnsi="Times New Roman" w:cs="Times New Roman"/>
                <w:color w:val="auto"/>
                <w:szCs w:val="21"/>
                <w:highlight w:val="none"/>
              </w:rPr>
            </w:pPr>
            <w:r>
              <w:rPr>
                <w:rFonts w:cs="Times New Roman"/>
                <w:color w:val="auto"/>
                <w:highlight w:val="none"/>
              </w:rPr>
              <w:t>知识产权</w:t>
            </w:r>
          </w:p>
        </w:tc>
        <w:tc>
          <w:tcPr>
            <w:tcW w:w="5333" w:type="dxa"/>
            <w:tcBorders>
              <w:left w:val="single" w:color="auto" w:sz="4" w:space="0"/>
            </w:tcBorders>
            <w:shd w:val="clear" w:color="auto" w:fill="auto"/>
            <w:vAlign w:val="center"/>
          </w:tcPr>
          <w:p w14:paraId="11C57A13">
            <w:pPr>
              <w:ind w:firstLine="0" w:firstLineChars="0"/>
              <w:rPr>
                <w:rFonts w:ascii="Times New Roman" w:hAnsi="Times New Roman" w:cs="Times New Roman"/>
                <w:color w:val="auto"/>
                <w:szCs w:val="21"/>
                <w:highlight w:val="none"/>
              </w:rPr>
            </w:pPr>
            <w:r>
              <w:rPr>
                <w:rFonts w:cs="Times New Roman"/>
                <w:color w:val="auto"/>
                <w:highlight w:val="none"/>
              </w:rPr>
              <w:t>构成本</w:t>
            </w:r>
            <w:r>
              <w:rPr>
                <w:rFonts w:hint="eastAsia" w:cs="Times New Roman"/>
                <w:color w:val="auto"/>
                <w:highlight w:val="none"/>
              </w:rPr>
              <w:t>招标</w:t>
            </w:r>
            <w:r>
              <w:rPr>
                <w:rFonts w:cs="Times New Roman"/>
                <w:color w:val="auto"/>
                <w:highlight w:val="none"/>
              </w:rPr>
              <w:t>文件各个组成部分的文件，未经采购人书面同意，投标人不得擅自复印和用于非本采购项目所需的其他目的。采购人全部或者部分使用未</w:t>
            </w:r>
            <w:r>
              <w:rPr>
                <w:rFonts w:hint="eastAsia" w:cs="Times New Roman"/>
                <w:color w:val="auto"/>
                <w:highlight w:val="none"/>
              </w:rPr>
              <w:t>中标</w:t>
            </w:r>
            <w:r>
              <w:rPr>
                <w:rFonts w:hint="eastAsia" w:ascii="宋体" w:hAnsi="宋体" w:cs="宋体"/>
                <w:color w:val="auto"/>
                <w:highlight w:val="none"/>
              </w:rPr>
              <w:t>人投标</w:t>
            </w:r>
            <w:r>
              <w:rPr>
                <w:rFonts w:cs="Times New Roman"/>
                <w:color w:val="auto"/>
                <w:highlight w:val="none"/>
              </w:rPr>
              <w:t>文件中的技术成果或技术方案时，需征得其书面同意，并不得擅自复印或提供给第三人。</w:t>
            </w:r>
          </w:p>
        </w:tc>
      </w:tr>
      <w:tr w14:paraId="3A9E96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84" w:hRule="atLeast"/>
        </w:trPr>
        <w:tc>
          <w:tcPr>
            <w:tcW w:w="1113" w:type="dxa"/>
            <w:vAlign w:val="center"/>
          </w:tcPr>
          <w:p w14:paraId="4CDE32E7">
            <w:pPr>
              <w:ind w:firstLine="0" w:firstLineChars="0"/>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37</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4</w:t>
            </w:r>
          </w:p>
        </w:tc>
        <w:tc>
          <w:tcPr>
            <w:tcW w:w="2486" w:type="dxa"/>
            <w:tcBorders>
              <w:right w:val="single" w:color="auto" w:sz="4" w:space="0"/>
            </w:tcBorders>
            <w:vAlign w:val="center"/>
          </w:tcPr>
          <w:p w14:paraId="4BEBF145">
            <w:pPr>
              <w:ind w:firstLine="0" w:firstLineChars="0"/>
              <w:jc w:val="center"/>
              <w:rPr>
                <w:rFonts w:ascii="Times New Roman" w:hAnsi="Times New Roman" w:cs="Times New Roman"/>
                <w:color w:val="auto"/>
                <w:szCs w:val="21"/>
                <w:highlight w:val="none"/>
              </w:rPr>
            </w:pPr>
            <w:r>
              <w:rPr>
                <w:rFonts w:cs="Times New Roman"/>
                <w:color w:val="auto"/>
                <w:highlight w:val="none"/>
              </w:rPr>
              <w:t>解释权</w:t>
            </w:r>
          </w:p>
        </w:tc>
        <w:tc>
          <w:tcPr>
            <w:tcW w:w="5333" w:type="dxa"/>
            <w:tcBorders>
              <w:left w:val="single" w:color="auto" w:sz="4" w:space="0"/>
            </w:tcBorders>
            <w:vAlign w:val="center"/>
          </w:tcPr>
          <w:p w14:paraId="7B3CBBB9">
            <w:pPr>
              <w:ind w:firstLine="0" w:firstLineChars="0"/>
              <w:rPr>
                <w:rFonts w:ascii="宋体" w:hAnsi="宋体" w:cs="Times New Roman"/>
                <w:bCs/>
                <w:color w:val="auto"/>
                <w:szCs w:val="21"/>
                <w:highlight w:val="none"/>
              </w:rPr>
            </w:pPr>
            <w:r>
              <w:rPr>
                <w:rFonts w:hint="eastAsia" w:ascii="宋体" w:hAnsi="宋体" w:cs="Times New Roman"/>
                <w:bCs/>
                <w:color w:val="auto"/>
                <w:szCs w:val="21"/>
                <w:highlight w:val="none"/>
              </w:rPr>
              <w:t>（1）</w:t>
            </w:r>
            <w:r>
              <w:rPr>
                <w:rFonts w:ascii="宋体" w:hAnsi="宋体" w:cs="Times New Roman"/>
                <w:bCs/>
                <w:color w:val="auto"/>
                <w:szCs w:val="21"/>
                <w:highlight w:val="none"/>
              </w:rPr>
              <w:t>构成本招标文件的各个组成文件应互为解释，互为说明；如有不明确或不一致，同一组成文件不同版本之间有不一致的，以形成时间在后者为准。按本款前述规定仍不能形成结论的，由采购人</w:t>
            </w:r>
            <w:r>
              <w:rPr>
                <w:rFonts w:hint="eastAsia" w:ascii="宋体" w:hAnsi="宋体" w:cs="Times New Roman"/>
                <w:bCs/>
                <w:color w:val="auto"/>
                <w:szCs w:val="21"/>
                <w:highlight w:val="none"/>
              </w:rPr>
              <w:t>或采购代理机构</w:t>
            </w:r>
            <w:r>
              <w:rPr>
                <w:rFonts w:ascii="宋体" w:hAnsi="宋体" w:cs="Times New Roman"/>
                <w:bCs/>
                <w:color w:val="auto"/>
                <w:szCs w:val="21"/>
                <w:highlight w:val="none"/>
              </w:rPr>
              <w:t>负责解释。</w:t>
            </w:r>
          </w:p>
          <w:p w14:paraId="22DBBB6B">
            <w:pPr>
              <w:ind w:firstLine="0" w:firstLineChars="0"/>
              <w:rPr>
                <w:rFonts w:ascii="宋体" w:hAnsi="宋体" w:cs="Times New Roman"/>
                <w:bCs/>
                <w:color w:val="auto"/>
                <w:szCs w:val="21"/>
                <w:highlight w:val="none"/>
              </w:rPr>
            </w:pPr>
            <w:r>
              <w:rPr>
                <w:rFonts w:hint="eastAsia" w:ascii="宋体" w:hAnsi="宋体" w:cs="Times New Roman"/>
                <w:bCs/>
                <w:color w:val="auto"/>
                <w:szCs w:val="21"/>
                <w:highlight w:val="none"/>
              </w:rPr>
              <w:t>（2）若</w:t>
            </w:r>
            <w:r>
              <w:rPr>
                <w:rFonts w:ascii="宋体" w:hAnsi="宋体" w:cs="Times New Roman"/>
                <w:bCs/>
                <w:color w:val="auto"/>
                <w:szCs w:val="21"/>
                <w:highlight w:val="none"/>
              </w:rPr>
              <w:t>招标文件中引用</w:t>
            </w:r>
            <w:r>
              <w:rPr>
                <w:rFonts w:hint="eastAsia" w:ascii="宋体" w:hAnsi="宋体" w:cs="Times New Roman"/>
                <w:bCs/>
                <w:color w:val="auto"/>
                <w:szCs w:val="21"/>
                <w:highlight w:val="none"/>
              </w:rPr>
              <w:t>了</w:t>
            </w:r>
            <w:r>
              <w:rPr>
                <w:rFonts w:ascii="宋体" w:hAnsi="宋体" w:cs="Times New Roman"/>
                <w:bCs/>
                <w:color w:val="auto"/>
                <w:szCs w:val="21"/>
                <w:highlight w:val="none"/>
              </w:rPr>
              <w:t>某一</w:t>
            </w:r>
            <w:r>
              <w:rPr>
                <w:rFonts w:hint="eastAsia" w:ascii="宋体" w:hAnsi="宋体" w:cs="Times New Roman"/>
                <w:bCs/>
                <w:color w:val="auto"/>
                <w:szCs w:val="21"/>
                <w:highlight w:val="none"/>
              </w:rPr>
              <w:t>投标人</w:t>
            </w:r>
            <w:r>
              <w:rPr>
                <w:rFonts w:ascii="宋体" w:hAnsi="宋体" w:cs="Times New Roman"/>
                <w:bCs/>
                <w:color w:val="auto"/>
                <w:szCs w:val="21"/>
                <w:highlight w:val="none"/>
              </w:rPr>
              <w:t>的技术规格</w:t>
            </w:r>
            <w:r>
              <w:rPr>
                <w:rFonts w:hint="eastAsia" w:ascii="宋体" w:hAnsi="宋体" w:cs="Times New Roman"/>
                <w:bCs/>
                <w:color w:val="auto"/>
                <w:szCs w:val="21"/>
                <w:highlight w:val="none"/>
              </w:rPr>
              <w:t>或要求，</w:t>
            </w:r>
            <w:r>
              <w:rPr>
                <w:rFonts w:ascii="宋体" w:hAnsi="宋体" w:cs="Times New Roman"/>
                <w:bCs/>
                <w:color w:val="auto"/>
                <w:szCs w:val="21"/>
                <w:highlight w:val="none"/>
              </w:rPr>
              <w:t>只是为了准确或清楚地说明拟采购范围的技术规格，未含有倾向或者排斥潜在投标人的意思，投标人所投</w:t>
            </w:r>
            <w:r>
              <w:rPr>
                <w:rFonts w:hint="eastAsia" w:ascii="宋体" w:hAnsi="宋体" w:cs="Times New Roman"/>
                <w:bCs/>
                <w:color w:val="auto"/>
                <w:szCs w:val="21"/>
                <w:highlight w:val="none"/>
              </w:rPr>
              <w:t>内容</w:t>
            </w:r>
            <w:r>
              <w:rPr>
                <w:rFonts w:ascii="宋体" w:hAnsi="宋体" w:cs="Times New Roman"/>
                <w:bCs/>
                <w:color w:val="auto"/>
                <w:szCs w:val="21"/>
                <w:highlight w:val="none"/>
              </w:rPr>
              <w:t>的技术</w:t>
            </w:r>
            <w:r>
              <w:rPr>
                <w:rFonts w:hint="eastAsia" w:ascii="宋体" w:hAnsi="宋体" w:cs="Times New Roman"/>
                <w:bCs/>
                <w:color w:val="auto"/>
                <w:szCs w:val="21"/>
                <w:highlight w:val="none"/>
              </w:rPr>
              <w:t>标准</w:t>
            </w:r>
            <w:r>
              <w:rPr>
                <w:rFonts w:ascii="宋体" w:hAnsi="宋体" w:cs="Times New Roman"/>
                <w:bCs/>
                <w:color w:val="auto"/>
                <w:szCs w:val="21"/>
                <w:highlight w:val="none"/>
              </w:rPr>
              <w:t>可优于或相当于此采购范围的技术要求。</w:t>
            </w:r>
          </w:p>
          <w:p w14:paraId="20C304E3">
            <w:pPr>
              <w:ind w:firstLine="0" w:firstLineChars="0"/>
              <w:rPr>
                <w:rFonts w:ascii="Times New Roman" w:hAnsi="Times New Roman" w:cs="Times New Roman"/>
                <w:color w:val="auto"/>
                <w:szCs w:val="21"/>
                <w:highlight w:val="none"/>
              </w:rPr>
            </w:pPr>
            <w:r>
              <w:rPr>
                <w:rFonts w:hint="eastAsia" w:ascii="宋体" w:hAnsi="宋体" w:cs="Times New Roman"/>
                <w:bCs/>
                <w:color w:val="auto"/>
                <w:szCs w:val="21"/>
                <w:highlight w:val="none"/>
              </w:rPr>
              <w:t>（3）</w:t>
            </w:r>
            <w:r>
              <w:rPr>
                <w:rFonts w:ascii="宋体" w:hAnsi="宋体" w:cs="Times New Roman"/>
                <w:bCs/>
                <w:color w:val="auto"/>
                <w:szCs w:val="21"/>
                <w:highlight w:val="none"/>
              </w:rPr>
              <w:t>投标人须知</w:t>
            </w:r>
            <w:r>
              <w:rPr>
                <w:rFonts w:hint="eastAsia" w:ascii="宋体" w:hAnsi="宋体" w:cs="Times New Roman"/>
                <w:bCs/>
                <w:color w:val="auto"/>
                <w:szCs w:val="21"/>
                <w:highlight w:val="none"/>
              </w:rPr>
              <w:t>正文</w:t>
            </w:r>
            <w:r>
              <w:rPr>
                <w:rFonts w:ascii="宋体" w:hAnsi="宋体" w:cs="Times New Roman"/>
                <w:bCs/>
                <w:color w:val="auto"/>
                <w:szCs w:val="21"/>
                <w:highlight w:val="none"/>
              </w:rPr>
              <w:t>内容如与本前附表不一致的，以本前附表为准。</w:t>
            </w:r>
          </w:p>
        </w:tc>
      </w:tr>
      <w:tr w14:paraId="68128C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shd w:val="clear" w:color="auto" w:fill="auto"/>
            <w:vAlign w:val="center"/>
          </w:tcPr>
          <w:p w14:paraId="27B2FBFC">
            <w:pPr>
              <w:ind w:firstLine="0" w:firstLineChars="0"/>
              <w:jc w:val="center"/>
              <w:rPr>
                <w:rFonts w:ascii="宋体" w:hAnsi="宋体" w:cs="宋体"/>
                <w:color w:val="auto"/>
                <w:szCs w:val="21"/>
                <w:highlight w:val="none"/>
              </w:rPr>
            </w:pPr>
            <w:bookmarkStart w:id="126" w:name="_Toc37716348"/>
            <w:bookmarkStart w:id="127" w:name="_Toc26092"/>
            <w:bookmarkStart w:id="128" w:name="_Toc29525"/>
            <w:bookmarkStart w:id="129" w:name="_Toc29315"/>
            <w:bookmarkStart w:id="130" w:name="_Toc38338268"/>
            <w:r>
              <w:rPr>
                <w:rFonts w:ascii="Times New Roman" w:hAnsi="Times New Roman" w:cs="Times New Roman"/>
                <w:color w:val="auto"/>
                <w:szCs w:val="21"/>
                <w:highlight w:val="none"/>
              </w:rPr>
              <w:t>37.</w:t>
            </w:r>
            <w:r>
              <w:rPr>
                <w:rFonts w:hint="eastAsia" w:ascii="Times New Roman" w:hAnsi="Times New Roman" w:cs="Times New Roman"/>
                <w:color w:val="auto"/>
                <w:szCs w:val="21"/>
                <w:highlight w:val="none"/>
              </w:rPr>
              <w:t>5</w:t>
            </w:r>
          </w:p>
        </w:tc>
        <w:tc>
          <w:tcPr>
            <w:tcW w:w="2486" w:type="dxa"/>
            <w:tcBorders>
              <w:right w:val="single" w:color="auto" w:sz="4" w:space="0"/>
            </w:tcBorders>
            <w:shd w:val="clear" w:color="auto" w:fill="auto"/>
            <w:vAlign w:val="center"/>
          </w:tcPr>
          <w:p w14:paraId="7D95C95F">
            <w:pPr>
              <w:ind w:firstLine="0" w:firstLineChars="0"/>
              <w:jc w:val="center"/>
              <w:rPr>
                <w:rFonts w:ascii="宋体" w:hAnsi="宋体" w:cs="宋体"/>
                <w:color w:val="auto"/>
                <w:highlight w:val="none"/>
              </w:rPr>
            </w:pPr>
            <w:r>
              <w:rPr>
                <w:rFonts w:ascii="Times New Roman" w:hAnsi="Times New Roman" w:cs="Times New Roman"/>
                <w:bCs/>
                <w:color w:val="auto"/>
                <w:highlight w:val="none"/>
              </w:rPr>
              <w:t>其它需要补充的其他内容</w:t>
            </w:r>
          </w:p>
        </w:tc>
        <w:tc>
          <w:tcPr>
            <w:tcW w:w="5333" w:type="dxa"/>
            <w:tcBorders>
              <w:left w:val="single" w:color="auto" w:sz="4" w:space="0"/>
            </w:tcBorders>
            <w:shd w:val="clear" w:color="auto" w:fill="auto"/>
            <w:vAlign w:val="center"/>
          </w:tcPr>
          <w:p w14:paraId="0D0B019F">
            <w:pPr>
              <w:ind w:firstLine="0" w:firstLineChars="0"/>
              <w:rPr>
                <w:rFonts w:ascii="Times New Roman" w:hAnsi="Times New Roman" w:cs="Times New Roman"/>
                <w:b/>
                <w:bCs/>
                <w:color w:val="auto"/>
                <w:highlight w:val="none"/>
              </w:rPr>
            </w:pPr>
            <w:r>
              <w:rPr>
                <w:rFonts w:ascii="Times New Roman" w:hAnsi="Times New Roman" w:cs="Times New Roman"/>
                <w:b/>
                <w:bCs/>
                <w:color w:val="auto"/>
                <w:highlight w:val="none"/>
              </w:rPr>
              <w:t>1.投标人在关联标书环节时须将整本投标文件（含封面）的标书关联至“商务技术部分”，并签字盖章。</w:t>
            </w:r>
          </w:p>
          <w:p w14:paraId="766C8074">
            <w:pPr>
              <w:ind w:firstLine="0" w:firstLineChars="0"/>
              <w:rPr>
                <w:rFonts w:ascii="Times New Roman" w:hAnsi="Times New Roman" w:cs="Times New Roman"/>
                <w:b/>
                <w:bCs/>
                <w:color w:val="auto"/>
                <w:highlight w:val="none"/>
              </w:rPr>
            </w:pPr>
            <w:r>
              <w:rPr>
                <w:rFonts w:ascii="Times New Roman" w:hAnsi="Times New Roman" w:cs="Times New Roman"/>
                <w:b/>
                <w:bCs/>
                <w:color w:val="auto"/>
                <w:highlight w:val="none"/>
              </w:rPr>
              <w:t>2.投标文件中的落款时间需为投标文件上传时间的同一天或在投标文件上传时间之前；</w:t>
            </w:r>
          </w:p>
          <w:p w14:paraId="47B7D382">
            <w:pPr>
              <w:ind w:firstLine="0" w:firstLineChars="0"/>
              <w:rPr>
                <w:rFonts w:ascii="Times New Roman" w:hAnsi="Times New Roman" w:cs="Times New Roman"/>
                <w:color w:val="auto"/>
                <w:highlight w:val="none"/>
              </w:rPr>
            </w:pPr>
            <w:r>
              <w:rPr>
                <w:rFonts w:ascii="Times New Roman" w:hAnsi="Times New Roman" w:cs="Times New Roman"/>
                <w:b/>
                <w:bCs/>
                <w:color w:val="auto"/>
                <w:highlight w:val="none"/>
              </w:rPr>
              <w:t>3.以下情况视为投标人同意撤回已上传系统的投标文件或其投标文件无效：</w:t>
            </w:r>
          </w:p>
          <w:p w14:paraId="49A6CD6C">
            <w:pPr>
              <w:ind w:firstLine="0" w:firstLineChars="0"/>
              <w:rPr>
                <w:rFonts w:ascii="Times New Roman" w:hAnsi="Times New Roman" w:cs="Times New Roman"/>
                <w:color w:val="auto"/>
                <w:highlight w:val="none"/>
              </w:rPr>
            </w:pPr>
            <w:r>
              <w:rPr>
                <w:rFonts w:ascii="Times New Roman" w:hAnsi="Times New Roman" w:cs="Times New Roman"/>
                <w:color w:val="auto"/>
                <w:highlight w:val="none"/>
              </w:rPr>
              <w:t xml:space="preserve">（1）政采云电子平台显示投标人未上传投标文件； </w:t>
            </w:r>
          </w:p>
          <w:p w14:paraId="072420A0">
            <w:pPr>
              <w:ind w:firstLine="0" w:firstLineChars="0"/>
              <w:jc w:val="left"/>
              <w:rPr>
                <w:rFonts w:ascii="Times New Roman" w:hAnsi="Times New Roman" w:cs="Times New Roman"/>
                <w:color w:val="auto"/>
                <w:highlight w:val="none"/>
              </w:rPr>
            </w:pPr>
            <w:r>
              <w:rPr>
                <w:rFonts w:ascii="Times New Roman" w:hAnsi="Times New Roman" w:cs="Times New Roman"/>
                <w:color w:val="auto"/>
                <w:highlight w:val="none"/>
              </w:rPr>
              <w:t>（2）因投标人原因上传的投标文件在开启文件时无法解密</w:t>
            </w:r>
            <w:r>
              <w:rPr>
                <w:rFonts w:hint="eastAsia" w:ascii="Times New Roman" w:hAnsi="Times New Roman" w:cs="Times New Roman"/>
                <w:color w:val="auto"/>
                <w:highlight w:val="none"/>
              </w:rPr>
              <w:t>；</w:t>
            </w:r>
          </w:p>
          <w:p w14:paraId="36254951">
            <w:pPr>
              <w:ind w:firstLine="0" w:firstLineChars="0"/>
              <w:rPr>
                <w:rFonts w:ascii="宋体" w:hAnsi="宋体" w:cs="宋体"/>
                <w:bCs/>
                <w:color w:val="auto"/>
                <w:szCs w:val="21"/>
                <w:highlight w:val="none"/>
              </w:rPr>
            </w:pPr>
            <w:r>
              <w:rPr>
                <w:rFonts w:ascii="Times New Roman" w:hAnsi="Times New Roman" w:cs="Times New Roman"/>
                <w:color w:val="auto"/>
                <w:highlight w:val="none"/>
              </w:rPr>
              <w:t>（3）因投标人自身原因导致未在规定时间内完成投标文件解密。</w:t>
            </w:r>
          </w:p>
        </w:tc>
      </w:tr>
    </w:tbl>
    <w:p w14:paraId="628523D8">
      <w:pPr>
        <w:keepNext/>
        <w:keepLines/>
        <w:ind w:firstLine="280" w:firstLineChars="0"/>
        <w:jc w:val="center"/>
        <w:outlineLvl w:val="1"/>
        <w:rPr>
          <w:rFonts w:ascii="Times New Roman" w:hAnsi="Times New Roman" w:cs="Times New Roman"/>
          <w:color w:val="auto"/>
          <w:highlight w:val="none"/>
        </w:rPr>
      </w:pPr>
      <w:r>
        <w:rPr>
          <w:rFonts w:ascii="Times New Roman" w:hAnsi="Times New Roman" w:cs="Times New Roman"/>
          <w:b/>
          <w:color w:val="auto"/>
          <w:kern w:val="0"/>
          <w:sz w:val="28"/>
          <w:szCs w:val="28"/>
          <w:highlight w:val="none"/>
          <w:lang w:val="zh-CN"/>
        </w:rPr>
        <w:br w:type="page"/>
      </w:r>
      <w:bookmarkStart w:id="131" w:name="_Toc5162"/>
      <w:r>
        <w:rPr>
          <w:rFonts w:ascii="Times New Roman" w:hAnsi="Times New Roman" w:eastAsia="黑体" w:cs="Times New Roman"/>
          <w:b/>
          <w:bCs/>
          <w:color w:val="auto"/>
          <w:sz w:val="28"/>
          <w:szCs w:val="32"/>
          <w:highlight w:val="none"/>
        </w:rPr>
        <w:t>一、总则</w:t>
      </w:r>
      <w:bookmarkEnd w:id="126"/>
      <w:bookmarkEnd w:id="127"/>
      <w:bookmarkEnd w:id="128"/>
      <w:bookmarkEnd w:id="129"/>
      <w:bookmarkEnd w:id="130"/>
      <w:bookmarkEnd w:id="131"/>
    </w:p>
    <w:p w14:paraId="47D6BE35">
      <w:pPr>
        <w:pStyle w:val="4"/>
        <w:spacing w:before="165"/>
        <w:ind w:firstLine="482"/>
        <w:rPr>
          <w:rFonts w:ascii="黑体" w:hAnsi="黑体" w:cs="黑体"/>
          <w:color w:val="auto"/>
          <w:highlight w:val="none"/>
        </w:rPr>
      </w:pPr>
      <w:bookmarkStart w:id="132" w:name="_Toc489145704"/>
      <w:bookmarkStart w:id="133" w:name="_Toc17414"/>
      <w:bookmarkStart w:id="134" w:name="_Toc29713"/>
      <w:bookmarkStart w:id="135" w:name="_Toc152042306"/>
      <w:bookmarkStart w:id="136" w:name="_Toc246996176"/>
      <w:bookmarkStart w:id="137" w:name="_Toc32471"/>
      <w:bookmarkStart w:id="138" w:name="_Toc246996919"/>
      <w:bookmarkStart w:id="139" w:name="_Toc144974498"/>
      <w:bookmarkStart w:id="140" w:name="_Toc38338269"/>
      <w:bookmarkStart w:id="141" w:name="_Toc152045530"/>
      <w:bookmarkStart w:id="142" w:name="_Toc296602421"/>
      <w:bookmarkStart w:id="143" w:name="_Toc247085690"/>
      <w:bookmarkStart w:id="144" w:name="_Toc37716349"/>
      <w:bookmarkStart w:id="145" w:name="_Toc489197808"/>
      <w:bookmarkStart w:id="146" w:name="_Toc179632547"/>
      <w:bookmarkStart w:id="147" w:name="_Toc9876"/>
      <w:r>
        <w:rPr>
          <w:rFonts w:hint="eastAsia" w:ascii="黑体" w:hAnsi="黑体" w:cs="黑体"/>
          <w:color w:val="auto"/>
          <w:highlight w:val="none"/>
        </w:rPr>
        <w:t>1.</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Pr>
          <w:rFonts w:hint="eastAsia" w:ascii="黑体" w:hAnsi="黑体" w:cs="黑体"/>
          <w:color w:val="auto"/>
          <w:highlight w:val="none"/>
        </w:rPr>
        <w:t>采购人、采购代理机构</w:t>
      </w:r>
      <w:bookmarkEnd w:id="147"/>
    </w:p>
    <w:p w14:paraId="31F19EDB">
      <w:pPr>
        <w:ind w:firstLine="420"/>
        <w:rPr>
          <w:rFonts w:ascii="宋体" w:hAnsi="宋体" w:cs="宋体"/>
          <w:color w:val="auto"/>
          <w:highlight w:val="none"/>
        </w:rPr>
      </w:pPr>
      <w:r>
        <w:rPr>
          <w:rFonts w:hint="eastAsia" w:ascii="宋体" w:hAnsi="宋体" w:cs="宋体"/>
          <w:color w:val="auto"/>
          <w:highlight w:val="none"/>
        </w:rPr>
        <w:t>1.1 采购人：详见《投标人须知前附表》。</w:t>
      </w:r>
    </w:p>
    <w:p w14:paraId="5507628C">
      <w:pPr>
        <w:ind w:firstLine="420"/>
        <w:rPr>
          <w:rFonts w:ascii="宋体" w:hAnsi="宋体" w:cs="宋体"/>
          <w:color w:val="auto"/>
          <w:highlight w:val="none"/>
        </w:rPr>
      </w:pPr>
      <w:r>
        <w:rPr>
          <w:rFonts w:hint="eastAsia" w:ascii="宋体" w:hAnsi="宋体" w:cs="宋体"/>
          <w:color w:val="auto"/>
          <w:highlight w:val="none"/>
        </w:rPr>
        <w:t>1.2 采购代理机构</w:t>
      </w:r>
      <w:bookmarkStart w:id="148" w:name="OLE_LINK179"/>
      <w:r>
        <w:rPr>
          <w:rFonts w:hint="eastAsia" w:ascii="宋体" w:hAnsi="宋体" w:cs="宋体"/>
          <w:color w:val="auto"/>
          <w:highlight w:val="none"/>
        </w:rPr>
        <w:t>：详见《投标人须知前附表》</w:t>
      </w:r>
      <w:bookmarkEnd w:id="148"/>
      <w:r>
        <w:rPr>
          <w:rFonts w:hint="eastAsia" w:ascii="宋体" w:hAnsi="宋体" w:cs="宋体"/>
          <w:color w:val="auto"/>
          <w:highlight w:val="none"/>
        </w:rPr>
        <w:t>。</w:t>
      </w:r>
    </w:p>
    <w:p w14:paraId="6FBC3674">
      <w:pPr>
        <w:pStyle w:val="4"/>
        <w:spacing w:before="165"/>
        <w:ind w:firstLine="482"/>
        <w:rPr>
          <w:rFonts w:ascii="黑体" w:hAnsi="黑体" w:cs="黑体"/>
          <w:color w:val="auto"/>
          <w:highlight w:val="none"/>
        </w:rPr>
      </w:pPr>
      <w:bookmarkStart w:id="149" w:name="_Toc4152"/>
      <w:r>
        <w:rPr>
          <w:rFonts w:hint="eastAsia" w:ascii="黑体" w:hAnsi="黑体" w:cs="黑体"/>
          <w:color w:val="auto"/>
          <w:highlight w:val="none"/>
        </w:rPr>
        <w:t>2.项目基本情况</w:t>
      </w:r>
      <w:bookmarkEnd w:id="149"/>
    </w:p>
    <w:p w14:paraId="1BD47688">
      <w:pPr>
        <w:ind w:firstLine="420"/>
        <w:rPr>
          <w:rFonts w:ascii="宋体" w:hAnsi="宋体" w:cs="宋体"/>
          <w:color w:val="auto"/>
          <w:highlight w:val="none"/>
        </w:rPr>
      </w:pPr>
      <w:r>
        <w:rPr>
          <w:rFonts w:hint="eastAsia" w:ascii="宋体" w:hAnsi="宋体" w:cs="宋体"/>
          <w:color w:val="auto"/>
          <w:highlight w:val="none"/>
        </w:rPr>
        <w:t>2.1</w:t>
      </w:r>
      <w:bookmarkStart w:id="150" w:name="OLE_LINK220"/>
      <w:r>
        <w:rPr>
          <w:rFonts w:hint="eastAsia" w:ascii="宋体" w:hAnsi="宋体" w:cs="宋体"/>
          <w:color w:val="auto"/>
          <w:highlight w:val="none"/>
        </w:rPr>
        <w:t>项目名称</w:t>
      </w:r>
      <w:bookmarkEnd w:id="150"/>
      <w:bookmarkStart w:id="151" w:name="OLE_LINK221"/>
      <w:r>
        <w:rPr>
          <w:rFonts w:hint="eastAsia" w:ascii="宋体" w:hAnsi="宋体" w:cs="宋体"/>
          <w:color w:val="auto"/>
          <w:highlight w:val="none"/>
        </w:rPr>
        <w:t>及</w:t>
      </w:r>
      <w:bookmarkEnd w:id="151"/>
      <w:r>
        <w:rPr>
          <w:rFonts w:hint="eastAsia" w:ascii="宋体" w:hAnsi="宋体" w:cs="宋体"/>
          <w:color w:val="auto"/>
          <w:highlight w:val="none"/>
        </w:rPr>
        <w:t>项目编号：详见《投标人须知前附表》。</w:t>
      </w:r>
    </w:p>
    <w:p w14:paraId="08206B86">
      <w:pPr>
        <w:ind w:firstLine="420"/>
        <w:rPr>
          <w:rFonts w:ascii="宋体" w:hAnsi="宋体" w:cs="宋体"/>
          <w:color w:val="auto"/>
          <w:highlight w:val="none"/>
        </w:rPr>
      </w:pPr>
      <w:r>
        <w:rPr>
          <w:rFonts w:hint="eastAsia" w:ascii="宋体" w:hAnsi="宋体" w:cs="宋体"/>
          <w:color w:val="auto"/>
          <w:highlight w:val="none"/>
        </w:rPr>
        <w:t>2.2预算金额及最高限价（如有）：详见《投标人须知前附表》。</w:t>
      </w:r>
    </w:p>
    <w:p w14:paraId="132A4B9E">
      <w:pPr>
        <w:ind w:firstLine="420"/>
        <w:rPr>
          <w:rFonts w:ascii="宋体" w:hAnsi="宋体" w:cs="宋体"/>
          <w:color w:val="auto"/>
          <w:highlight w:val="none"/>
        </w:rPr>
      </w:pPr>
      <w:r>
        <w:rPr>
          <w:rFonts w:hint="eastAsia" w:ascii="宋体" w:hAnsi="宋体" w:cs="宋体"/>
          <w:color w:val="auto"/>
          <w:highlight w:val="none"/>
        </w:rPr>
        <w:t>2.3采购需求：详见《投标人须知前附表》。</w:t>
      </w:r>
    </w:p>
    <w:p w14:paraId="290F5A68">
      <w:pPr>
        <w:ind w:firstLine="420"/>
        <w:rPr>
          <w:rFonts w:ascii="宋体" w:hAnsi="宋体" w:cs="宋体"/>
          <w:color w:val="auto"/>
          <w:highlight w:val="none"/>
        </w:rPr>
      </w:pPr>
      <w:r>
        <w:rPr>
          <w:rFonts w:hint="eastAsia" w:ascii="宋体" w:hAnsi="宋体" w:cs="宋体"/>
          <w:color w:val="auto"/>
          <w:highlight w:val="none"/>
        </w:rPr>
        <w:t>2.4</w:t>
      </w:r>
      <w:r>
        <w:rPr>
          <w:rFonts w:hint="eastAsia" w:ascii="Times New Roman" w:hAnsi="Times New Roman" w:cs="Times New Roman"/>
          <w:bCs/>
          <w:color w:val="auto"/>
          <w:szCs w:val="21"/>
          <w:highlight w:val="none"/>
        </w:rPr>
        <w:t>交货期及</w:t>
      </w:r>
      <w:r>
        <w:rPr>
          <w:rFonts w:ascii="Times New Roman" w:hAnsi="Times New Roman" w:cs="Times New Roman"/>
          <w:bCs/>
          <w:color w:val="auto"/>
          <w:szCs w:val="21"/>
          <w:highlight w:val="none"/>
        </w:rPr>
        <w:t>合同履行期限</w:t>
      </w:r>
      <w:r>
        <w:rPr>
          <w:rFonts w:hint="eastAsia" w:ascii="宋体" w:hAnsi="宋体" w:cs="宋体"/>
          <w:color w:val="auto"/>
          <w:highlight w:val="none"/>
        </w:rPr>
        <w:t>：详见《投标人须知前附表》。</w:t>
      </w:r>
    </w:p>
    <w:p w14:paraId="09E96929">
      <w:pPr>
        <w:ind w:firstLine="420"/>
        <w:rPr>
          <w:rFonts w:ascii="宋体" w:hAnsi="宋体" w:cs="宋体"/>
          <w:color w:val="auto"/>
          <w:highlight w:val="none"/>
        </w:rPr>
      </w:pPr>
      <w:r>
        <w:rPr>
          <w:rFonts w:hint="eastAsia" w:ascii="宋体" w:hAnsi="宋体" w:cs="宋体"/>
          <w:color w:val="auto"/>
          <w:highlight w:val="none"/>
        </w:rPr>
        <w:t xml:space="preserve">2.5 </w:t>
      </w:r>
      <w:bookmarkStart w:id="152" w:name="OLE_LINK142"/>
      <w:r>
        <w:rPr>
          <w:rFonts w:hint="eastAsia" w:ascii="宋体" w:hAnsi="宋体" w:cs="宋体"/>
          <w:color w:val="auto"/>
          <w:highlight w:val="none"/>
        </w:rPr>
        <w:t>交付（或实施）地点</w:t>
      </w:r>
      <w:bookmarkEnd w:id="152"/>
      <w:r>
        <w:rPr>
          <w:rFonts w:hint="eastAsia" w:ascii="宋体" w:hAnsi="宋体" w:cs="宋体"/>
          <w:color w:val="auto"/>
          <w:highlight w:val="none"/>
        </w:rPr>
        <w:t>：详见《投标人须知前附表》。</w:t>
      </w:r>
    </w:p>
    <w:p w14:paraId="7EB9197F">
      <w:pPr>
        <w:pStyle w:val="4"/>
        <w:spacing w:before="165"/>
        <w:ind w:firstLine="482"/>
        <w:rPr>
          <w:rFonts w:ascii="Times New Roman" w:hAnsi="Times New Roman" w:cs="Times New Roman"/>
          <w:color w:val="auto"/>
          <w:highlight w:val="none"/>
        </w:rPr>
      </w:pPr>
      <w:bookmarkStart w:id="153" w:name="_Toc489145707"/>
      <w:bookmarkStart w:id="154" w:name="_Toc296602424"/>
      <w:bookmarkStart w:id="155" w:name="_Toc144974502"/>
      <w:bookmarkStart w:id="156" w:name="_Toc27798"/>
      <w:bookmarkStart w:id="157" w:name="_Toc247085693"/>
      <w:bookmarkStart w:id="158" w:name="_Toc246996922"/>
      <w:bookmarkStart w:id="159" w:name="_Toc152045534"/>
      <w:bookmarkStart w:id="160" w:name="_Toc6164"/>
      <w:bookmarkStart w:id="161" w:name="_Toc38338272"/>
      <w:bookmarkStart w:id="162" w:name="_Toc30223"/>
      <w:bookmarkStart w:id="163" w:name="_Toc246996179"/>
      <w:bookmarkStart w:id="164" w:name="_Toc8793"/>
      <w:bookmarkStart w:id="165" w:name="_Toc489197811"/>
      <w:bookmarkStart w:id="166" w:name="_Toc179632551"/>
      <w:bookmarkStart w:id="167" w:name="_Toc37716352"/>
      <w:bookmarkStart w:id="168" w:name="_Toc152042310"/>
      <w:r>
        <w:rPr>
          <w:rFonts w:hint="eastAsia" w:ascii="Times New Roman" w:hAnsi="Times New Roman" w:cs="Times New Roman"/>
          <w:color w:val="auto"/>
          <w:highlight w:val="none"/>
        </w:rPr>
        <w:t>3</w:t>
      </w:r>
      <w:r>
        <w:rPr>
          <w:rFonts w:ascii="Times New Roman" w:hAnsi="Times New Roman" w:cs="Times New Roman"/>
          <w:color w:val="auto"/>
          <w:highlight w:val="none"/>
        </w:rPr>
        <w:t>.投标人的资格要求</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027A5BD1">
      <w:pPr>
        <w:ind w:firstLine="420"/>
        <w:rPr>
          <w:rFonts w:ascii="宋体" w:hAnsi="宋体" w:cs="宋体"/>
          <w:color w:val="auto"/>
          <w:highlight w:val="none"/>
        </w:rPr>
      </w:pPr>
      <w:r>
        <w:rPr>
          <w:rFonts w:hint="eastAsia" w:ascii="宋体" w:hAnsi="宋体" w:cs="宋体"/>
          <w:color w:val="auto"/>
          <w:highlight w:val="none"/>
        </w:rPr>
        <w:t>3.1满足《中华人民共和国政府采购法》第二十二条规定：详见《投标人须知前附表》。</w:t>
      </w:r>
    </w:p>
    <w:p w14:paraId="768A781C">
      <w:pPr>
        <w:ind w:firstLine="420"/>
        <w:rPr>
          <w:rFonts w:ascii="宋体" w:hAnsi="宋体" w:cs="宋体"/>
          <w:color w:val="auto"/>
          <w:highlight w:val="none"/>
        </w:rPr>
      </w:pPr>
      <w:r>
        <w:rPr>
          <w:rFonts w:hint="eastAsia" w:ascii="宋体" w:hAnsi="宋体" w:cs="宋体"/>
          <w:color w:val="auto"/>
          <w:highlight w:val="none"/>
        </w:rPr>
        <w:t>3.2落实</w:t>
      </w:r>
      <w:r>
        <w:rPr>
          <w:rFonts w:ascii="Times New Roman" w:hAnsi="Times New Roman" w:cs="Times New Roman"/>
          <w:bCs/>
          <w:color w:val="auto"/>
          <w:szCs w:val="21"/>
          <w:highlight w:val="none"/>
        </w:rPr>
        <w:t>政府</w:t>
      </w:r>
      <w:r>
        <w:rPr>
          <w:rFonts w:hint="eastAsia" w:ascii="宋体" w:hAnsi="宋体" w:cs="宋体"/>
          <w:color w:val="auto"/>
          <w:highlight w:val="none"/>
        </w:rPr>
        <w:t>采购政策需满足的资格要求：详见《投标人须知前附表》。</w:t>
      </w:r>
    </w:p>
    <w:p w14:paraId="5AA746A3">
      <w:pPr>
        <w:ind w:firstLine="420"/>
        <w:rPr>
          <w:rFonts w:ascii="宋体" w:hAnsi="宋体" w:cs="宋体"/>
          <w:color w:val="auto"/>
          <w:highlight w:val="none"/>
        </w:rPr>
      </w:pPr>
      <w:r>
        <w:rPr>
          <w:rFonts w:hint="eastAsia" w:ascii="宋体" w:hAnsi="宋体" w:cs="宋体"/>
          <w:color w:val="auto"/>
          <w:highlight w:val="none"/>
        </w:rPr>
        <w:t>3.3本项目的特定资格要求：详见《投标人须知前附表》。</w:t>
      </w:r>
    </w:p>
    <w:p w14:paraId="3E83086E">
      <w:pPr>
        <w:ind w:firstLine="420"/>
        <w:rPr>
          <w:rFonts w:ascii="黑体" w:hAnsi="黑体" w:cs="黑体"/>
          <w:color w:val="auto"/>
          <w:highlight w:val="none"/>
        </w:rPr>
      </w:pPr>
      <w:r>
        <w:rPr>
          <w:rFonts w:hint="eastAsia" w:ascii="宋体" w:hAnsi="宋体" w:cs="宋体"/>
          <w:color w:val="auto"/>
          <w:highlight w:val="none"/>
        </w:rPr>
        <w:t>3.4投标人为满足投标人的资格要求提供虚假材料，一经查实，视为未实质性响应招标文件，投标文件按无效处理。</w:t>
      </w:r>
    </w:p>
    <w:p w14:paraId="7E52C3A0">
      <w:pPr>
        <w:pStyle w:val="4"/>
        <w:spacing w:before="165"/>
        <w:ind w:firstLine="482"/>
        <w:rPr>
          <w:rFonts w:ascii="黑体" w:hAnsi="黑体" w:cs="黑体"/>
          <w:color w:val="auto"/>
          <w:highlight w:val="none"/>
        </w:rPr>
      </w:pPr>
      <w:bookmarkStart w:id="169" w:name="_Toc10682"/>
      <w:r>
        <w:rPr>
          <w:rFonts w:hint="eastAsia" w:ascii="黑体" w:hAnsi="黑体" w:cs="黑体"/>
          <w:color w:val="auto"/>
          <w:highlight w:val="none"/>
        </w:rPr>
        <w:t>4.联合体</w:t>
      </w:r>
      <w:bookmarkEnd w:id="169"/>
    </w:p>
    <w:p w14:paraId="17C0463C">
      <w:pPr>
        <w:ind w:firstLine="420"/>
        <w:rPr>
          <w:rFonts w:ascii="宋体" w:hAnsi="宋体" w:cs="宋体"/>
          <w:color w:val="auto"/>
          <w:highlight w:val="none"/>
        </w:rPr>
      </w:pPr>
      <w:r>
        <w:rPr>
          <w:rFonts w:hint="eastAsia" w:ascii="宋体" w:hAnsi="宋体" w:cs="宋体"/>
          <w:color w:val="auto"/>
          <w:highlight w:val="none"/>
        </w:rPr>
        <w:t>4.1《投标人须知前附表》规定接受联合体投标的，联合体各方还应遵守以下规定：</w:t>
      </w:r>
    </w:p>
    <w:p w14:paraId="7B1A72BA">
      <w:pPr>
        <w:ind w:firstLine="420"/>
        <w:rPr>
          <w:rFonts w:ascii="宋体" w:hAnsi="宋体" w:cs="宋体"/>
          <w:color w:val="auto"/>
          <w:highlight w:val="none"/>
        </w:rPr>
      </w:pPr>
      <w:r>
        <w:rPr>
          <w:rFonts w:hint="eastAsia" w:ascii="宋体" w:hAnsi="宋体" w:cs="宋体"/>
          <w:color w:val="auto"/>
          <w:highlight w:val="none"/>
        </w:rPr>
        <w:t>4.1.1两个以上的自然人、法人或者其他组织可以组成一个联合体，以一个投标人的身份共同参加投标。</w:t>
      </w:r>
    </w:p>
    <w:p w14:paraId="39A03FA8">
      <w:pPr>
        <w:ind w:firstLine="420"/>
        <w:rPr>
          <w:rFonts w:ascii="宋体" w:hAnsi="宋体" w:cs="宋体"/>
          <w:color w:val="auto"/>
          <w:highlight w:val="none"/>
        </w:rPr>
      </w:pPr>
      <w:r>
        <w:rPr>
          <w:rFonts w:hint="eastAsia" w:ascii="宋体" w:hAnsi="宋体" w:cs="宋体"/>
          <w:color w:val="auto"/>
          <w:highlight w:val="none"/>
        </w:rPr>
        <w:t>4.1.2联合体各方应共同签订联合协议，并向采购人、采购代理机构提交联合协议。联合协议中应明确联合体牵头人及联合体成员并载明联合体各方承担的工作和义务。中标后联合体各方应共同与采购人签订采购合同，就采购合同约定的事项对采购人承担连带责任。</w:t>
      </w:r>
    </w:p>
    <w:p w14:paraId="5584D9F1">
      <w:pPr>
        <w:ind w:firstLine="420"/>
        <w:rPr>
          <w:rFonts w:ascii="宋体" w:hAnsi="宋体" w:cs="宋体"/>
          <w:color w:val="auto"/>
          <w:highlight w:val="none"/>
        </w:rPr>
      </w:pPr>
      <w:r>
        <w:rPr>
          <w:rFonts w:hint="eastAsia" w:ascii="宋体" w:hAnsi="宋体" w:cs="宋体"/>
          <w:color w:val="auto"/>
          <w:highlight w:val="none"/>
        </w:rPr>
        <w:t>4.1.3联合体各方均应满足招标文件中对投标人的资格要求，招标文件中有特定资格要求的，联合体各方应根据联合协议中各自承担的工作提供相应的特定资格要求证明文件，联合体各方中有同类资质并根据联合协议承担相同工作的，按照资质等级较低的确定。</w:t>
      </w:r>
    </w:p>
    <w:p w14:paraId="276475F9">
      <w:pPr>
        <w:ind w:firstLine="420"/>
        <w:rPr>
          <w:rFonts w:ascii="宋体" w:hAnsi="宋体" w:cs="宋体"/>
          <w:color w:val="auto"/>
          <w:highlight w:val="none"/>
        </w:rPr>
      </w:pPr>
      <w:r>
        <w:rPr>
          <w:rFonts w:hint="eastAsia" w:ascii="宋体" w:hAnsi="宋体" w:cs="宋体"/>
          <w:color w:val="auto"/>
          <w:highlight w:val="none"/>
        </w:rPr>
        <w:t>4.1.4以联合体形式参加投标的，联合体各方不得再单独参加或者与其他投标人另外组成联合体参加同一合同项下投标。</w:t>
      </w:r>
    </w:p>
    <w:p w14:paraId="17637EB1">
      <w:pPr>
        <w:pStyle w:val="4"/>
        <w:spacing w:before="165"/>
        <w:ind w:firstLine="482"/>
        <w:rPr>
          <w:rFonts w:ascii="Times New Roman" w:hAnsi="Times New Roman" w:cs="Times New Roman"/>
          <w:color w:val="auto"/>
          <w:highlight w:val="none"/>
        </w:rPr>
      </w:pPr>
      <w:bookmarkStart w:id="170" w:name="_Toc19270"/>
      <w:bookmarkStart w:id="171" w:name="_Toc834"/>
      <w:bookmarkStart w:id="172" w:name="_Toc4074"/>
      <w:bookmarkStart w:id="173" w:name="_Toc38338274"/>
      <w:bookmarkStart w:id="174" w:name="_Toc37716354"/>
      <w:bookmarkStart w:id="175" w:name="_Toc6518"/>
      <w:bookmarkStart w:id="176" w:name="_Toc247085694"/>
      <w:bookmarkStart w:id="177" w:name="_Toc179632552"/>
      <w:bookmarkStart w:id="178" w:name="_Toc246996180"/>
      <w:bookmarkStart w:id="179" w:name="_Toc24355"/>
      <w:bookmarkStart w:id="180" w:name="_Toc152045535"/>
      <w:bookmarkStart w:id="181" w:name="_Toc489197812"/>
      <w:bookmarkStart w:id="182" w:name="_Toc38338273"/>
      <w:bookmarkStart w:id="183" w:name="_Toc144974503"/>
      <w:bookmarkStart w:id="184" w:name="_Toc489145708"/>
      <w:bookmarkStart w:id="185" w:name="_Toc31036"/>
      <w:bookmarkStart w:id="186" w:name="_Toc4239"/>
      <w:bookmarkStart w:id="187" w:name="_Toc296602425"/>
      <w:bookmarkStart w:id="188" w:name="_Toc152042311"/>
      <w:bookmarkStart w:id="189" w:name="_Toc246996923"/>
      <w:bookmarkStart w:id="190" w:name="_Toc37716353"/>
      <w:r>
        <w:rPr>
          <w:rFonts w:hint="eastAsia" w:ascii="Times New Roman" w:hAnsi="Times New Roman" w:cs="Times New Roman"/>
          <w:color w:val="auto"/>
          <w:highlight w:val="none"/>
        </w:rPr>
        <w:t>5</w:t>
      </w:r>
      <w:r>
        <w:rPr>
          <w:rFonts w:ascii="Times New Roman" w:hAnsi="Times New Roman" w:cs="Times New Roman"/>
          <w:color w:val="auto"/>
          <w:highlight w:val="none"/>
        </w:rPr>
        <w:t>.</w:t>
      </w:r>
      <w:bookmarkEnd w:id="170"/>
      <w:bookmarkEnd w:id="171"/>
      <w:bookmarkEnd w:id="172"/>
      <w:bookmarkEnd w:id="173"/>
      <w:bookmarkEnd w:id="174"/>
      <w:r>
        <w:rPr>
          <w:rFonts w:ascii="Times New Roman" w:hAnsi="Times New Roman" w:cs="Times New Roman"/>
          <w:color w:val="auto"/>
          <w:highlight w:val="none"/>
        </w:rPr>
        <w:t>现场考察</w:t>
      </w:r>
      <w:bookmarkEnd w:id="175"/>
    </w:p>
    <w:p w14:paraId="79725FF5">
      <w:pPr>
        <w:ind w:firstLine="420"/>
        <w:rPr>
          <w:rFonts w:ascii="宋体" w:hAnsi="宋体" w:cs="宋体"/>
          <w:color w:val="auto"/>
          <w:highlight w:val="none"/>
        </w:rPr>
      </w:pPr>
      <w:r>
        <w:rPr>
          <w:rFonts w:hint="eastAsia" w:ascii="宋体" w:hAnsi="宋体" w:cs="宋体"/>
          <w:color w:val="auto"/>
          <w:highlight w:val="none"/>
        </w:rPr>
        <w:t>5.1《投标人须知前附表》规定组织现场</w:t>
      </w:r>
      <w:r>
        <w:rPr>
          <w:rFonts w:ascii="Times New Roman" w:hAnsi="Times New Roman" w:cs="Times New Roman"/>
          <w:color w:val="auto"/>
          <w:szCs w:val="21"/>
          <w:highlight w:val="none"/>
        </w:rPr>
        <w:t>考察</w:t>
      </w:r>
      <w:r>
        <w:rPr>
          <w:rFonts w:hint="eastAsia" w:ascii="宋体" w:hAnsi="宋体" w:cs="宋体"/>
          <w:color w:val="auto"/>
          <w:highlight w:val="none"/>
        </w:rPr>
        <w:t>的，采购人将按规定的时间、地点组织已获取招标文件的潜在投标人</w:t>
      </w:r>
      <w:r>
        <w:rPr>
          <w:rFonts w:ascii="Times New Roman" w:hAnsi="Times New Roman" w:cs="Times New Roman"/>
          <w:color w:val="auto"/>
          <w:szCs w:val="21"/>
          <w:highlight w:val="none"/>
        </w:rPr>
        <w:t>现场考察</w:t>
      </w:r>
      <w:r>
        <w:rPr>
          <w:rFonts w:hint="eastAsia" w:ascii="宋体" w:hAnsi="宋体" w:cs="宋体"/>
          <w:color w:val="auto"/>
          <w:highlight w:val="none"/>
        </w:rPr>
        <w:t xml:space="preserve">。 </w:t>
      </w:r>
    </w:p>
    <w:p w14:paraId="5C8BB879">
      <w:pPr>
        <w:ind w:firstLine="420"/>
        <w:rPr>
          <w:rFonts w:ascii="宋体" w:hAnsi="宋体" w:cs="宋体"/>
          <w:color w:val="auto"/>
          <w:highlight w:val="none"/>
        </w:rPr>
      </w:pPr>
      <w:r>
        <w:rPr>
          <w:rFonts w:hint="eastAsia" w:ascii="宋体" w:hAnsi="宋体" w:cs="宋体"/>
          <w:color w:val="auto"/>
          <w:highlight w:val="none"/>
        </w:rPr>
        <w:t>5.2</w:t>
      </w:r>
      <w:r>
        <w:rPr>
          <w:rFonts w:ascii="Times New Roman" w:hAnsi="Times New Roman" w:cs="Times New Roman"/>
          <w:color w:val="auto"/>
          <w:szCs w:val="21"/>
          <w:highlight w:val="none"/>
        </w:rPr>
        <w:t>现场考察</w:t>
      </w:r>
      <w:r>
        <w:rPr>
          <w:rFonts w:hint="eastAsia" w:ascii="宋体" w:hAnsi="宋体" w:cs="宋体"/>
          <w:color w:val="auto"/>
          <w:highlight w:val="none"/>
        </w:rPr>
        <w:t>所发生的费用由潜在投标人自理。</w:t>
      </w:r>
    </w:p>
    <w:p w14:paraId="1C926AD7">
      <w:pPr>
        <w:ind w:firstLine="420"/>
        <w:rPr>
          <w:rFonts w:ascii="宋体" w:hAnsi="宋体" w:cs="宋体"/>
          <w:color w:val="auto"/>
          <w:highlight w:val="none"/>
        </w:rPr>
      </w:pPr>
      <w:r>
        <w:rPr>
          <w:rFonts w:hint="eastAsia" w:ascii="宋体" w:hAnsi="宋体" w:cs="宋体"/>
          <w:color w:val="auto"/>
          <w:highlight w:val="none"/>
        </w:rPr>
        <w:t>5.3 除采购人的原因外，潜在投标人自行负责在</w:t>
      </w:r>
      <w:r>
        <w:rPr>
          <w:rFonts w:ascii="Times New Roman" w:hAnsi="Times New Roman" w:cs="Times New Roman"/>
          <w:color w:val="auto"/>
          <w:szCs w:val="21"/>
          <w:highlight w:val="none"/>
        </w:rPr>
        <w:t>现场考察</w:t>
      </w:r>
      <w:r>
        <w:rPr>
          <w:rFonts w:hint="eastAsia" w:ascii="宋体" w:hAnsi="宋体" w:cs="宋体"/>
          <w:color w:val="auto"/>
          <w:highlight w:val="none"/>
        </w:rPr>
        <w:t>中所发生的人员伤亡和财产损失。</w:t>
      </w:r>
    </w:p>
    <w:p w14:paraId="7C6BEBA5">
      <w:pPr>
        <w:ind w:firstLine="420"/>
        <w:rPr>
          <w:rFonts w:ascii="宋体" w:hAnsi="宋体" w:cs="宋体"/>
          <w:color w:val="auto"/>
          <w:highlight w:val="none"/>
        </w:rPr>
      </w:pPr>
      <w:r>
        <w:rPr>
          <w:rFonts w:hint="eastAsia" w:ascii="宋体" w:hAnsi="宋体" w:cs="宋体"/>
          <w:color w:val="auto"/>
          <w:highlight w:val="none"/>
        </w:rPr>
        <w:t>5.4 采购人在</w:t>
      </w:r>
      <w:r>
        <w:rPr>
          <w:rFonts w:ascii="Times New Roman" w:hAnsi="Times New Roman" w:cs="Times New Roman"/>
          <w:color w:val="auto"/>
          <w:szCs w:val="21"/>
          <w:highlight w:val="none"/>
        </w:rPr>
        <w:t>现场考察</w:t>
      </w:r>
      <w:r>
        <w:rPr>
          <w:rFonts w:hint="eastAsia" w:ascii="宋体" w:hAnsi="宋体" w:cs="宋体"/>
          <w:color w:val="auto"/>
          <w:highlight w:val="none"/>
        </w:rPr>
        <w:t xml:space="preserve">中介绍的项目基本情况，仅供潜在投标人在编制投标文件时参考，采购人不对潜在投标人据此作出的判断和决策负责。 </w:t>
      </w:r>
    </w:p>
    <w:p w14:paraId="6E6051CB">
      <w:pPr>
        <w:pStyle w:val="4"/>
        <w:spacing w:before="165"/>
        <w:ind w:firstLine="482"/>
        <w:rPr>
          <w:rFonts w:ascii="Times New Roman" w:hAnsi="Times New Roman" w:cs="Times New Roman"/>
          <w:color w:val="auto"/>
          <w:highlight w:val="none"/>
        </w:rPr>
      </w:pPr>
      <w:bookmarkStart w:id="191" w:name="_Toc17379"/>
      <w:bookmarkStart w:id="192" w:name="_Toc37716355"/>
      <w:bookmarkStart w:id="193" w:name="_Toc38338275"/>
      <w:bookmarkStart w:id="194" w:name="_Toc19944"/>
      <w:bookmarkStart w:id="195" w:name="_Toc3204"/>
      <w:bookmarkStart w:id="196" w:name="_Toc15130"/>
      <w:r>
        <w:rPr>
          <w:rFonts w:hint="eastAsia" w:ascii="Times New Roman" w:hAnsi="Times New Roman" w:cs="Times New Roman"/>
          <w:color w:val="auto"/>
          <w:highlight w:val="none"/>
        </w:rPr>
        <w:t>6</w:t>
      </w:r>
      <w:r>
        <w:rPr>
          <w:rFonts w:ascii="Times New Roman" w:hAnsi="Times New Roman" w:cs="Times New Roman"/>
          <w:color w:val="auto"/>
          <w:highlight w:val="none"/>
        </w:rPr>
        <w:t>.开标前答疑会</w:t>
      </w:r>
      <w:bookmarkEnd w:id="191"/>
      <w:bookmarkEnd w:id="192"/>
      <w:bookmarkEnd w:id="193"/>
      <w:bookmarkEnd w:id="194"/>
      <w:bookmarkEnd w:id="195"/>
      <w:bookmarkEnd w:id="196"/>
    </w:p>
    <w:p w14:paraId="24BB07F6">
      <w:pPr>
        <w:ind w:firstLine="420"/>
        <w:rPr>
          <w:rFonts w:ascii="Times New Roman" w:hAnsi="Times New Roman" w:cs="Times New Roman"/>
          <w:color w:val="auto"/>
          <w:highlight w:val="none"/>
        </w:rPr>
      </w:pPr>
      <w:r>
        <w:rPr>
          <w:rFonts w:hint="eastAsia" w:ascii="宋体" w:hAnsi="宋体" w:cs="宋体"/>
          <w:color w:val="auto"/>
          <w:highlight w:val="none"/>
        </w:rPr>
        <w:t>6.1 《投标人须知前附表》规定召开开标前答疑会的，采购人将按规定的时间、地点组织已获取招标文件的潜在投标人召开开标前答疑会。</w:t>
      </w:r>
    </w:p>
    <w:p w14:paraId="10D1DBF2">
      <w:pPr>
        <w:pStyle w:val="4"/>
        <w:spacing w:before="165"/>
        <w:ind w:firstLine="482"/>
        <w:rPr>
          <w:rFonts w:ascii="Times New Roman" w:hAnsi="Times New Roman" w:cs="Times New Roman"/>
          <w:color w:val="auto"/>
          <w:highlight w:val="none"/>
        </w:rPr>
      </w:pPr>
      <w:bookmarkStart w:id="197" w:name="_Toc15451"/>
      <w:r>
        <w:rPr>
          <w:rFonts w:hint="eastAsia" w:ascii="Times New Roman" w:hAnsi="Times New Roman" w:cs="Times New Roman"/>
          <w:color w:val="auto"/>
          <w:highlight w:val="none"/>
        </w:rPr>
        <w:t>7</w:t>
      </w:r>
      <w:r>
        <w:rPr>
          <w:rFonts w:ascii="Times New Roman" w:hAnsi="Times New Roman" w:cs="Times New Roman"/>
          <w:color w:val="auto"/>
          <w:highlight w:val="none"/>
        </w:rPr>
        <w:t>.费用承担</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7"/>
    </w:p>
    <w:p w14:paraId="5E8989FA">
      <w:pPr>
        <w:ind w:firstLine="420"/>
        <w:rPr>
          <w:rFonts w:ascii="宋体" w:hAnsi="宋体" w:cs="宋体"/>
          <w:color w:val="auto"/>
          <w:highlight w:val="none"/>
        </w:rPr>
      </w:pPr>
      <w:r>
        <w:rPr>
          <w:rFonts w:hint="eastAsia" w:ascii="宋体" w:hAnsi="宋体" w:cs="宋体"/>
          <w:color w:val="auto"/>
          <w:highlight w:val="none"/>
        </w:rPr>
        <w:t>7.1不论投标结果如何，投标人均应自行承担所有与准备和参加投标活动有关的全部费用。</w:t>
      </w:r>
    </w:p>
    <w:p w14:paraId="6A2A5C4A">
      <w:pPr>
        <w:ind w:firstLine="420"/>
        <w:rPr>
          <w:rFonts w:ascii="宋体" w:hAnsi="宋体" w:cs="宋体"/>
          <w:color w:val="auto"/>
          <w:highlight w:val="none"/>
        </w:rPr>
      </w:pPr>
      <w:r>
        <w:rPr>
          <w:rFonts w:hint="eastAsia" w:ascii="宋体" w:hAnsi="宋体" w:cs="宋体"/>
          <w:color w:val="auto"/>
          <w:highlight w:val="none"/>
        </w:rPr>
        <w:t>7.2</w:t>
      </w:r>
      <w:r>
        <w:rPr>
          <w:rFonts w:hint="eastAsia" w:hAnsi="宋体" w:cs="宋体"/>
          <w:color w:val="auto"/>
          <w:kern w:val="0"/>
          <w:szCs w:val="21"/>
          <w:highlight w:val="none"/>
        </w:rPr>
        <w:t>除采购代理服务费（中标服务费）和保证金外，本项目不收取其它任何费用。</w:t>
      </w:r>
    </w:p>
    <w:p w14:paraId="4B022A86">
      <w:pPr>
        <w:ind w:firstLine="420"/>
        <w:rPr>
          <w:rFonts w:ascii="宋体" w:hAnsi="宋体" w:cs="宋体"/>
          <w:color w:val="auto"/>
          <w:highlight w:val="none"/>
        </w:rPr>
      </w:pPr>
    </w:p>
    <w:p w14:paraId="63F38D5D">
      <w:pPr>
        <w:pStyle w:val="3"/>
        <w:spacing w:before="165"/>
        <w:jc w:val="center"/>
        <w:rPr>
          <w:rFonts w:ascii="Times New Roman" w:hAnsi="Times New Roman" w:cs="Times New Roman"/>
          <w:color w:val="auto"/>
          <w:highlight w:val="none"/>
        </w:rPr>
      </w:pPr>
      <w:bookmarkStart w:id="198" w:name="_Toc296602432"/>
      <w:bookmarkStart w:id="199" w:name="_Toc152045542"/>
      <w:bookmarkStart w:id="200" w:name="_Toc378239079"/>
      <w:bookmarkStart w:id="201" w:name="_Toc246996187"/>
      <w:bookmarkStart w:id="202" w:name="_Toc246996930"/>
      <w:bookmarkStart w:id="203" w:name="_Toc489145713"/>
      <w:bookmarkStart w:id="204" w:name="_Toc378239352"/>
      <w:bookmarkStart w:id="205" w:name="_Toc378239171"/>
      <w:bookmarkStart w:id="206" w:name="_Toc17348"/>
      <w:bookmarkStart w:id="207" w:name="_Toc488633605"/>
      <w:bookmarkStart w:id="208" w:name="_Toc37716358"/>
      <w:bookmarkStart w:id="209" w:name="_Toc144974510"/>
      <w:bookmarkStart w:id="210" w:name="_Toc38338278"/>
      <w:bookmarkStart w:id="211" w:name="_Toc7169"/>
      <w:bookmarkStart w:id="212" w:name="_Toc480817644"/>
      <w:bookmarkStart w:id="213" w:name="_Toc9608"/>
      <w:bookmarkStart w:id="214" w:name="_Toc401342135"/>
      <w:bookmarkStart w:id="215" w:name="_Toc489197817"/>
      <w:bookmarkStart w:id="216" w:name="_Toc179632560"/>
      <w:bookmarkStart w:id="217" w:name="_Toc9137"/>
      <w:bookmarkStart w:id="218" w:name="_Toc247085701"/>
      <w:bookmarkStart w:id="219" w:name="_Toc19564"/>
      <w:bookmarkStart w:id="220" w:name="_Toc152042318"/>
      <w:r>
        <w:rPr>
          <w:rFonts w:ascii="Times New Roman" w:hAnsi="Times New Roman" w:cs="Times New Roman"/>
          <w:color w:val="auto"/>
          <w:highlight w:val="none"/>
        </w:rPr>
        <w:t>二、招标文件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2B8A2D49">
      <w:pPr>
        <w:pStyle w:val="4"/>
        <w:spacing w:before="165"/>
        <w:ind w:firstLine="482"/>
        <w:rPr>
          <w:rFonts w:ascii="Times New Roman" w:hAnsi="Times New Roman" w:cs="Times New Roman"/>
          <w:color w:val="auto"/>
          <w:highlight w:val="none"/>
        </w:rPr>
      </w:pPr>
      <w:bookmarkStart w:id="221" w:name="_Toc38338279"/>
      <w:bookmarkStart w:id="222" w:name="_Toc20738"/>
      <w:bookmarkStart w:id="223" w:name="_Toc37716359"/>
      <w:bookmarkStart w:id="224" w:name="_Toc10033"/>
      <w:bookmarkStart w:id="225" w:name="_Toc23732"/>
      <w:bookmarkStart w:id="226" w:name="_Toc30968"/>
      <w:bookmarkStart w:id="227" w:name="_Toc785"/>
      <w:bookmarkStart w:id="228" w:name="_Toc489197818"/>
      <w:bookmarkStart w:id="229" w:name="_Toc179632561"/>
      <w:bookmarkStart w:id="230" w:name="_Toc246996188"/>
      <w:bookmarkStart w:id="231" w:name="_Toc144974511"/>
      <w:bookmarkStart w:id="232" w:name="_Toc247085702"/>
      <w:bookmarkStart w:id="233" w:name="_Toc152042319"/>
      <w:bookmarkStart w:id="234" w:name="_Toc152045543"/>
      <w:bookmarkStart w:id="235" w:name="_Toc296602433"/>
      <w:bookmarkStart w:id="236" w:name="_Toc246996931"/>
      <w:bookmarkStart w:id="237" w:name="_Toc489145714"/>
      <w:r>
        <w:rPr>
          <w:rFonts w:hint="eastAsia" w:ascii="Times New Roman" w:hAnsi="Times New Roman" w:cs="Times New Roman"/>
          <w:color w:val="auto"/>
          <w:highlight w:val="none"/>
        </w:rPr>
        <w:t>8</w:t>
      </w:r>
      <w:r>
        <w:rPr>
          <w:rFonts w:ascii="Times New Roman" w:hAnsi="Times New Roman" w:cs="Times New Roman"/>
          <w:color w:val="auto"/>
          <w:highlight w:val="none"/>
        </w:rPr>
        <w:t>.招标文件编制依据</w:t>
      </w:r>
      <w:bookmarkEnd w:id="221"/>
      <w:bookmarkEnd w:id="222"/>
      <w:bookmarkEnd w:id="223"/>
      <w:bookmarkEnd w:id="224"/>
      <w:bookmarkEnd w:id="225"/>
      <w:bookmarkEnd w:id="226"/>
      <w:bookmarkEnd w:id="227"/>
    </w:p>
    <w:p w14:paraId="6FC56114">
      <w:pPr>
        <w:ind w:firstLine="420"/>
        <w:rPr>
          <w:rFonts w:ascii="宋体" w:hAnsi="宋体" w:cs="宋体"/>
          <w:color w:val="auto"/>
          <w:highlight w:val="none"/>
        </w:rPr>
      </w:pPr>
      <w:r>
        <w:rPr>
          <w:rFonts w:hint="eastAsia" w:ascii="宋体" w:hAnsi="宋体" w:cs="宋体"/>
          <w:color w:val="auto"/>
          <w:highlight w:val="none"/>
        </w:rPr>
        <w:t>8.1本项目招标文件根据《中华人民共和国政府采购法》《中华人民共和国政府采购法实施条例》《政府采购货物和服务招标投标管理办法》（财政部令第87号）等有关法律、法规编制，解释权属于采购人、采购代理机构。</w:t>
      </w:r>
    </w:p>
    <w:bookmarkEnd w:id="228"/>
    <w:bookmarkEnd w:id="229"/>
    <w:bookmarkEnd w:id="230"/>
    <w:bookmarkEnd w:id="231"/>
    <w:bookmarkEnd w:id="232"/>
    <w:bookmarkEnd w:id="233"/>
    <w:bookmarkEnd w:id="234"/>
    <w:bookmarkEnd w:id="235"/>
    <w:bookmarkEnd w:id="236"/>
    <w:bookmarkEnd w:id="237"/>
    <w:p w14:paraId="4A0F437F">
      <w:pPr>
        <w:pStyle w:val="4"/>
        <w:spacing w:before="165"/>
        <w:ind w:firstLine="482"/>
        <w:rPr>
          <w:rFonts w:ascii="Times New Roman" w:hAnsi="Times New Roman" w:cs="Times New Roman"/>
          <w:color w:val="auto"/>
          <w:highlight w:val="none"/>
        </w:rPr>
      </w:pPr>
      <w:bookmarkStart w:id="238" w:name="_Toc25191"/>
      <w:bookmarkStart w:id="239" w:name="_Toc1213"/>
      <w:bookmarkStart w:id="240" w:name="_Toc31638"/>
      <w:bookmarkStart w:id="241" w:name="_Toc37716360"/>
      <w:bookmarkStart w:id="242" w:name="_Toc26791"/>
      <w:bookmarkStart w:id="243" w:name="_Toc38338280"/>
      <w:bookmarkStart w:id="244" w:name="_Toc3366"/>
      <w:r>
        <w:rPr>
          <w:rFonts w:hint="eastAsia" w:ascii="Times New Roman" w:hAnsi="Times New Roman" w:cs="Times New Roman"/>
          <w:color w:val="auto"/>
          <w:highlight w:val="none"/>
        </w:rPr>
        <w:t>9</w:t>
      </w:r>
      <w:r>
        <w:rPr>
          <w:rFonts w:ascii="Times New Roman" w:hAnsi="Times New Roman" w:cs="Times New Roman"/>
          <w:color w:val="auto"/>
          <w:highlight w:val="none"/>
        </w:rPr>
        <w:t>.招标文件的组成</w:t>
      </w:r>
      <w:bookmarkEnd w:id="238"/>
      <w:bookmarkEnd w:id="239"/>
      <w:bookmarkEnd w:id="240"/>
      <w:bookmarkEnd w:id="241"/>
      <w:bookmarkEnd w:id="242"/>
      <w:bookmarkEnd w:id="243"/>
      <w:bookmarkEnd w:id="244"/>
    </w:p>
    <w:p w14:paraId="4323A678">
      <w:pPr>
        <w:ind w:firstLine="420"/>
        <w:rPr>
          <w:rFonts w:ascii="宋体" w:hAnsi="宋体" w:cs="宋体"/>
          <w:color w:val="auto"/>
          <w:highlight w:val="none"/>
        </w:rPr>
      </w:pPr>
      <w:r>
        <w:rPr>
          <w:rFonts w:hint="eastAsia" w:ascii="宋体" w:hAnsi="宋体" w:cs="宋体"/>
          <w:color w:val="auto"/>
          <w:highlight w:val="none"/>
        </w:rPr>
        <w:t>9.1采购人要求提供的</w:t>
      </w:r>
      <w:r>
        <w:rPr>
          <w:rFonts w:hint="eastAsia" w:cs="宋体"/>
          <w:color w:val="auto"/>
          <w:kern w:val="0"/>
          <w:szCs w:val="21"/>
          <w:highlight w:val="none"/>
        </w:rPr>
        <w:t>货物或者服务</w:t>
      </w:r>
      <w:r>
        <w:rPr>
          <w:rFonts w:hint="eastAsia" w:ascii="宋体" w:hAnsi="宋体" w:cs="宋体"/>
          <w:color w:val="auto"/>
          <w:highlight w:val="none"/>
        </w:rPr>
        <w:t>及合同条款在招标文件中均有说明，招标文件共七章，各章的内容如下：</w:t>
      </w:r>
    </w:p>
    <w:p w14:paraId="4E7B448E">
      <w:pPr>
        <w:ind w:firstLine="420"/>
        <w:rPr>
          <w:rFonts w:ascii="宋体" w:hAnsi="宋体" w:cs="宋体"/>
          <w:color w:val="auto"/>
          <w:kern w:val="0"/>
          <w:highlight w:val="none"/>
        </w:rPr>
      </w:pPr>
      <w:r>
        <w:rPr>
          <w:rFonts w:hint="eastAsia" w:ascii="宋体" w:hAnsi="宋体" w:cs="宋体"/>
          <w:color w:val="auto"/>
          <w:kern w:val="0"/>
          <w:highlight w:val="none"/>
        </w:rPr>
        <w:t>第一章  招标公告</w:t>
      </w:r>
    </w:p>
    <w:p w14:paraId="3FAAA87E">
      <w:pPr>
        <w:ind w:firstLine="420"/>
        <w:rPr>
          <w:rFonts w:ascii="宋体" w:hAnsi="宋体" w:cs="宋体"/>
          <w:color w:val="auto"/>
          <w:kern w:val="0"/>
          <w:highlight w:val="none"/>
        </w:rPr>
      </w:pPr>
      <w:r>
        <w:rPr>
          <w:rFonts w:hint="eastAsia" w:ascii="宋体" w:hAnsi="宋体" w:cs="宋体"/>
          <w:color w:val="auto"/>
          <w:kern w:val="0"/>
          <w:highlight w:val="none"/>
        </w:rPr>
        <w:t>第二章  投标人须知</w:t>
      </w:r>
    </w:p>
    <w:p w14:paraId="5A5C733A">
      <w:pPr>
        <w:ind w:firstLine="420"/>
        <w:rPr>
          <w:rFonts w:ascii="宋体" w:hAnsi="宋体" w:cs="宋体"/>
          <w:color w:val="auto"/>
          <w:kern w:val="0"/>
          <w:highlight w:val="none"/>
        </w:rPr>
      </w:pPr>
      <w:r>
        <w:rPr>
          <w:rFonts w:hint="eastAsia" w:ascii="宋体" w:hAnsi="宋体" w:cs="宋体"/>
          <w:color w:val="auto"/>
          <w:kern w:val="0"/>
          <w:highlight w:val="none"/>
        </w:rPr>
        <w:t>第三章  合同书样式及主要条款</w:t>
      </w:r>
    </w:p>
    <w:p w14:paraId="1D8FE340">
      <w:pPr>
        <w:ind w:firstLine="420"/>
        <w:rPr>
          <w:rFonts w:ascii="宋体" w:hAnsi="宋体" w:cs="宋体"/>
          <w:color w:val="auto"/>
          <w:kern w:val="0"/>
          <w:highlight w:val="none"/>
        </w:rPr>
      </w:pPr>
      <w:r>
        <w:rPr>
          <w:rFonts w:hint="eastAsia" w:ascii="宋体" w:hAnsi="宋体" w:cs="宋体"/>
          <w:color w:val="auto"/>
          <w:kern w:val="0"/>
          <w:highlight w:val="none"/>
        </w:rPr>
        <w:t>第四章  投标文件格式</w:t>
      </w:r>
    </w:p>
    <w:p w14:paraId="6B71F468">
      <w:pPr>
        <w:ind w:firstLine="420"/>
        <w:rPr>
          <w:rFonts w:ascii="宋体" w:hAnsi="宋体" w:cs="宋体"/>
          <w:color w:val="auto"/>
          <w:kern w:val="0"/>
          <w:highlight w:val="none"/>
        </w:rPr>
      </w:pPr>
      <w:r>
        <w:rPr>
          <w:rFonts w:hint="eastAsia" w:ascii="宋体" w:hAnsi="宋体" w:cs="宋体"/>
          <w:color w:val="auto"/>
          <w:kern w:val="0"/>
          <w:highlight w:val="none"/>
        </w:rPr>
        <w:t>第五章  采购需求</w:t>
      </w:r>
    </w:p>
    <w:p w14:paraId="40D9E1FB">
      <w:pPr>
        <w:ind w:firstLine="420"/>
        <w:rPr>
          <w:rFonts w:ascii="宋体" w:hAnsi="宋体" w:cs="宋体"/>
          <w:color w:val="auto"/>
          <w:kern w:val="0"/>
          <w:highlight w:val="none"/>
        </w:rPr>
      </w:pPr>
      <w:r>
        <w:rPr>
          <w:rFonts w:hint="eastAsia" w:ascii="宋体" w:hAnsi="宋体" w:cs="宋体"/>
          <w:color w:val="auto"/>
          <w:kern w:val="0"/>
          <w:highlight w:val="none"/>
        </w:rPr>
        <w:t>第六章  资格审查</w:t>
      </w:r>
    </w:p>
    <w:p w14:paraId="5C145869">
      <w:pPr>
        <w:ind w:firstLine="420"/>
        <w:rPr>
          <w:rFonts w:ascii="宋体" w:hAnsi="宋体" w:cs="宋体"/>
          <w:color w:val="auto"/>
          <w:kern w:val="0"/>
          <w:highlight w:val="none"/>
        </w:rPr>
      </w:pPr>
      <w:r>
        <w:rPr>
          <w:rFonts w:hint="eastAsia" w:ascii="宋体" w:hAnsi="宋体" w:cs="宋体"/>
          <w:color w:val="auto"/>
          <w:kern w:val="0"/>
          <w:highlight w:val="none"/>
        </w:rPr>
        <w:t>第七章  评标方法</w:t>
      </w:r>
    </w:p>
    <w:p w14:paraId="721C162F">
      <w:pPr>
        <w:ind w:firstLine="420"/>
        <w:rPr>
          <w:rFonts w:ascii="宋体" w:hAnsi="宋体" w:cs="宋体"/>
          <w:color w:val="auto"/>
          <w:kern w:val="0"/>
          <w:highlight w:val="none"/>
        </w:rPr>
      </w:pPr>
      <w:r>
        <w:rPr>
          <w:rFonts w:hint="eastAsia" w:ascii="宋体" w:hAnsi="宋体" w:cs="宋体"/>
          <w:color w:val="auto"/>
          <w:highlight w:val="none"/>
        </w:rPr>
        <w:t>9.2 根据本章规定对招标文件所作的澄清、修改构成招标文件的组成部分。</w:t>
      </w:r>
    </w:p>
    <w:p w14:paraId="1F1AD2C6">
      <w:pPr>
        <w:pStyle w:val="4"/>
        <w:spacing w:before="165"/>
        <w:ind w:firstLine="482"/>
        <w:rPr>
          <w:rFonts w:ascii="Times New Roman" w:hAnsi="Times New Roman" w:cs="Times New Roman"/>
          <w:color w:val="auto"/>
          <w:highlight w:val="none"/>
        </w:rPr>
      </w:pPr>
      <w:bookmarkStart w:id="245" w:name="_Toc3777"/>
      <w:bookmarkStart w:id="246" w:name="_Toc246996932"/>
      <w:bookmarkStart w:id="247" w:name="_Toc489197820"/>
      <w:bookmarkStart w:id="248" w:name="_Toc25924"/>
      <w:bookmarkStart w:id="249" w:name="_Toc179632562"/>
      <w:bookmarkStart w:id="250" w:name="_Toc30865"/>
      <w:bookmarkStart w:id="251" w:name="_Toc144974512"/>
      <w:bookmarkStart w:id="252" w:name="_Toc38338281"/>
      <w:bookmarkStart w:id="253" w:name="_Toc246996189"/>
      <w:bookmarkStart w:id="254" w:name="_Toc489145716"/>
      <w:bookmarkStart w:id="255" w:name="_Toc18148"/>
      <w:bookmarkStart w:id="256" w:name="_Toc296602434"/>
      <w:bookmarkStart w:id="257" w:name="_Toc37716361"/>
      <w:bookmarkStart w:id="258" w:name="_Toc152045544"/>
      <w:bookmarkStart w:id="259" w:name="_Toc247085703"/>
      <w:bookmarkStart w:id="260" w:name="_Toc152042320"/>
      <w:r>
        <w:rPr>
          <w:rFonts w:hint="eastAsia" w:ascii="Times New Roman" w:hAnsi="Times New Roman" w:cs="Times New Roman"/>
          <w:color w:val="auto"/>
          <w:highlight w:val="none"/>
        </w:rPr>
        <w:t>10</w:t>
      </w:r>
      <w:r>
        <w:rPr>
          <w:rFonts w:ascii="Times New Roman" w:hAnsi="Times New Roman" w:cs="Times New Roman"/>
          <w:color w:val="auto"/>
          <w:highlight w:val="none"/>
        </w:rPr>
        <w:t>.</w:t>
      </w:r>
      <w:r>
        <w:rPr>
          <w:rFonts w:hint="eastAsia" w:ascii="Times New Roman" w:hAnsi="Times New Roman" w:cs="Times New Roman"/>
          <w:color w:val="auto"/>
          <w:highlight w:val="none"/>
        </w:rPr>
        <w:t>招标文件</w:t>
      </w:r>
      <w:r>
        <w:rPr>
          <w:rFonts w:ascii="Times New Roman" w:hAnsi="Times New Roman" w:cs="Times New Roman"/>
          <w:color w:val="auto"/>
          <w:highlight w:val="none"/>
        </w:rPr>
        <w:t>询问</w:t>
      </w:r>
      <w:bookmarkEnd w:id="245"/>
    </w:p>
    <w:p w14:paraId="44628E68">
      <w:pPr>
        <w:ind w:firstLine="420"/>
        <w:rPr>
          <w:rFonts w:ascii="宋体" w:hAnsi="宋体" w:cs="宋体"/>
          <w:color w:val="auto"/>
          <w:highlight w:val="none"/>
        </w:rPr>
      </w:pPr>
      <w:r>
        <w:rPr>
          <w:rFonts w:hint="eastAsia" w:ascii="宋体" w:hAnsi="宋体" w:cs="宋体"/>
          <w:color w:val="auto"/>
          <w:highlight w:val="none"/>
        </w:rPr>
        <w:t>10.1</w:t>
      </w:r>
      <w:r>
        <w:rPr>
          <w:rFonts w:ascii="Times New Roman" w:hAnsi="Times New Roman" w:cs="Times New Roman"/>
          <w:color w:val="auto"/>
          <w:szCs w:val="21"/>
          <w:highlight w:val="none"/>
        </w:rPr>
        <w:t>投标人对招标文件如有疑问的，</w:t>
      </w:r>
      <w:r>
        <w:rPr>
          <w:rFonts w:hint="eastAsia" w:ascii="宋体" w:hAnsi="宋体" w:cs="宋体"/>
          <w:color w:val="auto"/>
          <w:highlight w:val="none"/>
        </w:rPr>
        <w:t>可以按《投标人须知前附表》相关要求向采购人或采购代理机构提出询问。</w:t>
      </w:r>
    </w:p>
    <w:p w14:paraId="0E3B0F11">
      <w:pPr>
        <w:ind w:firstLine="420"/>
        <w:rPr>
          <w:rFonts w:ascii="宋体" w:hAnsi="宋体" w:cs="宋体"/>
          <w:color w:val="auto"/>
          <w:highlight w:val="none"/>
        </w:rPr>
      </w:pPr>
      <w:bookmarkStart w:id="261" w:name="OLE_LINK70"/>
      <w:r>
        <w:rPr>
          <w:rFonts w:hint="eastAsia" w:ascii="宋体" w:hAnsi="宋体" w:cs="宋体"/>
          <w:color w:val="auto"/>
          <w:highlight w:val="none"/>
        </w:rPr>
        <w:t>10.2 投标人应仔细阅读和检查招标文件的全部内容。</w:t>
      </w:r>
    </w:p>
    <w:bookmarkEnd w:id="261"/>
    <w:p w14:paraId="4C69EC21">
      <w:pPr>
        <w:ind w:firstLine="420"/>
        <w:rPr>
          <w:rFonts w:ascii="Times New Roman" w:hAnsi="Times New Roman" w:cs="Times New Roman"/>
          <w:color w:val="auto"/>
          <w:highlight w:val="none"/>
        </w:rPr>
      </w:pPr>
      <w:r>
        <w:rPr>
          <w:rFonts w:hint="eastAsia" w:ascii="宋体" w:hAnsi="宋体" w:cs="宋体"/>
          <w:color w:val="auto"/>
          <w:highlight w:val="none"/>
        </w:rPr>
        <w:t>10.3询问联系方式：详见《投标人须知前附表》。</w:t>
      </w:r>
    </w:p>
    <w:p w14:paraId="2501FB46">
      <w:pPr>
        <w:pStyle w:val="4"/>
        <w:spacing w:before="165"/>
        <w:ind w:firstLine="482"/>
        <w:rPr>
          <w:rFonts w:ascii="Times New Roman" w:hAnsi="Times New Roman" w:cs="Times New Roman"/>
          <w:color w:val="auto"/>
          <w:highlight w:val="none"/>
        </w:rPr>
      </w:pPr>
      <w:bookmarkStart w:id="262" w:name="_Toc3450"/>
      <w:r>
        <w:rPr>
          <w:rFonts w:hint="eastAsia" w:ascii="Times New Roman" w:hAnsi="Times New Roman" w:cs="Times New Roman"/>
          <w:color w:val="auto"/>
          <w:highlight w:val="none"/>
        </w:rPr>
        <w:t>11</w:t>
      </w:r>
      <w:r>
        <w:rPr>
          <w:rFonts w:ascii="Times New Roman" w:hAnsi="Times New Roman" w:cs="Times New Roman"/>
          <w:color w:val="auto"/>
          <w:highlight w:val="none"/>
        </w:rPr>
        <w:t>.招标文件的澄清、修改</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2"/>
    </w:p>
    <w:p w14:paraId="05AF199E">
      <w:pPr>
        <w:ind w:firstLine="420"/>
        <w:rPr>
          <w:rFonts w:ascii="宋体" w:hAnsi="宋体" w:cs="宋体"/>
          <w:color w:val="auto"/>
          <w:highlight w:val="none"/>
        </w:rPr>
      </w:pPr>
      <w:r>
        <w:rPr>
          <w:rFonts w:hint="eastAsia" w:ascii="宋体" w:hAnsi="宋体" w:cs="宋体"/>
          <w:color w:val="auto"/>
          <w:highlight w:val="none"/>
        </w:rPr>
        <w:t>11.1采购人、采购代理机构可以对已发出的招标文件进行必要的澄清或者修改，澄清或者修改的内容作为招标文件的组成部分。</w:t>
      </w:r>
    </w:p>
    <w:p w14:paraId="1DE52C4A">
      <w:pPr>
        <w:ind w:firstLine="420"/>
        <w:rPr>
          <w:rFonts w:ascii="宋体" w:hAnsi="宋体" w:cs="宋体"/>
          <w:color w:val="auto"/>
          <w:highlight w:val="none"/>
        </w:rPr>
      </w:pPr>
      <w:bookmarkStart w:id="263" w:name="OLE_LINK71"/>
      <w:r>
        <w:rPr>
          <w:rFonts w:hint="eastAsia" w:ascii="宋体" w:hAnsi="宋体" w:cs="宋体"/>
          <w:color w:val="auto"/>
          <w:highlight w:val="none"/>
        </w:rPr>
        <w:t>11</w:t>
      </w:r>
      <w:r>
        <w:rPr>
          <w:rFonts w:ascii="宋体" w:hAnsi="宋体" w:cs="宋体"/>
          <w:color w:val="auto"/>
          <w:highlight w:val="none"/>
        </w:rPr>
        <w:t>.</w:t>
      </w:r>
      <w:r>
        <w:rPr>
          <w:rFonts w:hint="eastAsia" w:ascii="宋体" w:hAnsi="宋体" w:cs="宋体"/>
          <w:color w:val="auto"/>
          <w:highlight w:val="none"/>
        </w:rPr>
        <w:t>2</w:t>
      </w:r>
      <w:r>
        <w:rPr>
          <w:rFonts w:ascii="宋体" w:hAnsi="宋体" w:cs="宋体"/>
          <w:color w:val="auto"/>
          <w:highlight w:val="none"/>
        </w:rPr>
        <w:t>采购人、采购代理机构将同时发布澄清、修改文件进行说明以保证投标人能重新下载并用于编制投标文件。</w:t>
      </w:r>
    </w:p>
    <w:p w14:paraId="7F8BDD5B">
      <w:pPr>
        <w:ind w:firstLine="420"/>
        <w:rPr>
          <w:rFonts w:ascii="宋体" w:hAnsi="宋体" w:cs="宋体"/>
          <w:color w:val="auto"/>
          <w:highlight w:val="none"/>
        </w:rPr>
      </w:pPr>
      <w:r>
        <w:rPr>
          <w:rFonts w:hint="eastAsia" w:ascii="宋体" w:hAnsi="宋体" w:cs="宋体"/>
          <w:color w:val="auto"/>
          <w:highlight w:val="none"/>
        </w:rPr>
        <w:t>11</w:t>
      </w:r>
      <w:r>
        <w:rPr>
          <w:rFonts w:ascii="宋体" w:hAnsi="宋体" w:cs="宋体"/>
          <w:color w:val="auto"/>
          <w:highlight w:val="none"/>
        </w:rPr>
        <w:t>.</w:t>
      </w:r>
      <w:r>
        <w:rPr>
          <w:rFonts w:hint="eastAsia" w:ascii="宋体" w:hAnsi="宋体" w:cs="宋体"/>
          <w:color w:val="auto"/>
          <w:highlight w:val="none"/>
        </w:rPr>
        <w:t>3</w:t>
      </w:r>
      <w:r>
        <w:rPr>
          <w:rFonts w:ascii="宋体" w:hAnsi="宋体" w:cs="宋体"/>
          <w:color w:val="auto"/>
          <w:highlight w:val="none"/>
        </w:rPr>
        <w:t>招标文件的澄清、修改内容均以网上电子文件为准，当招标文件、招标文件澄清、修改</w:t>
      </w:r>
      <w:r>
        <w:rPr>
          <w:rFonts w:hint="eastAsia" w:ascii="宋体" w:hAnsi="宋体" w:cs="宋体"/>
          <w:color w:val="auto"/>
          <w:highlight w:val="none"/>
        </w:rPr>
        <w:t>后</w:t>
      </w:r>
      <w:r>
        <w:rPr>
          <w:rFonts w:ascii="宋体" w:hAnsi="宋体" w:cs="宋体"/>
          <w:color w:val="auto"/>
          <w:highlight w:val="none"/>
        </w:rPr>
        <w:t>文件内容前后相互矛盾时，以最后发出的为准。</w:t>
      </w:r>
    </w:p>
    <w:bookmarkEnd w:id="263"/>
    <w:p w14:paraId="5A4BB76A">
      <w:pPr>
        <w:ind w:firstLine="420"/>
        <w:rPr>
          <w:rFonts w:ascii="宋体" w:hAnsi="宋体" w:cs="宋体"/>
          <w:color w:val="auto"/>
          <w:highlight w:val="none"/>
        </w:rPr>
      </w:pPr>
      <w:r>
        <w:rPr>
          <w:rFonts w:hint="eastAsia" w:ascii="宋体" w:hAnsi="宋体" w:cs="宋体"/>
          <w:color w:val="auto"/>
          <w:highlight w:val="none"/>
        </w:rPr>
        <w:t>11.4</w:t>
      </w:r>
      <w:r>
        <w:rPr>
          <w:rFonts w:hint="eastAsia" w:ascii="Times New Roman" w:hAnsi="Times New Roman" w:cs="Times New Roman"/>
          <w:color w:val="auto"/>
          <w:szCs w:val="21"/>
          <w:highlight w:val="none"/>
        </w:rPr>
        <w:t>采购人或者采购代理机构可以对已发出的招标文件进行必要的澄清或者修改。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63E3AC47">
      <w:pPr>
        <w:ind w:firstLine="420"/>
        <w:rPr>
          <w:rFonts w:ascii="宋体" w:hAnsi="宋体" w:cs="宋体"/>
          <w:color w:val="auto"/>
          <w:highlight w:val="none"/>
        </w:rPr>
      </w:pPr>
      <w:r>
        <w:rPr>
          <w:rFonts w:hint="eastAsia" w:ascii="宋体" w:hAnsi="宋体" w:cs="宋体"/>
          <w:color w:val="auto"/>
          <w:highlight w:val="none"/>
        </w:rPr>
        <w:t>11.5投标人应在电子投标文件提交截止时间前及时查看有关该项目招标文件的澄清、修改内容。如因投标人自身原因导致未及时查看有关该项目招标文件的澄清、修改内容，由此造成的一切后果由投标人自行承担。</w:t>
      </w:r>
    </w:p>
    <w:p w14:paraId="4381E373">
      <w:pPr>
        <w:pStyle w:val="3"/>
        <w:spacing w:before="165"/>
        <w:jc w:val="center"/>
        <w:rPr>
          <w:rFonts w:ascii="Times New Roman" w:hAnsi="Times New Roman" w:cs="Times New Roman"/>
          <w:color w:val="auto"/>
          <w:highlight w:val="none"/>
        </w:rPr>
      </w:pPr>
      <w:bookmarkStart w:id="264" w:name="_Toc1055"/>
      <w:bookmarkStart w:id="265" w:name="_Toc29509"/>
      <w:bookmarkStart w:id="266" w:name="_Toc296602436"/>
      <w:bookmarkStart w:id="267" w:name="_Toc152042322"/>
      <w:bookmarkStart w:id="268" w:name="_Toc21970"/>
      <w:bookmarkStart w:id="269" w:name="_Toc247085705"/>
      <w:bookmarkStart w:id="270" w:name="_Toc378239353"/>
      <w:bookmarkStart w:id="271" w:name="_Toc378239080"/>
      <w:bookmarkStart w:id="272" w:name="_Toc179632564"/>
      <w:bookmarkStart w:id="273" w:name="_Toc489145717"/>
      <w:bookmarkStart w:id="274" w:name="_Toc152045546"/>
      <w:bookmarkStart w:id="275" w:name="_Toc144974514"/>
      <w:bookmarkStart w:id="276" w:name="_Toc38338282"/>
      <w:bookmarkStart w:id="277" w:name="_Toc489197821"/>
      <w:bookmarkStart w:id="278" w:name="_Toc37716362"/>
      <w:bookmarkStart w:id="279" w:name="_Toc246996191"/>
      <w:bookmarkStart w:id="280" w:name="_Toc246996934"/>
      <w:bookmarkStart w:id="281" w:name="_Toc480817645"/>
      <w:bookmarkStart w:id="282" w:name="_Toc378239172"/>
      <w:bookmarkStart w:id="283" w:name="_Toc15486"/>
      <w:bookmarkStart w:id="284" w:name="_Toc488633606"/>
      <w:bookmarkStart w:id="285" w:name="_Toc401342136"/>
      <w:bookmarkStart w:id="286" w:name="_Toc1087"/>
      <w:r>
        <w:rPr>
          <w:rFonts w:ascii="Times New Roman" w:hAnsi="Times New Roman" w:cs="Times New Roman"/>
          <w:color w:val="auto"/>
          <w:highlight w:val="none"/>
        </w:rPr>
        <w:t>三、投标文件</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540C40F8">
      <w:pPr>
        <w:pStyle w:val="4"/>
        <w:spacing w:before="165"/>
        <w:ind w:firstLine="482"/>
        <w:rPr>
          <w:rFonts w:ascii="Times New Roman" w:hAnsi="Times New Roman" w:cs="Times New Roman"/>
          <w:color w:val="auto"/>
          <w:highlight w:val="none"/>
        </w:rPr>
      </w:pPr>
      <w:bookmarkStart w:id="287" w:name="_Toc37716363"/>
      <w:bookmarkStart w:id="288" w:name="_Toc21003"/>
      <w:bookmarkStart w:id="289" w:name="_Toc561"/>
      <w:bookmarkStart w:id="290" w:name="_Toc38338283"/>
      <w:bookmarkStart w:id="291" w:name="_Toc26359"/>
      <w:bookmarkStart w:id="292" w:name="_Toc10160"/>
      <w:bookmarkStart w:id="293" w:name="_Toc489197822"/>
      <w:bookmarkStart w:id="294" w:name="_Toc489145718"/>
      <w:r>
        <w:rPr>
          <w:rFonts w:hint="eastAsia" w:ascii="Times New Roman" w:hAnsi="Times New Roman" w:cs="Times New Roman"/>
          <w:color w:val="auto"/>
          <w:highlight w:val="none"/>
        </w:rPr>
        <w:t>12</w:t>
      </w:r>
      <w:r>
        <w:rPr>
          <w:rFonts w:ascii="Times New Roman" w:hAnsi="Times New Roman" w:cs="Times New Roman"/>
          <w:color w:val="auto"/>
          <w:highlight w:val="none"/>
        </w:rPr>
        <w:t>.投标文件编写注意事项</w:t>
      </w:r>
      <w:bookmarkEnd w:id="287"/>
      <w:bookmarkEnd w:id="288"/>
      <w:bookmarkEnd w:id="289"/>
      <w:bookmarkEnd w:id="290"/>
      <w:bookmarkEnd w:id="291"/>
      <w:bookmarkEnd w:id="292"/>
      <w:bookmarkEnd w:id="293"/>
      <w:bookmarkEnd w:id="294"/>
    </w:p>
    <w:p w14:paraId="169DC451">
      <w:pPr>
        <w:ind w:firstLine="420"/>
        <w:rPr>
          <w:rFonts w:ascii="宋体" w:hAnsi="宋体" w:cs="宋体"/>
          <w:color w:val="auto"/>
          <w:highlight w:val="none"/>
        </w:rPr>
      </w:pPr>
      <w:r>
        <w:rPr>
          <w:rFonts w:hint="eastAsia" w:ascii="宋体" w:hAnsi="宋体" w:cs="宋体"/>
          <w:color w:val="auto"/>
          <w:highlight w:val="none"/>
        </w:rPr>
        <w:t>12.1 投标人应仔细阅读招标文件，在完全了解采购需求和商务技术条件后，根据招标文件要求编写投标文件。</w:t>
      </w:r>
    </w:p>
    <w:p w14:paraId="5552D457">
      <w:pPr>
        <w:ind w:firstLine="420"/>
        <w:rPr>
          <w:rFonts w:ascii="宋体" w:hAnsi="宋体" w:cs="宋体"/>
          <w:color w:val="auto"/>
          <w:highlight w:val="none"/>
        </w:rPr>
      </w:pPr>
      <w:r>
        <w:rPr>
          <w:rFonts w:hint="eastAsia" w:ascii="宋体" w:hAnsi="宋体" w:cs="宋体"/>
          <w:color w:val="auto"/>
          <w:highlight w:val="none"/>
        </w:rPr>
        <w:t>12.2 对招标文件提出的实质性要求和条件作出响应是指投标人的投标文件必须对招标文件中规定的实质性要求和条件作出满足或者优于原要求和条件的承诺，并按要求提供相应的证明材料，否则按无效处理。</w:t>
      </w:r>
    </w:p>
    <w:p w14:paraId="3B8BBF35">
      <w:pPr>
        <w:pStyle w:val="4"/>
        <w:spacing w:before="165"/>
        <w:ind w:firstLine="482"/>
        <w:rPr>
          <w:rFonts w:ascii="Times New Roman" w:hAnsi="Times New Roman" w:cs="Times New Roman"/>
          <w:color w:val="auto"/>
          <w:highlight w:val="none"/>
        </w:rPr>
      </w:pPr>
      <w:bookmarkStart w:id="295" w:name="_Toc489145719"/>
      <w:bookmarkStart w:id="296" w:name="_Toc38338284"/>
      <w:bookmarkStart w:id="297" w:name="_Toc489197823"/>
      <w:bookmarkStart w:id="298" w:name="_Toc30528"/>
      <w:bookmarkStart w:id="299" w:name="_Toc8471"/>
      <w:bookmarkStart w:id="300" w:name="_Toc25372"/>
      <w:bookmarkStart w:id="301" w:name="_Toc8417"/>
      <w:bookmarkStart w:id="302" w:name="_Toc37716364"/>
      <w:r>
        <w:rPr>
          <w:rFonts w:hint="eastAsia" w:ascii="Times New Roman" w:hAnsi="Times New Roman" w:cs="Times New Roman"/>
          <w:color w:val="auto"/>
          <w:highlight w:val="none"/>
        </w:rPr>
        <w:t>13</w:t>
      </w:r>
      <w:r>
        <w:rPr>
          <w:rFonts w:ascii="Times New Roman" w:hAnsi="Times New Roman" w:cs="Times New Roman"/>
          <w:color w:val="auto"/>
          <w:highlight w:val="none"/>
        </w:rPr>
        <w:t>.语言文字</w:t>
      </w:r>
      <w:bookmarkEnd w:id="295"/>
      <w:bookmarkEnd w:id="296"/>
      <w:bookmarkEnd w:id="297"/>
      <w:bookmarkEnd w:id="298"/>
      <w:bookmarkEnd w:id="299"/>
      <w:bookmarkEnd w:id="300"/>
      <w:bookmarkEnd w:id="301"/>
      <w:bookmarkEnd w:id="302"/>
    </w:p>
    <w:p w14:paraId="0A40AE76">
      <w:pPr>
        <w:ind w:firstLine="420"/>
        <w:rPr>
          <w:rFonts w:ascii="宋体" w:hAnsi="宋体" w:cs="宋体"/>
          <w:color w:val="auto"/>
          <w:highlight w:val="none"/>
        </w:rPr>
      </w:pPr>
      <w:r>
        <w:rPr>
          <w:rFonts w:hint="eastAsia" w:ascii="宋体" w:hAnsi="宋体" w:cs="宋体"/>
          <w:color w:val="auto"/>
          <w:highlight w:val="none"/>
        </w:rPr>
        <w:t>13.1投标人的投标文件</w:t>
      </w:r>
      <w:r>
        <w:rPr>
          <w:rFonts w:hint="eastAsia" w:ascii="宋体" w:hAnsi="宋体" w:cs="宋体"/>
          <w:color w:val="auto"/>
          <w:kern w:val="0"/>
          <w:highlight w:val="none"/>
        </w:rPr>
        <w:t>以及</w:t>
      </w:r>
      <w:r>
        <w:rPr>
          <w:rFonts w:hint="eastAsia" w:ascii="宋体" w:hAnsi="宋体" w:cs="宋体"/>
          <w:color w:val="auto"/>
          <w:highlight w:val="none"/>
        </w:rPr>
        <w:t>投标人与采购人、采购代理机构就有关投标的所有来往函电统一使用中文（特别规定除外）。</w:t>
      </w:r>
    </w:p>
    <w:p w14:paraId="5F0AB032">
      <w:pPr>
        <w:pStyle w:val="4"/>
        <w:spacing w:before="165"/>
        <w:ind w:firstLine="482"/>
        <w:rPr>
          <w:rFonts w:ascii="Times New Roman" w:hAnsi="Times New Roman" w:cs="Times New Roman"/>
          <w:color w:val="auto"/>
          <w:highlight w:val="none"/>
        </w:rPr>
      </w:pPr>
      <w:bookmarkStart w:id="303" w:name="_Toc22668"/>
      <w:bookmarkStart w:id="304" w:name="_Toc489197824"/>
      <w:bookmarkStart w:id="305" w:name="_Toc4221"/>
      <w:bookmarkStart w:id="306" w:name="_Toc12593"/>
      <w:bookmarkStart w:id="307" w:name="_Toc37716365"/>
      <w:bookmarkStart w:id="308" w:name="_Toc489145720"/>
      <w:bookmarkStart w:id="309" w:name="_Toc38338285"/>
      <w:bookmarkStart w:id="310" w:name="_Toc13512"/>
      <w:r>
        <w:rPr>
          <w:rFonts w:hint="eastAsia" w:ascii="Times New Roman" w:hAnsi="Times New Roman" w:cs="Times New Roman"/>
          <w:color w:val="auto"/>
          <w:highlight w:val="none"/>
        </w:rPr>
        <w:t>14</w:t>
      </w:r>
      <w:r>
        <w:rPr>
          <w:rFonts w:ascii="Times New Roman" w:hAnsi="Times New Roman" w:cs="Times New Roman"/>
          <w:color w:val="auto"/>
          <w:highlight w:val="none"/>
        </w:rPr>
        <w:t>.计量单位</w:t>
      </w:r>
      <w:bookmarkEnd w:id="303"/>
      <w:bookmarkEnd w:id="304"/>
      <w:bookmarkEnd w:id="305"/>
      <w:bookmarkEnd w:id="306"/>
      <w:bookmarkEnd w:id="307"/>
      <w:bookmarkEnd w:id="308"/>
      <w:bookmarkEnd w:id="309"/>
      <w:bookmarkEnd w:id="310"/>
    </w:p>
    <w:p w14:paraId="3191287F">
      <w:pPr>
        <w:ind w:firstLine="420"/>
        <w:rPr>
          <w:rFonts w:ascii="宋体" w:hAnsi="宋体" w:cs="宋体"/>
          <w:color w:val="auto"/>
          <w:highlight w:val="none"/>
        </w:rPr>
      </w:pPr>
      <w:r>
        <w:rPr>
          <w:rFonts w:hint="eastAsia" w:ascii="宋体" w:hAnsi="宋体" w:cs="宋体"/>
          <w:color w:val="auto"/>
          <w:highlight w:val="none"/>
        </w:rPr>
        <w:t>14.1投标文件中使用的计量</w:t>
      </w:r>
      <w:r>
        <w:rPr>
          <w:rFonts w:hint="eastAsia" w:ascii="宋体" w:hAnsi="宋体" w:cs="宋体"/>
          <w:color w:val="auto"/>
          <w:kern w:val="0"/>
          <w:highlight w:val="none"/>
        </w:rPr>
        <w:t>单位</w:t>
      </w:r>
      <w:r>
        <w:rPr>
          <w:rFonts w:hint="eastAsia" w:ascii="宋体" w:hAnsi="宋体" w:cs="宋体"/>
          <w:color w:val="auto"/>
          <w:highlight w:val="none"/>
        </w:rPr>
        <w:t>除招标文件中有特殊规定外，一律使用中国法定计量单位。</w:t>
      </w:r>
    </w:p>
    <w:p w14:paraId="488AB866">
      <w:pPr>
        <w:pStyle w:val="4"/>
        <w:spacing w:before="165"/>
        <w:ind w:firstLine="482"/>
        <w:rPr>
          <w:rFonts w:ascii="Times New Roman" w:hAnsi="Times New Roman" w:cs="Times New Roman"/>
          <w:color w:val="auto"/>
          <w:highlight w:val="none"/>
        </w:rPr>
      </w:pPr>
      <w:bookmarkStart w:id="311" w:name="_Toc246996192"/>
      <w:bookmarkStart w:id="312" w:name="_Toc152042323"/>
      <w:bookmarkStart w:id="313" w:name="_Toc246996935"/>
      <w:bookmarkStart w:id="314" w:name="_Toc21026"/>
      <w:bookmarkStart w:id="315" w:name="_Toc489197825"/>
      <w:bookmarkStart w:id="316" w:name="_Toc152045547"/>
      <w:bookmarkStart w:id="317" w:name="_Toc37716366"/>
      <w:bookmarkStart w:id="318" w:name="_Toc489145721"/>
      <w:bookmarkStart w:id="319" w:name="_Toc31344"/>
      <w:bookmarkStart w:id="320" w:name="_Toc31123"/>
      <w:bookmarkStart w:id="321" w:name="_Toc144974515"/>
      <w:bookmarkStart w:id="322" w:name="_Toc296602437"/>
      <w:bookmarkStart w:id="323" w:name="_Toc14023"/>
      <w:bookmarkStart w:id="324" w:name="_Toc38338286"/>
      <w:bookmarkStart w:id="325" w:name="_Toc247085706"/>
      <w:bookmarkStart w:id="326" w:name="_Toc179632565"/>
      <w:r>
        <w:rPr>
          <w:rFonts w:hint="eastAsia" w:ascii="Times New Roman" w:hAnsi="Times New Roman" w:cs="Times New Roman"/>
          <w:color w:val="auto"/>
          <w:highlight w:val="none"/>
        </w:rPr>
        <w:t>15</w:t>
      </w:r>
      <w:r>
        <w:rPr>
          <w:rFonts w:ascii="Times New Roman" w:hAnsi="Times New Roman" w:cs="Times New Roman"/>
          <w:color w:val="auto"/>
          <w:highlight w:val="none"/>
        </w:rPr>
        <w:t>.投标文件的组成</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677C26AC">
      <w:pPr>
        <w:pStyle w:val="14"/>
        <w:ind w:firstLine="420"/>
        <w:rPr>
          <w:rFonts w:ascii="宋体" w:hAnsi="宋体" w:cs="宋体"/>
          <w:color w:val="auto"/>
          <w:highlight w:val="none"/>
        </w:rPr>
      </w:pPr>
      <w:r>
        <w:rPr>
          <w:rFonts w:hint="eastAsia" w:ascii="宋体" w:hAnsi="宋体" w:cs="宋体"/>
          <w:color w:val="auto"/>
          <w:highlight w:val="none"/>
        </w:rPr>
        <w:t>15.1投标人编写的投标文件应按第四章《投标文件格式》要求填写。有关文件的提交如未特别注明需提供原件的，</w:t>
      </w:r>
      <w:r>
        <w:rPr>
          <w:rFonts w:hint="eastAsia"/>
          <w:color w:val="auto"/>
          <w:highlight w:val="none"/>
        </w:rPr>
        <w:t>可提供扫描件</w:t>
      </w:r>
      <w:bookmarkStart w:id="327" w:name="OLE_LINK260"/>
      <w:r>
        <w:rPr>
          <w:rFonts w:hint="eastAsia"/>
          <w:color w:val="auto"/>
          <w:highlight w:val="none"/>
        </w:rPr>
        <w:t>或照片等形式的电子文件</w:t>
      </w:r>
      <w:bookmarkEnd w:id="327"/>
      <w:r>
        <w:rPr>
          <w:rFonts w:hint="eastAsia" w:ascii="宋体" w:hAnsi="宋体" w:cs="宋体"/>
          <w:color w:val="auto"/>
          <w:highlight w:val="none"/>
        </w:rPr>
        <w:t>。</w:t>
      </w:r>
    </w:p>
    <w:p w14:paraId="7EDFEB08">
      <w:pPr>
        <w:ind w:firstLine="420"/>
        <w:rPr>
          <w:rFonts w:ascii="宋体" w:hAnsi="宋体" w:cs="宋体"/>
          <w:color w:val="auto"/>
          <w:highlight w:val="none"/>
        </w:rPr>
      </w:pPr>
      <w:bookmarkStart w:id="328" w:name="_Toc5987"/>
      <w:bookmarkStart w:id="329" w:name="_Toc489145722"/>
      <w:bookmarkStart w:id="330" w:name="_Toc489197826"/>
      <w:bookmarkStart w:id="331" w:name="_Toc38338287"/>
      <w:bookmarkStart w:id="332" w:name="_Toc28123"/>
      <w:bookmarkStart w:id="333" w:name="_Toc5508"/>
      <w:bookmarkStart w:id="334" w:name="_Toc2067"/>
      <w:bookmarkStart w:id="335" w:name="_Toc37716367"/>
      <w:r>
        <w:rPr>
          <w:rFonts w:hint="eastAsia" w:ascii="宋体" w:hAnsi="宋体" w:cs="宋体"/>
          <w:color w:val="auto"/>
          <w:highlight w:val="none"/>
        </w:rPr>
        <w:t>15.2</w:t>
      </w:r>
      <w:bookmarkStart w:id="336" w:name="OLE_LINK72"/>
      <w:r>
        <w:rPr>
          <w:rFonts w:hint="eastAsia" w:ascii="宋体" w:hAnsi="宋体" w:cs="宋体"/>
          <w:color w:val="auto"/>
          <w:highlight w:val="none"/>
        </w:rPr>
        <w:t>投标描述与证明材料不一致或多份证明材料之间不一致的，造成的后果由投标人自行承担责任</w:t>
      </w:r>
      <w:bookmarkEnd w:id="336"/>
      <w:r>
        <w:rPr>
          <w:rFonts w:hint="eastAsia" w:ascii="宋体" w:hAnsi="宋体" w:cs="宋体"/>
          <w:color w:val="auto"/>
          <w:highlight w:val="none"/>
        </w:rPr>
        <w:t>。</w:t>
      </w:r>
      <w:bookmarkEnd w:id="328"/>
    </w:p>
    <w:p w14:paraId="33BE853F">
      <w:pPr>
        <w:pStyle w:val="4"/>
        <w:spacing w:before="165"/>
        <w:ind w:firstLine="482"/>
        <w:rPr>
          <w:rFonts w:ascii="Times New Roman" w:hAnsi="Times New Roman" w:cs="Times New Roman"/>
          <w:color w:val="auto"/>
          <w:highlight w:val="none"/>
        </w:rPr>
      </w:pPr>
      <w:bookmarkStart w:id="337" w:name="_Toc28752"/>
      <w:r>
        <w:rPr>
          <w:rFonts w:hint="eastAsia" w:ascii="Times New Roman" w:hAnsi="Times New Roman" w:cs="Times New Roman"/>
          <w:color w:val="auto"/>
          <w:highlight w:val="none"/>
        </w:rPr>
        <w:t>16</w:t>
      </w:r>
      <w:r>
        <w:rPr>
          <w:rFonts w:ascii="Times New Roman" w:hAnsi="Times New Roman" w:cs="Times New Roman"/>
          <w:color w:val="auto"/>
          <w:highlight w:val="none"/>
        </w:rPr>
        <w:t>.投标文件的格式要求</w:t>
      </w:r>
      <w:bookmarkEnd w:id="329"/>
      <w:bookmarkEnd w:id="330"/>
      <w:bookmarkEnd w:id="331"/>
      <w:bookmarkEnd w:id="332"/>
      <w:bookmarkEnd w:id="333"/>
      <w:bookmarkEnd w:id="334"/>
      <w:bookmarkEnd w:id="335"/>
      <w:bookmarkEnd w:id="337"/>
    </w:p>
    <w:p w14:paraId="71539236">
      <w:pPr>
        <w:pStyle w:val="14"/>
        <w:ind w:firstLine="420"/>
        <w:rPr>
          <w:rFonts w:ascii="宋体" w:hAnsi="宋体" w:cs="宋体"/>
          <w:color w:val="auto"/>
          <w:highlight w:val="none"/>
        </w:rPr>
      </w:pPr>
      <w:r>
        <w:rPr>
          <w:rFonts w:hint="eastAsia" w:ascii="宋体" w:hAnsi="宋体" w:cs="宋体"/>
          <w:color w:val="auto"/>
          <w:highlight w:val="none"/>
        </w:rPr>
        <w:t>16.1投标人应按第四章《投标文件格式》提供的格式</w:t>
      </w:r>
      <w:r>
        <w:rPr>
          <w:rFonts w:hint="eastAsia"/>
          <w:color w:val="auto"/>
          <w:highlight w:val="none"/>
        </w:rPr>
        <w:t>编写</w:t>
      </w:r>
      <w:bookmarkStart w:id="338" w:name="OLE_LINK12"/>
      <w:r>
        <w:rPr>
          <w:rFonts w:hint="eastAsia" w:ascii="宋体" w:hAnsi="宋体" w:cs="宋体"/>
          <w:color w:val="auto"/>
          <w:highlight w:val="none"/>
        </w:rPr>
        <w:t>。</w:t>
      </w:r>
      <w:bookmarkEnd w:id="338"/>
      <w:bookmarkStart w:id="339" w:name="_Toc6502"/>
      <w:bookmarkStart w:id="340" w:name="_Toc489145723"/>
      <w:bookmarkStart w:id="341" w:name="_Toc18691"/>
      <w:bookmarkStart w:id="342" w:name="_Toc37716368"/>
      <w:bookmarkStart w:id="343" w:name="_Toc489197827"/>
      <w:bookmarkStart w:id="344" w:name="_Toc38338288"/>
      <w:bookmarkStart w:id="345" w:name="_Toc19178"/>
    </w:p>
    <w:p w14:paraId="5CB600B8">
      <w:pPr>
        <w:pStyle w:val="4"/>
        <w:spacing w:before="165"/>
        <w:ind w:firstLine="482"/>
        <w:rPr>
          <w:rFonts w:ascii="Times New Roman" w:hAnsi="Times New Roman" w:cs="Times New Roman"/>
          <w:color w:val="auto"/>
          <w:highlight w:val="none"/>
        </w:rPr>
      </w:pPr>
      <w:bookmarkStart w:id="346" w:name="_Toc10657"/>
      <w:r>
        <w:rPr>
          <w:rFonts w:hint="eastAsia" w:ascii="Times New Roman" w:hAnsi="Times New Roman" w:cs="Times New Roman"/>
          <w:color w:val="auto"/>
          <w:highlight w:val="none"/>
        </w:rPr>
        <w:t>17</w:t>
      </w:r>
      <w:r>
        <w:rPr>
          <w:rFonts w:ascii="Times New Roman" w:hAnsi="Times New Roman" w:cs="Times New Roman"/>
          <w:color w:val="auto"/>
          <w:highlight w:val="none"/>
        </w:rPr>
        <w:t>.投标有效期</w:t>
      </w:r>
      <w:bookmarkEnd w:id="339"/>
      <w:bookmarkEnd w:id="340"/>
      <w:bookmarkEnd w:id="341"/>
      <w:bookmarkEnd w:id="342"/>
      <w:bookmarkEnd w:id="343"/>
      <w:bookmarkEnd w:id="344"/>
      <w:bookmarkEnd w:id="345"/>
      <w:bookmarkEnd w:id="346"/>
    </w:p>
    <w:p w14:paraId="51A62C7D">
      <w:pPr>
        <w:ind w:firstLine="420"/>
        <w:rPr>
          <w:rFonts w:ascii="宋体" w:hAnsi="宋体" w:cs="宋体"/>
          <w:color w:val="auto"/>
          <w:highlight w:val="none"/>
        </w:rPr>
      </w:pPr>
      <w:bookmarkStart w:id="347" w:name="_Toc144974517"/>
      <w:bookmarkStart w:id="348" w:name="_Toc179632567"/>
      <w:bookmarkStart w:id="349" w:name="_Toc296602439"/>
      <w:bookmarkStart w:id="350" w:name="_Toc152042325"/>
      <w:bookmarkStart w:id="351" w:name="_Toc152045549"/>
      <w:bookmarkStart w:id="352" w:name="_Toc247085708"/>
      <w:bookmarkStart w:id="353" w:name="_Toc246996194"/>
      <w:bookmarkStart w:id="354" w:name="_Toc246996937"/>
      <w:r>
        <w:rPr>
          <w:rFonts w:hint="eastAsia" w:ascii="宋体" w:hAnsi="宋体" w:cs="宋体"/>
          <w:color w:val="auto"/>
          <w:highlight w:val="none"/>
        </w:rPr>
        <w:t>17.1</w:t>
      </w:r>
      <w:bookmarkEnd w:id="347"/>
      <w:bookmarkEnd w:id="348"/>
      <w:bookmarkEnd w:id="349"/>
      <w:bookmarkEnd w:id="350"/>
      <w:bookmarkEnd w:id="351"/>
      <w:bookmarkEnd w:id="352"/>
      <w:bookmarkEnd w:id="353"/>
      <w:bookmarkEnd w:id="354"/>
      <w:r>
        <w:rPr>
          <w:rFonts w:hint="eastAsia" w:ascii="宋体" w:hAnsi="宋体" w:cs="宋体"/>
          <w:color w:val="auto"/>
          <w:highlight w:val="none"/>
        </w:rPr>
        <w:t>投标人投标文件在《投标人须知前附表》规定的投标文件有效期内保持有效，在此期间投标人不得要求撤销或修改其投标文件。</w:t>
      </w:r>
    </w:p>
    <w:p w14:paraId="04970649">
      <w:pPr>
        <w:ind w:firstLine="420"/>
        <w:rPr>
          <w:rFonts w:ascii="宋体" w:hAnsi="宋体" w:cs="宋体"/>
          <w:color w:val="auto"/>
          <w:highlight w:val="none"/>
        </w:rPr>
      </w:pPr>
      <w:r>
        <w:rPr>
          <w:rFonts w:hint="eastAsia" w:ascii="宋体" w:hAnsi="宋体" w:cs="宋体"/>
          <w:color w:val="auto"/>
          <w:highlight w:val="none"/>
        </w:rPr>
        <w:t>17.2因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0F421916">
      <w:pPr>
        <w:pStyle w:val="4"/>
        <w:spacing w:before="165"/>
        <w:ind w:firstLine="482"/>
        <w:rPr>
          <w:rFonts w:ascii="Times New Roman" w:hAnsi="Times New Roman" w:cs="Times New Roman"/>
          <w:color w:val="auto"/>
          <w:highlight w:val="none"/>
        </w:rPr>
      </w:pPr>
      <w:bookmarkStart w:id="355" w:name="_Toc489197828"/>
      <w:bookmarkStart w:id="356" w:name="_Toc38338289"/>
      <w:bookmarkStart w:id="357" w:name="_Toc24530"/>
      <w:bookmarkStart w:id="358" w:name="_Toc5447"/>
      <w:bookmarkStart w:id="359" w:name="_Toc5509"/>
      <w:bookmarkStart w:id="360" w:name="_Toc489145724"/>
      <w:bookmarkStart w:id="361" w:name="_Toc8378"/>
      <w:bookmarkStart w:id="362" w:name="_Toc37716369"/>
      <w:r>
        <w:rPr>
          <w:rFonts w:hint="eastAsia" w:ascii="Times New Roman" w:hAnsi="Times New Roman" w:cs="Times New Roman"/>
          <w:color w:val="auto"/>
          <w:highlight w:val="none"/>
        </w:rPr>
        <w:t>18</w:t>
      </w:r>
      <w:r>
        <w:rPr>
          <w:rFonts w:ascii="Times New Roman" w:hAnsi="Times New Roman" w:cs="Times New Roman"/>
          <w:color w:val="auto"/>
          <w:highlight w:val="none"/>
        </w:rPr>
        <w:t>.投标保证金</w:t>
      </w:r>
      <w:bookmarkEnd w:id="355"/>
      <w:bookmarkEnd w:id="356"/>
      <w:bookmarkEnd w:id="357"/>
      <w:bookmarkEnd w:id="358"/>
      <w:bookmarkEnd w:id="359"/>
      <w:bookmarkEnd w:id="360"/>
      <w:bookmarkEnd w:id="361"/>
      <w:bookmarkEnd w:id="362"/>
    </w:p>
    <w:p w14:paraId="02B512EF">
      <w:pPr>
        <w:ind w:firstLine="420"/>
        <w:rPr>
          <w:rFonts w:ascii="宋体" w:hAnsi="宋体" w:cs="宋体"/>
          <w:color w:val="auto"/>
          <w:highlight w:val="none"/>
        </w:rPr>
      </w:pPr>
      <w:bookmarkStart w:id="363" w:name="_Toc144974518"/>
      <w:bookmarkStart w:id="364" w:name="_Toc152045550"/>
      <w:bookmarkStart w:id="365" w:name="_Toc152042326"/>
      <w:bookmarkStart w:id="366" w:name="_Toc246996938"/>
      <w:bookmarkStart w:id="367" w:name="_Toc247085709"/>
      <w:bookmarkStart w:id="368" w:name="_Toc296602440"/>
      <w:bookmarkStart w:id="369" w:name="_Toc246996195"/>
      <w:bookmarkStart w:id="370" w:name="_Toc179632568"/>
      <w:r>
        <w:rPr>
          <w:rFonts w:hint="eastAsia" w:ascii="宋体" w:hAnsi="宋体" w:cs="宋体"/>
          <w:color w:val="auto"/>
          <w:highlight w:val="none"/>
        </w:rPr>
        <w:t>18.1</w:t>
      </w:r>
      <w:bookmarkEnd w:id="363"/>
      <w:bookmarkEnd w:id="364"/>
      <w:bookmarkEnd w:id="365"/>
      <w:bookmarkEnd w:id="366"/>
      <w:bookmarkEnd w:id="367"/>
      <w:bookmarkEnd w:id="368"/>
      <w:bookmarkEnd w:id="369"/>
      <w:bookmarkEnd w:id="370"/>
      <w:r>
        <w:rPr>
          <w:rFonts w:hint="eastAsia" w:ascii="宋体" w:hAnsi="宋体" w:cs="宋体"/>
          <w:color w:val="auto"/>
          <w:highlight w:val="none"/>
        </w:rPr>
        <w:t>投标人应按《投标人须知前附表》规定的金额、形式交纳投标保证金，投标人未按照招标文件要求提交投标保证金的，投标无效。</w:t>
      </w:r>
    </w:p>
    <w:p w14:paraId="5E1F51EC">
      <w:pPr>
        <w:ind w:firstLine="420"/>
        <w:rPr>
          <w:rFonts w:ascii="宋体" w:hAnsi="宋体" w:cs="宋体"/>
          <w:color w:val="auto"/>
          <w:highlight w:val="none"/>
        </w:rPr>
      </w:pPr>
      <w:r>
        <w:rPr>
          <w:rFonts w:hint="eastAsia" w:ascii="宋体" w:hAnsi="宋体" w:cs="宋体"/>
          <w:color w:val="auto"/>
          <w:highlight w:val="none"/>
        </w:rPr>
        <w:t>18.2采购代理机构在中标通知书发出后</w:t>
      </w:r>
      <w:r>
        <w:rPr>
          <w:rFonts w:ascii="宋体" w:hAnsi="宋体" w:cs="宋体"/>
          <w:color w:val="auto"/>
          <w:highlight w:val="none"/>
        </w:rPr>
        <w:t>5个工作日内退还未中标投标人的投标保证金，中标人的投标保证金在采购合同签订后5个工作日内退还，但因投标人自身原因导致无法及时退还的除外。出现下列情形之一的，投标保证金不予退还</w:t>
      </w:r>
      <w:r>
        <w:rPr>
          <w:rFonts w:hint="eastAsia" w:ascii="宋体" w:hAnsi="宋体" w:cs="宋体"/>
          <w:color w:val="auto"/>
          <w:highlight w:val="none"/>
        </w:rPr>
        <w:t>：</w:t>
      </w:r>
    </w:p>
    <w:p w14:paraId="58D9E695">
      <w:pPr>
        <w:ind w:firstLine="420"/>
        <w:rPr>
          <w:rFonts w:ascii="宋体" w:hAnsi="宋体" w:cs="宋体"/>
          <w:color w:val="auto"/>
          <w:highlight w:val="none"/>
        </w:rPr>
      </w:pPr>
      <w:r>
        <w:rPr>
          <w:rFonts w:hint="eastAsia" w:ascii="宋体" w:hAnsi="宋体" w:cs="宋体"/>
          <w:color w:val="auto"/>
          <w:highlight w:val="none"/>
        </w:rPr>
        <w:t>（1）投标人在提交投标文件截止时间后撤销投标文件的；</w:t>
      </w:r>
    </w:p>
    <w:p w14:paraId="5696BBE7">
      <w:pPr>
        <w:ind w:firstLine="420"/>
        <w:rPr>
          <w:rFonts w:ascii="宋体" w:hAnsi="宋体" w:cs="宋体"/>
          <w:color w:val="auto"/>
          <w:highlight w:val="none"/>
        </w:rPr>
      </w:pPr>
      <w:r>
        <w:rPr>
          <w:rFonts w:hint="eastAsia" w:ascii="宋体" w:hAnsi="宋体" w:cs="宋体"/>
          <w:color w:val="auto"/>
          <w:highlight w:val="none"/>
        </w:rPr>
        <w:t>（2）投标人在投标文件中提供虚假材料的；</w:t>
      </w:r>
    </w:p>
    <w:p w14:paraId="5DFF41F3">
      <w:pPr>
        <w:ind w:firstLine="420"/>
        <w:rPr>
          <w:rFonts w:ascii="宋体" w:hAnsi="宋体" w:cs="宋体"/>
          <w:color w:val="auto"/>
          <w:highlight w:val="none"/>
        </w:rPr>
      </w:pPr>
      <w:r>
        <w:rPr>
          <w:rFonts w:hint="eastAsia" w:ascii="宋体" w:hAnsi="宋体" w:cs="宋体"/>
          <w:color w:val="auto"/>
          <w:highlight w:val="none"/>
        </w:rPr>
        <w:t>（3）除因不可抗力或招标文件认可的情形以外，中标人不与采购人签订合同的；</w:t>
      </w:r>
    </w:p>
    <w:p w14:paraId="7F75DA4B">
      <w:pPr>
        <w:ind w:firstLine="420"/>
        <w:rPr>
          <w:rFonts w:ascii="宋体" w:hAnsi="宋体" w:cs="宋体"/>
          <w:color w:val="auto"/>
          <w:highlight w:val="none"/>
        </w:rPr>
      </w:pPr>
      <w:r>
        <w:rPr>
          <w:rFonts w:hint="eastAsia" w:ascii="宋体" w:hAnsi="宋体" w:cs="宋体"/>
          <w:color w:val="auto"/>
          <w:highlight w:val="none"/>
        </w:rPr>
        <w:t>（4）投标人与采购人、其他投标人或者采购代理机构恶意串通的；</w:t>
      </w:r>
    </w:p>
    <w:p w14:paraId="0D3E4E2C">
      <w:pPr>
        <w:ind w:firstLine="420"/>
        <w:rPr>
          <w:rFonts w:ascii="宋体" w:hAnsi="宋体" w:cs="宋体"/>
          <w:color w:val="auto"/>
          <w:highlight w:val="none"/>
        </w:rPr>
      </w:pPr>
      <w:r>
        <w:rPr>
          <w:rFonts w:hint="eastAsia" w:ascii="宋体" w:hAnsi="宋体" w:cs="宋体"/>
          <w:color w:val="auto"/>
          <w:highlight w:val="none"/>
        </w:rPr>
        <w:t>（5）招标文件规定的其他情形。</w:t>
      </w:r>
    </w:p>
    <w:p w14:paraId="192AF737">
      <w:pPr>
        <w:pStyle w:val="4"/>
        <w:spacing w:before="165"/>
        <w:ind w:firstLine="482"/>
        <w:rPr>
          <w:rFonts w:ascii="Times New Roman" w:hAnsi="Times New Roman" w:cs="Times New Roman"/>
          <w:color w:val="auto"/>
          <w:highlight w:val="none"/>
        </w:rPr>
      </w:pPr>
      <w:bookmarkStart w:id="371" w:name="_Toc489145725"/>
      <w:bookmarkStart w:id="372" w:name="_Toc37716370"/>
      <w:bookmarkStart w:id="373" w:name="_Toc19328"/>
      <w:bookmarkStart w:id="374" w:name="_Toc23926"/>
      <w:bookmarkStart w:id="375" w:name="_Toc14341"/>
      <w:bookmarkStart w:id="376" w:name="_Toc38338290"/>
      <w:bookmarkStart w:id="377" w:name="_Toc489197829"/>
      <w:bookmarkStart w:id="378" w:name="_Toc30973"/>
      <w:r>
        <w:rPr>
          <w:rFonts w:hint="eastAsia" w:ascii="Times New Roman" w:hAnsi="Times New Roman" w:cs="Times New Roman"/>
          <w:color w:val="auto"/>
          <w:highlight w:val="none"/>
        </w:rPr>
        <w:t>19</w:t>
      </w:r>
      <w:r>
        <w:rPr>
          <w:rFonts w:ascii="Times New Roman" w:hAnsi="Times New Roman" w:cs="Times New Roman"/>
          <w:color w:val="auto"/>
          <w:highlight w:val="none"/>
        </w:rPr>
        <w:t>.投标文件的编制</w:t>
      </w:r>
      <w:bookmarkEnd w:id="371"/>
      <w:bookmarkEnd w:id="372"/>
      <w:bookmarkEnd w:id="373"/>
      <w:bookmarkEnd w:id="374"/>
      <w:bookmarkEnd w:id="375"/>
      <w:bookmarkEnd w:id="376"/>
      <w:bookmarkEnd w:id="377"/>
      <w:bookmarkEnd w:id="378"/>
      <w:bookmarkStart w:id="379" w:name="_Toc296602442"/>
    </w:p>
    <w:bookmarkEnd w:id="379"/>
    <w:p w14:paraId="6A72271F">
      <w:pPr>
        <w:pStyle w:val="12"/>
        <w:rPr>
          <w:rFonts w:ascii="宋体" w:hAnsi="宋体" w:cs="宋体"/>
          <w:color w:val="auto"/>
          <w:highlight w:val="none"/>
        </w:rPr>
      </w:pPr>
      <w:r>
        <w:rPr>
          <w:rFonts w:hint="eastAsia" w:ascii="宋体" w:hAnsi="宋体" w:cs="宋体"/>
          <w:color w:val="auto"/>
          <w:highlight w:val="none"/>
        </w:rPr>
        <w:t>19.1</w:t>
      </w:r>
      <w:bookmarkStart w:id="380" w:name="OLE_LINK180"/>
      <w:bookmarkStart w:id="381" w:name="OLE_LINK316"/>
      <w:r>
        <w:rPr>
          <w:rFonts w:hint="eastAsia" w:ascii="宋体" w:hAnsi="宋体" w:cs="宋体"/>
          <w:color w:val="auto"/>
          <w:highlight w:val="none"/>
        </w:rPr>
        <w:t>本</w:t>
      </w:r>
      <w:bookmarkStart w:id="382" w:name="OLE_LINK178"/>
      <w:r>
        <w:rPr>
          <w:rFonts w:hint="eastAsia" w:ascii="宋体" w:hAnsi="宋体" w:cs="宋体"/>
          <w:color w:val="auto"/>
          <w:highlight w:val="none"/>
        </w:rPr>
        <w:t>项目实行</w:t>
      </w:r>
      <w:bookmarkEnd w:id="380"/>
      <w:r>
        <w:rPr>
          <w:rFonts w:ascii="Times New Roman" w:hAnsi="Times New Roman" w:cs="Times New Roman"/>
          <w:bCs/>
          <w:color w:val="auto"/>
          <w:highlight w:val="none"/>
        </w:rPr>
        <w:t>网上</w:t>
      </w:r>
      <w:bookmarkEnd w:id="382"/>
      <w:r>
        <w:rPr>
          <w:rFonts w:ascii="Times New Roman" w:hAnsi="Times New Roman" w:cs="Times New Roman"/>
          <w:bCs/>
          <w:color w:val="auto"/>
          <w:highlight w:val="none"/>
        </w:rPr>
        <w:t>投标，采用电子投标文件</w:t>
      </w:r>
      <w:r>
        <w:rPr>
          <w:rFonts w:hint="eastAsia" w:ascii="Times New Roman" w:hAnsi="Times New Roman" w:cs="Times New Roman"/>
          <w:bCs/>
          <w:color w:val="auto"/>
          <w:highlight w:val="none"/>
        </w:rPr>
        <w:t>。</w:t>
      </w:r>
      <w:r>
        <w:rPr>
          <w:rFonts w:hint="eastAsia" w:ascii="宋体" w:hAnsi="宋体" w:cs="宋体"/>
          <w:color w:val="auto"/>
          <w:highlight w:val="none"/>
        </w:rPr>
        <w:t>投标人按照采购文件规定和电子交易平台操作流程要求，参加政府采购电子化交易活动。因未完成注册、未办理CA数字证书等原因造成无法投标或投标失败的，自行承担责任</w:t>
      </w:r>
      <w:bookmarkEnd w:id="381"/>
      <w:r>
        <w:rPr>
          <w:rFonts w:hint="eastAsia" w:ascii="宋体" w:hAnsi="宋体" w:cs="宋体"/>
          <w:color w:val="auto"/>
          <w:highlight w:val="none"/>
        </w:rPr>
        <w:t>。</w:t>
      </w:r>
    </w:p>
    <w:p w14:paraId="582DD08E">
      <w:pPr>
        <w:ind w:firstLine="420"/>
        <w:rPr>
          <w:rFonts w:ascii="宋体" w:hAnsi="宋体" w:cs="宋体"/>
          <w:color w:val="auto"/>
          <w:highlight w:val="none"/>
        </w:rPr>
      </w:pPr>
      <w:r>
        <w:rPr>
          <w:rFonts w:hint="eastAsia" w:ascii="宋体" w:hAnsi="宋体" w:cs="宋体"/>
          <w:color w:val="auto"/>
          <w:highlight w:val="none"/>
        </w:rPr>
        <w:t>19.2投标</w:t>
      </w:r>
      <w:bookmarkStart w:id="383" w:name="OLE_LINK67"/>
      <w:r>
        <w:rPr>
          <w:rFonts w:hint="eastAsia" w:ascii="宋体" w:hAnsi="宋体" w:cs="宋体"/>
          <w:color w:val="auto"/>
          <w:highlight w:val="none"/>
        </w:rPr>
        <w:t>人将</w:t>
      </w:r>
      <w:bookmarkEnd w:id="383"/>
      <w:r>
        <w:rPr>
          <w:rFonts w:hint="eastAsia" w:ascii="宋体" w:hAnsi="宋体" w:cs="宋体"/>
          <w:color w:val="auto"/>
          <w:highlight w:val="none"/>
        </w:rPr>
        <w:t>政采云电子交易客户端下载、安装完成后，可通过账号密码或CA登录客户端进行投标文件的制作。在使用政采云投标客户端时，建议使用WIN7（64位）及以上操作系统。客户端请至政府采购云平台网站进行查看下载，如有问题可拨打政采云客户服</w:t>
      </w:r>
      <w:bookmarkStart w:id="384" w:name="OLE_LINK311"/>
      <w:r>
        <w:rPr>
          <w:rFonts w:hint="eastAsia" w:ascii="宋体" w:hAnsi="宋体" w:cs="宋体"/>
          <w:color w:val="auto"/>
          <w:highlight w:val="none"/>
        </w:rPr>
        <w:t>务热线400-881-7190进行咨询以及云</w:t>
      </w:r>
      <w:bookmarkEnd w:id="384"/>
      <w:r>
        <w:rPr>
          <w:rFonts w:hint="eastAsia" w:ascii="宋体" w:hAnsi="宋体" w:cs="宋体"/>
          <w:color w:val="auto"/>
          <w:highlight w:val="none"/>
        </w:rPr>
        <w:t>南CA操作问题：请致电云南CA，4006727666；云南CA紧急联系方式：15288315056。</w:t>
      </w:r>
      <w:bookmarkStart w:id="385" w:name="OLE_LINK312"/>
      <w:r>
        <w:rPr>
          <w:rFonts w:hint="eastAsia" w:ascii="宋体" w:hAnsi="宋体" w:cs="宋体"/>
          <w:color w:val="auto"/>
          <w:highlight w:val="none"/>
        </w:rPr>
        <w:t>如因投标人自身原因导致在规定时间内无法</w:t>
      </w:r>
      <w:bookmarkEnd w:id="385"/>
      <w:r>
        <w:rPr>
          <w:rFonts w:hint="eastAsia" w:ascii="宋体" w:hAnsi="宋体" w:cs="宋体"/>
          <w:color w:val="auto"/>
          <w:highlight w:val="none"/>
        </w:rPr>
        <w:t>正常解密的（如：浏览器故障、未安装相关驱动、网络故障、加密CA与解密CA不一致等），</w:t>
      </w:r>
      <w:bookmarkStart w:id="386" w:name="OLE_LINK315"/>
      <w:r>
        <w:rPr>
          <w:rFonts w:hint="eastAsia" w:hAnsi="宋体" w:cs="宋体"/>
          <w:color w:val="auto"/>
          <w:szCs w:val="21"/>
          <w:highlight w:val="none"/>
        </w:rPr>
        <w:t>其投标文件将不予受理</w:t>
      </w:r>
      <w:bookmarkEnd w:id="386"/>
      <w:r>
        <w:rPr>
          <w:rFonts w:hint="eastAsia" w:ascii="宋体" w:hAnsi="宋体" w:cs="宋体"/>
          <w:color w:val="auto"/>
          <w:highlight w:val="none"/>
        </w:rPr>
        <w:t>。</w:t>
      </w:r>
    </w:p>
    <w:p w14:paraId="70AAABEE">
      <w:pPr>
        <w:ind w:firstLine="420"/>
        <w:rPr>
          <w:rFonts w:ascii="宋体" w:hAnsi="宋体" w:cs="宋体"/>
          <w:color w:val="auto"/>
          <w:highlight w:val="none"/>
        </w:rPr>
      </w:pPr>
      <w:r>
        <w:rPr>
          <w:rFonts w:hint="eastAsia" w:ascii="宋体" w:hAnsi="宋体" w:cs="宋体"/>
          <w:color w:val="auto"/>
          <w:highlight w:val="none"/>
        </w:rPr>
        <w:t>19.3</w:t>
      </w:r>
      <w:bookmarkStart w:id="387" w:name="OLE_LINK73"/>
      <w:bookmarkStart w:id="388" w:name="OLE_LINK15"/>
      <w:r>
        <w:rPr>
          <w:rFonts w:hint="eastAsia" w:ascii="宋体" w:hAnsi="宋体" w:cs="宋体"/>
          <w:color w:val="auto"/>
          <w:highlight w:val="none"/>
        </w:rPr>
        <w:t>投标文件中提供的资料（包括</w:t>
      </w:r>
      <w:bookmarkStart w:id="389" w:name="OLE_LINK314"/>
      <w:r>
        <w:rPr>
          <w:rFonts w:hint="eastAsia" w:ascii="宋体" w:hAnsi="宋体" w:cs="宋体"/>
          <w:color w:val="auto"/>
          <w:highlight w:val="none"/>
        </w:rPr>
        <w:t>扫描件、照片等</w:t>
      </w:r>
      <w:bookmarkEnd w:id="389"/>
      <w:r>
        <w:rPr>
          <w:rFonts w:hint="eastAsia" w:ascii="宋体" w:hAnsi="宋体" w:cs="宋体"/>
          <w:color w:val="auto"/>
          <w:highlight w:val="none"/>
        </w:rPr>
        <w:t>）、关</w:t>
      </w:r>
      <w:bookmarkStart w:id="390" w:name="OLE_LINK58"/>
      <w:r>
        <w:rPr>
          <w:rFonts w:hint="eastAsia" w:ascii="宋体" w:hAnsi="宋体" w:cs="宋体"/>
          <w:color w:val="auto"/>
          <w:highlight w:val="none"/>
        </w:rPr>
        <w:t>键内容必须清晰可辨，若出现字迹潦草</w:t>
      </w:r>
      <w:bookmarkEnd w:id="390"/>
      <w:r>
        <w:rPr>
          <w:rFonts w:hint="eastAsia" w:ascii="宋体" w:hAnsi="宋体" w:cs="宋体"/>
          <w:color w:val="auto"/>
          <w:highlight w:val="none"/>
        </w:rPr>
        <w:t>、表达不清、未按要求填写而导致非唯一理解产生的后果由投标人自行承担</w:t>
      </w:r>
      <w:bookmarkEnd w:id="387"/>
      <w:r>
        <w:rPr>
          <w:rFonts w:hint="eastAsia" w:ascii="宋体" w:hAnsi="宋体" w:cs="宋体"/>
          <w:color w:val="auto"/>
          <w:highlight w:val="none"/>
        </w:rPr>
        <w:t>。</w:t>
      </w:r>
      <w:bookmarkEnd w:id="388"/>
    </w:p>
    <w:p w14:paraId="0055E351">
      <w:pPr>
        <w:pStyle w:val="14"/>
        <w:ind w:firstLine="420"/>
        <w:rPr>
          <w:color w:val="auto"/>
          <w:highlight w:val="none"/>
        </w:rPr>
      </w:pPr>
      <w:bookmarkStart w:id="391" w:name="OLE_LINK51"/>
      <w:r>
        <w:rPr>
          <w:rFonts w:hint="eastAsia" w:ascii="宋体" w:hAnsi="宋体" w:cs="宋体"/>
          <w:color w:val="auto"/>
          <w:szCs w:val="21"/>
          <w:highlight w:val="none"/>
        </w:rPr>
        <w:t>19.4</w:t>
      </w:r>
      <w:r>
        <w:rPr>
          <w:rFonts w:hint="eastAsia" w:ascii="Times New Roman" w:hAnsi="Times New Roman" w:cs="Times New Roman"/>
          <w:bCs/>
          <w:color w:val="auto"/>
          <w:szCs w:val="21"/>
          <w:highlight w:val="none"/>
        </w:rPr>
        <w:t>投标文件盖章及签署：详见《投标人须知前附表》</w:t>
      </w:r>
      <w:r>
        <w:rPr>
          <w:rFonts w:hint="eastAsia" w:ascii="宋体" w:hAnsi="宋体" w:cs="宋体"/>
          <w:color w:val="auto"/>
          <w:highlight w:val="none"/>
        </w:rPr>
        <w:t>。</w:t>
      </w:r>
    </w:p>
    <w:bookmarkEnd w:id="391"/>
    <w:p w14:paraId="119F58C7">
      <w:pPr>
        <w:pStyle w:val="4"/>
        <w:spacing w:before="165"/>
        <w:ind w:firstLine="482"/>
        <w:rPr>
          <w:rFonts w:ascii="Times New Roman" w:hAnsi="Times New Roman" w:cs="Times New Roman"/>
          <w:color w:val="auto"/>
          <w:highlight w:val="none"/>
        </w:rPr>
      </w:pPr>
      <w:bookmarkStart w:id="392" w:name="_Toc32680"/>
      <w:bookmarkStart w:id="393" w:name="_Toc14764"/>
      <w:bookmarkStart w:id="394" w:name="_Toc27491"/>
      <w:bookmarkStart w:id="395" w:name="_Toc37716371"/>
      <w:bookmarkStart w:id="396" w:name="_Toc489197830"/>
      <w:bookmarkStart w:id="397" w:name="_Toc3265"/>
      <w:bookmarkStart w:id="398" w:name="_Toc489145726"/>
      <w:bookmarkStart w:id="399" w:name="_Toc38338291"/>
      <w:r>
        <w:rPr>
          <w:rFonts w:hint="eastAsia" w:ascii="Times New Roman" w:hAnsi="Times New Roman" w:cs="Times New Roman"/>
          <w:color w:val="auto"/>
          <w:highlight w:val="none"/>
        </w:rPr>
        <w:t>20</w:t>
      </w:r>
      <w:r>
        <w:rPr>
          <w:rFonts w:ascii="Times New Roman" w:hAnsi="Times New Roman" w:cs="Times New Roman"/>
          <w:color w:val="auto"/>
          <w:highlight w:val="none"/>
        </w:rPr>
        <w:t>.投标报价和报价货币</w:t>
      </w:r>
      <w:bookmarkEnd w:id="392"/>
      <w:bookmarkEnd w:id="393"/>
      <w:bookmarkEnd w:id="394"/>
      <w:bookmarkEnd w:id="395"/>
      <w:bookmarkEnd w:id="396"/>
      <w:bookmarkEnd w:id="397"/>
      <w:bookmarkEnd w:id="398"/>
      <w:bookmarkEnd w:id="399"/>
      <w:bookmarkStart w:id="400" w:name="OLE_LINK16"/>
      <w:bookmarkStart w:id="401" w:name="_Toc329810197"/>
      <w:bookmarkStart w:id="402" w:name="_Toc383175287"/>
      <w:bookmarkStart w:id="403" w:name="_Toc383175063"/>
      <w:bookmarkStart w:id="404" w:name="_Toc432194837"/>
      <w:bookmarkStart w:id="405" w:name="_Toc470507051"/>
      <w:bookmarkStart w:id="406" w:name="_Toc432106486"/>
      <w:bookmarkStart w:id="407" w:name="_Toc482343737"/>
      <w:bookmarkStart w:id="408" w:name="_Toc86124056"/>
      <w:bookmarkStart w:id="409" w:name="_Toc383175485"/>
    </w:p>
    <w:p w14:paraId="6FB9F01C">
      <w:pPr>
        <w:ind w:firstLine="420"/>
        <w:rPr>
          <w:rFonts w:ascii="宋体" w:hAnsi="宋体" w:cs="宋体"/>
          <w:color w:val="auto"/>
          <w:highlight w:val="none"/>
        </w:rPr>
      </w:pPr>
      <w:bookmarkStart w:id="410" w:name="OLE_LINK74"/>
      <w:bookmarkStart w:id="411" w:name="OLE_LINK162"/>
      <w:r>
        <w:rPr>
          <w:rFonts w:hint="eastAsia" w:ascii="宋体" w:hAnsi="宋体" w:cs="宋体"/>
          <w:color w:val="auto"/>
          <w:highlight w:val="none"/>
        </w:rPr>
        <w:t>20.</w:t>
      </w:r>
      <w:bookmarkStart w:id="412" w:name="OLE_LINK49"/>
      <w:r>
        <w:rPr>
          <w:rFonts w:hint="eastAsia" w:ascii="宋体" w:hAnsi="宋体" w:cs="宋体"/>
          <w:color w:val="auto"/>
          <w:highlight w:val="none"/>
        </w:rPr>
        <w:t>1投标报价：</w:t>
      </w:r>
      <w:bookmarkStart w:id="413" w:name="OLE_LINK217"/>
      <w:r>
        <w:rPr>
          <w:rFonts w:hint="eastAsia" w:ascii="宋体" w:hAnsi="宋体" w:cs="宋体"/>
          <w:color w:val="auto"/>
          <w:highlight w:val="none"/>
        </w:rPr>
        <w:t>详见《投标人须知前附表》。</w:t>
      </w:r>
      <w:bookmarkEnd w:id="412"/>
      <w:bookmarkEnd w:id="413"/>
    </w:p>
    <w:bookmarkEnd w:id="410"/>
    <w:p w14:paraId="46D9E646">
      <w:pPr>
        <w:ind w:firstLine="420"/>
        <w:rPr>
          <w:rFonts w:ascii="宋体" w:hAnsi="宋体" w:cs="宋体"/>
          <w:color w:val="auto"/>
          <w:highlight w:val="none"/>
        </w:rPr>
      </w:pPr>
      <w:bookmarkStart w:id="414" w:name="OLE_LINK184"/>
      <w:r>
        <w:rPr>
          <w:rFonts w:hint="eastAsia" w:ascii="宋体" w:hAnsi="宋体" w:cs="宋体"/>
          <w:color w:val="auto"/>
          <w:highlight w:val="none"/>
        </w:rPr>
        <w:t>20.2投标人的投标报价将</w:t>
      </w:r>
      <w:bookmarkEnd w:id="414"/>
      <w:r>
        <w:rPr>
          <w:rFonts w:hint="eastAsia" w:ascii="宋体" w:hAnsi="宋体" w:cs="宋体"/>
          <w:color w:val="auto"/>
          <w:highlight w:val="none"/>
        </w:rPr>
        <w:t>被视为已经包含了所有与项目相关的费用。由于投标人不清楚或存在其它任何失误所导致的任何不利后果均由投标人自行承担。</w:t>
      </w:r>
    </w:p>
    <w:p w14:paraId="4CD432D1">
      <w:pPr>
        <w:ind w:firstLine="420"/>
        <w:rPr>
          <w:rFonts w:ascii="宋体" w:hAnsi="宋体" w:cs="宋体"/>
          <w:color w:val="auto"/>
          <w:highlight w:val="none"/>
        </w:rPr>
      </w:pPr>
      <w:r>
        <w:rPr>
          <w:rFonts w:hint="eastAsia" w:ascii="宋体" w:hAnsi="宋体" w:cs="宋体"/>
          <w:color w:val="auto"/>
          <w:highlight w:val="none"/>
        </w:rPr>
        <w:t>20.3异常低价审查</w:t>
      </w:r>
    </w:p>
    <w:p w14:paraId="260EDFA0">
      <w:pPr>
        <w:ind w:firstLine="420"/>
        <w:rPr>
          <w:rFonts w:ascii="宋体" w:hAnsi="宋体" w:cs="宋体"/>
          <w:color w:val="auto"/>
          <w:highlight w:val="none"/>
        </w:rPr>
      </w:pPr>
      <w:r>
        <w:rPr>
          <w:rFonts w:hint="eastAsia" w:ascii="宋体" w:hAnsi="宋体" w:cs="宋体"/>
          <w:color w:val="auto"/>
          <w:highlight w:val="none"/>
        </w:rPr>
        <w:t>（1）评审中供应商投标（响应）报价（总价）出现下列情形之一的，评审委员会应当启动异常低价投标审查程序：</w:t>
      </w:r>
    </w:p>
    <w:p w14:paraId="331D9F75">
      <w:pPr>
        <w:ind w:firstLine="420"/>
        <w:rPr>
          <w:rFonts w:ascii="宋体" w:hAnsi="宋体" w:cs="宋体"/>
          <w:color w:val="auto"/>
          <w:highlight w:val="none"/>
        </w:rPr>
      </w:pPr>
      <w:r>
        <w:rPr>
          <w:rFonts w:hint="eastAsia" w:ascii="宋体" w:hAnsi="宋体" w:cs="宋体"/>
          <w:color w:val="auto"/>
          <w:highlight w:val="none"/>
        </w:rPr>
        <w:t>①投标报价低于全部通过符合性审查供应商投标报价平均值65%的，即投标报价&lt;全部通过符合性审查供应商投标报价平均值×65%；</w:t>
      </w:r>
    </w:p>
    <w:p w14:paraId="4094833C">
      <w:pPr>
        <w:ind w:firstLine="420"/>
        <w:rPr>
          <w:rFonts w:ascii="宋体" w:hAnsi="宋体" w:cs="宋体"/>
          <w:color w:val="auto"/>
          <w:highlight w:val="none"/>
        </w:rPr>
      </w:pPr>
      <w:r>
        <w:rPr>
          <w:rFonts w:hint="eastAsia" w:ascii="宋体" w:hAnsi="宋体" w:cs="宋体"/>
          <w:color w:val="auto"/>
          <w:highlight w:val="none"/>
        </w:rPr>
        <w:t>②投标报价低于通过符合性审查的次低报价供应商投标报价65%的，即投标报价&lt;通过符合性审查的次低报价供应商投标报价×65%；</w:t>
      </w:r>
    </w:p>
    <w:p w14:paraId="10FE5911">
      <w:pPr>
        <w:ind w:firstLine="420"/>
        <w:rPr>
          <w:rFonts w:ascii="宋体" w:hAnsi="宋体" w:cs="宋体"/>
          <w:color w:val="auto"/>
          <w:highlight w:val="none"/>
        </w:rPr>
      </w:pPr>
      <w:r>
        <w:rPr>
          <w:rFonts w:hint="eastAsia" w:ascii="宋体" w:hAnsi="宋体" w:cs="宋体"/>
          <w:color w:val="auto"/>
          <w:highlight w:val="none"/>
        </w:rPr>
        <w:t>③投标报价低于采购项目最高限价60%的，即投标报价&lt;采购项目最高限价×60%；</w:t>
      </w:r>
    </w:p>
    <w:p w14:paraId="3161589F">
      <w:pPr>
        <w:ind w:firstLine="420"/>
        <w:rPr>
          <w:rFonts w:ascii="宋体" w:hAnsi="宋体" w:cs="宋体"/>
          <w:color w:val="auto"/>
          <w:highlight w:val="none"/>
        </w:rPr>
      </w:pPr>
      <w:r>
        <w:rPr>
          <w:rFonts w:hint="eastAsia" w:ascii="宋体" w:hAnsi="宋体" w:cs="宋体"/>
          <w:color w:val="auto"/>
          <w:highlight w:val="none"/>
        </w:rPr>
        <w:t>④评审委员会基于专业判断，认为供应商报价过低，有可能影响产品质量或者不能诚信履约的其他情形。</w:t>
      </w:r>
    </w:p>
    <w:p w14:paraId="6995EBDC">
      <w:pPr>
        <w:ind w:firstLine="420"/>
        <w:rPr>
          <w:rFonts w:ascii="宋体" w:hAnsi="宋体" w:cs="宋体"/>
          <w:color w:val="auto"/>
          <w:highlight w:val="none"/>
        </w:rPr>
      </w:pPr>
      <w:r>
        <w:rPr>
          <w:rFonts w:hint="eastAsia" w:ascii="宋体" w:hAnsi="宋体" w:cs="宋体"/>
          <w:color w:val="auto"/>
          <w:highlight w:val="none"/>
        </w:rPr>
        <w:t>相关法律法规对供应商报价有规定的，从其规定。</w:t>
      </w:r>
    </w:p>
    <w:p w14:paraId="55E87A28">
      <w:pPr>
        <w:ind w:firstLine="420"/>
        <w:rPr>
          <w:rFonts w:ascii="宋体" w:hAnsi="宋体" w:cs="宋体"/>
          <w:color w:val="auto"/>
          <w:highlight w:val="none"/>
        </w:rPr>
      </w:pPr>
      <w:r>
        <w:rPr>
          <w:rFonts w:hint="eastAsia" w:ascii="宋体" w:hAnsi="宋体" w:cs="宋体"/>
          <w:color w:val="auto"/>
          <w:highlight w:val="none"/>
        </w:rPr>
        <w:t>（2）评审委员会启动异常低价投标审查后，属于前述第（1）条第①项至第④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在评审现场可不再重复提交。</w:t>
      </w:r>
    </w:p>
    <w:p w14:paraId="3175F483">
      <w:pPr>
        <w:ind w:firstLine="420"/>
        <w:rPr>
          <w:rFonts w:ascii="宋体" w:hAnsi="宋体" w:cs="宋体"/>
          <w:color w:val="auto"/>
          <w:highlight w:val="none"/>
        </w:rPr>
      </w:pPr>
      <w:r>
        <w:rPr>
          <w:rFonts w:hint="eastAsia" w:ascii="宋体" w:hAnsi="宋体" w:cs="宋体"/>
          <w:color w:val="auto"/>
          <w:highlight w:val="none"/>
        </w:rPr>
        <w:t>（3）评审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79E647AE">
      <w:pPr>
        <w:ind w:firstLine="420"/>
        <w:rPr>
          <w:rFonts w:ascii="宋体" w:hAnsi="宋体" w:cs="宋体"/>
          <w:color w:val="auto"/>
          <w:highlight w:val="none"/>
        </w:rPr>
      </w:pPr>
      <w:r>
        <w:rPr>
          <w:rFonts w:hint="eastAsia" w:ascii="宋体" w:hAnsi="宋体" w:cs="宋体"/>
          <w:color w:val="auto"/>
          <w:highlight w:val="none"/>
        </w:rPr>
        <w:t>（4）异常低价投标审查的启动原因、审查意见和审查结果应当在评审报告中记录，并随供应商提供的相关书面说明及证明材料，以及评审委员会有关互联网浏览、查询历史一并归档。</w:t>
      </w:r>
    </w:p>
    <w:p w14:paraId="21C43F30">
      <w:pPr>
        <w:ind w:firstLine="420"/>
        <w:rPr>
          <w:rFonts w:ascii="宋体" w:hAnsi="宋体" w:cs="宋体"/>
          <w:color w:val="auto"/>
          <w:highlight w:val="none"/>
        </w:rPr>
      </w:pPr>
      <w:r>
        <w:rPr>
          <w:rFonts w:hint="eastAsia" w:ascii="宋体" w:hAnsi="宋体" w:cs="宋体"/>
          <w:color w:val="auto"/>
          <w:highlight w:val="none"/>
        </w:rPr>
        <w:t>20.4</w:t>
      </w:r>
      <w:bookmarkStart w:id="415" w:name="OLE_LINK11"/>
      <w:r>
        <w:rPr>
          <w:rFonts w:hint="eastAsia" w:ascii="宋体" w:hAnsi="宋体" w:cs="宋体"/>
          <w:color w:val="auto"/>
          <w:highlight w:val="none"/>
        </w:rPr>
        <w:t>投标人应保证其提供的货物或者服务是全新的</w:t>
      </w:r>
      <w:bookmarkEnd w:id="415"/>
      <w:r>
        <w:rPr>
          <w:rFonts w:hint="eastAsia" w:ascii="宋体" w:hAnsi="宋体" w:cs="宋体"/>
          <w:color w:val="auto"/>
          <w:highlight w:val="none"/>
        </w:rPr>
        <w:t>，投标人应保证其提供的货物或者服务在采购人使用期间不受第三方可能提出的所有权、用益物权、担保物权、占有等一切涉及物权及知识产权、商标权、专利权、著作权等相关权利的起诉。</w:t>
      </w:r>
    </w:p>
    <w:bookmarkEnd w:id="400"/>
    <w:p w14:paraId="22177346">
      <w:pPr>
        <w:ind w:firstLine="420"/>
        <w:rPr>
          <w:rFonts w:ascii="宋体" w:hAnsi="宋体" w:cs="宋体"/>
          <w:color w:val="auto"/>
          <w:highlight w:val="none"/>
        </w:rPr>
      </w:pPr>
      <w:r>
        <w:rPr>
          <w:rFonts w:hint="eastAsia" w:ascii="宋体" w:hAnsi="宋体" w:cs="宋体"/>
          <w:color w:val="auto"/>
          <w:highlight w:val="none"/>
        </w:rPr>
        <w:t>20.5报价货币：</w:t>
      </w:r>
      <w:bookmarkEnd w:id="411"/>
      <w:r>
        <w:rPr>
          <w:rFonts w:hint="eastAsia" w:ascii="宋体" w:hAnsi="宋体" w:cs="宋体"/>
          <w:color w:val="auto"/>
          <w:highlight w:val="none"/>
        </w:rPr>
        <w:t>人民币。</w:t>
      </w:r>
    </w:p>
    <w:bookmarkEnd w:id="401"/>
    <w:bookmarkEnd w:id="402"/>
    <w:bookmarkEnd w:id="403"/>
    <w:bookmarkEnd w:id="404"/>
    <w:bookmarkEnd w:id="405"/>
    <w:bookmarkEnd w:id="406"/>
    <w:bookmarkEnd w:id="407"/>
    <w:bookmarkEnd w:id="408"/>
    <w:bookmarkEnd w:id="409"/>
    <w:p w14:paraId="66013682">
      <w:pPr>
        <w:pStyle w:val="3"/>
        <w:spacing w:before="165"/>
        <w:jc w:val="center"/>
        <w:rPr>
          <w:rFonts w:ascii="Times New Roman" w:hAnsi="Times New Roman" w:cs="Times New Roman"/>
          <w:color w:val="auto"/>
          <w:highlight w:val="none"/>
        </w:rPr>
      </w:pPr>
      <w:bookmarkStart w:id="416" w:name="_Toc489197831"/>
      <w:bookmarkStart w:id="417" w:name="_Toc1502"/>
      <w:bookmarkStart w:id="418" w:name="_Toc38338292"/>
      <w:bookmarkStart w:id="419" w:name="_Toc489145727"/>
      <w:bookmarkStart w:id="420" w:name="_Toc488633607"/>
      <w:bookmarkStart w:id="421" w:name="_Toc5985"/>
      <w:bookmarkStart w:id="422" w:name="_Toc22411"/>
      <w:bookmarkStart w:id="423" w:name="_Toc22477"/>
      <w:bookmarkStart w:id="424" w:name="_Toc37716372"/>
      <w:r>
        <w:rPr>
          <w:rFonts w:ascii="Times New Roman" w:hAnsi="Times New Roman" w:cs="Times New Roman"/>
          <w:color w:val="auto"/>
          <w:highlight w:val="none"/>
        </w:rPr>
        <w:t>四、投标</w:t>
      </w:r>
      <w:bookmarkEnd w:id="416"/>
      <w:bookmarkEnd w:id="417"/>
      <w:bookmarkEnd w:id="418"/>
      <w:bookmarkEnd w:id="419"/>
      <w:bookmarkEnd w:id="420"/>
      <w:bookmarkEnd w:id="421"/>
      <w:bookmarkEnd w:id="422"/>
      <w:bookmarkEnd w:id="423"/>
      <w:bookmarkEnd w:id="424"/>
    </w:p>
    <w:p w14:paraId="5D082222">
      <w:pPr>
        <w:pStyle w:val="4"/>
        <w:spacing w:before="165"/>
        <w:ind w:firstLine="482"/>
        <w:rPr>
          <w:rFonts w:ascii="Times New Roman" w:hAnsi="Times New Roman" w:cs="Times New Roman"/>
          <w:color w:val="auto"/>
          <w:highlight w:val="none"/>
        </w:rPr>
      </w:pPr>
      <w:bookmarkStart w:id="425" w:name="_Toc4852"/>
      <w:bookmarkStart w:id="426" w:name="_Toc489197832"/>
      <w:bookmarkStart w:id="427" w:name="_Toc17048"/>
      <w:bookmarkStart w:id="428" w:name="_Toc489145728"/>
      <w:bookmarkStart w:id="429" w:name="_Toc37716373"/>
      <w:bookmarkStart w:id="430" w:name="_Toc15000"/>
      <w:bookmarkStart w:id="431" w:name="_Toc38338293"/>
      <w:bookmarkStart w:id="432" w:name="_Toc8947"/>
      <w:r>
        <w:rPr>
          <w:rFonts w:hint="eastAsia" w:ascii="Times New Roman" w:hAnsi="Times New Roman" w:cs="Times New Roman"/>
          <w:color w:val="auto"/>
          <w:highlight w:val="none"/>
        </w:rPr>
        <w:t>21</w:t>
      </w:r>
      <w:r>
        <w:rPr>
          <w:rFonts w:ascii="Times New Roman" w:hAnsi="Times New Roman" w:cs="Times New Roman"/>
          <w:color w:val="auto"/>
          <w:highlight w:val="none"/>
        </w:rPr>
        <w:t>.投标文</w:t>
      </w:r>
      <w:bookmarkStart w:id="433" w:name="_Toc4707"/>
      <w:bookmarkStart w:id="434" w:name="_Toc401342137"/>
      <w:bookmarkStart w:id="435" w:name="_Toc296602443"/>
      <w:bookmarkStart w:id="436" w:name="_Toc378239081"/>
      <w:bookmarkStart w:id="437" w:name="_Toc378239173"/>
      <w:bookmarkStart w:id="438" w:name="_Toc378239354"/>
      <w:bookmarkStart w:id="439" w:name="_Toc480817646"/>
      <w:r>
        <w:rPr>
          <w:rFonts w:ascii="Times New Roman" w:hAnsi="Times New Roman" w:cs="Times New Roman"/>
          <w:color w:val="auto"/>
          <w:highlight w:val="none"/>
        </w:rPr>
        <w:t>件的</w:t>
      </w:r>
      <w:bookmarkEnd w:id="425"/>
      <w:bookmarkEnd w:id="426"/>
      <w:bookmarkEnd w:id="427"/>
      <w:bookmarkEnd w:id="428"/>
      <w:bookmarkEnd w:id="429"/>
      <w:bookmarkEnd w:id="430"/>
      <w:bookmarkEnd w:id="431"/>
      <w:bookmarkEnd w:id="433"/>
      <w:bookmarkEnd w:id="434"/>
      <w:bookmarkEnd w:id="435"/>
      <w:bookmarkEnd w:id="436"/>
      <w:bookmarkEnd w:id="437"/>
      <w:bookmarkEnd w:id="438"/>
      <w:bookmarkEnd w:id="439"/>
      <w:bookmarkStart w:id="440" w:name="_Toc246996943"/>
      <w:bookmarkStart w:id="441" w:name="_Toc246996200"/>
      <w:bookmarkStart w:id="442" w:name="_Toc296602444"/>
      <w:bookmarkStart w:id="443" w:name="_Toc152045556"/>
      <w:bookmarkStart w:id="444" w:name="_Toc144974524"/>
      <w:bookmarkStart w:id="445" w:name="_Toc152042332"/>
      <w:bookmarkStart w:id="446" w:name="_Toc179632574"/>
      <w:bookmarkStart w:id="447" w:name="_Toc247085714"/>
      <w:r>
        <w:rPr>
          <w:rFonts w:hint="eastAsia" w:ascii="Times New Roman" w:hAnsi="Times New Roman" w:cs="Times New Roman"/>
          <w:color w:val="auto"/>
          <w:highlight w:val="none"/>
        </w:rPr>
        <w:t>加密</w:t>
      </w:r>
      <w:bookmarkEnd w:id="432"/>
    </w:p>
    <w:bookmarkEnd w:id="440"/>
    <w:bookmarkEnd w:id="441"/>
    <w:bookmarkEnd w:id="442"/>
    <w:bookmarkEnd w:id="443"/>
    <w:bookmarkEnd w:id="444"/>
    <w:bookmarkEnd w:id="445"/>
    <w:bookmarkEnd w:id="446"/>
    <w:bookmarkEnd w:id="447"/>
    <w:p w14:paraId="07CEC40B">
      <w:pPr>
        <w:ind w:firstLine="420"/>
        <w:rPr>
          <w:rFonts w:ascii="宋体" w:hAnsi="宋体" w:cs="宋体"/>
          <w:color w:val="auto"/>
          <w:highlight w:val="none"/>
        </w:rPr>
      </w:pPr>
      <w:bookmarkStart w:id="448" w:name="_Toc152045557"/>
      <w:bookmarkStart w:id="449" w:name="_Toc247085715"/>
      <w:bookmarkStart w:id="450" w:name="_Toc246996944"/>
      <w:bookmarkStart w:id="451" w:name="_Toc152042333"/>
      <w:bookmarkStart w:id="452" w:name="_Toc246996201"/>
      <w:bookmarkStart w:id="453" w:name="_Toc144974525"/>
      <w:bookmarkStart w:id="454" w:name="_Toc179632575"/>
      <w:r>
        <w:rPr>
          <w:rFonts w:hint="eastAsia" w:ascii="宋体" w:hAnsi="宋体" w:cs="宋体"/>
          <w:color w:val="auto"/>
          <w:highlight w:val="none"/>
        </w:rPr>
        <w:t>21</w:t>
      </w:r>
      <w:r>
        <w:rPr>
          <w:rFonts w:ascii="宋体" w:hAnsi="宋体" w:cs="宋体"/>
          <w:color w:val="auto"/>
          <w:highlight w:val="none"/>
        </w:rPr>
        <w:t xml:space="preserve">.1 </w:t>
      </w:r>
      <w:r>
        <w:rPr>
          <w:rFonts w:hint="eastAsia" w:ascii="宋体" w:hAnsi="宋体" w:cs="宋体"/>
          <w:color w:val="auto"/>
          <w:highlight w:val="none"/>
        </w:rPr>
        <w:t>投标人</w:t>
      </w:r>
      <w:bookmarkStart w:id="455" w:name="OLE_LINK322"/>
      <w:r>
        <w:rPr>
          <w:rFonts w:hint="eastAsia" w:ascii="宋体" w:hAnsi="宋体" w:cs="宋体"/>
          <w:color w:val="auto"/>
          <w:highlight w:val="none"/>
        </w:rPr>
        <w:t>应按照</w:t>
      </w:r>
      <w:bookmarkEnd w:id="455"/>
      <w:r>
        <w:rPr>
          <w:rFonts w:hint="eastAsia" w:ascii="宋体" w:hAnsi="宋体" w:cs="宋体"/>
          <w:color w:val="auto"/>
          <w:highlight w:val="none"/>
        </w:rPr>
        <w:t>政府采购云平台的要求编制、加密投标文件。</w:t>
      </w:r>
    </w:p>
    <w:p w14:paraId="53310E05">
      <w:pPr>
        <w:ind w:firstLine="420"/>
        <w:rPr>
          <w:rFonts w:ascii="宋体" w:hAnsi="宋体" w:cs="宋体"/>
          <w:color w:val="auto"/>
          <w:highlight w:val="none"/>
        </w:rPr>
      </w:pPr>
      <w:r>
        <w:rPr>
          <w:rFonts w:hint="eastAsia" w:ascii="宋体" w:hAnsi="宋体" w:cs="宋体"/>
          <w:color w:val="auto"/>
          <w:highlight w:val="none"/>
        </w:rPr>
        <w:t>21.2为确保网上操作合法、有效和安全，投标人应当在投标文件提交截止时间前完成在政府采购云平台的身份认证，确保在电子交易过程中能够对相关数据电文进行加密。</w:t>
      </w:r>
    </w:p>
    <w:p w14:paraId="5EE9B053">
      <w:pPr>
        <w:pStyle w:val="4"/>
        <w:spacing w:before="165"/>
        <w:ind w:firstLine="482"/>
        <w:rPr>
          <w:rFonts w:ascii="Times New Roman" w:hAnsi="Times New Roman" w:cs="Times New Roman"/>
          <w:color w:val="auto"/>
          <w:highlight w:val="none"/>
        </w:rPr>
      </w:pPr>
      <w:bookmarkStart w:id="456" w:name="_Toc1570"/>
      <w:bookmarkStart w:id="457" w:name="_Toc29292"/>
      <w:bookmarkStart w:id="458" w:name="_Toc489197833"/>
      <w:bookmarkStart w:id="459" w:name="_Toc38338294"/>
      <w:bookmarkStart w:id="460" w:name="_Toc7447"/>
      <w:bookmarkStart w:id="461" w:name="_Toc27671"/>
      <w:bookmarkStart w:id="462" w:name="_Toc489145729"/>
      <w:bookmarkStart w:id="463" w:name="_Toc37716374"/>
      <w:r>
        <w:rPr>
          <w:rFonts w:hint="eastAsia" w:ascii="Times New Roman" w:hAnsi="Times New Roman" w:cs="Times New Roman"/>
          <w:color w:val="auto"/>
          <w:highlight w:val="none"/>
        </w:rPr>
        <w:t>22</w:t>
      </w:r>
      <w:r>
        <w:rPr>
          <w:rFonts w:ascii="Times New Roman" w:hAnsi="Times New Roman" w:cs="Times New Roman"/>
          <w:color w:val="auto"/>
          <w:highlight w:val="none"/>
        </w:rPr>
        <w:t>.投标文件的提交</w:t>
      </w:r>
      <w:bookmarkEnd w:id="456"/>
      <w:bookmarkEnd w:id="457"/>
      <w:bookmarkEnd w:id="458"/>
      <w:bookmarkEnd w:id="459"/>
      <w:bookmarkEnd w:id="460"/>
      <w:bookmarkEnd w:id="461"/>
      <w:bookmarkEnd w:id="462"/>
      <w:bookmarkEnd w:id="463"/>
    </w:p>
    <w:p w14:paraId="3A1486D5">
      <w:pPr>
        <w:ind w:firstLine="420"/>
        <w:rPr>
          <w:rFonts w:ascii="宋体" w:hAnsi="宋体" w:cs="宋体"/>
          <w:color w:val="auto"/>
          <w:highlight w:val="none"/>
        </w:rPr>
      </w:pPr>
      <w:bookmarkStart w:id="464" w:name="_Toc296602445"/>
      <w:r>
        <w:rPr>
          <w:rFonts w:hint="eastAsia" w:ascii="宋体" w:hAnsi="宋体" w:cs="宋体"/>
          <w:color w:val="auto"/>
          <w:highlight w:val="none"/>
        </w:rPr>
        <w:t>22.1</w:t>
      </w:r>
      <w:bookmarkEnd w:id="448"/>
      <w:bookmarkEnd w:id="449"/>
      <w:bookmarkEnd w:id="450"/>
      <w:bookmarkEnd w:id="451"/>
      <w:bookmarkEnd w:id="452"/>
      <w:bookmarkEnd w:id="453"/>
      <w:bookmarkEnd w:id="454"/>
      <w:bookmarkEnd w:id="464"/>
      <w:r>
        <w:rPr>
          <w:rFonts w:hint="eastAsia" w:ascii="宋体" w:hAnsi="宋体" w:cs="宋体"/>
          <w:color w:val="auto"/>
          <w:highlight w:val="none"/>
        </w:rPr>
        <w:t>提交投标文件截止时间和地点：详见</w:t>
      </w:r>
      <w:bookmarkStart w:id="465" w:name="OLE_LINK78"/>
      <w:r>
        <w:rPr>
          <w:rFonts w:hint="eastAsia" w:ascii="宋体" w:hAnsi="宋体" w:cs="宋体"/>
          <w:color w:val="auto"/>
          <w:highlight w:val="none"/>
        </w:rPr>
        <w:t>《投标人须知前附表》</w:t>
      </w:r>
      <w:bookmarkEnd w:id="465"/>
      <w:r>
        <w:rPr>
          <w:rFonts w:hint="eastAsia" w:ascii="宋体" w:hAnsi="宋体" w:cs="宋体"/>
          <w:color w:val="auto"/>
          <w:highlight w:val="none"/>
        </w:rPr>
        <w:t>。</w:t>
      </w:r>
    </w:p>
    <w:p w14:paraId="7C1059EF">
      <w:pPr>
        <w:ind w:firstLine="420"/>
        <w:rPr>
          <w:rFonts w:ascii="宋体" w:hAnsi="宋体" w:cs="宋体"/>
          <w:color w:val="auto"/>
          <w:highlight w:val="none"/>
        </w:rPr>
      </w:pPr>
      <w:r>
        <w:rPr>
          <w:rFonts w:hint="eastAsia" w:ascii="宋体" w:hAnsi="宋体" w:cs="宋体"/>
          <w:color w:val="auto"/>
          <w:highlight w:val="none"/>
        </w:rPr>
        <w:t>22.2</w:t>
      </w:r>
      <w:bookmarkStart w:id="466" w:name="OLE_LINK69"/>
      <w:r>
        <w:rPr>
          <w:rFonts w:hint="eastAsia" w:ascii="宋体" w:hAnsi="宋体" w:cs="宋体"/>
          <w:color w:val="auto"/>
          <w:highlight w:val="none"/>
        </w:rPr>
        <w:t>本项目采用电子招标投标，</w:t>
      </w:r>
      <w:bookmarkEnd w:id="466"/>
      <w:r>
        <w:rPr>
          <w:rFonts w:hint="eastAsia" w:ascii="宋体" w:hAnsi="宋体" w:cs="宋体"/>
          <w:color w:val="auto"/>
          <w:highlight w:val="none"/>
        </w:rPr>
        <w:t>投标人应按照本项目采购文件和政府采购云平台的要求编制、加密后在投标文件提交截止时间前上传至政府采购云平台，投标文件提交截止时间前未完成投标文件上传的，视为撤回投标文件。投标人在政府采购云平台提交电子版投标文件时，请填写参加远程采购活动经办人联系方式。</w:t>
      </w:r>
    </w:p>
    <w:p w14:paraId="2012B9E8">
      <w:pPr>
        <w:pStyle w:val="4"/>
        <w:spacing w:before="165"/>
        <w:ind w:firstLine="482"/>
        <w:rPr>
          <w:rFonts w:ascii="Times New Roman" w:hAnsi="Times New Roman" w:cs="Times New Roman"/>
          <w:color w:val="auto"/>
          <w:highlight w:val="none"/>
        </w:rPr>
      </w:pPr>
      <w:bookmarkStart w:id="467" w:name="_Toc38338295"/>
      <w:bookmarkStart w:id="468" w:name="_Toc11826"/>
      <w:bookmarkStart w:id="469" w:name="_Toc1383"/>
      <w:bookmarkStart w:id="470" w:name="_Toc31747"/>
      <w:bookmarkStart w:id="471" w:name="_Toc489145730"/>
      <w:bookmarkStart w:id="472" w:name="_Toc37716375"/>
      <w:bookmarkStart w:id="473" w:name="_Toc25230"/>
      <w:bookmarkStart w:id="474" w:name="_Toc489197834"/>
      <w:r>
        <w:rPr>
          <w:rFonts w:hint="eastAsia" w:ascii="Times New Roman" w:hAnsi="Times New Roman" w:cs="Times New Roman"/>
          <w:color w:val="auto"/>
          <w:highlight w:val="none"/>
        </w:rPr>
        <w:t>23</w:t>
      </w:r>
      <w:r>
        <w:rPr>
          <w:rFonts w:ascii="Times New Roman" w:hAnsi="Times New Roman" w:cs="Times New Roman"/>
          <w:color w:val="auto"/>
          <w:highlight w:val="none"/>
        </w:rPr>
        <w:t>.投标文件的补充、</w:t>
      </w:r>
      <w:bookmarkStart w:id="475" w:name="_Toc246996202"/>
      <w:bookmarkStart w:id="476" w:name="_Toc247085716"/>
      <w:bookmarkStart w:id="477" w:name="_Toc152045558"/>
      <w:bookmarkStart w:id="478" w:name="_Toc152042334"/>
      <w:bookmarkStart w:id="479" w:name="_Toc246996945"/>
      <w:bookmarkStart w:id="480" w:name="_Toc144974526"/>
      <w:bookmarkStart w:id="481" w:name="_Toc179632576"/>
      <w:bookmarkStart w:id="482" w:name="_Toc296602446"/>
      <w:r>
        <w:rPr>
          <w:rFonts w:ascii="Times New Roman" w:hAnsi="Times New Roman" w:cs="Times New Roman"/>
          <w:color w:val="auto"/>
          <w:highlight w:val="none"/>
        </w:rPr>
        <w:t>修改或者撤回</w:t>
      </w:r>
      <w:bookmarkEnd w:id="467"/>
      <w:bookmarkEnd w:id="468"/>
      <w:bookmarkEnd w:id="469"/>
      <w:bookmarkEnd w:id="470"/>
      <w:bookmarkEnd w:id="471"/>
      <w:bookmarkEnd w:id="472"/>
      <w:bookmarkEnd w:id="473"/>
      <w:bookmarkEnd w:id="474"/>
    </w:p>
    <w:bookmarkEnd w:id="475"/>
    <w:bookmarkEnd w:id="476"/>
    <w:bookmarkEnd w:id="477"/>
    <w:bookmarkEnd w:id="478"/>
    <w:bookmarkEnd w:id="479"/>
    <w:bookmarkEnd w:id="480"/>
    <w:bookmarkEnd w:id="481"/>
    <w:bookmarkEnd w:id="482"/>
    <w:p w14:paraId="7DDD0F39">
      <w:pPr>
        <w:ind w:firstLine="420"/>
        <w:rPr>
          <w:rFonts w:ascii="宋体" w:hAnsi="宋体" w:cs="宋体"/>
          <w:color w:val="auto"/>
          <w:highlight w:val="none"/>
        </w:rPr>
      </w:pPr>
      <w:r>
        <w:rPr>
          <w:rFonts w:hint="eastAsia" w:ascii="宋体" w:hAnsi="宋体" w:cs="宋体"/>
          <w:color w:val="auto"/>
          <w:highlight w:val="none"/>
        </w:rPr>
        <w:t>23</w:t>
      </w:r>
      <w:r>
        <w:rPr>
          <w:rFonts w:ascii="宋体" w:hAnsi="宋体" w:cs="宋体"/>
          <w:color w:val="auto"/>
          <w:highlight w:val="none"/>
        </w:rPr>
        <w:t>.1</w:t>
      </w:r>
      <w:bookmarkStart w:id="483" w:name="OLE_LINK30"/>
      <w:bookmarkStart w:id="484" w:name="OLE_LINK76"/>
      <w:r>
        <w:rPr>
          <w:rFonts w:hint="eastAsia" w:ascii="宋体" w:hAnsi="宋体" w:cs="宋体"/>
          <w:color w:val="auto"/>
          <w:szCs w:val="21"/>
          <w:highlight w:val="none"/>
        </w:rPr>
        <w:t>投标人</w:t>
      </w:r>
      <w:bookmarkEnd w:id="483"/>
      <w:r>
        <w:rPr>
          <w:rFonts w:hint="eastAsia" w:ascii="宋体" w:hAnsi="宋体" w:cs="宋体"/>
          <w:color w:val="auto"/>
          <w:szCs w:val="21"/>
          <w:highlight w:val="none"/>
        </w:rPr>
        <w:t>在投标截止时间前，可以对所提交的投标文件进行补充、修改或者撤回。补充、修改的内容应当按照招标文件要求签名、签章，作为投标文件的组成部分。补充、修改的内容与投标文件不一致的，以补充、修改的内容为准</w:t>
      </w:r>
      <w:r>
        <w:rPr>
          <w:rFonts w:ascii="宋体" w:hAnsi="宋体" w:cs="宋体"/>
          <w:color w:val="auto"/>
          <w:highlight w:val="none"/>
        </w:rPr>
        <w:t>。</w:t>
      </w:r>
      <w:bookmarkEnd w:id="484"/>
    </w:p>
    <w:p w14:paraId="1C7612CA">
      <w:pPr>
        <w:ind w:firstLine="420"/>
        <w:rPr>
          <w:rFonts w:ascii="宋体" w:hAnsi="宋体" w:cs="宋体"/>
          <w:color w:val="auto"/>
          <w:highlight w:val="none"/>
        </w:rPr>
      </w:pPr>
      <w:r>
        <w:rPr>
          <w:rFonts w:hint="eastAsia" w:ascii="宋体" w:hAnsi="宋体" w:cs="宋体"/>
          <w:color w:val="auto"/>
          <w:szCs w:val="21"/>
          <w:highlight w:val="none"/>
        </w:rPr>
        <w:t>23.2 投标人应按照本项目招标文件和政府采购云平台的要求编制、加密后在投标文件提交截止时间前重新上传至政府采购云平台，投标文件提交截止时间前未完成投标文件上传的，视为撤回投标文件。</w:t>
      </w:r>
    </w:p>
    <w:p w14:paraId="2599F8D0">
      <w:pPr>
        <w:pStyle w:val="3"/>
        <w:spacing w:before="165"/>
        <w:jc w:val="center"/>
        <w:rPr>
          <w:rFonts w:ascii="Times New Roman" w:hAnsi="Times New Roman" w:cs="Times New Roman"/>
          <w:color w:val="auto"/>
          <w:highlight w:val="none"/>
        </w:rPr>
      </w:pPr>
      <w:bookmarkStart w:id="485" w:name="_Toc489197835"/>
      <w:bookmarkStart w:id="486" w:name="_Toc25120"/>
      <w:bookmarkStart w:id="487" w:name="_Toc38338296"/>
      <w:bookmarkStart w:id="488" w:name="_Toc489145731"/>
      <w:bookmarkStart w:id="489" w:name="_Toc488633608"/>
      <w:bookmarkStart w:id="490" w:name="_Toc29368"/>
      <w:bookmarkStart w:id="491" w:name="_Toc37716376"/>
      <w:bookmarkStart w:id="492" w:name="_Toc2358"/>
      <w:bookmarkStart w:id="493" w:name="_Toc1406"/>
      <w:r>
        <w:rPr>
          <w:rFonts w:ascii="Times New Roman" w:hAnsi="Times New Roman" w:cs="Times New Roman"/>
          <w:color w:val="auto"/>
          <w:highlight w:val="none"/>
        </w:rPr>
        <w:t>五、</w:t>
      </w:r>
      <w:bookmarkEnd w:id="485"/>
      <w:bookmarkEnd w:id="486"/>
      <w:bookmarkEnd w:id="487"/>
      <w:bookmarkEnd w:id="488"/>
      <w:bookmarkEnd w:id="489"/>
      <w:bookmarkEnd w:id="490"/>
      <w:bookmarkEnd w:id="491"/>
      <w:bookmarkEnd w:id="492"/>
      <w:r>
        <w:rPr>
          <w:rFonts w:hint="eastAsia" w:ascii="Times New Roman" w:hAnsi="Times New Roman" w:cs="Times New Roman"/>
          <w:color w:val="auto"/>
          <w:highlight w:val="none"/>
        </w:rPr>
        <w:t>电子开标</w:t>
      </w:r>
      <w:bookmarkStart w:id="494" w:name="OLE_LINK187"/>
      <w:r>
        <w:rPr>
          <w:rFonts w:hint="eastAsia" w:ascii="Times New Roman" w:hAnsi="Times New Roman" w:cs="Times New Roman"/>
          <w:color w:val="auto"/>
          <w:highlight w:val="none"/>
        </w:rPr>
        <w:t>及</w:t>
      </w:r>
      <w:bookmarkStart w:id="495" w:name="OLE_LINK77"/>
      <w:r>
        <w:rPr>
          <w:rFonts w:hint="eastAsia" w:ascii="Times New Roman" w:hAnsi="Times New Roman" w:cs="Times New Roman"/>
          <w:color w:val="auto"/>
          <w:highlight w:val="none"/>
        </w:rPr>
        <w:t>投标文</w:t>
      </w:r>
      <w:bookmarkEnd w:id="494"/>
      <w:r>
        <w:rPr>
          <w:rFonts w:hint="eastAsia" w:ascii="Times New Roman" w:hAnsi="Times New Roman" w:cs="Times New Roman"/>
          <w:color w:val="auto"/>
          <w:highlight w:val="none"/>
        </w:rPr>
        <w:t>件解密</w:t>
      </w:r>
      <w:bookmarkEnd w:id="493"/>
      <w:bookmarkEnd w:id="495"/>
    </w:p>
    <w:p w14:paraId="5721906D">
      <w:pPr>
        <w:ind w:firstLine="422"/>
        <w:outlineLvl w:val="2"/>
        <w:rPr>
          <w:rFonts w:ascii="宋体" w:hAnsi="宋体" w:cs="宋体"/>
          <w:b/>
          <w:bCs/>
          <w:color w:val="auto"/>
          <w:highlight w:val="none"/>
        </w:rPr>
      </w:pPr>
      <w:bookmarkStart w:id="496" w:name="_Toc1070"/>
      <w:r>
        <w:rPr>
          <w:rFonts w:hint="eastAsia" w:ascii="宋体" w:hAnsi="宋体" w:cs="宋体"/>
          <w:b/>
          <w:bCs/>
          <w:color w:val="auto"/>
          <w:highlight w:val="none"/>
        </w:rPr>
        <w:t>24</w:t>
      </w:r>
      <w:r>
        <w:rPr>
          <w:rFonts w:ascii="宋体" w:hAnsi="宋体" w:cs="宋体"/>
          <w:b/>
          <w:bCs/>
          <w:color w:val="auto"/>
          <w:highlight w:val="none"/>
        </w:rPr>
        <w:t>.</w:t>
      </w:r>
      <w:r>
        <w:rPr>
          <w:rFonts w:hint="eastAsia" w:ascii="宋体" w:hAnsi="宋体" w:cs="宋体"/>
          <w:b/>
          <w:bCs/>
          <w:color w:val="auto"/>
          <w:highlight w:val="none"/>
        </w:rPr>
        <w:t>开标及投标文件解密</w:t>
      </w:r>
      <w:bookmarkEnd w:id="496"/>
    </w:p>
    <w:p w14:paraId="69CF6D5D">
      <w:pPr>
        <w:ind w:firstLine="420"/>
        <w:rPr>
          <w:rFonts w:ascii="宋体" w:hAnsi="宋体" w:cs="Times New Roman"/>
          <w:color w:val="auto"/>
          <w:szCs w:val="21"/>
          <w:highlight w:val="none"/>
        </w:rPr>
      </w:pPr>
      <w:bookmarkStart w:id="497" w:name="OLE_LINK79"/>
      <w:r>
        <w:rPr>
          <w:rFonts w:hint="eastAsia" w:ascii="宋体" w:hAnsi="宋体" w:cs="Times New Roman"/>
          <w:color w:val="auto"/>
          <w:szCs w:val="21"/>
          <w:highlight w:val="none"/>
        </w:rPr>
        <w:t>24.1各投标人在开标前应确保成为政府采购云平台供应商，并完成CA数字证书申领。因未注册入库、未办理CA数字证书等原因造成无法投标或投标失败等后果由投标人自行承担。</w:t>
      </w:r>
    </w:p>
    <w:p w14:paraId="2D88655E">
      <w:pPr>
        <w:ind w:firstLine="420"/>
        <w:rPr>
          <w:rFonts w:ascii="宋体" w:hAnsi="宋体" w:cs="Times New Roman"/>
          <w:color w:val="auto"/>
          <w:szCs w:val="21"/>
          <w:highlight w:val="none"/>
        </w:rPr>
      </w:pPr>
      <w:r>
        <w:rPr>
          <w:rFonts w:hint="eastAsia" w:ascii="宋体" w:hAnsi="宋体" w:cs="Times New Roman"/>
          <w:color w:val="auto"/>
          <w:szCs w:val="21"/>
          <w:highlight w:val="none"/>
        </w:rPr>
        <w:t>24.2采</w:t>
      </w:r>
      <w:r>
        <w:rPr>
          <w:rFonts w:hint="eastAsia" w:ascii="宋体" w:hAnsi="宋体" w:cs="微软雅黑"/>
          <w:color w:val="auto"/>
          <w:szCs w:val="21"/>
          <w:highlight w:val="none"/>
        </w:rPr>
        <w:t>购</w:t>
      </w:r>
      <w:r>
        <w:rPr>
          <w:rFonts w:hint="eastAsia" w:ascii="宋体" w:hAnsi="宋体" w:cs="Malgun Gothic"/>
          <w:color w:val="auto"/>
          <w:szCs w:val="21"/>
          <w:highlight w:val="none"/>
        </w:rPr>
        <w:t>代理机</w:t>
      </w:r>
      <w:r>
        <w:rPr>
          <w:rFonts w:hint="eastAsia" w:ascii="宋体" w:hAnsi="宋体" w:cs="微软雅黑"/>
          <w:color w:val="auto"/>
          <w:szCs w:val="21"/>
          <w:highlight w:val="none"/>
        </w:rPr>
        <w:t>构将</w:t>
      </w:r>
      <w:r>
        <w:rPr>
          <w:rFonts w:hint="eastAsia" w:ascii="宋体" w:hAnsi="宋体" w:cs="Malgun Gothic"/>
          <w:color w:val="auto"/>
          <w:szCs w:val="21"/>
          <w:highlight w:val="none"/>
        </w:rPr>
        <w:t>在</w:t>
      </w:r>
      <w:r>
        <w:rPr>
          <w:rFonts w:hint="eastAsia" w:ascii="宋体" w:hAnsi="宋体" w:cs="宋体"/>
          <w:color w:val="auto"/>
          <w:highlight w:val="none"/>
        </w:rPr>
        <w:t>《投标人须知前附表》</w:t>
      </w:r>
      <w:r>
        <w:rPr>
          <w:rFonts w:hint="eastAsia" w:ascii="宋体" w:hAnsi="宋体" w:cs="微软雅黑"/>
          <w:color w:val="auto"/>
          <w:szCs w:val="21"/>
          <w:highlight w:val="none"/>
        </w:rPr>
        <w:t>规</w:t>
      </w:r>
      <w:r>
        <w:rPr>
          <w:rFonts w:hint="eastAsia" w:ascii="宋体" w:hAnsi="宋体" w:cs="Malgun Gothic"/>
          <w:color w:val="auto"/>
          <w:szCs w:val="21"/>
          <w:highlight w:val="none"/>
        </w:rPr>
        <w:t>定的</w:t>
      </w:r>
      <w:r>
        <w:rPr>
          <w:rFonts w:hint="eastAsia" w:ascii="宋体" w:hAnsi="宋体" w:cs="微软雅黑"/>
          <w:color w:val="auto"/>
          <w:szCs w:val="21"/>
          <w:highlight w:val="none"/>
        </w:rPr>
        <w:t>时间</w:t>
      </w:r>
      <w:r>
        <w:rPr>
          <w:rFonts w:hint="eastAsia" w:ascii="宋体" w:hAnsi="宋体" w:cs="Malgun Gothic"/>
          <w:color w:val="auto"/>
          <w:szCs w:val="21"/>
          <w:highlight w:val="none"/>
        </w:rPr>
        <w:t>和地点</w:t>
      </w:r>
      <w:r>
        <w:rPr>
          <w:rFonts w:hint="eastAsia" w:ascii="宋体" w:hAnsi="宋体" w:cs="微软雅黑"/>
          <w:color w:val="auto"/>
          <w:szCs w:val="21"/>
          <w:highlight w:val="none"/>
        </w:rPr>
        <w:t>进</w:t>
      </w:r>
      <w:r>
        <w:rPr>
          <w:rFonts w:hint="eastAsia" w:ascii="宋体" w:hAnsi="宋体" w:cs="Malgun Gothic"/>
          <w:color w:val="auto"/>
          <w:szCs w:val="21"/>
          <w:highlight w:val="none"/>
        </w:rPr>
        <w:t>行</w:t>
      </w:r>
      <w:r>
        <w:rPr>
          <w:rFonts w:hint="eastAsia" w:ascii="宋体" w:hAnsi="宋体" w:cs="微软雅黑"/>
          <w:color w:val="auto"/>
          <w:szCs w:val="21"/>
          <w:highlight w:val="none"/>
        </w:rPr>
        <w:t>开标</w:t>
      </w:r>
      <w:r>
        <w:rPr>
          <w:rFonts w:hint="eastAsia" w:ascii="宋体" w:hAnsi="宋体" w:cs="Times New Roman"/>
          <w:color w:val="auto"/>
          <w:szCs w:val="21"/>
          <w:highlight w:val="none"/>
        </w:rPr>
        <w:t>。</w:t>
      </w:r>
    </w:p>
    <w:p w14:paraId="46DD6488">
      <w:pPr>
        <w:ind w:firstLine="420"/>
        <w:rPr>
          <w:rFonts w:ascii="宋体" w:hAnsi="宋体" w:cs="Times New Roman"/>
          <w:color w:val="auto"/>
          <w:szCs w:val="21"/>
          <w:highlight w:val="none"/>
        </w:rPr>
      </w:pPr>
      <w:r>
        <w:rPr>
          <w:rFonts w:hint="eastAsia" w:ascii="宋体" w:hAnsi="宋体" w:cs="Times New Roman"/>
          <w:color w:val="auto"/>
          <w:szCs w:val="21"/>
          <w:highlight w:val="none"/>
        </w:rPr>
        <w:t>24.3投</w:t>
      </w:r>
      <w:r>
        <w:rPr>
          <w:rFonts w:hint="eastAsia" w:ascii="宋体" w:hAnsi="宋体" w:cs="微软雅黑"/>
          <w:color w:val="auto"/>
          <w:szCs w:val="21"/>
          <w:highlight w:val="none"/>
        </w:rPr>
        <w:t>标</w:t>
      </w:r>
      <w:r>
        <w:rPr>
          <w:rFonts w:hint="eastAsia" w:ascii="宋体" w:hAnsi="宋体" w:cs="Malgun Gothic"/>
          <w:color w:val="auto"/>
          <w:szCs w:val="21"/>
          <w:highlight w:val="none"/>
        </w:rPr>
        <w:t>截</w:t>
      </w:r>
      <w:r>
        <w:rPr>
          <w:rFonts w:hint="eastAsia" w:ascii="宋体" w:hAnsi="宋体" w:cs="Times New Roman"/>
          <w:color w:val="auto"/>
          <w:szCs w:val="21"/>
          <w:highlight w:val="none"/>
        </w:rPr>
        <w:t>止后投</w:t>
      </w:r>
      <w:r>
        <w:rPr>
          <w:rFonts w:hint="eastAsia" w:ascii="宋体" w:hAnsi="宋体" w:cs="微软雅黑"/>
          <w:color w:val="auto"/>
          <w:szCs w:val="21"/>
          <w:highlight w:val="none"/>
        </w:rPr>
        <w:t>标</w:t>
      </w:r>
      <w:r>
        <w:rPr>
          <w:rFonts w:hint="eastAsia" w:ascii="宋体" w:hAnsi="宋体" w:cs="Malgun Gothic"/>
          <w:color w:val="auto"/>
          <w:szCs w:val="21"/>
          <w:highlight w:val="none"/>
        </w:rPr>
        <w:t>人不足</w:t>
      </w:r>
      <w:r>
        <w:rPr>
          <w:rFonts w:hint="eastAsia" w:ascii="宋体" w:hAnsi="宋体" w:cs="Times New Roman"/>
          <w:color w:val="auto"/>
          <w:szCs w:val="21"/>
          <w:highlight w:val="none"/>
        </w:rPr>
        <w:t>3家的，不得</w:t>
      </w:r>
      <w:r>
        <w:rPr>
          <w:rFonts w:hint="eastAsia" w:ascii="宋体" w:hAnsi="宋体" w:cs="微软雅黑"/>
          <w:color w:val="auto"/>
          <w:szCs w:val="21"/>
          <w:highlight w:val="none"/>
        </w:rPr>
        <w:t>开标</w:t>
      </w:r>
      <w:r>
        <w:rPr>
          <w:rFonts w:hint="eastAsia" w:ascii="宋体" w:hAnsi="宋体" w:cs="Malgun Gothic"/>
          <w:color w:val="auto"/>
          <w:szCs w:val="21"/>
          <w:highlight w:val="none"/>
        </w:rPr>
        <w:t>。</w:t>
      </w:r>
    </w:p>
    <w:bookmarkEnd w:id="497"/>
    <w:p w14:paraId="57BCDB1E">
      <w:pPr>
        <w:ind w:firstLine="420"/>
        <w:rPr>
          <w:rFonts w:ascii="宋体" w:hAnsi="宋体" w:cs="Times New Roman"/>
          <w:color w:val="auto"/>
          <w:szCs w:val="21"/>
          <w:highlight w:val="none"/>
        </w:rPr>
      </w:pPr>
      <w:r>
        <w:rPr>
          <w:rFonts w:hint="eastAsia" w:ascii="宋体" w:hAnsi="宋体" w:cs="宋体"/>
          <w:color w:val="auto"/>
          <w:szCs w:val="21"/>
          <w:highlight w:val="none"/>
        </w:rPr>
        <w:t>24.4开标时，投标人登录</w:t>
      </w:r>
      <w:bookmarkStart w:id="498" w:name="OLE_LINK331"/>
      <w:r>
        <w:rPr>
          <w:rFonts w:hint="eastAsia" w:ascii="宋体" w:hAnsi="宋体" w:cs="宋体"/>
          <w:color w:val="auto"/>
          <w:szCs w:val="21"/>
          <w:highlight w:val="none"/>
        </w:rPr>
        <w:t>政府采购云平台</w:t>
      </w:r>
      <w:bookmarkEnd w:id="498"/>
      <w:r>
        <w:rPr>
          <w:rFonts w:hint="eastAsia" w:ascii="宋体" w:hAnsi="宋体" w:cs="宋体"/>
          <w:color w:val="auto"/>
          <w:szCs w:val="21"/>
          <w:highlight w:val="none"/>
        </w:rPr>
        <w:t>完成远程解密、查看开标一览表等相关操作。本项目解密时间会在政采云系统显示，若投标人未在规定时间完成所有投标文件解密，则视为无效投标，不再进入评审阶段。</w:t>
      </w:r>
    </w:p>
    <w:p w14:paraId="618E899F">
      <w:pPr>
        <w:ind w:firstLine="420"/>
        <w:rPr>
          <w:rFonts w:ascii="宋体" w:hAnsi="宋体" w:cs="Malgun Gothic"/>
          <w:color w:val="auto"/>
          <w:szCs w:val="21"/>
          <w:highlight w:val="none"/>
        </w:rPr>
      </w:pPr>
      <w:r>
        <w:rPr>
          <w:rFonts w:hint="eastAsia" w:ascii="宋体" w:hAnsi="宋体" w:cs="Times New Roman"/>
          <w:color w:val="auto"/>
          <w:szCs w:val="21"/>
          <w:highlight w:val="none"/>
        </w:rPr>
        <w:t>24.5</w:t>
      </w:r>
      <w:r>
        <w:rPr>
          <w:rFonts w:hint="eastAsia" w:ascii="宋体" w:hAnsi="宋体" w:cs="微软雅黑"/>
          <w:color w:val="auto"/>
          <w:szCs w:val="21"/>
          <w:highlight w:val="none"/>
        </w:rPr>
        <w:t>开标</w:t>
      </w:r>
      <w:r>
        <w:rPr>
          <w:rFonts w:hint="eastAsia" w:ascii="宋体" w:hAnsi="宋体" w:cs="Malgun Gothic"/>
          <w:color w:val="auto"/>
          <w:szCs w:val="21"/>
          <w:highlight w:val="none"/>
        </w:rPr>
        <w:t>程序：</w:t>
      </w:r>
    </w:p>
    <w:p w14:paraId="01376D78">
      <w:pPr>
        <w:ind w:firstLine="420"/>
        <w:rPr>
          <w:rFonts w:ascii="宋体" w:hAnsi="宋体" w:cs="宋体"/>
          <w:color w:val="auto"/>
          <w:szCs w:val="21"/>
          <w:highlight w:val="none"/>
        </w:rPr>
      </w:pPr>
      <w:r>
        <w:rPr>
          <w:rFonts w:hint="eastAsia" w:ascii="宋体" w:hAnsi="宋体" w:cs="宋体"/>
          <w:color w:val="auto"/>
          <w:szCs w:val="21"/>
          <w:highlight w:val="none"/>
        </w:rPr>
        <w:t>开标会由采购代理机构主持，具体流程如下：</w:t>
      </w:r>
    </w:p>
    <w:p w14:paraId="306333A9">
      <w:pPr>
        <w:ind w:firstLine="420"/>
        <w:rPr>
          <w:rFonts w:ascii="宋体" w:hAnsi="宋体" w:cs="宋体"/>
          <w:color w:val="auto"/>
          <w:szCs w:val="21"/>
          <w:highlight w:val="none"/>
        </w:rPr>
      </w:pPr>
      <w:bookmarkStart w:id="499" w:name="OLE_LINK329"/>
      <w:bookmarkStart w:id="500" w:name="OLE_LINK328"/>
      <w:r>
        <w:rPr>
          <w:rFonts w:hint="eastAsia" w:ascii="宋体" w:hAnsi="宋体" w:cs="宋体"/>
          <w:color w:val="auto"/>
          <w:szCs w:val="21"/>
          <w:highlight w:val="none"/>
        </w:rPr>
        <w:t>（1）采购代理机构依托电子交易平台发起开始解密指令，投标人须使用加密时所用的 CA 锁按平台提示和招标文件的规定登录到政府采购云平台电子开标大厅，并在发起解密指令之时起60分钟内完成对电子投标文件在线解密。</w:t>
      </w:r>
    </w:p>
    <w:p w14:paraId="5361C79B">
      <w:pPr>
        <w:ind w:firstLine="420"/>
        <w:rPr>
          <w:rFonts w:ascii="宋体" w:hAnsi="宋体" w:cs="宋体"/>
          <w:color w:val="auto"/>
          <w:szCs w:val="21"/>
          <w:highlight w:val="none"/>
        </w:rPr>
      </w:pPr>
      <w:r>
        <w:rPr>
          <w:rFonts w:hint="eastAsia" w:ascii="宋体" w:hAnsi="宋体" w:cs="宋体"/>
          <w:color w:val="auto"/>
          <w:szCs w:val="21"/>
          <w:highlight w:val="none"/>
        </w:rPr>
        <w:t>（2）如投标人成功解密投标文件，但未在政府采购云平台电子开标大厅参加开标的，视同认可开标过程和结果，由此产生的后果由投标人自行负责。</w:t>
      </w:r>
    </w:p>
    <w:bookmarkEnd w:id="499"/>
    <w:p w14:paraId="55EEE069">
      <w:pPr>
        <w:ind w:firstLine="420"/>
        <w:rPr>
          <w:rFonts w:ascii="宋体" w:hAnsi="宋体" w:cs="宋体"/>
          <w:color w:val="auto"/>
          <w:szCs w:val="21"/>
          <w:highlight w:val="none"/>
        </w:rPr>
      </w:pPr>
      <w:bookmarkStart w:id="501" w:name="OLE_LINK330"/>
      <w:r>
        <w:rPr>
          <w:rFonts w:hint="eastAsia" w:ascii="宋体" w:hAnsi="宋体" w:cs="宋体"/>
          <w:color w:val="auto"/>
          <w:szCs w:val="21"/>
          <w:highlight w:val="none"/>
        </w:rPr>
        <w:t>24.6 开标工作人员将做开标记录。</w:t>
      </w:r>
    </w:p>
    <w:p w14:paraId="035E8925">
      <w:pPr>
        <w:widowControl/>
        <w:ind w:firstLine="420"/>
        <w:rPr>
          <w:rFonts w:ascii="宋体" w:hAnsi="宋体" w:cs="宋体"/>
          <w:color w:val="auto"/>
          <w:szCs w:val="21"/>
          <w:highlight w:val="none"/>
        </w:rPr>
      </w:pPr>
      <w:r>
        <w:rPr>
          <w:rFonts w:hint="eastAsia" w:ascii="宋体" w:hAnsi="宋体" w:cs="宋体"/>
          <w:color w:val="auto"/>
          <w:szCs w:val="21"/>
          <w:highlight w:val="none"/>
        </w:rPr>
        <w:t>24.7 投标人代表对开标过程和开标记录有疑义，以及认为采购人、采购代理机构相关工作人员有需要回避的情形的，应在线提出询问或者回避申请。采购人、采购代理机构对投标人代表提出的询问或者回避申请应当及时处理</w:t>
      </w:r>
      <w:bookmarkStart w:id="502" w:name="OLE_LINK80"/>
      <w:r>
        <w:rPr>
          <w:rFonts w:hint="eastAsia" w:ascii="宋体" w:hAnsi="宋体" w:cs="宋体"/>
          <w:color w:val="auto"/>
          <w:szCs w:val="21"/>
          <w:highlight w:val="none"/>
        </w:rPr>
        <w:t>。</w:t>
      </w:r>
      <w:bookmarkEnd w:id="502"/>
      <w:bookmarkStart w:id="503" w:name="_Toc16525"/>
      <w:bookmarkStart w:id="504" w:name="_Toc489197837"/>
      <w:bookmarkStart w:id="505" w:name="_Toc37716378"/>
      <w:bookmarkStart w:id="506" w:name="_Toc8445"/>
      <w:bookmarkStart w:id="507" w:name="_Toc38338298"/>
      <w:bookmarkStart w:id="508" w:name="_Toc32643"/>
      <w:bookmarkStart w:id="509" w:name="_Toc489145733"/>
      <w:bookmarkStart w:id="510" w:name="_Toc488633609"/>
      <w:bookmarkStart w:id="511" w:name="_Toc19728"/>
    </w:p>
    <w:bookmarkEnd w:id="500"/>
    <w:bookmarkEnd w:id="501"/>
    <w:p w14:paraId="24F08129">
      <w:pPr>
        <w:ind w:firstLine="562"/>
        <w:jc w:val="center"/>
        <w:outlineLvl w:val="1"/>
        <w:rPr>
          <w:rFonts w:ascii="黑体" w:hAnsi="黑体" w:eastAsia="黑体" w:cs="黑体"/>
          <w:b/>
          <w:bCs/>
          <w:color w:val="auto"/>
          <w:sz w:val="28"/>
          <w:szCs w:val="28"/>
          <w:highlight w:val="none"/>
        </w:rPr>
      </w:pPr>
      <w:bookmarkStart w:id="512" w:name="OLE_LINK188"/>
      <w:r>
        <w:rPr>
          <w:rFonts w:hint="eastAsia" w:ascii="黑体" w:hAnsi="黑体" w:eastAsia="黑体" w:cs="黑体"/>
          <w:b/>
          <w:bCs/>
          <w:color w:val="auto"/>
          <w:sz w:val="28"/>
          <w:szCs w:val="28"/>
          <w:highlight w:val="none"/>
        </w:rPr>
        <w:t>六、资格审查及评标</w:t>
      </w:r>
      <w:bookmarkEnd w:id="503"/>
      <w:bookmarkEnd w:id="504"/>
      <w:bookmarkEnd w:id="505"/>
      <w:bookmarkEnd w:id="506"/>
      <w:bookmarkEnd w:id="507"/>
      <w:bookmarkEnd w:id="508"/>
      <w:bookmarkEnd w:id="509"/>
      <w:bookmarkEnd w:id="510"/>
      <w:bookmarkEnd w:id="511"/>
    </w:p>
    <w:bookmarkEnd w:id="512"/>
    <w:p w14:paraId="09E4CDD9">
      <w:pPr>
        <w:pStyle w:val="4"/>
        <w:spacing w:beforeLines="0"/>
        <w:ind w:firstLine="482"/>
        <w:rPr>
          <w:rFonts w:ascii="Times New Roman" w:hAnsi="Times New Roman" w:cs="Times New Roman"/>
          <w:color w:val="auto"/>
          <w:highlight w:val="none"/>
        </w:rPr>
      </w:pPr>
      <w:bookmarkStart w:id="513" w:name="_Toc37716379"/>
      <w:bookmarkStart w:id="514" w:name="_Toc27526"/>
      <w:bookmarkStart w:id="515" w:name="_Toc5568"/>
      <w:bookmarkStart w:id="516" w:name="_Toc4245"/>
      <w:bookmarkStart w:id="517" w:name="_Toc26106"/>
      <w:bookmarkStart w:id="518" w:name="_Toc22860"/>
      <w:bookmarkStart w:id="519" w:name="_Toc38338299"/>
      <w:bookmarkStart w:id="520" w:name="_Toc489197838"/>
      <w:bookmarkStart w:id="521" w:name="_Toc489145734"/>
      <w:r>
        <w:rPr>
          <w:rFonts w:hint="eastAsia" w:ascii="Times New Roman" w:hAnsi="Times New Roman" w:cs="Times New Roman"/>
          <w:color w:val="auto"/>
          <w:highlight w:val="none"/>
        </w:rPr>
        <w:t>25</w:t>
      </w:r>
      <w:r>
        <w:rPr>
          <w:rFonts w:ascii="Times New Roman" w:hAnsi="Times New Roman" w:cs="Times New Roman"/>
          <w:color w:val="auto"/>
          <w:highlight w:val="none"/>
        </w:rPr>
        <w:t>.资格审查</w:t>
      </w:r>
      <w:bookmarkEnd w:id="513"/>
      <w:bookmarkEnd w:id="514"/>
      <w:bookmarkEnd w:id="515"/>
      <w:bookmarkEnd w:id="516"/>
      <w:bookmarkEnd w:id="517"/>
      <w:bookmarkEnd w:id="518"/>
      <w:bookmarkEnd w:id="519"/>
    </w:p>
    <w:p w14:paraId="72406EF9">
      <w:pPr>
        <w:ind w:firstLine="420"/>
        <w:rPr>
          <w:rFonts w:ascii="宋体" w:hAnsi="宋体" w:cs="宋体"/>
          <w:color w:val="auto"/>
          <w:highlight w:val="none"/>
        </w:rPr>
      </w:pPr>
      <w:r>
        <w:rPr>
          <w:rFonts w:hint="eastAsia" w:ascii="宋体" w:hAnsi="宋体" w:cs="宋体"/>
          <w:color w:val="auto"/>
          <w:highlight w:val="none"/>
        </w:rPr>
        <w:t>25.1开标结束后，采购人或者采购代理机构将依法对投标人的资格进行审查。合格投标人不足3家的，不得评标。</w:t>
      </w:r>
    </w:p>
    <w:p w14:paraId="65AB6A75">
      <w:pPr>
        <w:ind w:firstLine="420"/>
        <w:rPr>
          <w:rFonts w:ascii="宋体" w:hAnsi="宋体" w:cs="宋体"/>
          <w:color w:val="auto"/>
          <w:highlight w:val="none"/>
        </w:rPr>
      </w:pPr>
      <w:r>
        <w:rPr>
          <w:rFonts w:hint="eastAsia" w:ascii="宋体" w:hAnsi="宋体" w:cs="宋体"/>
          <w:color w:val="auto"/>
          <w:highlight w:val="none"/>
        </w:rPr>
        <w:t>25.2采购人或者采购代理机构按照招标文件的规定对投标人投标文件中资格证明文件及采购人、采购代理机构通过互联网或者相关信息系统的查询结果进行审查。</w:t>
      </w:r>
    </w:p>
    <w:p w14:paraId="0DEDD148">
      <w:pPr>
        <w:pStyle w:val="4"/>
        <w:spacing w:before="165"/>
        <w:ind w:firstLine="482"/>
        <w:rPr>
          <w:rFonts w:ascii="Times New Roman" w:hAnsi="Times New Roman" w:cs="Times New Roman"/>
          <w:color w:val="auto"/>
          <w:highlight w:val="none"/>
        </w:rPr>
      </w:pPr>
      <w:bookmarkStart w:id="522" w:name="_Toc3328"/>
      <w:bookmarkStart w:id="523" w:name="_Toc12896"/>
      <w:bookmarkStart w:id="524" w:name="_Toc37716380"/>
      <w:bookmarkStart w:id="525" w:name="_Toc6552"/>
      <w:bookmarkStart w:id="526" w:name="_Toc38338300"/>
      <w:bookmarkStart w:id="527" w:name="_Toc10789"/>
      <w:r>
        <w:rPr>
          <w:rFonts w:hint="eastAsia" w:ascii="Times New Roman" w:hAnsi="Times New Roman" w:cs="Times New Roman"/>
          <w:color w:val="auto"/>
          <w:highlight w:val="none"/>
        </w:rPr>
        <w:t>26</w:t>
      </w:r>
      <w:r>
        <w:rPr>
          <w:rFonts w:ascii="Times New Roman" w:hAnsi="Times New Roman" w:cs="Times New Roman"/>
          <w:color w:val="auto"/>
          <w:highlight w:val="none"/>
        </w:rPr>
        <w:t>.评标</w:t>
      </w:r>
      <w:bookmarkEnd w:id="520"/>
      <w:bookmarkEnd w:id="521"/>
      <w:bookmarkEnd w:id="522"/>
      <w:bookmarkEnd w:id="523"/>
      <w:bookmarkEnd w:id="524"/>
      <w:bookmarkEnd w:id="525"/>
      <w:bookmarkEnd w:id="526"/>
      <w:bookmarkEnd w:id="527"/>
    </w:p>
    <w:p w14:paraId="4A4495C4">
      <w:pPr>
        <w:ind w:firstLine="420"/>
        <w:rPr>
          <w:rFonts w:ascii="宋体" w:hAnsi="宋体" w:cs="宋体"/>
          <w:color w:val="auto"/>
          <w:highlight w:val="none"/>
        </w:rPr>
      </w:pPr>
      <w:r>
        <w:rPr>
          <w:rFonts w:hint="eastAsia" w:ascii="宋体" w:hAnsi="宋体" w:cs="宋体"/>
          <w:color w:val="auto"/>
          <w:highlight w:val="none"/>
        </w:rPr>
        <w:t>26.1评标委员会负责具体评标事务，</w:t>
      </w:r>
      <w:bookmarkStart w:id="528" w:name="OLE_LINK84"/>
      <w:r>
        <w:rPr>
          <w:rFonts w:hint="eastAsia" w:ascii="宋体" w:hAnsi="宋体" w:cs="宋体"/>
          <w:color w:val="auto"/>
          <w:highlight w:val="none"/>
        </w:rPr>
        <w:t>并独立履行下列职责</w:t>
      </w:r>
      <w:bookmarkEnd w:id="528"/>
      <w:r>
        <w:rPr>
          <w:rFonts w:hint="eastAsia" w:ascii="宋体" w:hAnsi="宋体" w:cs="宋体"/>
          <w:color w:val="auto"/>
          <w:highlight w:val="none"/>
        </w:rPr>
        <w:t>：</w:t>
      </w:r>
    </w:p>
    <w:p w14:paraId="010AB915">
      <w:pPr>
        <w:ind w:firstLine="420"/>
        <w:rPr>
          <w:rFonts w:ascii="宋体" w:hAnsi="宋体" w:cs="宋体"/>
          <w:color w:val="auto"/>
          <w:highlight w:val="none"/>
        </w:rPr>
      </w:pPr>
      <w:r>
        <w:rPr>
          <w:rFonts w:hint="eastAsia" w:ascii="宋体" w:hAnsi="宋体" w:cs="宋体"/>
          <w:color w:val="auto"/>
          <w:highlight w:val="none"/>
        </w:rPr>
        <w:t>（1）审查、评价投标文件是否符合招标文件的商务、技术等实质性要求；</w:t>
      </w:r>
    </w:p>
    <w:p w14:paraId="0E7B4066">
      <w:pPr>
        <w:ind w:firstLine="420"/>
        <w:rPr>
          <w:rFonts w:ascii="宋体" w:hAnsi="宋体" w:cs="宋体"/>
          <w:color w:val="auto"/>
          <w:highlight w:val="none"/>
        </w:rPr>
      </w:pPr>
      <w:r>
        <w:rPr>
          <w:rFonts w:hint="eastAsia" w:ascii="宋体" w:hAnsi="宋体" w:cs="宋体"/>
          <w:color w:val="auto"/>
          <w:highlight w:val="none"/>
        </w:rPr>
        <w:t>（2）要求投标人对投标文件有关事项作出澄清或者说明；</w:t>
      </w:r>
    </w:p>
    <w:p w14:paraId="37C6EBA2">
      <w:pPr>
        <w:ind w:firstLine="420"/>
        <w:rPr>
          <w:rFonts w:ascii="宋体" w:hAnsi="宋体" w:cs="宋体"/>
          <w:color w:val="auto"/>
          <w:highlight w:val="none"/>
        </w:rPr>
      </w:pPr>
      <w:r>
        <w:rPr>
          <w:rFonts w:hint="eastAsia" w:ascii="宋体" w:hAnsi="宋体" w:cs="宋体"/>
          <w:color w:val="auto"/>
          <w:highlight w:val="none"/>
        </w:rPr>
        <w:t>（3）对投标文件进行比较和评价；</w:t>
      </w:r>
    </w:p>
    <w:p w14:paraId="4E8A275A">
      <w:pPr>
        <w:ind w:firstLine="420"/>
        <w:rPr>
          <w:rFonts w:ascii="宋体" w:hAnsi="宋体" w:cs="宋体"/>
          <w:color w:val="auto"/>
          <w:highlight w:val="none"/>
        </w:rPr>
      </w:pPr>
      <w:r>
        <w:rPr>
          <w:rFonts w:hint="eastAsia" w:ascii="宋体" w:hAnsi="宋体" w:cs="宋体"/>
          <w:color w:val="auto"/>
          <w:highlight w:val="none"/>
        </w:rPr>
        <w:t>（4）确定中标候选人名单，以及根据采购人委托直接确定中标人；</w:t>
      </w:r>
    </w:p>
    <w:p w14:paraId="05C31CFD">
      <w:pPr>
        <w:ind w:firstLine="420"/>
        <w:rPr>
          <w:rFonts w:ascii="宋体" w:hAnsi="宋体" w:cs="宋体"/>
          <w:color w:val="auto"/>
          <w:highlight w:val="none"/>
        </w:rPr>
      </w:pPr>
      <w:r>
        <w:rPr>
          <w:rFonts w:hint="eastAsia" w:ascii="宋体" w:hAnsi="宋体" w:cs="宋体"/>
          <w:color w:val="auto"/>
          <w:highlight w:val="none"/>
        </w:rPr>
        <w:t>（5）向采购人、采购代理机构或者有关部门报告评标中发现的违法行为。</w:t>
      </w:r>
    </w:p>
    <w:p w14:paraId="131AE989">
      <w:pPr>
        <w:ind w:firstLine="420"/>
        <w:rPr>
          <w:rFonts w:ascii="宋体" w:hAnsi="宋体" w:cs="宋体"/>
          <w:color w:val="auto"/>
          <w:highlight w:val="none"/>
        </w:rPr>
      </w:pPr>
      <w:r>
        <w:rPr>
          <w:rFonts w:hint="eastAsia" w:ascii="宋体" w:hAnsi="宋体" w:cs="宋体"/>
          <w:color w:val="auto"/>
          <w:highlight w:val="none"/>
        </w:rPr>
        <w:t>26.2评标委员会由采购人代表和评审专家组成，成员人数详见《投标人须知前附表》，其中评审专家不得少于成员总数的三分之二。评标委员会应当推选组长，但采购人代表不得担任组长。</w:t>
      </w:r>
    </w:p>
    <w:p w14:paraId="3351CDFC">
      <w:pPr>
        <w:ind w:firstLine="420"/>
        <w:rPr>
          <w:rFonts w:ascii="宋体" w:hAnsi="宋体" w:cs="宋体"/>
          <w:color w:val="auto"/>
          <w:highlight w:val="none"/>
        </w:rPr>
      </w:pPr>
      <w:bookmarkStart w:id="529" w:name="OLE_LINK88"/>
      <w:r>
        <w:rPr>
          <w:rFonts w:hint="eastAsia" w:ascii="宋体" w:hAnsi="宋体" w:cs="宋体"/>
          <w:color w:val="auto"/>
          <w:highlight w:val="none"/>
        </w:rPr>
        <w:t>26.3评标活动遵循公平、公正、科学和</w:t>
      </w:r>
      <w:bookmarkStart w:id="530" w:name="OLE_LINK87"/>
      <w:r>
        <w:rPr>
          <w:rFonts w:hint="eastAsia" w:ascii="宋体" w:hAnsi="宋体" w:cs="宋体"/>
          <w:color w:val="auto"/>
          <w:highlight w:val="none"/>
        </w:rPr>
        <w:t>择优</w:t>
      </w:r>
      <w:bookmarkEnd w:id="530"/>
      <w:r>
        <w:rPr>
          <w:rFonts w:hint="eastAsia" w:ascii="宋体" w:hAnsi="宋体" w:cs="宋体"/>
          <w:color w:val="auto"/>
          <w:highlight w:val="none"/>
        </w:rPr>
        <w:t>的原</w:t>
      </w:r>
      <w:bookmarkStart w:id="531" w:name="OLE_LINK85"/>
      <w:r>
        <w:rPr>
          <w:rFonts w:hint="eastAsia" w:ascii="宋体" w:hAnsi="宋体" w:cs="宋体"/>
          <w:color w:val="auto"/>
          <w:highlight w:val="none"/>
        </w:rPr>
        <w:t>则</w:t>
      </w:r>
      <w:bookmarkEnd w:id="529"/>
      <w:r>
        <w:rPr>
          <w:rFonts w:hint="eastAsia" w:ascii="宋体" w:hAnsi="宋体" w:cs="宋体"/>
          <w:color w:val="auto"/>
          <w:highlight w:val="none"/>
        </w:rPr>
        <w:t>。</w:t>
      </w:r>
    </w:p>
    <w:p w14:paraId="57A7DA57">
      <w:pPr>
        <w:ind w:firstLine="420"/>
        <w:rPr>
          <w:rFonts w:ascii="宋体" w:hAnsi="宋体" w:cs="宋体"/>
          <w:color w:val="auto"/>
          <w:highlight w:val="none"/>
        </w:rPr>
      </w:pPr>
      <w:r>
        <w:rPr>
          <w:rFonts w:hint="eastAsia" w:ascii="宋体" w:hAnsi="宋体" w:cs="宋体"/>
          <w:color w:val="auto"/>
          <w:highlight w:val="none"/>
        </w:rPr>
        <w:t>26.4本项目评标方法：</w:t>
      </w:r>
      <w:bookmarkStart w:id="532" w:name="OLE_LINK81"/>
      <w:r>
        <w:rPr>
          <w:rFonts w:hint="eastAsia" w:ascii="宋体" w:hAnsi="宋体" w:cs="宋体"/>
          <w:color w:val="auto"/>
          <w:highlight w:val="none"/>
        </w:rPr>
        <w:t>详</w:t>
      </w:r>
      <w:bookmarkEnd w:id="531"/>
      <w:r>
        <w:rPr>
          <w:rFonts w:hint="eastAsia" w:ascii="宋体" w:hAnsi="宋体" w:cs="宋体"/>
          <w:color w:val="auto"/>
          <w:highlight w:val="none"/>
        </w:rPr>
        <w:t>见《投标人须知前附表》</w:t>
      </w:r>
      <w:bookmarkEnd w:id="532"/>
      <w:r>
        <w:rPr>
          <w:rFonts w:hint="eastAsia" w:ascii="宋体" w:hAnsi="宋体" w:cs="宋体"/>
          <w:color w:val="auto"/>
          <w:highlight w:val="none"/>
        </w:rPr>
        <w:t>。</w:t>
      </w:r>
    </w:p>
    <w:p w14:paraId="10610185">
      <w:pPr>
        <w:ind w:firstLine="420"/>
        <w:rPr>
          <w:rFonts w:ascii="宋体" w:hAnsi="宋体" w:cs="宋体"/>
          <w:color w:val="auto"/>
          <w:highlight w:val="none"/>
        </w:rPr>
      </w:pPr>
      <w:r>
        <w:rPr>
          <w:rFonts w:hint="eastAsia" w:ascii="宋体" w:hAnsi="宋体" w:cs="宋体"/>
          <w:color w:val="auto"/>
          <w:highlight w:val="none"/>
        </w:rPr>
        <w:t>26.5 评标委员会发现招标文</w:t>
      </w:r>
      <w:r>
        <w:rPr>
          <w:rFonts w:ascii="Times New Roman" w:hAnsi="Times New Roman" w:cs="Times New Roman"/>
          <w:color w:val="auto"/>
          <w:highlight w:val="none"/>
        </w:rPr>
        <w:t>件存在</w:t>
      </w:r>
      <w:bookmarkStart w:id="533" w:name="OLE_LINK82"/>
      <w:r>
        <w:rPr>
          <w:rFonts w:ascii="Times New Roman" w:hAnsi="Times New Roman" w:cs="Times New Roman"/>
          <w:color w:val="auto"/>
          <w:highlight w:val="none"/>
        </w:rPr>
        <w:t>歧</w:t>
      </w:r>
      <w:bookmarkEnd w:id="533"/>
      <w:r>
        <w:rPr>
          <w:rFonts w:ascii="Times New Roman" w:hAnsi="Times New Roman" w:cs="Times New Roman"/>
          <w:color w:val="auto"/>
          <w:highlight w:val="none"/>
        </w:rPr>
        <w:t>义、</w:t>
      </w:r>
      <w:bookmarkStart w:id="534" w:name="OLE_LINK83"/>
      <w:r>
        <w:rPr>
          <w:rFonts w:ascii="Times New Roman" w:hAnsi="Times New Roman" w:cs="Times New Roman"/>
          <w:color w:val="auto"/>
          <w:highlight w:val="none"/>
        </w:rPr>
        <w:t>重大缺陷</w:t>
      </w:r>
      <w:bookmarkEnd w:id="534"/>
      <w:r>
        <w:rPr>
          <w:rFonts w:ascii="Times New Roman" w:hAnsi="Times New Roman" w:cs="Times New Roman"/>
          <w:color w:val="auto"/>
          <w:highlight w:val="none"/>
        </w:rPr>
        <w:t>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58E2AEB7">
      <w:pPr>
        <w:ind w:firstLine="420"/>
        <w:rPr>
          <w:rFonts w:ascii="宋体" w:hAnsi="宋体" w:cs="宋体"/>
          <w:color w:val="auto"/>
          <w:highlight w:val="none"/>
        </w:rPr>
      </w:pPr>
      <w:r>
        <w:rPr>
          <w:rFonts w:hint="eastAsia" w:ascii="宋体" w:hAnsi="宋体" w:cs="宋体"/>
          <w:color w:val="auto"/>
          <w:highlight w:val="none"/>
        </w:rPr>
        <w:t>26.6评标过程的保密</w:t>
      </w:r>
    </w:p>
    <w:p w14:paraId="1E66D572">
      <w:pPr>
        <w:ind w:firstLine="420"/>
        <w:rPr>
          <w:rFonts w:ascii="宋体" w:hAnsi="宋体" w:cs="宋体"/>
          <w:color w:val="auto"/>
          <w:highlight w:val="none"/>
        </w:rPr>
      </w:pPr>
      <w:r>
        <w:rPr>
          <w:rFonts w:hint="eastAsia" w:ascii="宋体" w:hAnsi="宋体" w:cs="宋体"/>
          <w:color w:val="auto"/>
          <w:highlight w:val="none"/>
        </w:rPr>
        <w:t>26.6.1评标在严格保密的情况下进行。有关人员对评标情况以及在评标过程中获悉的国家秘密、商业秘密负有保密责任。</w:t>
      </w:r>
    </w:p>
    <w:p w14:paraId="6F8F9B63">
      <w:pPr>
        <w:ind w:firstLine="420"/>
        <w:rPr>
          <w:rFonts w:ascii="Times New Roman" w:hAnsi="Times New Roman" w:cs="Times New Roman"/>
          <w:color w:val="auto"/>
          <w:highlight w:val="none"/>
        </w:rPr>
      </w:pPr>
      <w:r>
        <w:rPr>
          <w:rFonts w:hint="eastAsia" w:ascii="宋体" w:hAnsi="宋体" w:cs="宋体"/>
          <w:color w:val="auto"/>
          <w:highlight w:val="none"/>
        </w:rPr>
        <w:t>26.6.2任何单位和个人不得非法干预、影响评审工作。采购人、采购代理机构和评审委员会在评审工作中，依法相互监督和制约，并自觉接受财政部门的监督。对非法干预评审工作等违法违规行为，将及时向财政部门报告。</w:t>
      </w:r>
      <w:bookmarkStart w:id="535" w:name="_Toc489197839"/>
      <w:bookmarkStart w:id="536" w:name="_Toc37716381"/>
      <w:bookmarkStart w:id="537" w:name="_Toc22222"/>
      <w:bookmarkStart w:id="538" w:name="_Toc31256"/>
      <w:bookmarkStart w:id="539" w:name="_Toc38338301"/>
      <w:bookmarkStart w:id="540" w:name="_Toc489145735"/>
      <w:bookmarkStart w:id="541" w:name="_Toc11454"/>
      <w:bookmarkStart w:id="542" w:name="_Toc7282"/>
    </w:p>
    <w:p w14:paraId="6E427818">
      <w:pPr>
        <w:pStyle w:val="4"/>
        <w:spacing w:before="165"/>
        <w:ind w:firstLine="482"/>
        <w:rPr>
          <w:rFonts w:ascii="Times New Roman" w:hAnsi="Times New Roman" w:cs="Times New Roman"/>
          <w:color w:val="auto"/>
          <w:highlight w:val="none"/>
        </w:rPr>
      </w:pPr>
      <w:bookmarkStart w:id="543" w:name="_Toc14706"/>
      <w:bookmarkStart w:id="544" w:name="OLE_LINK89"/>
      <w:r>
        <w:rPr>
          <w:rFonts w:hint="eastAsia" w:ascii="Times New Roman" w:hAnsi="Times New Roman" w:cs="Times New Roman"/>
          <w:color w:val="auto"/>
          <w:highlight w:val="none"/>
        </w:rPr>
        <w:t>27.</w:t>
      </w:r>
      <w:r>
        <w:rPr>
          <w:rFonts w:ascii="Times New Roman" w:hAnsi="Times New Roman" w:cs="Times New Roman"/>
          <w:color w:val="auto"/>
          <w:highlight w:val="none"/>
        </w:rPr>
        <w:t>投标文件的澄清和补正原则</w:t>
      </w:r>
      <w:bookmarkEnd w:id="543"/>
    </w:p>
    <w:bookmarkEnd w:id="544"/>
    <w:p w14:paraId="62214B1D">
      <w:pPr>
        <w:ind w:firstLine="420"/>
        <w:rPr>
          <w:rFonts w:ascii="Times New Roman" w:hAnsi="Times New Roman" w:cs="Times New Roman"/>
          <w:color w:val="auto"/>
          <w:szCs w:val="21"/>
          <w:highlight w:val="none"/>
        </w:rPr>
      </w:pPr>
      <w:r>
        <w:rPr>
          <w:rFonts w:hint="eastAsia" w:ascii="Times New Roman" w:hAnsi="Times New Roman" w:cs="Times New Roman"/>
          <w:color w:val="auto"/>
          <w:highlight w:val="none"/>
        </w:rPr>
        <w:t>27</w:t>
      </w:r>
      <w:r>
        <w:rPr>
          <w:rFonts w:ascii="Times New Roman" w:hAnsi="Times New Roman" w:cs="Times New Roman"/>
          <w:color w:val="auto"/>
          <w:highlight w:val="none"/>
        </w:rPr>
        <w:t>.1 在评标过程中，评标委员会可以书面形式要求投标人对所提交的投标文件中含义不明确、同类问题表述不一致或者有明显文字和计算错误的内容，进行书面澄清或说明，或者对细微偏差进行补正。评标委员会不接受投标人主动提出的澄清、说明或补正。</w:t>
      </w:r>
    </w:p>
    <w:p w14:paraId="7F6AC0E0">
      <w:pPr>
        <w:ind w:firstLine="420"/>
        <w:rPr>
          <w:rFonts w:ascii="Times New Roman" w:hAnsi="Times New Roman" w:cs="Times New Roman"/>
          <w:color w:val="auto"/>
          <w:highlight w:val="none"/>
        </w:rPr>
      </w:pPr>
      <w:r>
        <w:rPr>
          <w:rFonts w:hint="eastAsia" w:ascii="Times New Roman" w:hAnsi="Times New Roman" w:cs="Times New Roman"/>
          <w:color w:val="auto"/>
          <w:highlight w:val="none"/>
        </w:rPr>
        <w:t>27</w:t>
      </w:r>
      <w:r>
        <w:rPr>
          <w:rFonts w:ascii="Times New Roman" w:hAnsi="Times New Roman" w:cs="Times New Roman"/>
          <w:color w:val="auto"/>
          <w:highlight w:val="none"/>
        </w:rPr>
        <w:t>.2 投标人的澄清、说明或者补正应当采用书面形式，并加盖公章，或者由法定代表人或其授权的代表签字，并不得改变投标文件的实质性内容（算术性错误修正的除外）。投标人的书面澄清、说明和补正属于投标文件的组成部分。</w:t>
      </w:r>
    </w:p>
    <w:p w14:paraId="0D0C9F4B">
      <w:pPr>
        <w:ind w:firstLine="420"/>
        <w:rPr>
          <w:rFonts w:ascii="Times New Roman" w:hAnsi="Times New Roman" w:cs="Times New Roman"/>
          <w:color w:val="auto"/>
          <w:highlight w:val="none"/>
        </w:rPr>
      </w:pPr>
      <w:r>
        <w:rPr>
          <w:rFonts w:hint="eastAsia" w:ascii="Times New Roman" w:hAnsi="Times New Roman" w:cs="Times New Roman"/>
          <w:color w:val="auto"/>
          <w:highlight w:val="none"/>
        </w:rPr>
        <w:t>27</w:t>
      </w:r>
      <w:r>
        <w:rPr>
          <w:rFonts w:ascii="Times New Roman" w:hAnsi="Times New Roman" w:cs="Times New Roman"/>
          <w:color w:val="auto"/>
          <w:highlight w:val="none"/>
        </w:rPr>
        <w:t>.3 评标委员会对投标人提交的澄清、说明或补正有疑问的，可以要求投标人进一步澄清、说明或补正，直至满足评标委员会的要求。</w:t>
      </w:r>
    </w:p>
    <w:p w14:paraId="051800D1">
      <w:pPr>
        <w:spacing w:beforeLines="50"/>
        <w:ind w:firstLine="482"/>
        <w:outlineLvl w:val="2"/>
        <w:rPr>
          <w:rFonts w:ascii="Times New Roman" w:hAnsi="Times New Roman" w:eastAsia="黑体" w:cs="Times New Roman"/>
          <w:b/>
          <w:bCs/>
          <w:color w:val="auto"/>
          <w:sz w:val="24"/>
          <w:szCs w:val="32"/>
          <w:highlight w:val="none"/>
        </w:rPr>
      </w:pPr>
      <w:bookmarkStart w:id="545" w:name="OLE_LINK90"/>
      <w:r>
        <w:rPr>
          <w:rFonts w:hint="eastAsia" w:ascii="Times New Roman" w:hAnsi="Times New Roman" w:eastAsia="黑体" w:cs="Times New Roman"/>
          <w:b/>
          <w:bCs/>
          <w:color w:val="auto"/>
          <w:sz w:val="24"/>
          <w:szCs w:val="32"/>
          <w:highlight w:val="none"/>
        </w:rPr>
        <w:t>28.报价修正</w:t>
      </w:r>
      <w:r>
        <w:rPr>
          <w:rFonts w:ascii="Times New Roman" w:hAnsi="Times New Roman" w:eastAsia="黑体" w:cs="Times New Roman"/>
          <w:b/>
          <w:bCs/>
          <w:color w:val="auto"/>
          <w:sz w:val="24"/>
          <w:szCs w:val="32"/>
          <w:highlight w:val="none"/>
        </w:rPr>
        <w:t>原则</w:t>
      </w:r>
    </w:p>
    <w:p w14:paraId="2BF24963">
      <w:pPr>
        <w:ind w:firstLine="420"/>
        <w:rPr>
          <w:rFonts w:ascii="Times New Roman" w:hAnsi="Times New Roman" w:cs="Times New Roman"/>
          <w:color w:val="auto"/>
          <w:highlight w:val="none"/>
        </w:rPr>
      </w:pPr>
      <w:r>
        <w:rPr>
          <w:rFonts w:hint="eastAsia" w:ascii="Times New Roman" w:hAnsi="Times New Roman" w:cs="Times New Roman"/>
          <w:color w:val="auto"/>
          <w:highlight w:val="none"/>
        </w:rPr>
        <w:t>28</w:t>
      </w:r>
      <w:r>
        <w:rPr>
          <w:rFonts w:ascii="Times New Roman" w:hAnsi="Times New Roman" w:cs="Times New Roman"/>
          <w:color w:val="auto"/>
          <w:highlight w:val="none"/>
        </w:rPr>
        <w:t>.1 投标文件报价出现前后不一致的，除招标文件另有规定外，按照下列规定修正</w:t>
      </w:r>
      <w:r>
        <w:rPr>
          <w:rFonts w:hint="eastAsia" w:ascii="Times New Roman" w:hAnsi="Times New Roman" w:cs="Times New Roman"/>
          <w:color w:val="auto"/>
          <w:highlight w:val="none"/>
        </w:rPr>
        <w:t>：</w:t>
      </w:r>
    </w:p>
    <w:p w14:paraId="32640F0B">
      <w:pPr>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rPr>
        <w:t>1</w:t>
      </w:r>
      <w:r>
        <w:rPr>
          <w:rFonts w:ascii="Times New Roman" w:hAnsi="Times New Roman" w:cs="Times New Roman"/>
          <w:color w:val="auto"/>
          <w:highlight w:val="none"/>
        </w:rPr>
        <w:t>）投标文件中开标一览表（报价表）内容与投标文件中相应内容不一致的，以开标一览表（报价表）为准；</w:t>
      </w:r>
    </w:p>
    <w:p w14:paraId="10A15BDC">
      <w:pPr>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rPr>
        <w:t>2</w:t>
      </w:r>
      <w:r>
        <w:rPr>
          <w:rFonts w:ascii="Times New Roman" w:hAnsi="Times New Roman" w:cs="Times New Roman"/>
          <w:color w:val="auto"/>
          <w:highlight w:val="none"/>
        </w:rPr>
        <w:t>）大写金额和小写金额不一致的，以大写金额为准；</w:t>
      </w:r>
    </w:p>
    <w:p w14:paraId="46F1A667">
      <w:pPr>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rPr>
        <w:t>3</w:t>
      </w:r>
      <w:r>
        <w:rPr>
          <w:rFonts w:ascii="Times New Roman" w:hAnsi="Times New Roman" w:cs="Times New Roman"/>
          <w:color w:val="auto"/>
          <w:highlight w:val="none"/>
        </w:rPr>
        <w:t>）单价金额小数点或者百分比有明显错位的，以开标一览表的总价为准，并修改单价；</w:t>
      </w:r>
    </w:p>
    <w:p w14:paraId="408D1EB4">
      <w:pPr>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rPr>
        <w:t>4</w:t>
      </w:r>
      <w:r>
        <w:rPr>
          <w:rFonts w:ascii="Times New Roman" w:hAnsi="Times New Roman" w:cs="Times New Roman"/>
          <w:color w:val="auto"/>
          <w:highlight w:val="none"/>
        </w:rPr>
        <w:t>）总价金额与按单价汇总金额不一致的，以单价金额计算结果为准。</w:t>
      </w:r>
    </w:p>
    <w:p w14:paraId="77DB7103">
      <w:pPr>
        <w:ind w:firstLine="420"/>
        <w:rPr>
          <w:rFonts w:ascii="Times New Roman" w:hAnsi="Times New Roman" w:cs="Times New Roman"/>
          <w:color w:val="auto"/>
          <w:highlight w:val="none"/>
        </w:rPr>
      </w:pPr>
      <w:r>
        <w:rPr>
          <w:rFonts w:ascii="Times New Roman" w:hAnsi="Times New Roman" w:cs="Times New Roman"/>
          <w:color w:val="auto"/>
          <w:highlight w:val="none"/>
        </w:rPr>
        <w:t>同时出现两种以上不一致的，按照前款规定的顺序修正。修正后的报价经投标人确认后产生约束力，投标人不确认的，其投标无效。</w:t>
      </w:r>
    </w:p>
    <w:bookmarkEnd w:id="535"/>
    <w:bookmarkEnd w:id="536"/>
    <w:bookmarkEnd w:id="537"/>
    <w:bookmarkEnd w:id="538"/>
    <w:bookmarkEnd w:id="539"/>
    <w:bookmarkEnd w:id="540"/>
    <w:bookmarkEnd w:id="541"/>
    <w:bookmarkEnd w:id="542"/>
    <w:bookmarkEnd w:id="545"/>
    <w:p w14:paraId="024ED49F">
      <w:pPr>
        <w:pStyle w:val="4"/>
        <w:spacing w:beforeLines="0"/>
        <w:ind w:firstLine="482"/>
        <w:rPr>
          <w:rFonts w:ascii="黑体" w:hAnsi="黑体" w:cs="黑体"/>
          <w:color w:val="auto"/>
          <w:highlight w:val="none"/>
        </w:rPr>
      </w:pPr>
      <w:bookmarkStart w:id="546" w:name="_Toc11055"/>
      <w:bookmarkStart w:id="547" w:name="_Toc13507"/>
      <w:bookmarkStart w:id="548" w:name="_Toc28983"/>
      <w:bookmarkStart w:id="549" w:name="_Toc38338302"/>
      <w:bookmarkStart w:id="550" w:name="_Toc16934"/>
      <w:bookmarkStart w:id="551" w:name="_Toc37716382"/>
      <w:bookmarkStart w:id="552" w:name="_Toc7465"/>
      <w:r>
        <w:rPr>
          <w:rFonts w:hint="eastAsia" w:ascii="黑体" w:hAnsi="黑体" w:cs="黑体"/>
          <w:color w:val="auto"/>
          <w:highlight w:val="none"/>
        </w:rPr>
        <w:t>29.投标无效</w:t>
      </w:r>
      <w:bookmarkEnd w:id="546"/>
    </w:p>
    <w:p w14:paraId="63A71785">
      <w:pPr>
        <w:ind w:firstLine="422"/>
        <w:rPr>
          <w:rFonts w:ascii="宋体" w:hAnsi="宋体" w:cs="宋体"/>
          <w:b/>
          <w:bCs/>
          <w:color w:val="auto"/>
          <w:highlight w:val="none"/>
        </w:rPr>
      </w:pPr>
      <w:bookmarkStart w:id="553" w:name="_Toc13228"/>
      <w:r>
        <w:rPr>
          <w:rFonts w:hint="eastAsia" w:ascii="宋体" w:hAnsi="宋体" w:cs="宋体"/>
          <w:b/>
          <w:bCs/>
          <w:color w:val="auto"/>
          <w:highlight w:val="none"/>
        </w:rPr>
        <w:t>29.1有下列情形之一的，视为投标人串通投标，其投标无效</w:t>
      </w:r>
      <w:bookmarkEnd w:id="547"/>
      <w:bookmarkEnd w:id="548"/>
      <w:bookmarkEnd w:id="549"/>
      <w:bookmarkEnd w:id="550"/>
      <w:bookmarkEnd w:id="551"/>
      <w:bookmarkEnd w:id="552"/>
      <w:bookmarkEnd w:id="553"/>
      <w:r>
        <w:rPr>
          <w:rFonts w:hint="eastAsia" w:ascii="宋体" w:hAnsi="宋体" w:cs="宋体"/>
          <w:b/>
          <w:bCs/>
          <w:color w:val="auto"/>
          <w:highlight w:val="none"/>
        </w:rPr>
        <w:t>：</w:t>
      </w:r>
    </w:p>
    <w:p w14:paraId="42919B17">
      <w:pPr>
        <w:ind w:firstLine="420"/>
        <w:rPr>
          <w:rFonts w:ascii="宋体" w:hAnsi="宋体" w:cs="宋体"/>
          <w:color w:val="auto"/>
          <w:highlight w:val="none"/>
        </w:rPr>
      </w:pPr>
      <w:r>
        <w:rPr>
          <w:rFonts w:hint="eastAsia" w:ascii="宋体" w:hAnsi="宋体" w:cs="宋体"/>
          <w:color w:val="auto"/>
          <w:highlight w:val="none"/>
        </w:rPr>
        <w:t>（1）不同投标人的投标文件由同一单位或者个人编制；</w:t>
      </w:r>
    </w:p>
    <w:p w14:paraId="336A87BB">
      <w:pPr>
        <w:ind w:firstLine="420"/>
        <w:rPr>
          <w:rFonts w:ascii="宋体" w:hAnsi="宋体" w:cs="宋体"/>
          <w:color w:val="auto"/>
          <w:highlight w:val="none"/>
        </w:rPr>
      </w:pPr>
      <w:r>
        <w:rPr>
          <w:rFonts w:hint="eastAsia" w:ascii="宋体" w:hAnsi="宋体" w:cs="宋体"/>
          <w:color w:val="auto"/>
          <w:highlight w:val="none"/>
        </w:rPr>
        <w:t>（2）不同投标人委托同一单位或者个人办理投标事宜；</w:t>
      </w:r>
    </w:p>
    <w:p w14:paraId="7F467553">
      <w:pPr>
        <w:ind w:firstLine="420"/>
        <w:rPr>
          <w:rFonts w:ascii="宋体" w:hAnsi="宋体" w:cs="宋体"/>
          <w:color w:val="auto"/>
          <w:highlight w:val="none"/>
        </w:rPr>
      </w:pPr>
      <w:r>
        <w:rPr>
          <w:rFonts w:hint="eastAsia" w:ascii="宋体" w:hAnsi="宋体" w:cs="宋体"/>
          <w:color w:val="auto"/>
          <w:highlight w:val="none"/>
        </w:rPr>
        <w:t>（3）不同投标人的投标文件载明的项目管理成员或者联系人员为同一人；</w:t>
      </w:r>
    </w:p>
    <w:p w14:paraId="095146EB">
      <w:pPr>
        <w:ind w:firstLine="420"/>
        <w:rPr>
          <w:rFonts w:ascii="宋体" w:hAnsi="宋体" w:cs="宋体"/>
          <w:color w:val="auto"/>
          <w:highlight w:val="none"/>
        </w:rPr>
      </w:pPr>
      <w:r>
        <w:rPr>
          <w:rFonts w:hint="eastAsia" w:ascii="宋体" w:hAnsi="宋体" w:cs="宋体"/>
          <w:color w:val="auto"/>
          <w:highlight w:val="none"/>
        </w:rPr>
        <w:t>（4）不同投标人的投标文件异常一致或者投标报价呈规律性差异；</w:t>
      </w:r>
    </w:p>
    <w:p w14:paraId="5CAE53EE">
      <w:pPr>
        <w:ind w:firstLine="420"/>
        <w:rPr>
          <w:rFonts w:ascii="宋体" w:hAnsi="宋体" w:cs="宋体"/>
          <w:color w:val="auto"/>
          <w:highlight w:val="none"/>
        </w:rPr>
      </w:pPr>
      <w:r>
        <w:rPr>
          <w:rFonts w:hint="eastAsia" w:ascii="宋体" w:hAnsi="宋体" w:cs="宋体"/>
          <w:color w:val="auto"/>
          <w:highlight w:val="none"/>
        </w:rPr>
        <w:t>（5）不同投标人的投标文件相互混装；</w:t>
      </w:r>
    </w:p>
    <w:p w14:paraId="7ED0AC43">
      <w:pPr>
        <w:ind w:firstLine="420"/>
        <w:rPr>
          <w:rFonts w:ascii="宋体" w:hAnsi="宋体" w:cs="宋体"/>
          <w:color w:val="auto"/>
          <w:highlight w:val="none"/>
        </w:rPr>
      </w:pPr>
      <w:r>
        <w:rPr>
          <w:rFonts w:hint="eastAsia" w:ascii="宋体" w:hAnsi="宋体" w:cs="宋体"/>
          <w:color w:val="auto"/>
          <w:highlight w:val="none"/>
        </w:rPr>
        <w:t>（6）不同投标人的投标保证金从同一单位或者个人的账户转出。</w:t>
      </w:r>
    </w:p>
    <w:p w14:paraId="3A5EBB89">
      <w:pPr>
        <w:ind w:firstLine="420"/>
        <w:rPr>
          <w:rFonts w:ascii="宋体" w:hAnsi="宋体" w:cs="宋体"/>
          <w:color w:val="auto"/>
          <w:highlight w:val="none"/>
        </w:rPr>
      </w:pPr>
      <w:r>
        <w:rPr>
          <w:rFonts w:hint="eastAsia" w:ascii="宋体" w:hAnsi="宋体" w:cs="宋体"/>
          <w:color w:val="auto"/>
          <w:highlight w:val="none"/>
        </w:rPr>
        <w:t>投标人应当遵循公平竞争的原则，不得恶意串通，不得妨碍其他投标人的竞争行为，不得损害采购人或者其他投标人的合法权益。</w:t>
      </w:r>
    </w:p>
    <w:p w14:paraId="0A02323E">
      <w:pPr>
        <w:ind w:firstLine="420"/>
        <w:rPr>
          <w:rFonts w:ascii="宋体" w:hAnsi="宋体" w:cs="宋体"/>
          <w:color w:val="auto"/>
          <w:highlight w:val="none"/>
        </w:rPr>
      </w:pPr>
      <w:r>
        <w:rPr>
          <w:rFonts w:hint="eastAsia" w:ascii="宋体" w:hAnsi="宋体" w:cs="宋体"/>
          <w:color w:val="auto"/>
          <w:highlight w:val="none"/>
        </w:rPr>
        <w:t>在评标过程中发现投标人有上述情形的，评标委员会应当认定其投标无效，并书面报告本级财政部门。</w:t>
      </w:r>
    </w:p>
    <w:p w14:paraId="46DE58D2">
      <w:pPr>
        <w:ind w:firstLine="422"/>
        <w:rPr>
          <w:rFonts w:ascii="宋体" w:hAnsi="宋体" w:cs="宋体"/>
          <w:b/>
          <w:bCs/>
          <w:color w:val="auto"/>
          <w:highlight w:val="none"/>
        </w:rPr>
      </w:pPr>
      <w:bookmarkStart w:id="554" w:name="_Toc38338303"/>
      <w:bookmarkStart w:id="555" w:name="_Toc489145736"/>
      <w:bookmarkStart w:id="556" w:name="_Toc489197840"/>
      <w:bookmarkStart w:id="557" w:name="_Toc19157"/>
      <w:bookmarkStart w:id="558" w:name="_Toc30792"/>
      <w:bookmarkStart w:id="559" w:name="_Toc3125"/>
      <w:bookmarkStart w:id="560" w:name="_Toc22934"/>
      <w:bookmarkStart w:id="561" w:name="_Toc37716383"/>
      <w:r>
        <w:rPr>
          <w:rFonts w:hint="eastAsia" w:ascii="宋体" w:hAnsi="宋体" w:cs="宋体"/>
          <w:b/>
          <w:bCs/>
          <w:color w:val="auto"/>
          <w:highlight w:val="none"/>
        </w:rPr>
        <w:t>29.2投标人存在下列情</w:t>
      </w:r>
      <w:bookmarkStart w:id="562" w:name="_Toc417913977"/>
      <w:r>
        <w:rPr>
          <w:rFonts w:hint="eastAsia" w:ascii="宋体" w:hAnsi="宋体" w:cs="宋体"/>
          <w:b/>
          <w:bCs/>
          <w:color w:val="auto"/>
          <w:highlight w:val="none"/>
        </w:rPr>
        <w:t>况之一的，投标无效</w:t>
      </w:r>
      <w:bookmarkEnd w:id="554"/>
      <w:bookmarkEnd w:id="555"/>
      <w:bookmarkEnd w:id="556"/>
      <w:bookmarkEnd w:id="557"/>
      <w:bookmarkEnd w:id="558"/>
      <w:bookmarkEnd w:id="559"/>
      <w:bookmarkEnd w:id="560"/>
      <w:bookmarkEnd w:id="561"/>
      <w:r>
        <w:rPr>
          <w:rFonts w:hint="eastAsia" w:ascii="宋体" w:hAnsi="宋体" w:cs="宋体"/>
          <w:b/>
          <w:bCs/>
          <w:color w:val="auto"/>
          <w:highlight w:val="none"/>
        </w:rPr>
        <w:t>：</w:t>
      </w:r>
    </w:p>
    <w:p w14:paraId="3DDD0E33">
      <w:pPr>
        <w:ind w:firstLine="420"/>
        <w:rPr>
          <w:rFonts w:ascii="宋体" w:hAnsi="宋体" w:cs="宋体"/>
          <w:color w:val="auto"/>
          <w:highlight w:val="none"/>
        </w:rPr>
      </w:pPr>
      <w:r>
        <w:rPr>
          <w:rFonts w:hint="eastAsia" w:ascii="宋体" w:hAnsi="宋体" w:cs="宋体"/>
          <w:color w:val="auto"/>
          <w:highlight w:val="none"/>
        </w:rPr>
        <w:t>（1）未按照招标文件的</w:t>
      </w:r>
      <w:bookmarkEnd w:id="562"/>
      <w:r>
        <w:rPr>
          <w:rFonts w:hint="eastAsia" w:ascii="宋体" w:hAnsi="宋体" w:cs="宋体"/>
          <w:color w:val="auto"/>
          <w:highlight w:val="none"/>
        </w:rPr>
        <w:t>规定提交投标保证金的；</w:t>
      </w:r>
    </w:p>
    <w:p w14:paraId="3EFCDAD5">
      <w:pPr>
        <w:ind w:firstLine="420"/>
        <w:rPr>
          <w:rFonts w:ascii="宋体" w:hAnsi="宋体" w:cs="宋体"/>
          <w:color w:val="auto"/>
          <w:highlight w:val="none"/>
        </w:rPr>
      </w:pPr>
      <w:r>
        <w:rPr>
          <w:rFonts w:hint="eastAsia" w:ascii="宋体" w:hAnsi="宋体" w:cs="宋体"/>
          <w:color w:val="auto"/>
          <w:highlight w:val="none"/>
        </w:rPr>
        <w:t>（2）投标文件未按招标文件要求签署、盖章的；</w:t>
      </w:r>
    </w:p>
    <w:p w14:paraId="5F372E24">
      <w:pPr>
        <w:ind w:firstLine="420"/>
        <w:rPr>
          <w:rFonts w:ascii="宋体" w:hAnsi="宋体" w:cs="宋体"/>
          <w:color w:val="auto"/>
          <w:highlight w:val="none"/>
        </w:rPr>
      </w:pPr>
      <w:r>
        <w:rPr>
          <w:rFonts w:hint="eastAsia" w:ascii="宋体" w:hAnsi="宋体" w:cs="宋体"/>
          <w:color w:val="auto"/>
          <w:highlight w:val="none"/>
        </w:rPr>
        <w:t>（3）不具备招标文件中规定的资格要求的；</w:t>
      </w:r>
    </w:p>
    <w:p w14:paraId="170C4AD2">
      <w:pPr>
        <w:ind w:firstLine="420"/>
        <w:rPr>
          <w:rFonts w:ascii="宋体" w:hAnsi="宋体" w:cs="宋体"/>
          <w:color w:val="auto"/>
          <w:highlight w:val="none"/>
        </w:rPr>
      </w:pPr>
      <w:r>
        <w:rPr>
          <w:rFonts w:hint="eastAsia" w:ascii="宋体" w:hAnsi="宋体" w:cs="宋体"/>
          <w:color w:val="auto"/>
          <w:highlight w:val="none"/>
        </w:rPr>
        <w:t>（4）报价超过招标文件中规定的预算金额或者最高限价的；</w:t>
      </w:r>
    </w:p>
    <w:p w14:paraId="49511F77">
      <w:pPr>
        <w:ind w:firstLine="420"/>
        <w:rPr>
          <w:rFonts w:ascii="宋体" w:hAnsi="宋体" w:cs="宋体"/>
          <w:color w:val="auto"/>
          <w:highlight w:val="none"/>
        </w:rPr>
      </w:pPr>
      <w:r>
        <w:rPr>
          <w:rFonts w:hint="eastAsia" w:ascii="宋体" w:hAnsi="宋体" w:cs="宋体"/>
          <w:color w:val="auto"/>
          <w:highlight w:val="none"/>
        </w:rPr>
        <w:t>（5）投标文件含有采购人不能接受的</w:t>
      </w:r>
      <w:bookmarkStart w:id="563" w:name="OLE_LINK17"/>
      <w:r>
        <w:rPr>
          <w:rFonts w:hint="eastAsia" w:ascii="宋体" w:hAnsi="宋体" w:cs="宋体"/>
          <w:color w:val="auto"/>
          <w:highlight w:val="none"/>
        </w:rPr>
        <w:t>附加条件的</w:t>
      </w:r>
      <w:bookmarkEnd w:id="563"/>
      <w:r>
        <w:rPr>
          <w:rFonts w:hint="eastAsia" w:ascii="宋体" w:hAnsi="宋体" w:cs="宋体"/>
          <w:color w:val="auto"/>
          <w:highlight w:val="none"/>
        </w:rPr>
        <w:t>；</w:t>
      </w:r>
    </w:p>
    <w:p w14:paraId="6B6FCCE6">
      <w:pPr>
        <w:ind w:firstLine="420"/>
        <w:rPr>
          <w:rFonts w:ascii="宋体" w:hAnsi="宋体" w:cs="宋体"/>
          <w:color w:val="auto"/>
          <w:highlight w:val="none"/>
        </w:rPr>
      </w:pPr>
      <w:r>
        <w:rPr>
          <w:rFonts w:hint="eastAsia" w:ascii="宋体" w:hAnsi="宋体" w:cs="宋体"/>
          <w:color w:val="auto"/>
          <w:highlight w:val="none"/>
        </w:rPr>
        <w:t>（6）法律、法规和招标文件规定的其他无效情形。</w:t>
      </w:r>
    </w:p>
    <w:p w14:paraId="58D3B1B7">
      <w:pPr>
        <w:ind w:firstLine="422"/>
        <w:rPr>
          <w:rFonts w:ascii="宋体" w:hAnsi="宋体" w:cs="宋体"/>
          <w:b/>
          <w:bCs/>
          <w:color w:val="auto"/>
          <w:highlight w:val="none"/>
        </w:rPr>
      </w:pPr>
      <w:bookmarkStart w:id="564" w:name="_Toc4803"/>
      <w:bookmarkStart w:id="565" w:name="_Toc489197841"/>
      <w:bookmarkStart w:id="566" w:name="_Toc37716384"/>
      <w:bookmarkStart w:id="567" w:name="_Toc489145737"/>
      <w:bookmarkStart w:id="568" w:name="_Toc12150"/>
      <w:bookmarkStart w:id="569" w:name="_Toc38338304"/>
      <w:bookmarkStart w:id="570" w:name="_Toc1159"/>
      <w:r>
        <w:rPr>
          <w:rFonts w:hint="eastAsia" w:ascii="宋体" w:hAnsi="宋体" w:cs="宋体"/>
          <w:b/>
          <w:bCs/>
          <w:color w:val="auto"/>
          <w:highlight w:val="none"/>
        </w:rPr>
        <w:t>29.3</w:t>
      </w:r>
      <w:r>
        <w:rPr>
          <w:rFonts w:ascii="宋体" w:hAnsi="宋体" w:cs="宋体"/>
          <w:b/>
          <w:bCs/>
          <w:color w:val="auto"/>
          <w:highlight w:val="none"/>
        </w:rPr>
        <w:t xml:space="preserve"> 在招标采购中，出现下列情形之一的，应予废标</w:t>
      </w:r>
      <w:bookmarkEnd w:id="564"/>
      <w:bookmarkEnd w:id="565"/>
      <w:bookmarkEnd w:id="566"/>
      <w:bookmarkEnd w:id="567"/>
      <w:bookmarkEnd w:id="568"/>
      <w:bookmarkEnd w:id="569"/>
      <w:bookmarkEnd w:id="570"/>
      <w:r>
        <w:rPr>
          <w:rFonts w:hint="eastAsia" w:ascii="宋体" w:hAnsi="宋体" w:cs="宋体"/>
          <w:b/>
          <w:bCs/>
          <w:color w:val="auto"/>
          <w:highlight w:val="none"/>
        </w:rPr>
        <w:t>：</w:t>
      </w:r>
    </w:p>
    <w:p w14:paraId="6C66F32D">
      <w:pPr>
        <w:ind w:firstLine="420"/>
        <w:rPr>
          <w:rFonts w:ascii="宋体" w:hAnsi="宋体" w:cs="宋体"/>
          <w:color w:val="auto"/>
          <w:highlight w:val="none"/>
        </w:rPr>
      </w:pPr>
      <w:r>
        <w:rPr>
          <w:rFonts w:hint="eastAsia" w:ascii="宋体" w:hAnsi="宋体" w:cs="宋体"/>
          <w:color w:val="auto"/>
          <w:highlight w:val="none"/>
        </w:rPr>
        <w:t>（1）符合专业条件的投标人或者对招标文件作实质响应的投标人不足三家的；</w:t>
      </w:r>
    </w:p>
    <w:p w14:paraId="07795D95">
      <w:pPr>
        <w:ind w:firstLine="420"/>
        <w:rPr>
          <w:rFonts w:ascii="宋体" w:hAnsi="宋体" w:cs="宋体"/>
          <w:color w:val="auto"/>
          <w:highlight w:val="none"/>
        </w:rPr>
      </w:pPr>
      <w:r>
        <w:rPr>
          <w:rFonts w:hint="eastAsia" w:ascii="宋体" w:hAnsi="宋体" w:cs="宋体"/>
          <w:color w:val="auto"/>
          <w:highlight w:val="none"/>
        </w:rPr>
        <w:t>（2）出现影响采购公正的违法、违规行为的；</w:t>
      </w:r>
    </w:p>
    <w:p w14:paraId="2C857A19">
      <w:pPr>
        <w:ind w:firstLine="420"/>
        <w:rPr>
          <w:rFonts w:ascii="宋体" w:hAnsi="宋体" w:cs="宋体"/>
          <w:color w:val="auto"/>
          <w:highlight w:val="none"/>
        </w:rPr>
      </w:pPr>
      <w:r>
        <w:rPr>
          <w:rFonts w:hint="eastAsia" w:ascii="宋体" w:hAnsi="宋体" w:cs="宋体"/>
          <w:color w:val="auto"/>
          <w:highlight w:val="none"/>
        </w:rPr>
        <w:t>（3）投标人的报价均超过了采购预算，采购人不能支付的；</w:t>
      </w:r>
    </w:p>
    <w:p w14:paraId="5BB938BC">
      <w:pPr>
        <w:ind w:firstLine="420"/>
        <w:rPr>
          <w:rFonts w:ascii="宋体" w:hAnsi="宋体" w:cs="宋体"/>
          <w:color w:val="auto"/>
          <w:highlight w:val="none"/>
        </w:rPr>
      </w:pPr>
      <w:r>
        <w:rPr>
          <w:rFonts w:hint="eastAsia" w:ascii="宋体" w:hAnsi="宋体" w:cs="宋体"/>
          <w:color w:val="auto"/>
          <w:highlight w:val="none"/>
        </w:rPr>
        <w:t>（4）因重大变故，采购任务取消的。</w:t>
      </w:r>
    </w:p>
    <w:p w14:paraId="373701C6">
      <w:pPr>
        <w:ind w:firstLine="420"/>
        <w:rPr>
          <w:rFonts w:ascii="宋体" w:hAnsi="宋体" w:cs="宋体"/>
          <w:color w:val="auto"/>
          <w:highlight w:val="none"/>
        </w:rPr>
      </w:pPr>
      <w:r>
        <w:rPr>
          <w:rFonts w:hint="eastAsia" w:ascii="宋体" w:hAnsi="宋体" w:cs="宋体"/>
          <w:color w:val="auto"/>
          <w:highlight w:val="none"/>
        </w:rPr>
        <w:t>废标后，采购人应当将废标理由通知所有投标人。</w:t>
      </w:r>
    </w:p>
    <w:p w14:paraId="712917C6">
      <w:pPr>
        <w:pStyle w:val="3"/>
        <w:spacing w:before="165"/>
        <w:jc w:val="center"/>
        <w:rPr>
          <w:rFonts w:ascii="Times New Roman" w:hAnsi="Times New Roman" w:cs="Times New Roman"/>
          <w:color w:val="auto"/>
          <w:highlight w:val="none"/>
        </w:rPr>
      </w:pPr>
      <w:bookmarkStart w:id="571" w:name="_Toc27305"/>
      <w:bookmarkStart w:id="572" w:name="_Toc30651"/>
      <w:bookmarkStart w:id="573" w:name="_Toc38338305"/>
      <w:bookmarkStart w:id="574" w:name="_Toc489197842"/>
      <w:bookmarkStart w:id="575" w:name="_Toc489145738"/>
      <w:bookmarkStart w:id="576" w:name="_Toc7930"/>
      <w:bookmarkStart w:id="577" w:name="_Toc8350"/>
      <w:bookmarkStart w:id="578" w:name="_Toc488633610"/>
      <w:bookmarkStart w:id="579" w:name="_Toc37716385"/>
      <w:r>
        <w:rPr>
          <w:rFonts w:hint="eastAsia" w:ascii="Times New Roman" w:hAnsi="Times New Roman" w:cs="Times New Roman"/>
          <w:color w:val="auto"/>
          <w:highlight w:val="none"/>
        </w:rPr>
        <w:t>七</w:t>
      </w:r>
      <w:r>
        <w:rPr>
          <w:rFonts w:ascii="Times New Roman" w:hAnsi="Times New Roman" w:cs="Times New Roman"/>
          <w:color w:val="auto"/>
          <w:highlight w:val="none"/>
        </w:rPr>
        <w:t>、中标结果</w:t>
      </w:r>
      <w:bookmarkEnd w:id="571"/>
      <w:bookmarkEnd w:id="572"/>
      <w:bookmarkEnd w:id="573"/>
      <w:bookmarkEnd w:id="574"/>
      <w:bookmarkEnd w:id="575"/>
      <w:bookmarkEnd w:id="576"/>
      <w:bookmarkEnd w:id="577"/>
      <w:bookmarkEnd w:id="578"/>
      <w:bookmarkEnd w:id="579"/>
    </w:p>
    <w:p w14:paraId="03936668">
      <w:pPr>
        <w:pStyle w:val="4"/>
        <w:spacing w:before="165"/>
        <w:ind w:firstLine="482"/>
        <w:rPr>
          <w:rFonts w:ascii="Times New Roman" w:hAnsi="Times New Roman" w:cs="Times New Roman"/>
          <w:color w:val="auto"/>
          <w:highlight w:val="none"/>
        </w:rPr>
      </w:pPr>
      <w:bookmarkStart w:id="580" w:name="_Toc28797"/>
      <w:bookmarkStart w:id="581" w:name="_Toc25664"/>
      <w:bookmarkStart w:id="582" w:name="_Toc38338306"/>
      <w:bookmarkStart w:id="583" w:name="_Toc31972"/>
      <w:bookmarkStart w:id="584" w:name="_Toc37716386"/>
      <w:bookmarkStart w:id="585" w:name="_Toc921"/>
      <w:bookmarkStart w:id="586" w:name="_Toc489197843"/>
      <w:bookmarkStart w:id="587" w:name="_Toc489145739"/>
      <w:r>
        <w:rPr>
          <w:rFonts w:hint="eastAsia" w:ascii="Times New Roman" w:hAnsi="Times New Roman" w:cs="Times New Roman"/>
          <w:color w:val="auto"/>
          <w:highlight w:val="none"/>
        </w:rPr>
        <w:t>30</w:t>
      </w:r>
      <w:r>
        <w:rPr>
          <w:rFonts w:ascii="Times New Roman" w:hAnsi="Times New Roman" w:cs="Times New Roman"/>
          <w:color w:val="auto"/>
          <w:highlight w:val="none"/>
        </w:rPr>
        <w:t>.中</w:t>
      </w:r>
      <w:bookmarkStart w:id="588" w:name="_Toc179632584"/>
      <w:bookmarkStart w:id="589" w:name="_Toc401342140"/>
      <w:bookmarkStart w:id="590" w:name="_Toc378239357"/>
      <w:bookmarkStart w:id="591" w:name="_Toc378239176"/>
      <w:bookmarkStart w:id="592" w:name="_Toc378239084"/>
      <w:bookmarkStart w:id="593" w:name="_Toc296602455"/>
      <w:bookmarkStart w:id="594" w:name="_Toc152042342"/>
      <w:bookmarkStart w:id="595" w:name="_Toc246996953"/>
      <w:bookmarkStart w:id="596" w:name="_Toc152045566"/>
      <w:bookmarkStart w:id="597" w:name="_Toc247085724"/>
      <w:bookmarkStart w:id="598" w:name="_Toc246996210"/>
      <w:bookmarkStart w:id="599" w:name="_Toc144974534"/>
      <w:bookmarkStart w:id="600" w:name="_Toc480817649"/>
      <w:bookmarkStart w:id="601" w:name="_Toc13517"/>
      <w:r>
        <w:rPr>
          <w:rFonts w:ascii="Times New Roman" w:hAnsi="Times New Roman" w:cs="Times New Roman"/>
          <w:color w:val="auto"/>
          <w:highlight w:val="none"/>
        </w:rPr>
        <w:t>标</w:t>
      </w:r>
      <w:bookmarkEnd w:id="588"/>
      <w:bookmarkEnd w:id="589"/>
      <w:bookmarkEnd w:id="590"/>
      <w:bookmarkEnd w:id="591"/>
      <w:bookmarkEnd w:id="592"/>
      <w:bookmarkEnd w:id="593"/>
      <w:bookmarkEnd w:id="594"/>
      <w:bookmarkEnd w:id="595"/>
      <w:bookmarkEnd w:id="596"/>
      <w:bookmarkEnd w:id="597"/>
      <w:bookmarkEnd w:id="598"/>
      <w:bookmarkEnd w:id="599"/>
      <w:r>
        <w:rPr>
          <w:rFonts w:ascii="Times New Roman" w:hAnsi="Times New Roman" w:cs="Times New Roman"/>
          <w:color w:val="auto"/>
          <w:highlight w:val="none"/>
        </w:rPr>
        <w:t>人的</w:t>
      </w:r>
      <w:bookmarkEnd w:id="600"/>
      <w:bookmarkEnd w:id="601"/>
      <w:r>
        <w:rPr>
          <w:rFonts w:ascii="Times New Roman" w:hAnsi="Times New Roman" w:cs="Times New Roman"/>
          <w:color w:val="auto"/>
          <w:highlight w:val="none"/>
        </w:rPr>
        <w:t>确</w:t>
      </w:r>
      <w:bookmarkStart w:id="602" w:name="_Toc246996954"/>
      <w:bookmarkStart w:id="603" w:name="_Toc246996211"/>
      <w:bookmarkStart w:id="604" w:name="_Toc296602456"/>
      <w:bookmarkStart w:id="605" w:name="_Toc247085725"/>
      <w:bookmarkStart w:id="606" w:name="_Toc152045567"/>
      <w:bookmarkStart w:id="607" w:name="_Toc179632585"/>
      <w:bookmarkStart w:id="608" w:name="_Toc144974535"/>
      <w:bookmarkStart w:id="609" w:name="_Toc152042343"/>
      <w:r>
        <w:rPr>
          <w:rFonts w:ascii="Times New Roman" w:hAnsi="Times New Roman" w:cs="Times New Roman"/>
          <w:color w:val="auto"/>
          <w:highlight w:val="none"/>
        </w:rPr>
        <w:t>定</w:t>
      </w:r>
      <w:bookmarkEnd w:id="580"/>
      <w:bookmarkEnd w:id="581"/>
      <w:bookmarkEnd w:id="582"/>
      <w:bookmarkEnd w:id="583"/>
      <w:bookmarkEnd w:id="584"/>
      <w:bookmarkEnd w:id="585"/>
      <w:bookmarkEnd w:id="586"/>
      <w:bookmarkEnd w:id="587"/>
    </w:p>
    <w:p w14:paraId="506FC5A0">
      <w:pPr>
        <w:ind w:firstLine="420"/>
        <w:rPr>
          <w:rFonts w:ascii="宋体" w:hAnsi="宋体" w:cs="宋体"/>
          <w:color w:val="auto"/>
          <w:highlight w:val="none"/>
        </w:rPr>
      </w:pPr>
      <w:bookmarkStart w:id="610" w:name="_Toc417913979"/>
      <w:r>
        <w:rPr>
          <w:rFonts w:hint="eastAsia" w:ascii="宋体" w:hAnsi="宋体" w:cs="宋体"/>
          <w:color w:val="auto"/>
          <w:highlight w:val="none"/>
        </w:rPr>
        <w:t>30.1采购代理机构应</w:t>
      </w:r>
      <w:bookmarkEnd w:id="602"/>
      <w:bookmarkEnd w:id="603"/>
      <w:bookmarkEnd w:id="604"/>
      <w:bookmarkEnd w:id="605"/>
      <w:bookmarkEnd w:id="606"/>
      <w:bookmarkEnd w:id="607"/>
      <w:bookmarkEnd w:id="608"/>
      <w:bookmarkEnd w:id="609"/>
      <w:bookmarkEnd w:id="610"/>
      <w:r>
        <w:rPr>
          <w:rFonts w:hint="eastAsia" w:ascii="宋体" w:hAnsi="宋体" w:cs="宋体"/>
          <w:color w:val="auto"/>
          <w:highlight w:val="none"/>
        </w:rPr>
        <w:t>当在评标结束后2个工作日内将评标报告送采购人。</w:t>
      </w:r>
    </w:p>
    <w:p w14:paraId="6E3467C7">
      <w:pPr>
        <w:widowControl/>
        <w:ind w:firstLine="420"/>
        <w:jc w:val="left"/>
        <w:rPr>
          <w:rFonts w:ascii="宋体" w:hAnsi="宋体" w:cs="宋体"/>
          <w:color w:val="auto"/>
          <w:highlight w:val="none"/>
        </w:rPr>
      </w:pPr>
      <w:r>
        <w:rPr>
          <w:rFonts w:hint="eastAsia" w:ascii="宋体" w:hAnsi="宋体" w:cs="宋体"/>
          <w:color w:val="auto"/>
          <w:highlight w:val="none"/>
        </w:rPr>
        <w:t>30.2采购人应当自收到评标报告之日起5个工作日内，在评标报告确定的中标候选人名单中按顺序确定中标人。中标候选人并列的，</w:t>
      </w:r>
      <w:bookmarkStart w:id="611" w:name="OLE_LINK10"/>
      <w:r>
        <w:rPr>
          <w:rFonts w:hint="eastAsia" w:ascii="宋体" w:hAnsi="宋体" w:cs="宋体"/>
          <w:color w:val="auto"/>
          <w:highlight w:val="none"/>
        </w:rPr>
        <w:t>由</w:t>
      </w:r>
      <w:bookmarkEnd w:id="611"/>
      <w:r>
        <w:rPr>
          <w:rFonts w:hint="eastAsia" w:ascii="宋体" w:hAnsi="宋体" w:cs="宋体"/>
          <w:color w:val="auto"/>
          <w:highlight w:val="none"/>
        </w:rPr>
        <w:t>采购人或者采购人委托评标委员会按照招标文件规定的方式确定中标顺序；招标文件未规定的，采取随机抽取的方式确定中标人。</w:t>
      </w:r>
    </w:p>
    <w:p w14:paraId="2994084C">
      <w:pPr>
        <w:pStyle w:val="4"/>
        <w:spacing w:before="165"/>
        <w:ind w:firstLine="482"/>
        <w:rPr>
          <w:rFonts w:ascii="Times New Roman" w:hAnsi="Times New Roman" w:cs="Times New Roman"/>
          <w:color w:val="auto"/>
          <w:highlight w:val="none"/>
        </w:rPr>
      </w:pPr>
      <w:bookmarkStart w:id="612" w:name="_Toc489197844"/>
      <w:bookmarkStart w:id="613" w:name="_Toc489145740"/>
      <w:bookmarkStart w:id="614" w:name="_Toc29421"/>
      <w:bookmarkStart w:id="615" w:name="_Toc22369"/>
      <w:bookmarkStart w:id="616" w:name="_Toc5762"/>
      <w:bookmarkStart w:id="617" w:name="_Toc38338307"/>
      <w:bookmarkStart w:id="618" w:name="_Toc37716387"/>
      <w:bookmarkStart w:id="619" w:name="_Toc24499"/>
      <w:r>
        <w:rPr>
          <w:rFonts w:hint="eastAsia" w:ascii="Times New Roman" w:hAnsi="Times New Roman" w:cs="Times New Roman"/>
          <w:color w:val="auto"/>
          <w:highlight w:val="none"/>
        </w:rPr>
        <w:t>31</w:t>
      </w:r>
      <w:r>
        <w:rPr>
          <w:rFonts w:ascii="Times New Roman" w:hAnsi="Times New Roman" w:cs="Times New Roman"/>
          <w:color w:val="auto"/>
          <w:highlight w:val="none"/>
        </w:rPr>
        <w:t>.中标通知书</w:t>
      </w:r>
      <w:bookmarkEnd w:id="612"/>
      <w:bookmarkEnd w:id="613"/>
      <w:bookmarkEnd w:id="614"/>
      <w:bookmarkEnd w:id="615"/>
      <w:bookmarkEnd w:id="616"/>
      <w:bookmarkEnd w:id="617"/>
      <w:bookmarkEnd w:id="618"/>
      <w:bookmarkEnd w:id="619"/>
    </w:p>
    <w:p w14:paraId="262DBDA9">
      <w:pPr>
        <w:ind w:firstLine="420"/>
        <w:rPr>
          <w:rFonts w:ascii="宋体" w:hAnsi="宋体" w:cs="宋体"/>
          <w:color w:val="auto"/>
          <w:highlight w:val="none"/>
        </w:rPr>
      </w:pPr>
      <w:bookmarkStart w:id="620" w:name="_Toc246996212"/>
      <w:bookmarkStart w:id="621" w:name="_Toc179632586"/>
      <w:bookmarkStart w:id="622" w:name="_Toc144974536"/>
      <w:bookmarkStart w:id="623" w:name="_Toc152045568"/>
      <w:bookmarkStart w:id="624" w:name="_Toc246996955"/>
      <w:bookmarkStart w:id="625" w:name="_Toc152042344"/>
      <w:bookmarkStart w:id="626" w:name="_Toc296602458"/>
      <w:bookmarkStart w:id="627" w:name="_Toc247085726"/>
      <w:r>
        <w:rPr>
          <w:rFonts w:hint="eastAsia" w:ascii="宋体" w:hAnsi="宋体" w:cs="宋体"/>
          <w:color w:val="auto"/>
          <w:highlight w:val="none"/>
        </w:rPr>
        <w:t>31.1中标人确定之</w:t>
      </w:r>
      <w:bookmarkEnd w:id="620"/>
      <w:bookmarkEnd w:id="621"/>
      <w:bookmarkEnd w:id="622"/>
      <w:bookmarkEnd w:id="623"/>
      <w:bookmarkEnd w:id="624"/>
      <w:bookmarkEnd w:id="625"/>
      <w:bookmarkEnd w:id="626"/>
      <w:bookmarkEnd w:id="627"/>
      <w:r>
        <w:rPr>
          <w:rFonts w:hint="eastAsia" w:ascii="宋体" w:hAnsi="宋体" w:cs="宋体"/>
          <w:color w:val="auto"/>
          <w:highlight w:val="none"/>
        </w:rPr>
        <w:t>日起</w:t>
      </w:r>
      <w:bookmarkStart w:id="628" w:name="_Toc246996957"/>
      <w:bookmarkStart w:id="629" w:name="_Toc296602460"/>
      <w:bookmarkStart w:id="630" w:name="_Toc152045570"/>
      <w:bookmarkStart w:id="631" w:name="_Toc144974538"/>
      <w:bookmarkStart w:id="632" w:name="_Toc246996214"/>
      <w:bookmarkStart w:id="633" w:name="_Toc152042346"/>
      <w:bookmarkStart w:id="634" w:name="_Toc247085728"/>
      <w:bookmarkStart w:id="635" w:name="_Toc179632588"/>
      <w:r>
        <w:rPr>
          <w:rFonts w:hint="eastAsia" w:ascii="宋体" w:hAnsi="宋体" w:cs="宋体"/>
          <w:color w:val="auto"/>
          <w:highlight w:val="none"/>
        </w:rPr>
        <w:t>2个工作日内，采购代理机构向中标人发出中标通知书，并在财政部门指定的政府采购信息发布媒体上公告中标结果。中标公告期限为1个工作日。</w:t>
      </w:r>
    </w:p>
    <w:p w14:paraId="70D38C3D">
      <w:pPr>
        <w:ind w:firstLine="420"/>
        <w:rPr>
          <w:rFonts w:ascii="宋体" w:hAnsi="宋体" w:cs="宋体"/>
          <w:color w:val="auto"/>
          <w:highlight w:val="none"/>
        </w:rPr>
      </w:pPr>
      <w:r>
        <w:rPr>
          <w:rFonts w:hint="eastAsia" w:ascii="宋体" w:hAnsi="宋体" w:cs="宋体"/>
          <w:color w:val="auto"/>
          <w:highlight w:val="none"/>
        </w:rPr>
        <w:t>31.2中标通知书是合同的一个组成部分。</w:t>
      </w:r>
    </w:p>
    <w:p w14:paraId="778C7183">
      <w:pPr>
        <w:pStyle w:val="4"/>
        <w:spacing w:before="165"/>
        <w:ind w:firstLine="482"/>
        <w:rPr>
          <w:rFonts w:ascii="Times New Roman" w:hAnsi="Times New Roman" w:cs="Times New Roman"/>
          <w:color w:val="auto"/>
          <w:highlight w:val="none"/>
        </w:rPr>
      </w:pPr>
      <w:bookmarkStart w:id="636" w:name="_Toc14129"/>
      <w:bookmarkStart w:id="637" w:name="_Toc22164"/>
      <w:bookmarkStart w:id="638" w:name="_Toc14947"/>
      <w:bookmarkStart w:id="639" w:name="_Toc489197845"/>
      <w:bookmarkStart w:id="640" w:name="_Toc38338308"/>
      <w:bookmarkStart w:id="641" w:name="_Toc37716388"/>
      <w:bookmarkStart w:id="642" w:name="_Toc31439"/>
      <w:bookmarkStart w:id="643" w:name="_Toc489145741"/>
      <w:r>
        <w:rPr>
          <w:rFonts w:hint="eastAsia" w:ascii="Times New Roman" w:hAnsi="Times New Roman" w:cs="Times New Roman"/>
          <w:color w:val="auto"/>
          <w:highlight w:val="none"/>
        </w:rPr>
        <w:t>32</w:t>
      </w:r>
      <w:r>
        <w:rPr>
          <w:rFonts w:ascii="Times New Roman" w:hAnsi="Times New Roman" w:cs="Times New Roman"/>
          <w:color w:val="auto"/>
          <w:highlight w:val="none"/>
        </w:rPr>
        <w:t>.签订合同</w:t>
      </w:r>
      <w:bookmarkEnd w:id="636"/>
      <w:bookmarkEnd w:id="637"/>
      <w:bookmarkEnd w:id="638"/>
      <w:bookmarkEnd w:id="639"/>
      <w:bookmarkEnd w:id="640"/>
      <w:bookmarkEnd w:id="641"/>
      <w:bookmarkEnd w:id="642"/>
      <w:bookmarkEnd w:id="643"/>
    </w:p>
    <w:p w14:paraId="0A2186B4">
      <w:pPr>
        <w:ind w:firstLine="420"/>
        <w:rPr>
          <w:rFonts w:ascii="宋体" w:hAnsi="宋体" w:cs="宋体"/>
          <w:color w:val="auto"/>
          <w:highlight w:val="none"/>
        </w:rPr>
      </w:pPr>
      <w:r>
        <w:rPr>
          <w:rFonts w:hint="eastAsia" w:ascii="宋体" w:hAnsi="宋体" w:cs="宋体"/>
          <w:color w:val="auto"/>
          <w:highlight w:val="none"/>
        </w:rPr>
        <w:t>32.1采购人应当自中</w:t>
      </w:r>
      <w:bookmarkEnd w:id="628"/>
      <w:bookmarkEnd w:id="629"/>
      <w:bookmarkEnd w:id="630"/>
      <w:bookmarkEnd w:id="631"/>
      <w:bookmarkEnd w:id="632"/>
      <w:bookmarkEnd w:id="633"/>
      <w:bookmarkEnd w:id="634"/>
      <w:bookmarkEnd w:id="635"/>
      <w:r>
        <w:rPr>
          <w:rFonts w:hint="eastAsia" w:ascii="宋体" w:hAnsi="宋体" w:cs="宋体"/>
          <w:color w:val="auto"/>
          <w:highlight w:val="none"/>
        </w:rPr>
        <w:t>标通知书发出之日起30日内，按照招标文件和中标人投标文件的规定，与中标人签订书面合同。所签订的合同不得对招标文件确定的事项和中标人投标文件作实质性修改。</w:t>
      </w:r>
    </w:p>
    <w:p w14:paraId="0CFAA1A3">
      <w:pPr>
        <w:ind w:firstLine="420"/>
        <w:rPr>
          <w:rFonts w:ascii="宋体" w:hAnsi="宋体" w:cs="宋体"/>
          <w:color w:val="auto"/>
          <w:highlight w:val="none"/>
        </w:rPr>
      </w:pPr>
      <w:r>
        <w:rPr>
          <w:rFonts w:hint="eastAsia" w:ascii="宋体" w:hAnsi="宋体" w:cs="宋体"/>
          <w:color w:val="auto"/>
          <w:highlight w:val="none"/>
        </w:rPr>
        <w:t>32.2中标通知书发出后，中标人无正当理由放弃中标或拒签合同的，采购人取消其中标资格，其投标保证金不予退还；给采购人造成的损失超过投标保证金数额的，中标人还应当对超过部分予以赔偿。</w:t>
      </w:r>
    </w:p>
    <w:p w14:paraId="5B7FEB6A">
      <w:pPr>
        <w:ind w:firstLine="420"/>
        <w:rPr>
          <w:rFonts w:ascii="宋体" w:hAnsi="宋体" w:cs="宋体"/>
          <w:color w:val="auto"/>
          <w:highlight w:val="none"/>
        </w:rPr>
      </w:pPr>
      <w:r>
        <w:rPr>
          <w:rFonts w:hint="eastAsia" w:ascii="宋体" w:hAnsi="宋体" w:cs="宋体"/>
          <w:color w:val="auto"/>
          <w:highlight w:val="none"/>
        </w:rPr>
        <w:t>32.3排名第一的中标候选人放弃中标、因不可抗力不能履行合同、不按照招标文件要求提交履约保证金，或者被查实存在影响中标结果的违法行为等情形，不符合中标条件的，采购人将按照评标委员会提出的中标候选人名单排序依次确定其他中标候选人为中标人，也可以重新招标。</w:t>
      </w:r>
    </w:p>
    <w:p w14:paraId="37BF3856">
      <w:pPr>
        <w:ind w:firstLine="420"/>
        <w:rPr>
          <w:rFonts w:ascii="宋体" w:hAnsi="宋体" w:cs="宋体"/>
          <w:color w:val="auto"/>
          <w:highlight w:val="none"/>
        </w:rPr>
      </w:pPr>
      <w:r>
        <w:rPr>
          <w:rFonts w:hint="eastAsia" w:ascii="宋体" w:hAnsi="宋体" w:cs="宋体"/>
          <w:color w:val="auto"/>
          <w:highlight w:val="none"/>
        </w:rPr>
        <w:t>32.4政府采购合同应当包括采购人与中标人的名称和住所、标的、数量、质量、价款或者报酬、履行期限及地点和方式、验收要求、违约责任、解决争议的方法等内容。</w:t>
      </w:r>
    </w:p>
    <w:p w14:paraId="03C0A48A">
      <w:pPr>
        <w:ind w:firstLine="420"/>
        <w:rPr>
          <w:rFonts w:ascii="宋体" w:hAnsi="宋体" w:cs="宋体"/>
          <w:color w:val="auto"/>
          <w:highlight w:val="none"/>
        </w:rPr>
      </w:pPr>
      <w:r>
        <w:rPr>
          <w:rFonts w:hint="eastAsia" w:ascii="宋体" w:hAnsi="宋体" w:cs="宋体"/>
          <w:color w:val="auto"/>
          <w:highlight w:val="none"/>
        </w:rPr>
        <w:t>32.5政府采购合同履行中，采购人需追加与合同标的相同的货物或者服务的，在不改变合同其他条款的前提下，可以与中标人协商签订补充合同，但所有补充合同的采购金额不得超过原合同采购金额的百分之十。</w:t>
      </w:r>
    </w:p>
    <w:p w14:paraId="3AC606DD">
      <w:pPr>
        <w:ind w:firstLine="420"/>
        <w:rPr>
          <w:rFonts w:ascii="宋体" w:hAnsi="宋体" w:cs="宋体"/>
          <w:color w:val="auto"/>
          <w:highlight w:val="none"/>
        </w:rPr>
      </w:pPr>
      <w:r>
        <w:rPr>
          <w:rFonts w:hint="eastAsia" w:ascii="宋体" w:hAnsi="宋体" w:cs="宋体"/>
          <w:color w:val="auto"/>
          <w:highlight w:val="none"/>
        </w:rPr>
        <w:t>32.6采购人允许采用分包方式履行合同的，中标人可以依法在中标后将中标项目的非主体、非关键性工作采取分包方式履行合同。本项目的非主体、非关键性工作是否允许分包，见《投标人须知前附表》。政府采购合同分包履行的，应当在投标文件中载明分包承担主体，分包承担主体应当具备相应资质条件且不得再次分包，否则投标无效。中标人就采购项目和分包项目向采购人负责，分包供应商就分包项目承担责任。</w:t>
      </w:r>
    </w:p>
    <w:p w14:paraId="19C7145F">
      <w:pPr>
        <w:pStyle w:val="4"/>
        <w:spacing w:before="165"/>
        <w:ind w:firstLine="482"/>
        <w:rPr>
          <w:rFonts w:ascii="Times New Roman" w:hAnsi="Times New Roman" w:cs="Times New Roman"/>
          <w:color w:val="auto"/>
          <w:highlight w:val="none"/>
        </w:rPr>
      </w:pPr>
      <w:bookmarkStart w:id="644" w:name="_Toc5181"/>
      <w:bookmarkStart w:id="645" w:name="_Toc489145742"/>
      <w:bookmarkStart w:id="646" w:name="_Toc7332"/>
      <w:bookmarkStart w:id="647" w:name="_Toc489197846"/>
      <w:bookmarkStart w:id="648" w:name="_Toc21082"/>
      <w:bookmarkStart w:id="649" w:name="_Toc12406"/>
      <w:bookmarkStart w:id="650" w:name="_Toc37716389"/>
      <w:bookmarkStart w:id="651" w:name="_Toc38338309"/>
      <w:r>
        <w:rPr>
          <w:rFonts w:hint="eastAsia" w:ascii="Times New Roman" w:hAnsi="Times New Roman" w:cs="Times New Roman"/>
          <w:color w:val="auto"/>
          <w:highlight w:val="none"/>
        </w:rPr>
        <w:t>33</w:t>
      </w:r>
      <w:r>
        <w:rPr>
          <w:rFonts w:ascii="Times New Roman" w:hAnsi="Times New Roman" w:cs="Times New Roman"/>
          <w:color w:val="auto"/>
          <w:highlight w:val="none"/>
        </w:rPr>
        <w:t>.履约保证金</w:t>
      </w:r>
      <w:bookmarkEnd w:id="644"/>
      <w:bookmarkEnd w:id="645"/>
      <w:bookmarkEnd w:id="646"/>
      <w:bookmarkEnd w:id="647"/>
      <w:bookmarkEnd w:id="648"/>
      <w:bookmarkEnd w:id="649"/>
      <w:bookmarkEnd w:id="650"/>
      <w:bookmarkEnd w:id="651"/>
    </w:p>
    <w:p w14:paraId="4482D1B7">
      <w:pPr>
        <w:ind w:firstLine="420"/>
        <w:rPr>
          <w:rFonts w:ascii="宋体" w:hAnsi="宋体" w:cs="宋体"/>
          <w:color w:val="auto"/>
          <w:highlight w:val="none"/>
        </w:rPr>
      </w:pPr>
      <w:bookmarkStart w:id="652" w:name="_Toc417913982"/>
      <w:r>
        <w:rPr>
          <w:rFonts w:hint="eastAsia" w:ascii="宋体" w:hAnsi="宋体" w:cs="宋体"/>
          <w:color w:val="auto"/>
          <w:highlight w:val="none"/>
        </w:rPr>
        <w:t>33.1</w:t>
      </w:r>
      <w:bookmarkEnd w:id="652"/>
      <w:bookmarkStart w:id="653" w:name="OLE_LINK91"/>
      <w:r>
        <w:rPr>
          <w:rFonts w:hint="eastAsia" w:ascii="宋体" w:hAnsi="宋体" w:cs="宋体"/>
          <w:color w:val="auto"/>
          <w:highlight w:val="none"/>
        </w:rPr>
        <w:t>《投标人须知前附表》收取履约保证金的，中标人应按《投标人须知前附表》确定的履约保证金的金额及形式，向采购人提交履约保证金，联合体中标的，其履约保证金由牵头人提交。否则，视为放弃中标项目，投标保证金将不予退还。</w:t>
      </w:r>
      <w:bookmarkEnd w:id="653"/>
    </w:p>
    <w:p w14:paraId="487B8CAC">
      <w:pPr>
        <w:ind w:firstLine="420"/>
        <w:rPr>
          <w:rFonts w:ascii="宋体" w:hAnsi="宋体" w:cs="宋体"/>
          <w:color w:val="auto"/>
          <w:highlight w:val="none"/>
        </w:rPr>
      </w:pPr>
      <w:bookmarkStart w:id="654" w:name="OLE_LINK93"/>
      <w:r>
        <w:rPr>
          <w:rFonts w:hint="eastAsia" w:ascii="宋体" w:hAnsi="宋体" w:cs="宋体"/>
          <w:color w:val="auto"/>
          <w:highlight w:val="none"/>
        </w:rPr>
        <w:t>33.2签订合同后，如中标人不按双方签订合同约定履约，则没收其全部履约保证金，给采购人造成的损失超过履约保证金数额的，中标人还应当对超过部分予以赔偿。</w:t>
      </w:r>
    </w:p>
    <w:bookmarkEnd w:id="654"/>
    <w:p w14:paraId="0E3E6C9D">
      <w:pPr>
        <w:pStyle w:val="3"/>
        <w:spacing w:before="165"/>
        <w:jc w:val="center"/>
        <w:rPr>
          <w:rFonts w:ascii="Times New Roman" w:hAnsi="Times New Roman" w:cs="Times New Roman"/>
          <w:color w:val="auto"/>
          <w:highlight w:val="none"/>
        </w:rPr>
      </w:pPr>
      <w:bookmarkStart w:id="655" w:name="_Toc13284_WPSOffice_Level2"/>
      <w:bookmarkStart w:id="656" w:name="_Toc132880280"/>
      <w:bookmarkStart w:id="657" w:name="_Toc23713"/>
      <w:bookmarkStart w:id="658" w:name="OLE_LINK92"/>
      <w:bookmarkStart w:id="659" w:name="_Toc38338310"/>
      <w:bookmarkStart w:id="660" w:name="_Toc29233"/>
      <w:bookmarkStart w:id="661" w:name="_Toc489145743"/>
      <w:bookmarkStart w:id="662" w:name="_Toc14512"/>
      <w:bookmarkStart w:id="663" w:name="_Toc489197847"/>
      <w:bookmarkStart w:id="664" w:name="_Toc30656"/>
      <w:bookmarkStart w:id="665" w:name="_Toc37716390"/>
      <w:bookmarkStart w:id="666" w:name="_Toc488633611"/>
      <w:r>
        <w:rPr>
          <w:rFonts w:hint="eastAsia" w:ascii="Times New Roman" w:hAnsi="Times New Roman" w:cs="Times New Roman"/>
          <w:color w:val="auto"/>
          <w:highlight w:val="none"/>
        </w:rPr>
        <w:t>八、质疑</w:t>
      </w:r>
      <w:bookmarkEnd w:id="655"/>
      <w:bookmarkEnd w:id="656"/>
      <w:r>
        <w:rPr>
          <w:rFonts w:hint="eastAsia" w:ascii="Times New Roman" w:hAnsi="Times New Roman" w:cs="Times New Roman"/>
          <w:color w:val="auto"/>
          <w:highlight w:val="none"/>
        </w:rPr>
        <w:t>投诉</w:t>
      </w:r>
      <w:bookmarkEnd w:id="657"/>
    </w:p>
    <w:bookmarkEnd w:id="658"/>
    <w:p w14:paraId="488241AF">
      <w:pPr>
        <w:pStyle w:val="4"/>
        <w:spacing w:before="165"/>
        <w:ind w:firstLine="482"/>
        <w:rPr>
          <w:rFonts w:ascii="Times New Roman" w:hAnsi="Times New Roman" w:cs="Times New Roman"/>
          <w:color w:val="auto"/>
          <w:highlight w:val="none"/>
        </w:rPr>
      </w:pPr>
      <w:bookmarkStart w:id="667" w:name="_Toc15471"/>
      <w:bookmarkStart w:id="668" w:name="_Toc5389"/>
      <w:bookmarkStart w:id="669" w:name="_Toc38338276"/>
      <w:bookmarkStart w:id="670" w:name="_Toc18828"/>
      <w:bookmarkStart w:id="671" w:name="_Toc489145711"/>
      <w:bookmarkStart w:id="672" w:name="_Toc489197815"/>
      <w:bookmarkStart w:id="673" w:name="_Toc37716356"/>
      <w:bookmarkStart w:id="674" w:name="_Toc20061"/>
      <w:r>
        <w:rPr>
          <w:rFonts w:hint="eastAsia" w:ascii="Times New Roman" w:hAnsi="Times New Roman" w:cs="Times New Roman"/>
          <w:color w:val="auto"/>
          <w:highlight w:val="none"/>
        </w:rPr>
        <w:t>34</w:t>
      </w:r>
      <w:r>
        <w:rPr>
          <w:rFonts w:ascii="Times New Roman" w:hAnsi="Times New Roman" w:cs="Times New Roman"/>
          <w:color w:val="auto"/>
          <w:highlight w:val="none"/>
        </w:rPr>
        <w:t>.质疑</w:t>
      </w:r>
      <w:bookmarkEnd w:id="667"/>
      <w:bookmarkEnd w:id="668"/>
      <w:bookmarkEnd w:id="669"/>
      <w:bookmarkEnd w:id="670"/>
      <w:bookmarkEnd w:id="671"/>
      <w:bookmarkEnd w:id="672"/>
      <w:bookmarkEnd w:id="673"/>
      <w:bookmarkEnd w:id="674"/>
    </w:p>
    <w:p w14:paraId="19FEDCBA">
      <w:pPr>
        <w:ind w:firstLine="420"/>
        <w:rPr>
          <w:rFonts w:ascii="宋体" w:hAnsi="宋体" w:cs="宋体"/>
          <w:color w:val="auto"/>
          <w:highlight w:val="none"/>
        </w:rPr>
      </w:pPr>
      <w:bookmarkStart w:id="675" w:name="OLE_LINK163"/>
      <w:r>
        <w:rPr>
          <w:rFonts w:hint="eastAsia" w:ascii="宋体" w:hAnsi="宋体" w:cs="宋体"/>
          <w:color w:val="auto"/>
          <w:highlight w:val="none"/>
        </w:rPr>
        <w:t>34.1</w:t>
      </w:r>
      <w:bookmarkStart w:id="676" w:name="OLE_LINK165"/>
      <w:r>
        <w:rPr>
          <w:rFonts w:hint="eastAsia" w:ascii="宋体" w:hAnsi="宋体" w:cs="宋体"/>
          <w:color w:val="auto"/>
          <w:highlight w:val="none"/>
        </w:rPr>
        <w:t>投标人认为招标文件、采购过程、中标结果使自己的权益受到损害的，可以在知道或者应知其权益受到损害之日起7个工作日内</w:t>
      </w:r>
      <w:bookmarkEnd w:id="676"/>
      <w:r>
        <w:rPr>
          <w:rFonts w:hint="eastAsia" w:ascii="宋体" w:hAnsi="宋体" w:cs="宋体"/>
          <w:color w:val="auto"/>
          <w:highlight w:val="none"/>
        </w:rPr>
        <w:t>，</w:t>
      </w:r>
      <w:bookmarkStart w:id="677" w:name="OLE_LINK164"/>
      <w:r>
        <w:rPr>
          <w:rFonts w:hint="eastAsia" w:ascii="宋体" w:hAnsi="宋体" w:cs="宋体"/>
          <w:color w:val="auto"/>
          <w:highlight w:val="none"/>
        </w:rPr>
        <w:t>以书面形式向采购人、采购代理机构提出质疑。投标人应在法定质疑期内一次性提出针对同一采购程序环节的质疑，否则采购人、采购代理机构有权拒收。</w:t>
      </w:r>
    </w:p>
    <w:p w14:paraId="2D7F5862">
      <w:pPr>
        <w:ind w:firstLine="420"/>
        <w:rPr>
          <w:rFonts w:ascii="宋体" w:hAnsi="宋体" w:cs="宋体"/>
          <w:color w:val="auto"/>
          <w:highlight w:val="none"/>
        </w:rPr>
      </w:pPr>
      <w:bookmarkStart w:id="678" w:name="OLE_LINK333"/>
      <w:r>
        <w:rPr>
          <w:rFonts w:hint="eastAsia" w:ascii="宋体" w:hAnsi="宋体" w:cs="宋体"/>
          <w:color w:val="auto"/>
          <w:highlight w:val="none"/>
        </w:rPr>
        <w:t>34.2招标文件中“知道或者应知其权益受到损害之日”是指：</w:t>
      </w:r>
    </w:p>
    <w:p w14:paraId="7A92DE58">
      <w:pPr>
        <w:ind w:firstLine="420"/>
        <w:rPr>
          <w:rFonts w:ascii="宋体" w:hAnsi="宋体" w:cs="宋体"/>
          <w:color w:val="auto"/>
          <w:highlight w:val="none"/>
        </w:rPr>
      </w:pPr>
      <w:r>
        <w:rPr>
          <w:rFonts w:hint="eastAsia" w:ascii="宋体" w:hAnsi="宋体" w:cs="宋体"/>
          <w:color w:val="auto"/>
          <w:highlight w:val="none"/>
        </w:rPr>
        <w:t>（1）对可以质疑的采购文件提出质疑的，为收到采购文件之日或者采购文件公告期限届满之日；</w:t>
      </w:r>
    </w:p>
    <w:p w14:paraId="6EB38E30">
      <w:pPr>
        <w:ind w:firstLine="420"/>
        <w:rPr>
          <w:rFonts w:ascii="宋体" w:hAnsi="宋体" w:cs="宋体"/>
          <w:color w:val="auto"/>
          <w:highlight w:val="none"/>
        </w:rPr>
      </w:pPr>
      <w:r>
        <w:rPr>
          <w:rFonts w:hint="eastAsia" w:ascii="宋体" w:hAnsi="宋体" w:cs="宋体"/>
          <w:color w:val="auto"/>
          <w:highlight w:val="none"/>
        </w:rPr>
        <w:t>（2）对采购过程提出质疑的</w:t>
      </w:r>
      <w:bookmarkEnd w:id="675"/>
      <w:r>
        <w:rPr>
          <w:rFonts w:hint="eastAsia" w:ascii="宋体" w:hAnsi="宋体" w:cs="宋体"/>
          <w:color w:val="auto"/>
          <w:highlight w:val="none"/>
        </w:rPr>
        <w:t>，为各采购程序环节结束之日；</w:t>
      </w:r>
    </w:p>
    <w:p w14:paraId="3B07FF01">
      <w:pPr>
        <w:ind w:firstLine="420"/>
        <w:rPr>
          <w:rFonts w:ascii="宋体" w:hAnsi="宋体" w:cs="宋体"/>
          <w:color w:val="auto"/>
          <w:highlight w:val="none"/>
        </w:rPr>
      </w:pPr>
      <w:r>
        <w:rPr>
          <w:rFonts w:hint="eastAsia" w:ascii="宋体" w:hAnsi="宋体" w:cs="宋体"/>
          <w:color w:val="auto"/>
          <w:highlight w:val="none"/>
        </w:rPr>
        <w:t>（3）对中标或者成交结果提出质疑的，为中标或者成交结果公告期限届满之日。</w:t>
      </w:r>
    </w:p>
    <w:p w14:paraId="148A68FF">
      <w:pPr>
        <w:ind w:firstLine="420"/>
        <w:rPr>
          <w:rFonts w:ascii="宋体" w:hAnsi="宋体" w:cs="宋体"/>
          <w:color w:val="auto"/>
          <w:highlight w:val="none"/>
        </w:rPr>
      </w:pPr>
      <w:r>
        <w:rPr>
          <w:rFonts w:hint="eastAsia" w:ascii="宋体" w:hAnsi="宋体" w:cs="宋体"/>
          <w:color w:val="auto"/>
          <w:highlight w:val="none"/>
        </w:rPr>
        <w:t>34.3投标人可以委托代理人进行质疑。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应当提交投标人签署的授权委托书。</w:t>
      </w:r>
    </w:p>
    <w:p w14:paraId="14C974D6">
      <w:pPr>
        <w:ind w:firstLine="420"/>
        <w:rPr>
          <w:rFonts w:ascii="宋体" w:hAnsi="宋体" w:cs="宋体"/>
          <w:color w:val="auto"/>
          <w:highlight w:val="none"/>
        </w:rPr>
      </w:pPr>
      <w:r>
        <w:rPr>
          <w:rFonts w:hint="eastAsia" w:ascii="宋体" w:hAnsi="宋体" w:cs="宋体"/>
          <w:color w:val="auto"/>
          <w:highlight w:val="none"/>
        </w:rPr>
        <w:t>提出质疑的投标人应当是参与所质疑项目采购活动的投标人。</w:t>
      </w:r>
    </w:p>
    <w:bookmarkEnd w:id="678"/>
    <w:p w14:paraId="5EF1DF96">
      <w:pPr>
        <w:ind w:firstLine="420"/>
        <w:rPr>
          <w:rFonts w:ascii="宋体" w:hAnsi="宋体" w:cs="宋体"/>
          <w:color w:val="auto"/>
          <w:highlight w:val="none"/>
        </w:rPr>
      </w:pPr>
      <w:r>
        <w:rPr>
          <w:rFonts w:hint="eastAsia" w:ascii="宋体" w:hAnsi="宋体" w:cs="宋体"/>
          <w:color w:val="auto"/>
          <w:highlight w:val="none"/>
        </w:rPr>
        <w:t>34.4投标人提出质疑应符合《政府采购质疑和投诉办法》（中华人民共和国财政部令第94号）和财政部《政府采购供应商质疑函范本》的规定。投标人提出质疑应当提交质疑函和必要的证明材料。质疑函应当包括下列内容：</w:t>
      </w:r>
    </w:p>
    <w:p w14:paraId="5E43F4DB">
      <w:pPr>
        <w:ind w:firstLine="42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2C40DF9B">
      <w:pPr>
        <w:ind w:firstLine="420"/>
        <w:rPr>
          <w:rFonts w:ascii="宋体" w:hAnsi="宋体" w:cs="宋体"/>
          <w:color w:val="auto"/>
          <w:highlight w:val="none"/>
        </w:rPr>
      </w:pPr>
      <w:r>
        <w:rPr>
          <w:rFonts w:hint="eastAsia" w:ascii="宋体" w:hAnsi="宋体" w:cs="宋体"/>
          <w:color w:val="auto"/>
          <w:highlight w:val="none"/>
        </w:rPr>
        <w:t>（2）质疑项目的名称、编号；</w:t>
      </w:r>
    </w:p>
    <w:p w14:paraId="2689D9F7">
      <w:pPr>
        <w:ind w:firstLine="42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14C7C9AE">
      <w:pPr>
        <w:ind w:firstLine="420"/>
        <w:rPr>
          <w:rFonts w:ascii="宋体" w:hAnsi="宋体" w:cs="宋体"/>
          <w:color w:val="auto"/>
          <w:highlight w:val="none"/>
        </w:rPr>
      </w:pPr>
      <w:r>
        <w:rPr>
          <w:rFonts w:hint="eastAsia" w:ascii="宋体" w:hAnsi="宋体" w:cs="宋体"/>
          <w:color w:val="auto"/>
          <w:highlight w:val="none"/>
        </w:rPr>
        <w:t>（4）事实依据；</w:t>
      </w:r>
    </w:p>
    <w:p w14:paraId="7238BE74">
      <w:pPr>
        <w:ind w:firstLine="420"/>
        <w:rPr>
          <w:rFonts w:ascii="宋体" w:hAnsi="宋体" w:cs="宋体"/>
          <w:color w:val="auto"/>
          <w:highlight w:val="none"/>
        </w:rPr>
      </w:pPr>
      <w:r>
        <w:rPr>
          <w:rFonts w:hint="eastAsia" w:ascii="宋体" w:hAnsi="宋体" w:cs="宋体"/>
          <w:color w:val="auto"/>
          <w:highlight w:val="none"/>
        </w:rPr>
        <w:t>（5）必要的法律依据；</w:t>
      </w:r>
    </w:p>
    <w:p w14:paraId="2F780DDD">
      <w:pPr>
        <w:ind w:firstLine="420"/>
        <w:rPr>
          <w:rFonts w:ascii="宋体" w:hAnsi="宋体" w:cs="宋体"/>
          <w:color w:val="auto"/>
          <w:highlight w:val="none"/>
        </w:rPr>
      </w:pPr>
      <w:r>
        <w:rPr>
          <w:rFonts w:hint="eastAsia" w:ascii="宋体" w:hAnsi="宋体" w:cs="宋体"/>
          <w:color w:val="auto"/>
          <w:highlight w:val="none"/>
        </w:rPr>
        <w:t>（6）提出质疑的日期。</w:t>
      </w:r>
    </w:p>
    <w:p w14:paraId="1929A108">
      <w:pPr>
        <w:ind w:firstLine="420"/>
        <w:rPr>
          <w:rFonts w:ascii="宋体" w:hAnsi="宋体" w:cs="宋体"/>
          <w:color w:val="auto"/>
          <w:highlight w:val="none"/>
        </w:rPr>
      </w:pPr>
      <w:r>
        <w:rPr>
          <w:rFonts w:hint="eastAsia" w:ascii="宋体" w:hAnsi="宋体" w:cs="宋体"/>
          <w:color w:val="auto"/>
          <w:highlight w:val="none"/>
        </w:rPr>
        <w:t>投标人为自然人的，应当由本人签字；投标人为法人或者其他组织的，应当由法定代表人、主要负责人，或者其授权代表签字或</w:t>
      </w:r>
      <w:bookmarkStart w:id="679" w:name="OLE_LINK334"/>
      <w:r>
        <w:rPr>
          <w:rFonts w:hint="eastAsia" w:ascii="宋体" w:hAnsi="宋体" w:cs="宋体"/>
          <w:color w:val="auto"/>
          <w:highlight w:val="none"/>
        </w:rPr>
        <w:t>者盖章，并加盖公章。</w:t>
      </w:r>
    </w:p>
    <w:bookmarkEnd w:id="679"/>
    <w:p w14:paraId="4A11417A">
      <w:pPr>
        <w:ind w:firstLine="420"/>
        <w:rPr>
          <w:rFonts w:ascii="宋体" w:hAnsi="宋体" w:cs="宋体"/>
          <w:color w:val="auto"/>
          <w:highlight w:val="none"/>
        </w:rPr>
      </w:pPr>
      <w:r>
        <w:rPr>
          <w:rFonts w:hint="eastAsia" w:ascii="宋体" w:hAnsi="宋体" w:cs="宋体"/>
          <w:color w:val="auto"/>
          <w:highlight w:val="none"/>
        </w:rPr>
        <w:t>34.5投标人不得捏造事实、提供虚假材料或者以非法手段取得证明材料。</w:t>
      </w:r>
    </w:p>
    <w:p w14:paraId="5C7ACD90">
      <w:pPr>
        <w:ind w:firstLine="420"/>
        <w:rPr>
          <w:rFonts w:ascii="宋体" w:hAnsi="宋体" w:cs="宋体"/>
          <w:color w:val="auto"/>
          <w:highlight w:val="none"/>
        </w:rPr>
      </w:pPr>
      <w:r>
        <w:rPr>
          <w:rFonts w:hint="eastAsia" w:ascii="宋体" w:hAnsi="宋体" w:cs="宋体"/>
          <w:color w:val="auto"/>
          <w:highlight w:val="none"/>
        </w:rPr>
        <w:t>34.6质疑函应当使用中文。相关当事人提供外文书证或者外国语视听资料的，应当附有中文译本，由翻译机构盖章或者翻译人员签名。</w:t>
      </w:r>
    </w:p>
    <w:p w14:paraId="045C53B5">
      <w:pPr>
        <w:ind w:firstLine="420"/>
        <w:rPr>
          <w:rFonts w:ascii="宋体" w:hAnsi="宋体" w:cs="宋体"/>
          <w:color w:val="auto"/>
          <w:highlight w:val="none"/>
        </w:rPr>
      </w:pPr>
      <w:r>
        <w:rPr>
          <w:rFonts w:hint="eastAsia" w:ascii="宋体" w:hAnsi="宋体" w:cs="宋体"/>
          <w:color w:val="auto"/>
          <w:highlight w:val="none"/>
        </w:rPr>
        <w:t>34.7采购人、采购代理机构将在收到投标人质疑函后七个工作日内作出答复，但质疑答复的内容不涉及商业秘密。</w:t>
      </w:r>
    </w:p>
    <w:p w14:paraId="6ECE2597">
      <w:pPr>
        <w:ind w:firstLine="420"/>
        <w:rPr>
          <w:rFonts w:ascii="宋体" w:hAnsi="宋体" w:cs="宋体"/>
          <w:color w:val="auto"/>
          <w:highlight w:val="none"/>
        </w:rPr>
      </w:pPr>
      <w:r>
        <w:rPr>
          <w:rFonts w:hint="eastAsia" w:ascii="宋体" w:hAnsi="宋体" w:cs="宋体"/>
          <w:color w:val="auto"/>
          <w:highlight w:val="none"/>
        </w:rPr>
        <w:t>34.8投标人对评审过程、中标结果提出质疑的，采购人、采购代理机构可以组织原评标委员会</w:t>
      </w:r>
      <w:bookmarkStart w:id="680" w:name="OLE_LINK336"/>
      <w:r>
        <w:rPr>
          <w:rFonts w:hint="eastAsia" w:ascii="宋体" w:hAnsi="宋体" w:cs="宋体"/>
          <w:color w:val="auto"/>
          <w:highlight w:val="none"/>
        </w:rPr>
        <w:t>协助答复质疑。</w:t>
      </w:r>
      <w:bookmarkStart w:id="681" w:name="OLE_LINK332"/>
      <w:r>
        <w:rPr>
          <w:rFonts w:hint="eastAsia" w:ascii="宋体" w:hAnsi="宋体" w:cs="宋体"/>
          <w:color w:val="auto"/>
          <w:highlight w:val="none"/>
        </w:rPr>
        <w:t>质疑答复导致中标结果改变的，采购人或者采</w:t>
      </w:r>
      <w:bookmarkEnd w:id="681"/>
      <w:r>
        <w:rPr>
          <w:rFonts w:hint="eastAsia" w:ascii="宋体" w:hAnsi="宋体" w:cs="宋体"/>
          <w:color w:val="auto"/>
          <w:highlight w:val="none"/>
        </w:rPr>
        <w:t>购代理机构会将有关情况书面报告本级财政部门。</w:t>
      </w:r>
    </w:p>
    <w:p w14:paraId="0FFF0C01">
      <w:pPr>
        <w:ind w:firstLine="420"/>
        <w:rPr>
          <w:rFonts w:ascii="宋体" w:hAnsi="宋体" w:cs="宋体"/>
          <w:color w:val="auto"/>
          <w:highlight w:val="none"/>
        </w:rPr>
      </w:pPr>
      <w:bookmarkStart w:id="682" w:name="OLE_LINK335"/>
      <w:r>
        <w:rPr>
          <w:rFonts w:hint="eastAsia" w:ascii="宋体" w:hAnsi="宋体" w:cs="宋体"/>
          <w:color w:val="auto"/>
          <w:highlight w:val="none"/>
        </w:rPr>
        <w:t>34.9接收质疑函的方式：书面方式；接收质疑函的部门：云南中咨海外咨询有限公司；联系人、联系电话：同询问联系方式；通讯地址：云南省昆明市滇池度假区中天融域小区17幢1单元4楼。</w:t>
      </w:r>
    </w:p>
    <w:p w14:paraId="703AF948">
      <w:pPr>
        <w:pStyle w:val="4"/>
        <w:spacing w:before="165"/>
        <w:ind w:firstLine="482"/>
        <w:rPr>
          <w:rFonts w:ascii="Times New Roman" w:hAnsi="Times New Roman" w:cs="Times New Roman"/>
          <w:color w:val="auto"/>
          <w:highlight w:val="none"/>
        </w:rPr>
      </w:pPr>
      <w:bookmarkStart w:id="683" w:name="_Toc16110"/>
      <w:bookmarkStart w:id="684" w:name="_Toc30469"/>
      <w:bookmarkStart w:id="685" w:name="_Toc15777"/>
      <w:bookmarkStart w:id="686" w:name="_Toc8518"/>
      <w:bookmarkStart w:id="687" w:name="_Toc37716357"/>
      <w:bookmarkStart w:id="688" w:name="_Toc489197816"/>
      <w:bookmarkStart w:id="689" w:name="_Toc38338277"/>
      <w:bookmarkStart w:id="690" w:name="_Toc489145712"/>
      <w:r>
        <w:rPr>
          <w:rFonts w:hint="eastAsia" w:ascii="Times New Roman" w:hAnsi="Times New Roman" w:cs="Times New Roman"/>
          <w:color w:val="auto"/>
          <w:highlight w:val="none"/>
        </w:rPr>
        <w:t>35</w:t>
      </w:r>
      <w:r>
        <w:rPr>
          <w:rFonts w:ascii="Times New Roman" w:hAnsi="Times New Roman" w:cs="Times New Roman"/>
          <w:color w:val="auto"/>
          <w:highlight w:val="none"/>
        </w:rPr>
        <w:t>.投诉</w:t>
      </w:r>
      <w:bookmarkEnd w:id="683"/>
      <w:bookmarkEnd w:id="684"/>
      <w:bookmarkEnd w:id="685"/>
      <w:bookmarkEnd w:id="686"/>
      <w:bookmarkEnd w:id="687"/>
      <w:bookmarkEnd w:id="688"/>
      <w:bookmarkEnd w:id="689"/>
      <w:bookmarkEnd w:id="690"/>
    </w:p>
    <w:p w14:paraId="468C518A">
      <w:pPr>
        <w:ind w:firstLine="420"/>
        <w:rPr>
          <w:rFonts w:ascii="宋体" w:hAnsi="宋体" w:cs="宋体"/>
          <w:color w:val="auto"/>
          <w:highlight w:val="none"/>
        </w:rPr>
      </w:pPr>
      <w:r>
        <w:rPr>
          <w:rFonts w:hint="eastAsia" w:ascii="宋体" w:hAnsi="宋体" w:cs="宋体"/>
          <w:color w:val="auto"/>
          <w:highlight w:val="none"/>
        </w:rPr>
        <w:t>35.1</w:t>
      </w:r>
      <w:r>
        <w:rPr>
          <w:rFonts w:hint="eastAsia" w:ascii="宋体" w:hAnsi="宋体" w:cs="宋体"/>
          <w:color w:val="auto"/>
          <w:kern w:val="0"/>
          <w:highlight w:val="none"/>
        </w:rPr>
        <w:t>投诉</w:t>
      </w:r>
      <w:r>
        <w:rPr>
          <w:rFonts w:hint="eastAsia" w:ascii="宋体" w:hAnsi="宋体" w:cs="宋体"/>
          <w:color w:val="auto"/>
          <w:highlight w:val="none"/>
        </w:rPr>
        <w:t>必须首先经过质疑程序。质疑投标人对采购人、采购代理机构的答复不满意，或者采购人、采购代理机构未在规定时间内作出答复的，可以在答复期满后十五个工作日内书面向财政部门提起投诉。</w:t>
      </w:r>
    </w:p>
    <w:bookmarkEnd w:id="677"/>
    <w:bookmarkEnd w:id="680"/>
    <w:bookmarkEnd w:id="682"/>
    <w:p w14:paraId="5271770A">
      <w:pPr>
        <w:pStyle w:val="3"/>
        <w:spacing w:before="165"/>
        <w:jc w:val="center"/>
        <w:rPr>
          <w:rFonts w:ascii="Times New Roman" w:hAnsi="Times New Roman" w:cs="Times New Roman"/>
          <w:color w:val="auto"/>
          <w:highlight w:val="none"/>
        </w:rPr>
      </w:pPr>
      <w:bookmarkStart w:id="691" w:name="_Toc29403"/>
      <w:bookmarkStart w:id="692" w:name="OLE_LINK94"/>
      <w:r>
        <w:rPr>
          <w:rFonts w:ascii="Times New Roman" w:hAnsi="Times New Roman" w:cs="Times New Roman"/>
          <w:color w:val="auto"/>
          <w:highlight w:val="none"/>
        </w:rPr>
        <w:t>九、其他事项</w:t>
      </w:r>
      <w:bookmarkEnd w:id="659"/>
      <w:bookmarkEnd w:id="660"/>
      <w:bookmarkEnd w:id="661"/>
      <w:bookmarkEnd w:id="662"/>
      <w:bookmarkEnd w:id="663"/>
      <w:bookmarkEnd w:id="664"/>
      <w:bookmarkEnd w:id="665"/>
      <w:bookmarkEnd w:id="666"/>
      <w:bookmarkEnd w:id="691"/>
    </w:p>
    <w:bookmarkEnd w:id="692"/>
    <w:p w14:paraId="07876D75">
      <w:pPr>
        <w:pStyle w:val="4"/>
        <w:spacing w:before="165"/>
        <w:ind w:firstLine="482"/>
        <w:rPr>
          <w:rFonts w:ascii="Times New Roman" w:hAnsi="Times New Roman" w:cs="Times New Roman"/>
          <w:color w:val="auto"/>
          <w:highlight w:val="none"/>
        </w:rPr>
      </w:pPr>
      <w:bookmarkStart w:id="693" w:name="_Toc6352"/>
      <w:bookmarkStart w:id="694" w:name="_Toc10772"/>
      <w:bookmarkStart w:id="695" w:name="_Toc38338311"/>
      <w:bookmarkStart w:id="696" w:name="_Toc37716391"/>
      <w:bookmarkStart w:id="697" w:name="_Toc28376"/>
      <w:bookmarkStart w:id="698" w:name="_Toc489145744"/>
      <w:bookmarkStart w:id="699" w:name="_Toc18948"/>
      <w:bookmarkStart w:id="700" w:name="_Toc489197848"/>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w:t>
      </w:r>
      <w:r>
        <w:rPr>
          <w:rFonts w:ascii="Times New Roman" w:hAnsi="Times New Roman" w:cs="Times New Roman"/>
          <w:color w:val="auto"/>
          <w:szCs w:val="21"/>
          <w:highlight w:val="none"/>
        </w:rPr>
        <w:t>采购</w:t>
      </w:r>
      <w:r>
        <w:rPr>
          <w:rFonts w:ascii="Times New Roman" w:hAnsi="Times New Roman" w:cs="Times New Roman"/>
          <w:color w:val="auto"/>
          <w:highlight w:val="none"/>
        </w:rPr>
        <w:t>代理服务费</w:t>
      </w:r>
      <w:bookmarkEnd w:id="693"/>
      <w:bookmarkEnd w:id="694"/>
      <w:bookmarkEnd w:id="695"/>
      <w:bookmarkEnd w:id="696"/>
      <w:bookmarkEnd w:id="697"/>
      <w:bookmarkEnd w:id="698"/>
      <w:bookmarkEnd w:id="699"/>
      <w:bookmarkEnd w:id="700"/>
    </w:p>
    <w:p w14:paraId="36D13B02">
      <w:pPr>
        <w:ind w:firstLine="420"/>
        <w:rPr>
          <w:rFonts w:ascii="宋体" w:hAnsi="宋体" w:cs="宋体"/>
          <w:color w:val="auto"/>
          <w:szCs w:val="21"/>
          <w:highlight w:val="none"/>
        </w:rPr>
      </w:pPr>
      <w:r>
        <w:rPr>
          <w:rFonts w:hint="eastAsia" w:ascii="宋体" w:hAnsi="宋体" w:cs="宋体"/>
          <w:color w:val="auto"/>
          <w:szCs w:val="21"/>
          <w:highlight w:val="none"/>
        </w:rPr>
        <w:t>36.1</w:t>
      </w:r>
      <w:r>
        <w:rPr>
          <w:rFonts w:hint="eastAsia" w:hAnsi="宋体"/>
          <w:color w:val="auto"/>
          <w:szCs w:val="21"/>
          <w:highlight w:val="none"/>
        </w:rPr>
        <w:t>采购代理服务费收费标准详见《投标人须知前附表》。</w:t>
      </w:r>
    </w:p>
    <w:p w14:paraId="69372B93">
      <w:pPr>
        <w:ind w:firstLine="420"/>
        <w:rPr>
          <w:rFonts w:ascii="宋体" w:hAnsi="宋体" w:cs="宋体"/>
          <w:color w:val="auto"/>
          <w:szCs w:val="21"/>
          <w:highlight w:val="none"/>
        </w:rPr>
      </w:pPr>
      <w:r>
        <w:rPr>
          <w:rFonts w:hint="eastAsia" w:ascii="宋体" w:hAnsi="宋体" w:cs="宋体"/>
          <w:color w:val="auto"/>
          <w:szCs w:val="21"/>
          <w:highlight w:val="none"/>
        </w:rPr>
        <w:t>36.2</w:t>
      </w:r>
      <w:r>
        <w:rPr>
          <w:rFonts w:hint="eastAsia" w:ascii="宋体" w:hAnsi="宋体" w:cs="宋体"/>
          <w:color w:val="auto"/>
          <w:kern w:val="0"/>
          <w:szCs w:val="21"/>
          <w:highlight w:val="none"/>
        </w:rPr>
        <w:t>付费方</w:t>
      </w:r>
      <w:r>
        <w:rPr>
          <w:rFonts w:hint="eastAsia" w:ascii="宋体" w:hAnsi="宋体" w:cs="宋体"/>
          <w:color w:val="auto"/>
          <w:szCs w:val="21"/>
          <w:highlight w:val="none"/>
        </w:rPr>
        <w:t>应按招标代理合同约定或在中标人接受“中标通知书”前向采购代理机构一次付清采购代理服务费。</w:t>
      </w:r>
    </w:p>
    <w:p w14:paraId="07B379EC">
      <w:pPr>
        <w:pStyle w:val="4"/>
        <w:spacing w:before="165"/>
        <w:ind w:firstLine="482"/>
        <w:rPr>
          <w:rFonts w:ascii="Times New Roman" w:hAnsi="Times New Roman" w:cs="Times New Roman"/>
          <w:color w:val="auto"/>
          <w:highlight w:val="none"/>
        </w:rPr>
      </w:pPr>
      <w:bookmarkStart w:id="701" w:name="_Toc489145745"/>
      <w:bookmarkStart w:id="702" w:name="_Toc489197849"/>
      <w:bookmarkStart w:id="703" w:name="_Toc37716392"/>
      <w:bookmarkStart w:id="704" w:name="_Toc28088"/>
      <w:bookmarkStart w:id="705" w:name="_Toc10739"/>
      <w:bookmarkStart w:id="706" w:name="_Toc16900"/>
      <w:bookmarkStart w:id="707" w:name="_Toc12260"/>
      <w:bookmarkStart w:id="708" w:name="_Toc38338312"/>
      <w:r>
        <w:rPr>
          <w:rFonts w:hint="eastAsia" w:ascii="Times New Roman" w:hAnsi="Times New Roman" w:cs="Times New Roman"/>
          <w:color w:val="auto"/>
          <w:highlight w:val="none"/>
        </w:rPr>
        <w:t>37</w:t>
      </w:r>
      <w:r>
        <w:rPr>
          <w:rFonts w:ascii="Times New Roman" w:hAnsi="Times New Roman" w:cs="Times New Roman"/>
          <w:color w:val="auto"/>
          <w:highlight w:val="none"/>
        </w:rPr>
        <w:t>.</w:t>
      </w:r>
      <w:bookmarkEnd w:id="701"/>
      <w:bookmarkEnd w:id="702"/>
      <w:bookmarkStart w:id="709" w:name="_Toc489145746"/>
      <w:bookmarkStart w:id="710" w:name="_Toc489197850"/>
      <w:r>
        <w:rPr>
          <w:rFonts w:ascii="Times New Roman" w:hAnsi="Times New Roman" w:cs="Times New Roman"/>
          <w:color w:val="auto"/>
          <w:highlight w:val="none"/>
        </w:rPr>
        <w:t>需要补充的其他内容</w:t>
      </w:r>
      <w:bookmarkEnd w:id="703"/>
      <w:bookmarkEnd w:id="704"/>
      <w:bookmarkEnd w:id="705"/>
      <w:bookmarkEnd w:id="706"/>
      <w:bookmarkEnd w:id="707"/>
      <w:bookmarkEnd w:id="708"/>
      <w:bookmarkEnd w:id="709"/>
      <w:bookmarkEnd w:id="710"/>
    </w:p>
    <w:p w14:paraId="19A2B467">
      <w:pPr>
        <w:ind w:firstLine="420"/>
        <w:rPr>
          <w:rFonts w:ascii="宋体" w:hAnsi="宋体" w:cs="宋体"/>
          <w:color w:val="auto"/>
          <w:highlight w:val="none"/>
        </w:rPr>
      </w:pPr>
      <w:r>
        <w:rPr>
          <w:rFonts w:hint="eastAsia" w:ascii="宋体" w:hAnsi="宋体" w:cs="宋体"/>
          <w:color w:val="auto"/>
          <w:highlight w:val="none"/>
        </w:rPr>
        <w:t>37.1其他需要补充的其他内容：详见《投标人须知前附表》。</w:t>
      </w:r>
    </w:p>
    <w:p w14:paraId="6FC698FB">
      <w:pPr>
        <w:ind w:firstLine="420"/>
        <w:rPr>
          <w:rFonts w:ascii="Times New Roman" w:hAnsi="Times New Roman" w:cs="Times New Roman"/>
          <w:color w:val="auto"/>
          <w:highlight w:val="none"/>
        </w:rPr>
      </w:pPr>
      <w:bookmarkStart w:id="711" w:name="_Toc38338313"/>
      <w:r>
        <w:rPr>
          <w:rFonts w:ascii="Times New Roman" w:hAnsi="Times New Roman" w:cs="Times New Roman"/>
          <w:color w:val="auto"/>
          <w:highlight w:val="none"/>
        </w:rPr>
        <w:br w:type="page"/>
      </w:r>
    </w:p>
    <w:p w14:paraId="4208E093">
      <w:pPr>
        <w:pStyle w:val="2"/>
        <w:spacing w:before="165"/>
        <w:rPr>
          <w:rFonts w:ascii="Times New Roman" w:hAnsi="Times New Roman" w:cs="Times New Roman"/>
          <w:color w:val="auto"/>
          <w:highlight w:val="none"/>
        </w:rPr>
      </w:pPr>
      <w:bookmarkStart w:id="712" w:name="_Toc12720"/>
      <w:r>
        <w:rPr>
          <w:rFonts w:ascii="Times New Roman" w:hAnsi="Times New Roman" w:cs="Times New Roman"/>
          <w:color w:val="auto"/>
          <w:highlight w:val="none"/>
        </w:rPr>
        <w:t>第三章 合同书样式及主要条款</w:t>
      </w:r>
      <w:bookmarkEnd w:id="711"/>
      <w:bookmarkEnd w:id="712"/>
    </w:p>
    <w:p w14:paraId="09AD5534">
      <w:pPr>
        <w:pStyle w:val="3"/>
        <w:spacing w:before="165"/>
        <w:jc w:val="center"/>
        <w:rPr>
          <w:rFonts w:ascii="宋体" w:hAnsi="宋体" w:cs="宋体"/>
          <w:color w:val="auto"/>
          <w:szCs w:val="28"/>
          <w:highlight w:val="none"/>
        </w:rPr>
      </w:pPr>
      <w:bookmarkStart w:id="713" w:name="_Toc213141091"/>
      <w:bookmarkStart w:id="714" w:name="_Toc481694842"/>
      <w:bookmarkStart w:id="715" w:name="_Toc8037"/>
      <w:bookmarkStart w:id="716" w:name="_Toc4632"/>
      <w:bookmarkStart w:id="717" w:name="_Toc30129"/>
      <w:bookmarkStart w:id="718" w:name="_Toc18287413"/>
      <w:bookmarkStart w:id="719" w:name="_Toc488633613"/>
      <w:bookmarkStart w:id="720" w:name="_Toc10484"/>
      <w:bookmarkStart w:id="721" w:name="_Toc489145748"/>
      <w:bookmarkStart w:id="722" w:name="_Toc31530"/>
      <w:r>
        <w:rPr>
          <w:rFonts w:hint="eastAsia" w:ascii="宋体" w:hAnsi="宋体" w:cs="宋体"/>
          <w:color w:val="auto"/>
          <w:szCs w:val="28"/>
          <w:highlight w:val="none"/>
        </w:rPr>
        <w:t>合同条款前附表</w:t>
      </w:r>
      <w:bookmarkEnd w:id="713"/>
      <w:bookmarkEnd w:id="714"/>
      <w:bookmarkEnd w:id="715"/>
      <w:bookmarkEnd w:id="716"/>
      <w:bookmarkEnd w:id="717"/>
      <w:bookmarkEnd w:id="718"/>
      <w:bookmarkEnd w:id="719"/>
      <w:bookmarkEnd w:id="720"/>
      <w:bookmarkEnd w:id="721"/>
      <w:bookmarkEnd w:id="722"/>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8250"/>
      </w:tblGrid>
      <w:tr w14:paraId="49AC4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67" w:type="dxa"/>
            <w:vAlign w:val="center"/>
          </w:tcPr>
          <w:p w14:paraId="0BFF6E89">
            <w:pPr>
              <w:pStyle w:val="21"/>
              <w:rPr>
                <w:rFonts w:hAnsi="宋体" w:cs="宋体"/>
                <w:b/>
                <w:bCs/>
                <w:color w:val="auto"/>
                <w:szCs w:val="21"/>
                <w:highlight w:val="none"/>
              </w:rPr>
            </w:pPr>
            <w:r>
              <w:rPr>
                <w:rFonts w:hint="eastAsia" w:hAnsi="宋体" w:cs="宋体"/>
                <w:b/>
                <w:bCs/>
                <w:color w:val="auto"/>
                <w:szCs w:val="21"/>
                <w:highlight w:val="none"/>
              </w:rPr>
              <w:t>序号</w:t>
            </w:r>
          </w:p>
        </w:tc>
        <w:tc>
          <w:tcPr>
            <w:tcW w:w="8250" w:type="dxa"/>
            <w:vAlign w:val="center"/>
          </w:tcPr>
          <w:p w14:paraId="286B35CC">
            <w:pPr>
              <w:pStyle w:val="21"/>
              <w:ind w:firstLine="210" w:firstLineChars="100"/>
              <w:jc w:val="center"/>
              <w:rPr>
                <w:rFonts w:hAnsi="宋体" w:cs="宋体"/>
                <w:b/>
                <w:bCs/>
                <w:color w:val="auto"/>
                <w:szCs w:val="21"/>
                <w:highlight w:val="none"/>
              </w:rPr>
            </w:pPr>
            <w:r>
              <w:rPr>
                <w:rFonts w:hint="eastAsia" w:hAnsi="宋体" w:cs="宋体"/>
                <w:b/>
                <w:bCs/>
                <w:color w:val="auto"/>
                <w:szCs w:val="21"/>
                <w:highlight w:val="none"/>
              </w:rPr>
              <w:t>内      容</w:t>
            </w:r>
          </w:p>
        </w:tc>
      </w:tr>
      <w:tr w14:paraId="355C3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67" w:type="dxa"/>
            <w:vAlign w:val="center"/>
          </w:tcPr>
          <w:p w14:paraId="58B3A246">
            <w:pPr>
              <w:pStyle w:val="21"/>
              <w:jc w:val="center"/>
              <w:rPr>
                <w:rFonts w:hAnsi="宋体" w:cs="宋体"/>
                <w:color w:val="auto"/>
                <w:szCs w:val="21"/>
                <w:highlight w:val="none"/>
              </w:rPr>
            </w:pPr>
            <w:r>
              <w:rPr>
                <w:rFonts w:hint="eastAsia" w:hAnsi="宋体" w:cs="宋体"/>
                <w:color w:val="auto"/>
                <w:szCs w:val="21"/>
                <w:highlight w:val="none"/>
              </w:rPr>
              <w:t>1</w:t>
            </w:r>
          </w:p>
        </w:tc>
        <w:tc>
          <w:tcPr>
            <w:tcW w:w="8250" w:type="dxa"/>
            <w:vAlign w:val="center"/>
          </w:tcPr>
          <w:p w14:paraId="78D88201">
            <w:pPr>
              <w:adjustRightInd w:val="0"/>
              <w:snapToGrid w:val="0"/>
              <w:ind w:firstLine="0" w:firstLineChars="0"/>
              <w:outlineLvl w:val="2"/>
              <w:rPr>
                <w:rFonts w:hAnsi="宋体" w:cs="宋体"/>
                <w:color w:val="auto"/>
                <w:szCs w:val="21"/>
                <w:highlight w:val="none"/>
              </w:rPr>
            </w:pPr>
            <w:r>
              <w:rPr>
                <w:rFonts w:hint="eastAsia" w:hAnsi="宋体" w:cs="宋体"/>
                <w:color w:val="auto"/>
                <w:szCs w:val="21"/>
                <w:highlight w:val="none"/>
              </w:rPr>
              <w:t>★</w:t>
            </w:r>
            <w:r>
              <w:rPr>
                <w:rFonts w:hint="eastAsia" w:hAnsi="宋体" w:cs="宋体"/>
                <w:b/>
                <w:bCs/>
                <w:color w:val="auto"/>
                <w:szCs w:val="21"/>
                <w:highlight w:val="none"/>
              </w:rPr>
              <w:t>交货期：</w:t>
            </w:r>
            <w:r>
              <w:rPr>
                <w:rFonts w:hint="eastAsia" w:ascii="宋体" w:hAnsi="宋体" w:cs="宋体"/>
                <w:color w:val="auto"/>
                <w:szCs w:val="21"/>
                <w:highlight w:val="none"/>
                <w:lang w:eastAsia="zh-CN"/>
              </w:rPr>
              <w:t>自采购人下发配送通知之日起60个工作日内完成设备配送、安装、调试、验收合格并交付使用（包含完成CT机房的装修，并经采购人验收合格）</w:t>
            </w:r>
            <w:r>
              <w:rPr>
                <w:rFonts w:hint="eastAsia" w:hAnsi="宋体" w:cs="宋体"/>
                <w:color w:val="auto"/>
                <w:szCs w:val="21"/>
                <w:highlight w:val="none"/>
              </w:rPr>
              <w:t>。</w:t>
            </w:r>
          </w:p>
          <w:p w14:paraId="7C3B5290">
            <w:pPr>
              <w:adjustRightInd w:val="0"/>
              <w:snapToGrid w:val="0"/>
              <w:ind w:firstLine="0" w:firstLineChars="0"/>
              <w:outlineLvl w:val="2"/>
              <w:rPr>
                <w:rFonts w:hAnsi="宋体" w:cs="宋体"/>
                <w:color w:val="auto"/>
                <w:szCs w:val="21"/>
                <w:highlight w:val="none"/>
              </w:rPr>
            </w:pPr>
            <w:r>
              <w:rPr>
                <w:rFonts w:hint="eastAsia" w:hAnsi="宋体" w:cs="宋体"/>
                <w:b/>
                <w:bCs/>
                <w:color w:val="auto"/>
                <w:szCs w:val="21"/>
                <w:highlight w:val="none"/>
              </w:rPr>
              <w:t>★合同履行期限：</w:t>
            </w:r>
            <w:r>
              <w:rPr>
                <w:rFonts w:hint="eastAsia" w:ascii="宋体" w:hAnsi="宋体" w:cs="宋体"/>
                <w:color w:val="auto"/>
                <w:szCs w:val="21"/>
                <w:highlight w:val="none"/>
                <w:lang w:eastAsia="zh-CN"/>
              </w:rPr>
              <w:t>自采购人下发配送通知之日起60个工作日内完成设备配送、安装、调试、验收合格并交付使用（包含完成CT机房的装修，并经采购人验收合格）</w:t>
            </w:r>
            <w:r>
              <w:rPr>
                <w:rFonts w:hint="eastAsia" w:ascii="宋体" w:hAnsi="宋体" w:cs="宋体"/>
                <w:color w:val="auto"/>
                <w:szCs w:val="21"/>
                <w:highlight w:val="none"/>
              </w:rPr>
              <w:t>。</w:t>
            </w:r>
          </w:p>
          <w:p w14:paraId="26BB5FD4">
            <w:pPr>
              <w:adjustRightInd w:val="0"/>
              <w:snapToGrid w:val="0"/>
              <w:ind w:firstLine="0" w:firstLineChars="0"/>
              <w:outlineLvl w:val="2"/>
              <w:rPr>
                <w:rFonts w:ascii="宋体" w:hAnsi="宋体" w:cs="宋体"/>
                <w:color w:val="auto"/>
                <w:szCs w:val="21"/>
                <w:highlight w:val="none"/>
              </w:rPr>
            </w:pPr>
            <w:r>
              <w:rPr>
                <w:rFonts w:hint="eastAsia" w:hAnsi="宋体" w:cs="宋体"/>
                <w:b/>
                <w:bCs/>
                <w:color w:val="auto"/>
                <w:szCs w:val="21"/>
                <w:highlight w:val="none"/>
              </w:rPr>
              <w:t>★交付（或实施）地点：</w:t>
            </w:r>
            <w:r>
              <w:rPr>
                <w:rFonts w:hint="eastAsia" w:ascii="宋体" w:hAnsi="宋体" w:cs="宋体"/>
                <w:color w:val="auto"/>
                <w:szCs w:val="21"/>
                <w:highlight w:val="none"/>
              </w:rPr>
              <w:t>采购人指定地点</w:t>
            </w:r>
            <w:r>
              <w:rPr>
                <w:rFonts w:hint="eastAsia" w:hAnsi="宋体" w:cs="宋体"/>
                <w:color w:val="auto"/>
                <w:szCs w:val="21"/>
                <w:highlight w:val="none"/>
              </w:rPr>
              <w:t>。</w:t>
            </w:r>
          </w:p>
        </w:tc>
      </w:tr>
      <w:tr w14:paraId="09CC5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667" w:type="dxa"/>
            <w:vAlign w:val="center"/>
          </w:tcPr>
          <w:p w14:paraId="1698091A">
            <w:pPr>
              <w:pStyle w:val="21"/>
              <w:jc w:val="center"/>
              <w:rPr>
                <w:rFonts w:hAnsi="宋体" w:cs="宋体"/>
                <w:color w:val="auto"/>
                <w:szCs w:val="21"/>
                <w:highlight w:val="none"/>
              </w:rPr>
            </w:pPr>
            <w:r>
              <w:rPr>
                <w:rFonts w:hint="eastAsia" w:hAnsi="宋体" w:cs="宋体"/>
                <w:color w:val="auto"/>
                <w:szCs w:val="21"/>
                <w:highlight w:val="none"/>
              </w:rPr>
              <w:t>2</w:t>
            </w:r>
          </w:p>
        </w:tc>
        <w:tc>
          <w:tcPr>
            <w:tcW w:w="8250" w:type="dxa"/>
            <w:vAlign w:val="center"/>
          </w:tcPr>
          <w:p w14:paraId="141E68AE">
            <w:pPr>
              <w:adjustRightInd w:val="0"/>
              <w:snapToGrid w:val="0"/>
              <w:ind w:firstLine="0" w:firstLineChars="0"/>
              <w:outlineLvl w:val="2"/>
              <w:rPr>
                <w:rFonts w:hAnsi="宋体" w:cs="宋体"/>
                <w:b/>
                <w:bCs/>
                <w:color w:val="auto"/>
                <w:szCs w:val="21"/>
                <w:highlight w:val="none"/>
              </w:rPr>
            </w:pPr>
            <w:r>
              <w:rPr>
                <w:rFonts w:hint="eastAsia" w:hAnsi="宋体" w:cs="宋体"/>
                <w:b/>
                <w:bCs/>
                <w:color w:val="auto"/>
                <w:szCs w:val="21"/>
                <w:highlight w:val="none"/>
              </w:rPr>
              <w:t>★付款方式：</w:t>
            </w:r>
          </w:p>
          <w:p w14:paraId="1B2B26C6">
            <w:pPr>
              <w:adjustRightInd w:val="0"/>
              <w:snapToGrid w:val="0"/>
              <w:ind w:firstLine="420"/>
              <w:outlineLvl w:val="2"/>
              <w:rPr>
                <w:rFonts w:hAnsi="宋体" w:cs="宋体"/>
                <w:color w:val="auto"/>
                <w:szCs w:val="21"/>
                <w:highlight w:val="none"/>
              </w:rPr>
            </w:pPr>
            <w:r>
              <w:rPr>
                <w:rFonts w:hint="eastAsia" w:ascii="宋体" w:hAnsi="宋体" w:cs="宋体"/>
                <w:color w:val="auto"/>
                <w:szCs w:val="21"/>
                <w:highlight w:val="none"/>
              </w:rPr>
              <w:t>乙方完成所有交货安装调试并验收合格，所有货物无任何质量问题，且甲方自收到乙方开据合同金额100%的发票后60日内以转账方式将全部合同金额支付到合同约定的乙方账户，实际以财政支付审批进度为准。</w:t>
            </w:r>
          </w:p>
        </w:tc>
      </w:tr>
      <w:tr w14:paraId="2E042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667" w:type="dxa"/>
            <w:vAlign w:val="center"/>
          </w:tcPr>
          <w:p w14:paraId="4F17F090">
            <w:pPr>
              <w:pStyle w:val="21"/>
              <w:jc w:val="center"/>
              <w:rPr>
                <w:rFonts w:hAnsi="宋体" w:cs="宋体"/>
                <w:color w:val="auto"/>
                <w:szCs w:val="21"/>
                <w:highlight w:val="none"/>
              </w:rPr>
            </w:pPr>
            <w:r>
              <w:rPr>
                <w:rFonts w:hint="eastAsia" w:hAnsi="宋体" w:cs="宋体"/>
                <w:color w:val="auto"/>
                <w:szCs w:val="21"/>
                <w:highlight w:val="none"/>
              </w:rPr>
              <w:t>3</w:t>
            </w:r>
          </w:p>
        </w:tc>
        <w:tc>
          <w:tcPr>
            <w:tcW w:w="8250" w:type="dxa"/>
            <w:vAlign w:val="center"/>
          </w:tcPr>
          <w:p w14:paraId="1B799319">
            <w:pPr>
              <w:adjustRightInd w:val="0"/>
              <w:snapToGrid w:val="0"/>
              <w:ind w:firstLine="0" w:firstLineChars="0"/>
              <w:outlineLvl w:val="2"/>
              <w:rPr>
                <w:rFonts w:ascii="宋体" w:hAnsi="宋体" w:cs="宋体"/>
                <w:b/>
                <w:bCs/>
                <w:color w:val="auto"/>
                <w:szCs w:val="21"/>
                <w:highlight w:val="none"/>
              </w:rPr>
            </w:pPr>
            <w:r>
              <w:rPr>
                <w:rFonts w:hint="eastAsia" w:ascii="宋体" w:hAnsi="宋体" w:cs="宋体"/>
                <w:color w:val="auto"/>
                <w:szCs w:val="21"/>
                <w:highlight w:val="none"/>
              </w:rPr>
              <w:t>★</w:t>
            </w:r>
            <w:r>
              <w:rPr>
                <w:rFonts w:hint="eastAsia" w:ascii="宋体" w:hAnsi="宋体" w:cs="宋体"/>
                <w:b/>
                <w:bCs/>
                <w:color w:val="auto"/>
                <w:szCs w:val="21"/>
                <w:highlight w:val="none"/>
              </w:rPr>
              <w:t>产品的保修、保养和维护：</w:t>
            </w:r>
          </w:p>
          <w:p w14:paraId="48D8E048">
            <w:pPr>
              <w:adjustRightInd w:val="0"/>
              <w:snapToGrid w:val="0"/>
              <w:ind w:firstLine="420"/>
              <w:outlineLvl w:val="2"/>
              <w:rPr>
                <w:rFonts w:ascii="宋体" w:hAnsi="宋体" w:cs="宋体"/>
                <w:color w:val="auto"/>
                <w:szCs w:val="21"/>
                <w:highlight w:val="none"/>
              </w:rPr>
            </w:pPr>
            <w:r>
              <w:rPr>
                <w:rFonts w:hint="eastAsia" w:ascii="宋体" w:hAnsi="宋体" w:cs="宋体"/>
                <w:color w:val="auto"/>
                <w:szCs w:val="21"/>
                <w:highlight w:val="none"/>
              </w:rPr>
              <w:t>1）产品的保修、保养和维护：质保期：≥2年（技术参数中有要求的以参数中要求的为准）；质保期内，如产品发生质量问题（非用户使用不当原因导致），由乙方负责免费维修，发生两次以上重大技术问题应免费更换同品牌同型号同参数的新品。质保期内无偿提供软件版本升级服务</w:t>
            </w:r>
            <w:r>
              <w:rPr>
                <w:rFonts w:hint="eastAsia" w:hAnsi="宋体" w:cs="宋体"/>
                <w:b/>
                <w:color w:val="auto"/>
                <w:szCs w:val="21"/>
                <w:highlight w:val="none"/>
              </w:rPr>
              <w:t>。</w:t>
            </w:r>
          </w:p>
          <w:p w14:paraId="141AD068">
            <w:pPr>
              <w:adjustRightInd w:val="0"/>
              <w:snapToGrid w:val="0"/>
              <w:ind w:firstLine="420"/>
              <w:outlineLvl w:val="2"/>
              <w:rPr>
                <w:rFonts w:ascii="宋体" w:hAnsi="宋体" w:cs="宋体"/>
                <w:color w:val="auto"/>
                <w:szCs w:val="21"/>
                <w:highlight w:val="none"/>
              </w:rPr>
            </w:pPr>
            <w:r>
              <w:rPr>
                <w:rFonts w:hint="eastAsia" w:ascii="宋体" w:hAnsi="宋体" w:cs="宋体"/>
                <w:color w:val="auto"/>
                <w:szCs w:val="21"/>
                <w:highlight w:val="none"/>
              </w:rPr>
              <w:t>2）无论是保质期内还是保质期满后，若发生故障，投标人应承诺在接到用户故障报告后保证8小时以内到达现场，一般类故障保证由技术人员（或工程师）在1天内修复，重大类故障保证由技术人员（或工程师）在7天内修复；保证在用户方指定地点供应备品备件（含易损件）和配套消耗品；对所提供的货物实行6个月定期保养。</w:t>
            </w:r>
          </w:p>
        </w:tc>
      </w:tr>
      <w:tr w14:paraId="69A1F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67" w:type="dxa"/>
            <w:vAlign w:val="center"/>
          </w:tcPr>
          <w:p w14:paraId="4D2EE832">
            <w:pPr>
              <w:pStyle w:val="21"/>
              <w:jc w:val="center"/>
              <w:rPr>
                <w:rFonts w:hAnsi="宋体" w:cs="宋体"/>
                <w:color w:val="auto"/>
                <w:szCs w:val="21"/>
                <w:highlight w:val="none"/>
              </w:rPr>
            </w:pPr>
            <w:r>
              <w:rPr>
                <w:rFonts w:hint="eastAsia" w:hAnsi="宋体" w:cs="宋体"/>
                <w:color w:val="auto"/>
                <w:szCs w:val="21"/>
                <w:highlight w:val="none"/>
              </w:rPr>
              <w:t>4</w:t>
            </w:r>
          </w:p>
        </w:tc>
        <w:tc>
          <w:tcPr>
            <w:tcW w:w="8250" w:type="dxa"/>
            <w:vAlign w:val="center"/>
          </w:tcPr>
          <w:p w14:paraId="2195C9C1">
            <w:pPr>
              <w:ind w:firstLine="0" w:firstLineChars="0"/>
              <w:outlineLvl w:val="2"/>
              <w:rPr>
                <w:rFonts w:hAnsi="宋体" w:cs="宋体"/>
                <w:b/>
                <w:bCs/>
                <w:color w:val="auto"/>
                <w:szCs w:val="21"/>
                <w:highlight w:val="none"/>
              </w:rPr>
            </w:pPr>
            <w:r>
              <w:rPr>
                <w:rFonts w:hint="eastAsia" w:hAnsi="宋体" w:cs="宋体"/>
                <w:color w:val="auto"/>
                <w:szCs w:val="21"/>
                <w:highlight w:val="none"/>
              </w:rPr>
              <w:t>★</w:t>
            </w:r>
            <w:r>
              <w:rPr>
                <w:rFonts w:hint="eastAsia" w:hAnsi="宋体" w:cs="宋体"/>
                <w:b/>
                <w:bCs/>
                <w:color w:val="auto"/>
                <w:szCs w:val="21"/>
                <w:highlight w:val="none"/>
              </w:rPr>
              <w:t>验收及验收标准：</w:t>
            </w:r>
          </w:p>
          <w:p w14:paraId="177AFFFA">
            <w:pPr>
              <w:adjustRightInd w:val="0"/>
              <w:snapToGrid w:val="0"/>
              <w:ind w:firstLine="420"/>
              <w:outlineLvl w:val="2"/>
              <w:rPr>
                <w:rFonts w:ascii="宋体" w:hAnsi="宋体" w:cs="宋体"/>
                <w:color w:val="auto"/>
                <w:szCs w:val="21"/>
                <w:highlight w:val="none"/>
              </w:rPr>
            </w:pPr>
            <w:r>
              <w:rPr>
                <w:rFonts w:hint="eastAsia" w:ascii="宋体" w:hAnsi="宋体" w:cs="宋体"/>
                <w:color w:val="auto"/>
                <w:szCs w:val="21"/>
                <w:highlight w:val="none"/>
              </w:rPr>
              <w:t>1）交货时由采购人组织验收小组或指定代理人统一验收，采购人认为必要时可邀请有关专家参与共同验收，验收时采购人将按照国家相关标准或投标文件所载明的标准和方法进行验收（详见《合同条款及格式》中的“验收及验收标准”）。</w:t>
            </w:r>
          </w:p>
          <w:p w14:paraId="0B29DED5">
            <w:pPr>
              <w:adjustRightInd w:val="0"/>
              <w:snapToGrid w:val="0"/>
              <w:ind w:firstLine="420"/>
              <w:outlineLvl w:val="2"/>
              <w:rPr>
                <w:rFonts w:hAnsi="宋体" w:cs="宋体"/>
                <w:b/>
                <w:bCs/>
                <w:color w:val="auto"/>
                <w:kern w:val="0"/>
                <w:szCs w:val="21"/>
                <w:highlight w:val="none"/>
              </w:rPr>
            </w:pPr>
            <w:r>
              <w:rPr>
                <w:rFonts w:hint="eastAsia" w:ascii="宋体" w:hAnsi="宋体" w:cs="宋体"/>
                <w:color w:val="auto"/>
                <w:szCs w:val="21"/>
                <w:highlight w:val="none"/>
              </w:rPr>
              <w:t>2）验收费用：安装、调试及检测、验收所产生的一切费用由乙方承担。</w:t>
            </w:r>
          </w:p>
        </w:tc>
      </w:tr>
      <w:tr w14:paraId="40A7A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7" w:type="dxa"/>
            <w:vAlign w:val="center"/>
          </w:tcPr>
          <w:p w14:paraId="0B48B30E">
            <w:pPr>
              <w:pStyle w:val="21"/>
              <w:jc w:val="center"/>
              <w:rPr>
                <w:rFonts w:hAnsi="宋体" w:cs="宋体"/>
                <w:color w:val="auto"/>
                <w:szCs w:val="21"/>
                <w:highlight w:val="none"/>
              </w:rPr>
            </w:pPr>
            <w:r>
              <w:rPr>
                <w:rFonts w:hint="eastAsia" w:hAnsi="宋体" w:cs="宋体"/>
                <w:color w:val="auto"/>
                <w:szCs w:val="21"/>
                <w:highlight w:val="none"/>
              </w:rPr>
              <w:t>5</w:t>
            </w:r>
          </w:p>
        </w:tc>
        <w:tc>
          <w:tcPr>
            <w:tcW w:w="8250" w:type="dxa"/>
            <w:vAlign w:val="center"/>
          </w:tcPr>
          <w:p w14:paraId="62B46FAF">
            <w:pPr>
              <w:adjustRightInd w:val="0"/>
              <w:snapToGrid w:val="0"/>
              <w:ind w:firstLine="0" w:firstLineChars="0"/>
              <w:outlineLvl w:val="2"/>
              <w:rPr>
                <w:rFonts w:ascii="宋体" w:hAnsi="宋体" w:cs="宋体"/>
                <w:b/>
                <w:bCs/>
                <w:color w:val="auto"/>
                <w:szCs w:val="21"/>
                <w:highlight w:val="none"/>
              </w:rPr>
            </w:pPr>
            <w:r>
              <w:rPr>
                <w:rFonts w:hint="eastAsia" w:ascii="宋体" w:hAnsi="宋体" w:cs="宋体"/>
                <w:b/>
                <w:bCs/>
                <w:color w:val="auto"/>
                <w:kern w:val="0"/>
                <w:szCs w:val="21"/>
                <w:highlight w:val="none"/>
              </w:rPr>
              <w:t>★</w:t>
            </w:r>
            <w:r>
              <w:rPr>
                <w:rFonts w:hint="eastAsia" w:ascii="宋体" w:hAnsi="宋体" w:cs="宋体"/>
                <w:b/>
                <w:bCs/>
                <w:color w:val="auto"/>
                <w:szCs w:val="21"/>
                <w:highlight w:val="none"/>
              </w:rPr>
              <w:t>其他要求：</w:t>
            </w:r>
          </w:p>
          <w:p w14:paraId="6EFC7D52">
            <w:pPr>
              <w:adjustRightInd w:val="0"/>
              <w:snapToGrid w:val="0"/>
              <w:ind w:firstLine="420"/>
              <w:outlineLvl w:val="2"/>
              <w:rPr>
                <w:rFonts w:ascii="宋体" w:hAnsi="宋体" w:cs="宋体"/>
                <w:color w:val="auto"/>
                <w:szCs w:val="21"/>
                <w:highlight w:val="none"/>
              </w:rPr>
            </w:pPr>
            <w:r>
              <w:rPr>
                <w:rFonts w:hint="eastAsia" w:ascii="宋体" w:hAnsi="宋体" w:cs="宋体"/>
                <w:color w:val="auto"/>
                <w:szCs w:val="21"/>
                <w:highlight w:val="none"/>
              </w:rPr>
              <w:t>1）投标人提供的货物应是原装的、全新的、具有生产厂家质量合格证明的产品，并保证使用方在使用期间不受第三方提出侵犯其专利权、商标权和工业设计权的起诉。</w:t>
            </w:r>
          </w:p>
          <w:p w14:paraId="47087CC7">
            <w:pPr>
              <w:adjustRightInd w:val="0"/>
              <w:snapToGrid w:val="0"/>
              <w:ind w:firstLine="420"/>
              <w:outlineLvl w:val="2"/>
              <w:rPr>
                <w:rFonts w:ascii="宋体" w:hAnsi="宋体" w:cs="宋体"/>
                <w:color w:val="auto"/>
                <w:szCs w:val="21"/>
                <w:highlight w:val="none"/>
              </w:rPr>
            </w:pPr>
            <w:r>
              <w:rPr>
                <w:rFonts w:hint="eastAsia" w:ascii="宋体" w:hAnsi="宋体" w:cs="宋体"/>
                <w:color w:val="auto"/>
                <w:szCs w:val="21"/>
                <w:highlight w:val="none"/>
              </w:rPr>
              <w:t>2）备件：如有备件，投标人应承诺随货物提供一套备件包，并编号列出清单。</w:t>
            </w:r>
          </w:p>
          <w:p w14:paraId="20C19EED">
            <w:pPr>
              <w:adjustRightInd w:val="0"/>
              <w:snapToGrid w:val="0"/>
              <w:ind w:firstLine="420"/>
              <w:outlineLvl w:val="2"/>
              <w:rPr>
                <w:rFonts w:ascii="宋体" w:hAnsi="宋体" w:cs="宋体"/>
                <w:color w:val="auto"/>
                <w:szCs w:val="21"/>
                <w:highlight w:val="none"/>
              </w:rPr>
            </w:pPr>
            <w:r>
              <w:rPr>
                <w:rFonts w:hint="eastAsia" w:ascii="宋体" w:hAnsi="宋体" w:cs="宋体"/>
                <w:color w:val="auto"/>
                <w:szCs w:val="21"/>
                <w:highlight w:val="none"/>
              </w:rPr>
              <w:t>3）专用工具及安装调试要求：投标人须独立完成所供产品的安装调试工作，安装调试、系统对接服务所需的全部线材、辅材、工具均由投标人自行提供并承担全部费用。</w:t>
            </w:r>
          </w:p>
          <w:p w14:paraId="6CF350E3">
            <w:pPr>
              <w:adjustRightInd w:val="0"/>
              <w:snapToGrid w:val="0"/>
              <w:ind w:firstLine="420"/>
              <w:outlineLvl w:val="2"/>
              <w:rPr>
                <w:rFonts w:ascii="宋体" w:hAnsi="宋体" w:cs="宋体"/>
                <w:color w:val="auto"/>
                <w:szCs w:val="21"/>
                <w:highlight w:val="none"/>
              </w:rPr>
            </w:pPr>
            <w:r>
              <w:rPr>
                <w:rFonts w:hint="eastAsia" w:ascii="宋体" w:hAnsi="宋体" w:cs="宋体"/>
                <w:color w:val="auto"/>
                <w:szCs w:val="21"/>
                <w:highlight w:val="none"/>
              </w:rPr>
              <w:t>4）资料：中标人须向采购人提供产品的合格证、使用说明等文件资料。</w:t>
            </w:r>
          </w:p>
        </w:tc>
      </w:tr>
      <w:tr w14:paraId="7E6EA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7" w:type="dxa"/>
            <w:vAlign w:val="center"/>
          </w:tcPr>
          <w:p w14:paraId="12F90667">
            <w:pPr>
              <w:pStyle w:val="21"/>
              <w:jc w:val="center"/>
              <w:rPr>
                <w:rFonts w:hAnsi="宋体" w:cs="宋体"/>
                <w:color w:val="auto"/>
                <w:szCs w:val="21"/>
                <w:highlight w:val="none"/>
              </w:rPr>
            </w:pPr>
            <w:r>
              <w:rPr>
                <w:rFonts w:hint="eastAsia" w:hAnsi="宋体" w:cs="宋体"/>
                <w:color w:val="auto"/>
                <w:szCs w:val="21"/>
                <w:highlight w:val="none"/>
              </w:rPr>
              <w:t>6</w:t>
            </w:r>
          </w:p>
        </w:tc>
        <w:tc>
          <w:tcPr>
            <w:tcW w:w="8250" w:type="dxa"/>
            <w:vAlign w:val="center"/>
          </w:tcPr>
          <w:p w14:paraId="0825FC75">
            <w:pPr>
              <w:adjustRightInd w:val="0"/>
              <w:snapToGrid w:val="0"/>
              <w:ind w:firstLine="0" w:firstLineChars="0"/>
              <w:rPr>
                <w:rFonts w:ascii="宋体" w:hAnsi="宋体" w:cs="宋体"/>
                <w:b/>
                <w:bCs/>
                <w:color w:val="auto"/>
                <w:kern w:val="0"/>
                <w:szCs w:val="21"/>
                <w:highlight w:val="none"/>
              </w:rPr>
            </w:pPr>
            <w:r>
              <w:rPr>
                <w:rFonts w:hint="eastAsia" w:ascii="宋体" w:hAnsi="宋体" w:cs="宋体"/>
                <w:b/>
                <w:bCs/>
                <w:color w:val="auto"/>
                <w:kern w:val="0"/>
                <w:szCs w:val="21"/>
                <w:highlight w:val="none"/>
              </w:rPr>
              <w:t>★违约责任：</w:t>
            </w:r>
          </w:p>
          <w:p w14:paraId="663CA88F">
            <w:pPr>
              <w:ind w:firstLine="420"/>
              <w:rPr>
                <w:rFonts w:ascii="宋体" w:hAnsi="宋体" w:cs="宋体"/>
                <w:color w:val="auto"/>
                <w:szCs w:val="21"/>
                <w:highlight w:val="none"/>
              </w:rPr>
            </w:pPr>
            <w:r>
              <w:rPr>
                <w:rFonts w:hint="eastAsia" w:ascii="宋体" w:hAnsi="宋体" w:cs="宋体"/>
                <w:color w:val="auto"/>
                <w:szCs w:val="21"/>
                <w:highlight w:val="none"/>
              </w:rPr>
              <w:t>1)乙方所交产品和安装调试与合同标准不相符的，甲方有权拒收并拒付货款，且乙方应继续履行合同义务，直到提交产品符合约定标准为止；乙方原因逾期交付合格项目将向甲方每日偿付合同总额万分之二的违约金，乙方承诺放弃向法院申请降低违约金的权利。该违约金不足以弥补甲方因此造成的经济损失的，乙方还应依法赔偿。若延期交付期限达30日，甲方可以拒绝支付合同价款并选择要求乙方承担违约责任后解除合同。</w:t>
            </w:r>
          </w:p>
          <w:p w14:paraId="5355D23D">
            <w:pPr>
              <w:ind w:firstLine="420"/>
              <w:rPr>
                <w:rFonts w:ascii="宋体" w:hAnsi="宋体" w:cs="宋体"/>
                <w:color w:val="auto"/>
                <w:szCs w:val="21"/>
                <w:highlight w:val="none"/>
              </w:rPr>
            </w:pPr>
            <w:r>
              <w:rPr>
                <w:rFonts w:hint="eastAsia" w:ascii="宋体" w:hAnsi="宋体" w:cs="宋体"/>
                <w:color w:val="auto"/>
                <w:szCs w:val="21"/>
                <w:highlight w:val="none"/>
              </w:rPr>
              <w:t>2)乙方交付项目的期限：乙方提请甲方验收之日后能一次性通过验收，若未能一次性验收合格视为未能如约交付，同样应承担违约责任（甲方原因造成延期交付的除外）。</w:t>
            </w:r>
          </w:p>
          <w:p w14:paraId="14E2DA5D">
            <w:pPr>
              <w:ind w:firstLine="420"/>
              <w:rPr>
                <w:rFonts w:ascii="宋体" w:hAnsi="宋体" w:cs="宋体"/>
                <w:color w:val="auto"/>
                <w:szCs w:val="21"/>
                <w:highlight w:val="none"/>
              </w:rPr>
            </w:pPr>
            <w:r>
              <w:rPr>
                <w:rFonts w:hint="eastAsia" w:ascii="宋体" w:hAnsi="宋体" w:cs="宋体"/>
                <w:color w:val="auto"/>
                <w:szCs w:val="21"/>
                <w:highlight w:val="none"/>
              </w:rPr>
              <w:t>3)甲方无正当理由拒收产品或拒绝验收的，甲方向乙方偿付合同总额百分之五的违约金；由甲方原因造成逾期支付合同款将向乙方每日偿付欠款总额万分之二的违约金。</w:t>
            </w:r>
          </w:p>
          <w:p w14:paraId="2F32296E">
            <w:pPr>
              <w:ind w:firstLine="420"/>
              <w:rPr>
                <w:rFonts w:hAnsi="宋体" w:cs="宋体"/>
                <w:color w:val="auto"/>
                <w:szCs w:val="21"/>
                <w:highlight w:val="none"/>
              </w:rPr>
            </w:pPr>
            <w:r>
              <w:rPr>
                <w:rFonts w:hint="eastAsia" w:ascii="宋体" w:hAnsi="宋体" w:cs="宋体"/>
                <w:color w:val="auto"/>
                <w:szCs w:val="21"/>
                <w:highlight w:val="none"/>
              </w:rPr>
              <w:t>4)若乙方未按所承诺售后服务标准执行，应依法赔偿因此给甲方造成的全部损失。乙方拒不履行售后服务义务的，甲方有权自主选择第三方机构提供售后服务，费用全部由乙方承担。</w:t>
            </w:r>
          </w:p>
        </w:tc>
      </w:tr>
    </w:tbl>
    <w:p w14:paraId="199B5670">
      <w:pPr>
        <w:ind w:firstLine="420"/>
        <w:jc w:val="center"/>
        <w:rPr>
          <w:rFonts w:ascii="宋体" w:hAnsi="宋体" w:cs="宋体"/>
          <w:b/>
          <w:bCs/>
          <w:color w:val="auto"/>
          <w:sz w:val="32"/>
          <w:szCs w:val="44"/>
          <w:highlight w:val="none"/>
        </w:rPr>
      </w:pPr>
      <w:r>
        <w:rPr>
          <w:rFonts w:hint="eastAsia" w:ascii="宋体" w:hAnsi="宋体" w:cs="宋体"/>
          <w:color w:val="auto"/>
          <w:highlight w:val="none"/>
        </w:rPr>
        <w:br w:type="page"/>
      </w:r>
    </w:p>
    <w:p w14:paraId="6DB43B34">
      <w:pPr>
        <w:pStyle w:val="8"/>
        <w:widowControl/>
        <w:spacing w:beforeAutospacing="0" w:afterAutospacing="0"/>
        <w:ind w:firstLine="0" w:firstLineChars="0"/>
        <w:jc w:val="center"/>
        <w:rPr>
          <w:rFonts w:ascii="微软雅黑" w:hAnsi="微软雅黑" w:eastAsia="微软雅黑" w:cs="微软雅黑"/>
          <w:color w:val="auto"/>
          <w:spacing w:val="15"/>
          <w:sz w:val="90"/>
          <w:szCs w:val="90"/>
          <w:highlight w:val="none"/>
        </w:rPr>
      </w:pPr>
    </w:p>
    <w:p w14:paraId="092FD8A4">
      <w:pPr>
        <w:pStyle w:val="8"/>
        <w:widowControl/>
        <w:spacing w:beforeAutospacing="0" w:afterAutospacing="0"/>
        <w:ind w:firstLine="0" w:firstLineChars="0"/>
        <w:jc w:val="center"/>
        <w:rPr>
          <w:color w:val="auto"/>
          <w:highlight w:val="none"/>
        </w:rPr>
      </w:pPr>
      <w:r>
        <w:rPr>
          <w:rFonts w:ascii="微软雅黑" w:hAnsi="微软雅黑" w:eastAsia="微软雅黑" w:cs="微软雅黑"/>
          <w:color w:val="auto"/>
          <w:spacing w:val="15"/>
          <w:sz w:val="90"/>
          <w:szCs w:val="90"/>
          <w:highlight w:val="none"/>
        </w:rPr>
        <w:t>政府采购合同</w:t>
      </w:r>
    </w:p>
    <w:p w14:paraId="02A83F8C">
      <w:pPr>
        <w:pStyle w:val="8"/>
        <w:widowControl/>
        <w:spacing w:beforeAutospacing="0" w:afterAutospacing="0"/>
        <w:ind w:firstLine="480"/>
        <w:jc w:val="center"/>
        <w:rPr>
          <w:color w:val="auto"/>
          <w:highlight w:val="none"/>
        </w:rPr>
      </w:pPr>
    </w:p>
    <w:p w14:paraId="38BE2303">
      <w:pPr>
        <w:pStyle w:val="8"/>
        <w:widowControl/>
        <w:spacing w:beforeAutospacing="0" w:afterAutospacing="0"/>
        <w:ind w:firstLine="0" w:firstLineChars="0"/>
        <w:jc w:val="center"/>
        <w:rPr>
          <w:color w:val="auto"/>
          <w:highlight w:val="none"/>
        </w:rPr>
      </w:pPr>
      <w:r>
        <w:rPr>
          <w:rFonts w:hint="eastAsia" w:ascii="黑体" w:hAnsi="宋体" w:eastAsia="黑体" w:cs="黑体"/>
          <w:color w:val="auto"/>
          <w:sz w:val="42"/>
          <w:szCs w:val="42"/>
          <w:highlight w:val="none"/>
        </w:rPr>
        <w:t>（</w:t>
      </w:r>
      <w:r>
        <w:rPr>
          <w:rFonts w:ascii="黑体" w:hAnsi="宋体" w:eastAsia="黑体" w:cs="黑体"/>
          <w:color w:val="auto"/>
          <w:sz w:val="42"/>
          <w:szCs w:val="42"/>
          <w:highlight w:val="none"/>
        </w:rPr>
        <w:t>电子交易项目适用）</w:t>
      </w:r>
    </w:p>
    <w:p w14:paraId="1D558243">
      <w:pPr>
        <w:pStyle w:val="8"/>
        <w:widowControl/>
        <w:spacing w:beforeAutospacing="0" w:afterAutospacing="0"/>
        <w:ind w:firstLine="480"/>
        <w:rPr>
          <w:color w:val="auto"/>
          <w:highlight w:val="none"/>
        </w:rPr>
      </w:pPr>
    </w:p>
    <w:p w14:paraId="275F0C4A">
      <w:pPr>
        <w:pStyle w:val="8"/>
        <w:widowControl/>
        <w:spacing w:beforeAutospacing="0" w:afterAutospacing="0"/>
        <w:ind w:firstLine="0" w:firstLineChars="0"/>
        <w:rPr>
          <w:color w:val="auto"/>
          <w:highlight w:val="none"/>
        </w:rPr>
      </w:pPr>
    </w:p>
    <w:p w14:paraId="3C4A879D">
      <w:pPr>
        <w:pStyle w:val="8"/>
        <w:widowControl/>
        <w:spacing w:beforeAutospacing="0" w:afterAutospacing="0"/>
        <w:ind w:firstLine="480"/>
        <w:rPr>
          <w:color w:val="auto"/>
          <w:highlight w:val="none"/>
        </w:rPr>
      </w:pPr>
    </w:p>
    <w:p w14:paraId="345369D8">
      <w:pPr>
        <w:pStyle w:val="8"/>
        <w:widowControl/>
        <w:spacing w:beforeAutospacing="0" w:afterAutospacing="0"/>
        <w:ind w:firstLine="480"/>
        <w:rPr>
          <w:color w:val="auto"/>
          <w:highlight w:val="none"/>
        </w:rPr>
      </w:pPr>
    </w:p>
    <w:tbl>
      <w:tblPr>
        <w:tblStyle w:val="34"/>
        <w:tblW w:w="0" w:type="auto"/>
        <w:tblInd w:w="0" w:type="dxa"/>
        <w:tblLayout w:type="autofit"/>
        <w:tblCellMar>
          <w:top w:w="15" w:type="dxa"/>
          <w:left w:w="15" w:type="dxa"/>
          <w:bottom w:w="15" w:type="dxa"/>
          <w:right w:w="15" w:type="dxa"/>
        </w:tblCellMar>
      </w:tblPr>
      <w:tblGrid>
        <w:gridCol w:w="3806"/>
        <w:gridCol w:w="5564"/>
      </w:tblGrid>
      <w:tr w14:paraId="6AB1F63C">
        <w:tblPrEx>
          <w:tblCellMar>
            <w:top w:w="15" w:type="dxa"/>
            <w:left w:w="15" w:type="dxa"/>
            <w:bottom w:w="15" w:type="dxa"/>
            <w:right w:w="15" w:type="dxa"/>
          </w:tblCellMar>
        </w:tblPrEx>
        <w:tc>
          <w:tcPr>
            <w:tcW w:w="3806" w:type="dxa"/>
            <w:tcBorders>
              <w:top w:val="single" w:color="FFFFFF" w:sz="6" w:space="0"/>
              <w:left w:val="single" w:color="FFFFFF" w:sz="6" w:space="0"/>
              <w:bottom w:val="single" w:color="FFFFFF" w:sz="6" w:space="0"/>
              <w:right w:val="single" w:color="FFFFFF" w:sz="6" w:space="0"/>
            </w:tcBorders>
            <w:shd w:val="clear" w:color="auto" w:fill="auto"/>
            <w:tcMar>
              <w:top w:w="75" w:type="dxa"/>
              <w:left w:w="150" w:type="dxa"/>
              <w:bottom w:w="75" w:type="dxa"/>
              <w:right w:w="150" w:type="dxa"/>
            </w:tcMar>
          </w:tcPr>
          <w:p w14:paraId="2F084999">
            <w:pPr>
              <w:pStyle w:val="8"/>
              <w:widowControl/>
              <w:wordWrap w:val="0"/>
              <w:spacing w:beforeAutospacing="0" w:afterAutospacing="0"/>
              <w:ind w:firstLine="600"/>
              <w:jc w:val="right"/>
              <w:rPr>
                <w:color w:val="auto"/>
                <w:sz w:val="30"/>
                <w:szCs w:val="30"/>
                <w:highlight w:val="none"/>
              </w:rPr>
            </w:pPr>
            <w:r>
              <w:rPr>
                <w:rFonts w:ascii="黑体" w:hAnsi="宋体" w:eastAsia="黑体" w:cs="黑体"/>
                <w:color w:val="auto"/>
                <w:sz w:val="30"/>
                <w:szCs w:val="30"/>
                <w:highlight w:val="none"/>
              </w:rPr>
              <w:t>项 目 名称：</w:t>
            </w:r>
          </w:p>
        </w:tc>
        <w:tc>
          <w:tcPr>
            <w:tcW w:w="5564" w:type="dxa"/>
            <w:tcBorders>
              <w:top w:val="single" w:color="FFFFFF" w:sz="6" w:space="0"/>
              <w:left w:val="single" w:color="FFFFFF" w:sz="6" w:space="0"/>
              <w:bottom w:val="single" w:color="FFFFFF" w:sz="6" w:space="0"/>
              <w:right w:val="single" w:color="FFFFFF" w:sz="6" w:space="0"/>
            </w:tcBorders>
            <w:shd w:val="clear" w:color="auto" w:fill="auto"/>
            <w:tcMar>
              <w:top w:w="75" w:type="dxa"/>
              <w:left w:w="150" w:type="dxa"/>
              <w:bottom w:w="75" w:type="dxa"/>
              <w:right w:w="150" w:type="dxa"/>
            </w:tcMar>
          </w:tcPr>
          <w:p w14:paraId="1BB6F35A">
            <w:pPr>
              <w:ind w:firstLine="600"/>
              <w:rPr>
                <w:rFonts w:ascii="宋体"/>
                <w:color w:val="auto"/>
                <w:sz w:val="30"/>
                <w:szCs w:val="30"/>
                <w:highlight w:val="none"/>
              </w:rPr>
            </w:pPr>
          </w:p>
        </w:tc>
      </w:tr>
      <w:tr w14:paraId="09B9BD64">
        <w:tblPrEx>
          <w:tblCellMar>
            <w:top w:w="15" w:type="dxa"/>
            <w:left w:w="15" w:type="dxa"/>
            <w:bottom w:w="15" w:type="dxa"/>
            <w:right w:w="15" w:type="dxa"/>
          </w:tblCellMar>
        </w:tblPrEx>
        <w:trPr>
          <w:trHeight w:val="495" w:hRule="atLeast"/>
        </w:trPr>
        <w:tc>
          <w:tcPr>
            <w:tcW w:w="3806" w:type="dxa"/>
            <w:tcBorders>
              <w:top w:val="single" w:color="FFFFFF" w:sz="6" w:space="0"/>
              <w:left w:val="single" w:color="FFFFFF" w:sz="6" w:space="0"/>
              <w:bottom w:val="single" w:color="FFFFFF" w:sz="6" w:space="0"/>
              <w:right w:val="single" w:color="FFFFFF" w:sz="6" w:space="0"/>
            </w:tcBorders>
            <w:shd w:val="clear" w:color="auto" w:fill="auto"/>
            <w:tcMar>
              <w:top w:w="75" w:type="dxa"/>
              <w:left w:w="150" w:type="dxa"/>
              <w:bottom w:w="75" w:type="dxa"/>
              <w:right w:w="150" w:type="dxa"/>
            </w:tcMar>
          </w:tcPr>
          <w:p w14:paraId="3EE52554">
            <w:pPr>
              <w:pStyle w:val="8"/>
              <w:widowControl/>
              <w:spacing w:beforeAutospacing="0" w:afterAutospacing="0"/>
              <w:ind w:firstLine="600"/>
              <w:jc w:val="right"/>
              <w:rPr>
                <w:color w:val="auto"/>
                <w:sz w:val="30"/>
                <w:szCs w:val="30"/>
                <w:highlight w:val="none"/>
              </w:rPr>
            </w:pPr>
            <w:r>
              <w:rPr>
                <w:rFonts w:ascii="黑体" w:hAnsi="宋体" w:eastAsia="黑体" w:cs="黑体"/>
                <w:color w:val="auto"/>
                <w:sz w:val="30"/>
                <w:szCs w:val="30"/>
                <w:highlight w:val="none"/>
                <w:shd w:val="clear" w:color="auto" w:fill="FFFFFF"/>
              </w:rPr>
              <w:t>合 同 编号：</w:t>
            </w:r>
          </w:p>
        </w:tc>
        <w:tc>
          <w:tcPr>
            <w:tcW w:w="5564" w:type="dxa"/>
            <w:tcBorders>
              <w:top w:val="single" w:color="FFFFFF" w:sz="6" w:space="0"/>
              <w:left w:val="single" w:color="FFFFFF" w:sz="6" w:space="0"/>
              <w:bottom w:val="single" w:color="FFFFFF" w:sz="6" w:space="0"/>
              <w:right w:val="single" w:color="FFFFFF" w:sz="6" w:space="0"/>
            </w:tcBorders>
            <w:shd w:val="clear" w:color="auto" w:fill="auto"/>
            <w:tcMar>
              <w:top w:w="75" w:type="dxa"/>
              <w:left w:w="150" w:type="dxa"/>
              <w:bottom w:w="75" w:type="dxa"/>
              <w:right w:w="150" w:type="dxa"/>
            </w:tcMar>
          </w:tcPr>
          <w:p w14:paraId="3300BD48">
            <w:pPr>
              <w:pStyle w:val="8"/>
              <w:widowControl/>
              <w:spacing w:beforeAutospacing="0" w:afterAutospacing="0"/>
              <w:ind w:firstLine="600"/>
              <w:rPr>
                <w:color w:val="auto"/>
                <w:sz w:val="30"/>
                <w:szCs w:val="30"/>
                <w:highlight w:val="none"/>
              </w:rPr>
            </w:pPr>
            <w:r>
              <w:rPr>
                <w:rFonts w:hint="eastAsia" w:ascii="仿宋" w:hAnsi="仿宋" w:eastAsia="仿宋" w:cs="仿宋"/>
                <w:color w:val="auto"/>
                <w:sz w:val="30"/>
                <w:szCs w:val="30"/>
                <w:highlight w:val="none"/>
              </w:rPr>
              <w:t>（系统编号）</w:t>
            </w:r>
          </w:p>
        </w:tc>
      </w:tr>
      <w:tr w14:paraId="36F74B41">
        <w:tblPrEx>
          <w:tblCellMar>
            <w:top w:w="15" w:type="dxa"/>
            <w:left w:w="15" w:type="dxa"/>
            <w:bottom w:w="15" w:type="dxa"/>
            <w:right w:w="15" w:type="dxa"/>
          </w:tblCellMar>
        </w:tblPrEx>
        <w:tc>
          <w:tcPr>
            <w:tcW w:w="3806" w:type="dxa"/>
            <w:tcBorders>
              <w:top w:val="single" w:color="FFFFFF" w:sz="6" w:space="0"/>
              <w:left w:val="single" w:color="FFFFFF" w:sz="6" w:space="0"/>
              <w:bottom w:val="single" w:color="FFFFFF" w:sz="6" w:space="0"/>
              <w:right w:val="single" w:color="FFFFFF" w:sz="6" w:space="0"/>
            </w:tcBorders>
            <w:shd w:val="clear" w:color="auto" w:fill="auto"/>
            <w:tcMar>
              <w:top w:w="75" w:type="dxa"/>
              <w:left w:w="150" w:type="dxa"/>
              <w:bottom w:w="75" w:type="dxa"/>
              <w:right w:w="150" w:type="dxa"/>
            </w:tcMar>
          </w:tcPr>
          <w:p w14:paraId="2E9783AA">
            <w:pPr>
              <w:pStyle w:val="8"/>
              <w:widowControl/>
              <w:wordWrap w:val="0"/>
              <w:spacing w:beforeAutospacing="0" w:afterAutospacing="0"/>
              <w:ind w:firstLine="600"/>
              <w:jc w:val="right"/>
              <w:rPr>
                <w:color w:val="auto"/>
                <w:sz w:val="30"/>
                <w:szCs w:val="30"/>
                <w:highlight w:val="none"/>
              </w:rPr>
            </w:pPr>
          </w:p>
        </w:tc>
        <w:tc>
          <w:tcPr>
            <w:tcW w:w="5564" w:type="dxa"/>
            <w:tcBorders>
              <w:top w:val="single" w:color="FFFFFF" w:sz="6" w:space="0"/>
              <w:left w:val="single" w:color="FFFFFF" w:sz="6" w:space="0"/>
              <w:bottom w:val="single" w:color="FFFFFF" w:sz="6" w:space="0"/>
              <w:right w:val="single" w:color="FFFFFF" w:sz="6" w:space="0"/>
            </w:tcBorders>
            <w:shd w:val="clear" w:color="auto" w:fill="auto"/>
            <w:tcMar>
              <w:top w:w="75" w:type="dxa"/>
              <w:left w:w="150" w:type="dxa"/>
              <w:bottom w:w="75" w:type="dxa"/>
              <w:right w:w="150" w:type="dxa"/>
            </w:tcMar>
          </w:tcPr>
          <w:p w14:paraId="18F940FF">
            <w:pPr>
              <w:pStyle w:val="8"/>
              <w:widowControl/>
              <w:wordWrap w:val="0"/>
              <w:spacing w:beforeAutospacing="0" w:afterAutospacing="0"/>
              <w:ind w:firstLine="600"/>
              <w:rPr>
                <w:color w:val="auto"/>
                <w:sz w:val="30"/>
                <w:szCs w:val="30"/>
                <w:highlight w:val="none"/>
              </w:rPr>
            </w:pPr>
          </w:p>
        </w:tc>
      </w:tr>
      <w:tr w14:paraId="7BD34141">
        <w:tblPrEx>
          <w:tblCellMar>
            <w:top w:w="15" w:type="dxa"/>
            <w:left w:w="15" w:type="dxa"/>
            <w:bottom w:w="15" w:type="dxa"/>
            <w:right w:w="15" w:type="dxa"/>
          </w:tblCellMar>
        </w:tblPrEx>
        <w:tc>
          <w:tcPr>
            <w:tcW w:w="3806" w:type="dxa"/>
            <w:tcBorders>
              <w:top w:val="single" w:color="FFFFFF" w:sz="6" w:space="0"/>
              <w:left w:val="single" w:color="FFFFFF" w:sz="6" w:space="0"/>
              <w:bottom w:val="single" w:color="FFFFFF" w:sz="6" w:space="0"/>
              <w:right w:val="single" w:color="FFFFFF" w:sz="6" w:space="0"/>
            </w:tcBorders>
            <w:shd w:val="clear" w:color="auto" w:fill="auto"/>
            <w:tcMar>
              <w:top w:w="75" w:type="dxa"/>
              <w:left w:w="150" w:type="dxa"/>
              <w:bottom w:w="75" w:type="dxa"/>
              <w:right w:w="150" w:type="dxa"/>
            </w:tcMar>
          </w:tcPr>
          <w:p w14:paraId="510E33D6">
            <w:pPr>
              <w:pStyle w:val="8"/>
              <w:widowControl/>
              <w:spacing w:beforeAutospacing="0" w:afterAutospacing="0"/>
              <w:ind w:firstLine="600"/>
              <w:rPr>
                <w:color w:val="auto"/>
                <w:sz w:val="30"/>
                <w:szCs w:val="30"/>
                <w:highlight w:val="none"/>
              </w:rPr>
            </w:pPr>
          </w:p>
        </w:tc>
        <w:tc>
          <w:tcPr>
            <w:tcW w:w="5564" w:type="dxa"/>
            <w:tcBorders>
              <w:top w:val="single" w:color="FFFFFF" w:sz="6" w:space="0"/>
              <w:left w:val="single" w:color="FFFFFF" w:sz="6" w:space="0"/>
              <w:bottom w:val="single" w:color="FFFFFF" w:sz="6" w:space="0"/>
              <w:right w:val="single" w:color="FFFFFF" w:sz="6" w:space="0"/>
            </w:tcBorders>
            <w:shd w:val="clear" w:color="auto" w:fill="auto"/>
            <w:tcMar>
              <w:top w:w="75" w:type="dxa"/>
              <w:left w:w="150" w:type="dxa"/>
              <w:bottom w:w="75" w:type="dxa"/>
              <w:right w:w="150" w:type="dxa"/>
            </w:tcMar>
          </w:tcPr>
          <w:p w14:paraId="75A1A582">
            <w:pPr>
              <w:pStyle w:val="8"/>
              <w:widowControl/>
              <w:spacing w:beforeAutospacing="0" w:afterAutospacing="0"/>
              <w:ind w:firstLine="600"/>
              <w:rPr>
                <w:color w:val="auto"/>
                <w:sz w:val="30"/>
                <w:szCs w:val="30"/>
                <w:highlight w:val="none"/>
              </w:rPr>
            </w:pPr>
          </w:p>
        </w:tc>
      </w:tr>
      <w:tr w14:paraId="18495278">
        <w:tblPrEx>
          <w:tblCellMar>
            <w:top w:w="15" w:type="dxa"/>
            <w:left w:w="15" w:type="dxa"/>
            <w:bottom w:w="15" w:type="dxa"/>
            <w:right w:w="15" w:type="dxa"/>
          </w:tblCellMar>
        </w:tblPrEx>
        <w:tc>
          <w:tcPr>
            <w:tcW w:w="3806" w:type="dxa"/>
            <w:tcBorders>
              <w:top w:val="single" w:color="FFFFFF" w:sz="6" w:space="0"/>
              <w:left w:val="single" w:color="FFFFFF" w:sz="6" w:space="0"/>
              <w:bottom w:val="single" w:color="FFFFFF" w:sz="6" w:space="0"/>
              <w:right w:val="single" w:color="FFFFFF" w:sz="6" w:space="0"/>
            </w:tcBorders>
            <w:shd w:val="clear" w:color="auto" w:fill="auto"/>
            <w:tcMar>
              <w:top w:w="75" w:type="dxa"/>
              <w:left w:w="150" w:type="dxa"/>
              <w:bottom w:w="75" w:type="dxa"/>
              <w:right w:w="150" w:type="dxa"/>
            </w:tcMar>
          </w:tcPr>
          <w:p w14:paraId="519F392E">
            <w:pPr>
              <w:pStyle w:val="8"/>
              <w:widowControl/>
              <w:wordWrap w:val="0"/>
              <w:spacing w:beforeAutospacing="0" w:afterAutospacing="0"/>
              <w:ind w:firstLine="600"/>
              <w:jc w:val="right"/>
              <w:rPr>
                <w:color w:val="auto"/>
                <w:sz w:val="30"/>
                <w:szCs w:val="30"/>
                <w:highlight w:val="none"/>
              </w:rPr>
            </w:pPr>
          </w:p>
        </w:tc>
        <w:tc>
          <w:tcPr>
            <w:tcW w:w="5564" w:type="dxa"/>
            <w:tcBorders>
              <w:top w:val="single" w:color="FFFFFF" w:sz="6" w:space="0"/>
              <w:left w:val="single" w:color="FFFFFF" w:sz="6" w:space="0"/>
              <w:bottom w:val="single" w:color="FFFFFF" w:sz="6" w:space="0"/>
              <w:right w:val="single" w:color="FFFFFF" w:sz="6" w:space="0"/>
            </w:tcBorders>
            <w:shd w:val="clear" w:color="auto" w:fill="auto"/>
            <w:tcMar>
              <w:top w:w="75" w:type="dxa"/>
              <w:left w:w="150" w:type="dxa"/>
              <w:bottom w:w="75" w:type="dxa"/>
              <w:right w:w="150" w:type="dxa"/>
            </w:tcMar>
          </w:tcPr>
          <w:p w14:paraId="49B279C9">
            <w:pPr>
              <w:pStyle w:val="8"/>
              <w:widowControl/>
              <w:wordWrap w:val="0"/>
              <w:spacing w:beforeAutospacing="0" w:afterAutospacing="0"/>
              <w:ind w:firstLine="600"/>
              <w:rPr>
                <w:rFonts w:eastAsia="仿宋"/>
                <w:color w:val="auto"/>
                <w:sz w:val="30"/>
                <w:szCs w:val="30"/>
                <w:highlight w:val="none"/>
              </w:rPr>
            </w:pPr>
          </w:p>
        </w:tc>
      </w:tr>
      <w:tr w14:paraId="257025ED">
        <w:tblPrEx>
          <w:tblCellMar>
            <w:top w:w="15" w:type="dxa"/>
            <w:left w:w="15" w:type="dxa"/>
            <w:bottom w:w="15" w:type="dxa"/>
            <w:right w:w="15" w:type="dxa"/>
          </w:tblCellMar>
        </w:tblPrEx>
        <w:tc>
          <w:tcPr>
            <w:tcW w:w="3806" w:type="dxa"/>
            <w:tcBorders>
              <w:top w:val="single" w:color="FFFFFF" w:sz="6" w:space="0"/>
              <w:left w:val="single" w:color="FFFFFF" w:sz="6" w:space="0"/>
              <w:bottom w:val="single" w:color="FFFFFF" w:sz="6" w:space="0"/>
              <w:right w:val="single" w:color="FFFFFF" w:sz="6" w:space="0"/>
            </w:tcBorders>
            <w:shd w:val="clear" w:color="auto" w:fill="auto"/>
            <w:tcMar>
              <w:top w:w="75" w:type="dxa"/>
              <w:left w:w="150" w:type="dxa"/>
              <w:bottom w:w="75" w:type="dxa"/>
              <w:right w:w="150" w:type="dxa"/>
            </w:tcMar>
          </w:tcPr>
          <w:p w14:paraId="248912BE">
            <w:pPr>
              <w:pStyle w:val="8"/>
              <w:widowControl/>
              <w:spacing w:beforeAutospacing="0" w:afterAutospacing="0"/>
              <w:ind w:firstLine="600"/>
              <w:jc w:val="right"/>
              <w:rPr>
                <w:color w:val="auto"/>
                <w:sz w:val="30"/>
                <w:szCs w:val="30"/>
                <w:highlight w:val="none"/>
              </w:rPr>
            </w:pPr>
            <w:r>
              <w:rPr>
                <w:rFonts w:ascii="黑体" w:hAnsi="宋体" w:eastAsia="黑体" w:cs="黑体"/>
                <w:color w:val="auto"/>
                <w:sz w:val="30"/>
                <w:szCs w:val="30"/>
                <w:highlight w:val="none"/>
                <w:shd w:val="clear" w:color="auto" w:fill="FFFFFF"/>
              </w:rPr>
              <w:t>甲  方：</w:t>
            </w:r>
          </w:p>
        </w:tc>
        <w:tc>
          <w:tcPr>
            <w:tcW w:w="5564" w:type="dxa"/>
            <w:tcBorders>
              <w:top w:val="single" w:color="FFFFFF" w:sz="6" w:space="0"/>
              <w:left w:val="single" w:color="FFFFFF" w:sz="6" w:space="0"/>
              <w:bottom w:val="single" w:color="FFFFFF" w:sz="6" w:space="0"/>
              <w:right w:val="single" w:color="FFFFFF" w:sz="6" w:space="0"/>
            </w:tcBorders>
            <w:shd w:val="clear" w:color="auto" w:fill="auto"/>
            <w:tcMar>
              <w:top w:w="75" w:type="dxa"/>
              <w:left w:w="150" w:type="dxa"/>
              <w:bottom w:w="75" w:type="dxa"/>
              <w:right w:w="150" w:type="dxa"/>
            </w:tcMar>
          </w:tcPr>
          <w:p w14:paraId="7C3471C4">
            <w:pPr>
              <w:pStyle w:val="8"/>
              <w:widowControl/>
              <w:spacing w:beforeAutospacing="0" w:afterAutospacing="0"/>
              <w:ind w:firstLine="0" w:firstLineChars="0"/>
              <w:rPr>
                <w:color w:val="auto"/>
                <w:sz w:val="30"/>
                <w:szCs w:val="30"/>
                <w:highlight w:val="none"/>
              </w:rPr>
            </w:pPr>
            <w:r>
              <w:rPr>
                <w:rStyle w:val="41"/>
                <w:rFonts w:hint="eastAsia" w:ascii="仿宋" w:hAnsi="仿宋" w:eastAsia="仿宋" w:cs="仿宋"/>
                <w:color w:val="auto"/>
                <w:sz w:val="30"/>
                <w:szCs w:val="30"/>
                <w:highlight w:val="none"/>
                <w:u w:val="single"/>
                <w:shd w:val="clear" w:color="auto" w:fill="FFFFFF"/>
              </w:rPr>
              <w:t>昆明市盘龙区滇源街道中心卫生院</w:t>
            </w:r>
          </w:p>
        </w:tc>
      </w:tr>
      <w:tr w14:paraId="6BD463B7">
        <w:tblPrEx>
          <w:tblCellMar>
            <w:top w:w="15" w:type="dxa"/>
            <w:left w:w="15" w:type="dxa"/>
            <w:bottom w:w="15" w:type="dxa"/>
            <w:right w:w="15" w:type="dxa"/>
          </w:tblCellMar>
        </w:tblPrEx>
        <w:trPr>
          <w:trHeight w:val="855" w:hRule="atLeast"/>
        </w:trPr>
        <w:tc>
          <w:tcPr>
            <w:tcW w:w="3806" w:type="dxa"/>
            <w:tcBorders>
              <w:top w:val="single" w:color="FFFFFF" w:sz="6" w:space="0"/>
              <w:left w:val="single" w:color="FFFFFF" w:sz="6" w:space="0"/>
              <w:bottom w:val="single" w:color="FFFFFF" w:sz="6" w:space="0"/>
              <w:right w:val="single" w:color="FFFFFF" w:sz="6" w:space="0"/>
            </w:tcBorders>
            <w:shd w:val="clear" w:color="auto" w:fill="auto"/>
            <w:tcMar>
              <w:top w:w="75" w:type="dxa"/>
              <w:left w:w="150" w:type="dxa"/>
              <w:bottom w:w="75" w:type="dxa"/>
              <w:right w:w="150" w:type="dxa"/>
            </w:tcMar>
          </w:tcPr>
          <w:p w14:paraId="50D0770D">
            <w:pPr>
              <w:pStyle w:val="8"/>
              <w:widowControl/>
              <w:wordWrap w:val="0"/>
              <w:spacing w:beforeAutospacing="0" w:afterAutospacing="0"/>
              <w:ind w:firstLine="600"/>
              <w:jc w:val="right"/>
              <w:rPr>
                <w:color w:val="auto"/>
                <w:sz w:val="30"/>
                <w:szCs w:val="30"/>
                <w:highlight w:val="none"/>
              </w:rPr>
            </w:pPr>
            <w:r>
              <w:rPr>
                <w:rFonts w:ascii="黑体" w:hAnsi="宋体" w:eastAsia="黑体" w:cs="黑体"/>
                <w:color w:val="auto"/>
                <w:sz w:val="30"/>
                <w:szCs w:val="30"/>
                <w:highlight w:val="none"/>
                <w:shd w:val="clear" w:color="auto" w:fill="FFFFFF"/>
              </w:rPr>
              <w:t>乙 方：</w:t>
            </w:r>
          </w:p>
        </w:tc>
        <w:tc>
          <w:tcPr>
            <w:tcW w:w="5564" w:type="dxa"/>
            <w:tcBorders>
              <w:top w:val="single" w:color="FFFFFF" w:sz="6" w:space="0"/>
              <w:left w:val="single" w:color="FFFFFF" w:sz="6" w:space="0"/>
              <w:bottom w:val="single" w:color="FFFFFF" w:sz="6" w:space="0"/>
              <w:right w:val="single" w:color="FFFFFF" w:sz="6" w:space="0"/>
            </w:tcBorders>
            <w:shd w:val="clear" w:color="auto" w:fill="auto"/>
            <w:tcMar>
              <w:top w:w="75" w:type="dxa"/>
              <w:left w:w="150" w:type="dxa"/>
              <w:bottom w:w="75" w:type="dxa"/>
              <w:right w:w="150" w:type="dxa"/>
            </w:tcMar>
          </w:tcPr>
          <w:p w14:paraId="2E1514D4">
            <w:pPr>
              <w:pStyle w:val="8"/>
              <w:widowControl/>
              <w:wordWrap w:val="0"/>
              <w:spacing w:beforeAutospacing="0" w:afterAutospacing="0"/>
              <w:ind w:firstLine="0" w:firstLineChars="0"/>
              <w:rPr>
                <w:color w:val="auto"/>
                <w:sz w:val="30"/>
                <w:szCs w:val="30"/>
                <w:highlight w:val="none"/>
              </w:rPr>
            </w:pPr>
          </w:p>
        </w:tc>
      </w:tr>
    </w:tbl>
    <w:p w14:paraId="5A6C060B">
      <w:pPr>
        <w:widowControl/>
        <w:tabs>
          <w:tab w:val="left" w:pos="420"/>
        </w:tabs>
        <w:snapToGrid w:val="0"/>
        <w:spacing w:line="480" w:lineRule="exact"/>
        <w:ind w:firstLine="360" w:firstLineChars="150"/>
        <w:jc w:val="left"/>
        <w:rPr>
          <w:rFonts w:ascii="宋体" w:hAnsi="宋体" w:cs="宋体"/>
          <w:b/>
          <w:bCs/>
          <w:color w:val="auto"/>
          <w:kern w:val="0"/>
          <w:sz w:val="24"/>
          <w:szCs w:val="24"/>
          <w:highlight w:val="none"/>
        </w:rPr>
        <w:sectPr>
          <w:footerReference r:id="rId16" w:type="first"/>
          <w:footerReference r:id="rId15" w:type="default"/>
          <w:pgSz w:w="11906" w:h="16838"/>
          <w:pgMar w:top="1418" w:right="1418" w:bottom="1417" w:left="1418" w:header="850" w:footer="964" w:gutter="0"/>
          <w:pgNumType w:start="1"/>
          <w:cols w:space="720" w:num="1"/>
          <w:docGrid w:type="linesAndChars" w:linePitch="331" w:charSpace="0"/>
        </w:sectPr>
      </w:pPr>
    </w:p>
    <w:p w14:paraId="23259CD6">
      <w:pPr>
        <w:widowControl/>
        <w:tabs>
          <w:tab w:val="left" w:pos="420"/>
        </w:tabs>
        <w:snapToGrid w:val="0"/>
        <w:spacing w:line="480" w:lineRule="exact"/>
        <w:ind w:firstLine="360" w:firstLineChars="15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甲方</w:t>
      </w:r>
      <w:r>
        <w:rPr>
          <w:rFonts w:hint="eastAsia" w:ascii="宋体" w:hAnsi="宋体" w:cs="宋体"/>
          <w:color w:val="auto"/>
          <w:kern w:val="0"/>
          <w:sz w:val="24"/>
          <w:szCs w:val="24"/>
          <w:highlight w:val="none"/>
        </w:rPr>
        <w:t>（采购人公章）名称： 昆明市盘龙区滇源街道中心卫生院</w:t>
      </w:r>
    </w:p>
    <w:p w14:paraId="368FA947">
      <w:pPr>
        <w:widowControl/>
        <w:snapToGrid w:val="0"/>
        <w:spacing w:line="480" w:lineRule="exact"/>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地   址：昆明市盘龙区滇源街道白马路14号</w:t>
      </w:r>
    </w:p>
    <w:p w14:paraId="1EAF1704">
      <w:pPr>
        <w:widowControl/>
        <w:snapToGrid w:val="0"/>
        <w:spacing w:line="480" w:lineRule="exact"/>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邮   编：</w:t>
      </w:r>
    </w:p>
    <w:p w14:paraId="65A230C3">
      <w:pPr>
        <w:widowControl/>
        <w:snapToGrid w:val="0"/>
        <w:spacing w:line="480" w:lineRule="exact"/>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法定代表人或委托代理人：</w:t>
      </w:r>
    </w:p>
    <w:p w14:paraId="28E06E6A">
      <w:pPr>
        <w:widowControl/>
        <w:snapToGrid w:val="0"/>
        <w:spacing w:line="480" w:lineRule="exact"/>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项目（技术）负责人：</w:t>
      </w:r>
    </w:p>
    <w:p w14:paraId="4E6A0B84">
      <w:pPr>
        <w:widowControl/>
        <w:snapToGrid w:val="0"/>
        <w:spacing w:line="480" w:lineRule="exact"/>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电    话：</w:t>
      </w:r>
    </w:p>
    <w:p w14:paraId="7215EBFE">
      <w:pPr>
        <w:widowControl/>
        <w:snapToGrid w:val="0"/>
        <w:spacing w:line="480" w:lineRule="exact"/>
        <w:ind w:firstLine="48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rPr>
        <w:t>      开户银行：</w:t>
      </w:r>
    </w:p>
    <w:p w14:paraId="2CDBF1B5">
      <w:pPr>
        <w:widowControl/>
        <w:snapToGrid w:val="0"/>
        <w:spacing w:line="480" w:lineRule="exact"/>
        <w:ind w:firstLine="1920" w:firstLineChars="8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zh-CN"/>
        </w:rPr>
        <w:t>账    号：</w:t>
      </w:r>
    </w:p>
    <w:p w14:paraId="78F34F66">
      <w:pPr>
        <w:widowControl/>
        <w:spacing w:line="50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 </w:t>
      </w:r>
    </w:p>
    <w:p w14:paraId="61517EF9">
      <w:pPr>
        <w:widowControl/>
        <w:spacing w:line="500" w:lineRule="exact"/>
        <w:ind w:firstLine="482"/>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乙方</w:t>
      </w:r>
      <w:r>
        <w:rPr>
          <w:rFonts w:hint="eastAsia" w:ascii="宋体" w:hAnsi="宋体" w:cs="宋体"/>
          <w:color w:val="auto"/>
          <w:kern w:val="0"/>
          <w:sz w:val="24"/>
          <w:szCs w:val="24"/>
          <w:highlight w:val="none"/>
        </w:rPr>
        <w:t>（供应商公章）名称：</w:t>
      </w:r>
    </w:p>
    <w:p w14:paraId="340A642C">
      <w:pPr>
        <w:widowControl/>
        <w:spacing w:line="500" w:lineRule="exact"/>
        <w:ind w:firstLine="480"/>
        <w:jc w:val="left"/>
        <w:rPr>
          <w:rFonts w:ascii="宋体" w:hAnsi="宋体" w:cs="宋体"/>
          <w:color w:val="auto"/>
          <w:spacing w:val="-6"/>
          <w:w w:val="95"/>
          <w:kern w:val="0"/>
          <w:sz w:val="24"/>
          <w:szCs w:val="24"/>
          <w:highlight w:val="none"/>
        </w:rPr>
      </w:pPr>
      <w:r>
        <w:rPr>
          <w:rFonts w:hint="eastAsia" w:ascii="宋体" w:hAnsi="宋体" w:cs="宋体"/>
          <w:color w:val="auto"/>
          <w:kern w:val="0"/>
          <w:sz w:val="24"/>
          <w:szCs w:val="24"/>
          <w:highlight w:val="none"/>
        </w:rPr>
        <w:t>        地  址：</w:t>
      </w:r>
    </w:p>
    <w:p w14:paraId="44A8708B">
      <w:pPr>
        <w:widowControl/>
        <w:spacing w:line="500" w:lineRule="exact"/>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邮  编：</w:t>
      </w:r>
    </w:p>
    <w:p w14:paraId="4D8BDC78">
      <w:pPr>
        <w:widowControl/>
        <w:spacing w:line="500" w:lineRule="exact"/>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法定代表人或委托代理人：   </w:t>
      </w:r>
    </w:p>
    <w:p w14:paraId="63BA7242">
      <w:pPr>
        <w:widowControl/>
        <w:spacing w:line="500" w:lineRule="exact"/>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经 办 人：</w:t>
      </w:r>
    </w:p>
    <w:p w14:paraId="7949F5B5">
      <w:pPr>
        <w:widowControl/>
        <w:spacing w:line="500" w:lineRule="exact"/>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电    话：</w:t>
      </w:r>
    </w:p>
    <w:p w14:paraId="46DEDDA5">
      <w:pPr>
        <w:widowControl/>
        <w:spacing w:line="500" w:lineRule="exact"/>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开户银行：</w:t>
      </w:r>
    </w:p>
    <w:p w14:paraId="0564D91C">
      <w:pPr>
        <w:widowControl/>
        <w:spacing w:line="500" w:lineRule="exact"/>
        <w:ind w:firstLine="1920" w:firstLineChars="8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账    号：</w:t>
      </w:r>
    </w:p>
    <w:p w14:paraId="5C41B99D">
      <w:pPr>
        <w:widowControl/>
        <w:spacing w:line="500" w:lineRule="exact"/>
        <w:ind w:firstLine="480"/>
        <w:jc w:val="left"/>
        <w:rPr>
          <w:rFonts w:ascii="宋体" w:hAnsi="宋体" w:cs="宋体"/>
          <w:b/>
          <w:bCs/>
          <w:color w:val="auto"/>
          <w:kern w:val="0"/>
          <w:sz w:val="24"/>
          <w:highlight w:val="none"/>
        </w:rPr>
      </w:pPr>
      <w:r>
        <w:rPr>
          <w:rFonts w:hint="eastAsia" w:ascii="宋体" w:hAnsi="宋体" w:cs="宋体"/>
          <w:color w:val="auto"/>
          <w:kern w:val="0"/>
          <w:sz w:val="24"/>
          <w:highlight w:val="none"/>
        </w:rPr>
        <w:t> </w:t>
      </w:r>
      <w:r>
        <w:rPr>
          <w:rFonts w:hint="eastAsia" w:ascii="宋体" w:hAnsi="宋体" w:cs="宋体"/>
          <w:b/>
          <w:bCs/>
          <w:color w:val="auto"/>
          <w:kern w:val="0"/>
          <w:sz w:val="24"/>
          <w:highlight w:val="none"/>
        </w:rPr>
        <w:t> </w:t>
      </w:r>
    </w:p>
    <w:p w14:paraId="7506DF59">
      <w:pPr>
        <w:ind w:firstLine="643"/>
        <w:rPr>
          <w:rFonts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6AB257F0">
      <w:pPr>
        <w:widowControl/>
        <w:adjustRightInd w:val="0"/>
        <w:snapToGrid w:val="0"/>
        <w:ind w:firstLine="0" w:firstLineChars="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合同书样式</w:t>
      </w:r>
    </w:p>
    <w:p w14:paraId="116E0066">
      <w:pPr>
        <w:adjustRightInd w:val="0"/>
        <w:snapToGrid w:val="0"/>
        <w:ind w:firstLine="210" w:firstLineChars="100"/>
        <w:jc w:val="center"/>
        <w:rPr>
          <w:rFonts w:ascii="宋体" w:hAnsi="宋体" w:cs="宋体"/>
          <w:color w:val="auto"/>
          <w:szCs w:val="21"/>
          <w:highlight w:val="none"/>
        </w:rPr>
      </w:pPr>
      <w:r>
        <w:rPr>
          <w:rFonts w:hint="eastAsia" w:ascii="宋体" w:hAnsi="宋体" w:cs="宋体"/>
          <w:color w:val="auto"/>
          <w:szCs w:val="21"/>
          <w:highlight w:val="none"/>
        </w:rPr>
        <w:t>（具体内容以实际签订合同为准）</w:t>
      </w:r>
    </w:p>
    <w:p w14:paraId="0293AD75">
      <w:pPr>
        <w:spacing w:line="600" w:lineRule="exact"/>
        <w:ind w:firstLine="420"/>
        <w:rPr>
          <w:rFonts w:ascii="宋体" w:hAnsi="宋体" w:cs="宋体"/>
          <w:color w:val="auto"/>
          <w:szCs w:val="21"/>
          <w:highlight w:val="none"/>
        </w:rPr>
      </w:pPr>
      <w:r>
        <w:rPr>
          <w:rFonts w:hint="eastAsia" w:ascii="宋体" w:hAnsi="宋体" w:cs="宋体"/>
          <w:color w:val="auto"/>
          <w:szCs w:val="21"/>
          <w:highlight w:val="none"/>
        </w:rPr>
        <w:t>甲乙双方根据《中华人民共和国政府采购法》、《中华人民共和国政府采购法实施条例》和有关制度规定组织实施的“</w:t>
      </w:r>
      <w:r>
        <w:rPr>
          <w:rFonts w:hint="eastAsia" w:ascii="宋体" w:hAnsi="宋体" w:cs="宋体"/>
          <w:color w:val="auto"/>
          <w:szCs w:val="21"/>
          <w:highlight w:val="none"/>
          <w:u w:val="single"/>
        </w:rPr>
        <w:t>昆明市盘龙区滇源街道中心卫生院重点中心乡镇卫生院提质建设项目医疗设备采购</w:t>
      </w:r>
      <w:r>
        <w:rPr>
          <w:rFonts w:hint="eastAsia" w:ascii="宋体" w:hAnsi="宋体" w:cs="宋体"/>
          <w:color w:val="auto"/>
          <w:szCs w:val="21"/>
          <w:highlight w:val="none"/>
        </w:rPr>
        <w:t>”（项目编号：）公开招标中标结果，经双方协商达成一致，签订以下内容：</w:t>
      </w:r>
    </w:p>
    <w:p w14:paraId="223D11FB">
      <w:pPr>
        <w:spacing w:line="600" w:lineRule="exact"/>
        <w:ind w:firstLine="420"/>
        <w:rPr>
          <w:rFonts w:ascii="宋体" w:hAnsi="宋体" w:cs="宋体"/>
          <w:color w:val="auto"/>
          <w:szCs w:val="21"/>
          <w:highlight w:val="none"/>
        </w:rPr>
      </w:pPr>
      <w:r>
        <w:rPr>
          <w:rFonts w:hint="eastAsia" w:ascii="宋体" w:hAnsi="宋体" w:cs="宋体"/>
          <w:color w:val="auto"/>
          <w:szCs w:val="21"/>
          <w:highlight w:val="none"/>
        </w:rPr>
        <w:t>一、货物名称、品牌、型号规格、产地、制造商名、数量、单价：</w:t>
      </w:r>
    </w:p>
    <w:p w14:paraId="38AE4F79">
      <w:pPr>
        <w:spacing w:line="600" w:lineRule="exact"/>
        <w:ind w:firstLine="420"/>
        <w:rPr>
          <w:rFonts w:ascii="宋体" w:hAnsi="宋体" w:cs="宋体"/>
          <w:color w:val="auto"/>
          <w:szCs w:val="21"/>
          <w:highlight w:val="none"/>
        </w:rPr>
      </w:pPr>
      <w:r>
        <w:rPr>
          <w:rFonts w:hint="eastAsia" w:ascii="宋体" w:hAnsi="宋体" w:cs="宋体"/>
          <w:color w:val="auto"/>
          <w:szCs w:val="21"/>
          <w:highlight w:val="none"/>
        </w:rPr>
        <w:t>（详见附件1：合同货物技术参数和详细配置明细表）</w:t>
      </w:r>
    </w:p>
    <w:p w14:paraId="570E8BA8">
      <w:pPr>
        <w:spacing w:line="600" w:lineRule="exact"/>
        <w:ind w:firstLine="422"/>
        <w:rPr>
          <w:rFonts w:ascii="宋体" w:hAnsi="宋体" w:cs="宋体"/>
          <w:color w:val="auto"/>
          <w:szCs w:val="21"/>
          <w:highlight w:val="none"/>
        </w:rPr>
      </w:pPr>
      <w:r>
        <w:rPr>
          <w:rFonts w:hint="eastAsia" w:ascii="宋体" w:hAnsi="宋体" w:cs="宋体"/>
          <w:b/>
          <w:bCs/>
          <w:color w:val="auto"/>
          <w:szCs w:val="21"/>
          <w:highlight w:val="none"/>
        </w:rPr>
        <w:t>1.随货物资料和配套附属设备要求：</w:t>
      </w:r>
      <w:r>
        <w:rPr>
          <w:rFonts w:hint="eastAsia" w:ascii="宋体" w:hAnsi="宋体" w:cs="宋体"/>
          <w:color w:val="auto"/>
          <w:szCs w:val="21"/>
          <w:highlight w:val="none"/>
        </w:rPr>
        <w:t>标准配置。</w:t>
      </w:r>
    </w:p>
    <w:p w14:paraId="4795A039">
      <w:pPr>
        <w:spacing w:line="600" w:lineRule="exact"/>
        <w:ind w:firstLine="422"/>
        <w:rPr>
          <w:rFonts w:ascii="宋体" w:hAnsi="宋体" w:cs="宋体"/>
          <w:color w:val="auto"/>
          <w:szCs w:val="21"/>
          <w:highlight w:val="none"/>
        </w:rPr>
      </w:pPr>
      <w:r>
        <w:rPr>
          <w:rFonts w:hint="eastAsia" w:ascii="宋体" w:hAnsi="宋体" w:cs="宋体"/>
          <w:b/>
          <w:bCs/>
          <w:color w:val="auto"/>
          <w:szCs w:val="21"/>
          <w:highlight w:val="none"/>
        </w:rPr>
        <w:t>2.货物质量及安装调试要求：</w:t>
      </w:r>
      <w:r>
        <w:rPr>
          <w:rFonts w:hint="eastAsia" w:ascii="宋体" w:hAnsi="宋体" w:cs="宋体"/>
          <w:color w:val="auto"/>
          <w:szCs w:val="21"/>
          <w:highlight w:val="none"/>
        </w:rPr>
        <w:t>货物生产、安装、调试（或项目建设）符合国家相关标准和规范以及设计要求；乙方负责进行货物免费安装调试，直至正常使用。</w:t>
      </w:r>
    </w:p>
    <w:p w14:paraId="4DC2FFF9">
      <w:pPr>
        <w:spacing w:line="600" w:lineRule="exact"/>
        <w:ind w:firstLine="420"/>
        <w:rPr>
          <w:rFonts w:ascii="宋体" w:hAnsi="宋体" w:cs="宋体"/>
          <w:color w:val="auto"/>
          <w:szCs w:val="21"/>
          <w:highlight w:val="none"/>
        </w:rPr>
      </w:pPr>
      <w:r>
        <w:rPr>
          <w:rFonts w:hint="eastAsia" w:ascii="宋体" w:hAnsi="宋体" w:cs="宋体"/>
          <w:color w:val="auto"/>
          <w:szCs w:val="21"/>
          <w:highlight w:val="none"/>
        </w:rPr>
        <w:t>二、合同总价：</w:t>
      </w:r>
    </w:p>
    <w:p w14:paraId="39A79C8C">
      <w:pPr>
        <w:spacing w:line="600" w:lineRule="exact"/>
        <w:ind w:firstLine="420"/>
        <w:rPr>
          <w:rFonts w:ascii="宋体" w:hAnsi="宋体" w:cs="宋体"/>
          <w:color w:val="auto"/>
          <w:szCs w:val="21"/>
          <w:highlight w:val="none"/>
          <w:u w:val="single"/>
        </w:rPr>
      </w:pPr>
      <w:r>
        <w:rPr>
          <w:rFonts w:hint="eastAsia" w:ascii="宋体" w:hAnsi="宋体" w:cs="宋体"/>
          <w:color w:val="auto"/>
          <w:szCs w:val="21"/>
          <w:highlight w:val="none"/>
        </w:rPr>
        <w:t>人民币小写：</w:t>
      </w:r>
    </w:p>
    <w:p w14:paraId="7C6BF153">
      <w:pPr>
        <w:spacing w:line="600" w:lineRule="exact"/>
        <w:ind w:firstLine="1050" w:firstLineChars="500"/>
        <w:rPr>
          <w:rFonts w:ascii="宋体" w:hAnsi="宋体" w:cs="宋体"/>
          <w:color w:val="auto"/>
          <w:szCs w:val="21"/>
          <w:highlight w:val="none"/>
        </w:rPr>
      </w:pPr>
      <w:r>
        <w:rPr>
          <w:rFonts w:hint="eastAsia" w:ascii="宋体" w:hAnsi="宋体" w:cs="宋体"/>
          <w:color w:val="auto"/>
          <w:szCs w:val="21"/>
          <w:highlight w:val="none"/>
        </w:rPr>
        <w:t>大写：</w:t>
      </w:r>
    </w:p>
    <w:p w14:paraId="418CC6DF">
      <w:pPr>
        <w:spacing w:line="600" w:lineRule="exact"/>
        <w:ind w:firstLine="420"/>
        <w:rPr>
          <w:rFonts w:ascii="宋体" w:hAnsi="宋体" w:cs="宋体"/>
          <w:color w:val="auto"/>
          <w:szCs w:val="21"/>
          <w:highlight w:val="none"/>
        </w:rPr>
      </w:pPr>
      <w:r>
        <w:rPr>
          <w:rFonts w:hint="eastAsia" w:ascii="宋体" w:hAnsi="宋体" w:cs="宋体"/>
          <w:color w:val="auto"/>
          <w:szCs w:val="21"/>
          <w:highlight w:val="none"/>
        </w:rPr>
        <w:t>以上价格为甲方指定地点统一交货价并包含运输、安装调试、使用培训、售后服务、税费、采购代理服务费等全部费用。</w:t>
      </w:r>
    </w:p>
    <w:p w14:paraId="38CB00CF">
      <w:pPr>
        <w:spacing w:line="600" w:lineRule="exact"/>
        <w:ind w:firstLine="420"/>
        <w:rPr>
          <w:rFonts w:ascii="宋体" w:hAnsi="宋体" w:cs="宋体"/>
          <w:color w:val="auto"/>
          <w:szCs w:val="21"/>
          <w:highlight w:val="none"/>
        </w:rPr>
      </w:pPr>
      <w:r>
        <w:rPr>
          <w:rFonts w:hint="eastAsia" w:ascii="宋体" w:hAnsi="宋体" w:cs="宋体"/>
          <w:color w:val="auto"/>
          <w:szCs w:val="21"/>
          <w:highlight w:val="none"/>
        </w:rPr>
        <w:t>本合同的供货范围，除包括上述货物外，还包括随机必需的辅助专用工具、技术文档、货物运行所必需的随机消耗品，相应技术服务与质量保证文件。</w:t>
      </w:r>
    </w:p>
    <w:p w14:paraId="47EC2400">
      <w:pPr>
        <w:spacing w:line="600" w:lineRule="exact"/>
        <w:ind w:firstLine="420"/>
        <w:rPr>
          <w:rFonts w:ascii="宋体" w:hAnsi="宋体" w:cs="宋体"/>
          <w:color w:val="auto"/>
          <w:szCs w:val="21"/>
          <w:highlight w:val="none"/>
        </w:rPr>
      </w:pPr>
      <w:r>
        <w:rPr>
          <w:rFonts w:hint="eastAsia" w:ascii="宋体" w:hAnsi="宋体" w:cs="宋体"/>
          <w:color w:val="auto"/>
          <w:szCs w:val="21"/>
          <w:highlight w:val="none"/>
        </w:rPr>
        <w:t>三、甲乙双方的权利和义务：</w:t>
      </w:r>
    </w:p>
    <w:p w14:paraId="49FFBB8D">
      <w:pPr>
        <w:spacing w:line="600" w:lineRule="exact"/>
        <w:ind w:firstLine="420"/>
        <w:rPr>
          <w:rFonts w:ascii="宋体" w:hAnsi="宋体" w:cs="宋体"/>
          <w:color w:val="auto"/>
          <w:szCs w:val="21"/>
          <w:highlight w:val="none"/>
        </w:rPr>
      </w:pPr>
      <w:r>
        <w:rPr>
          <w:rFonts w:hint="eastAsia" w:ascii="宋体" w:hAnsi="宋体" w:cs="宋体"/>
          <w:color w:val="auto"/>
          <w:szCs w:val="21"/>
          <w:highlight w:val="none"/>
        </w:rPr>
        <w:t>（一）甲方的权利和义务</w:t>
      </w:r>
    </w:p>
    <w:p w14:paraId="64823F35">
      <w:pPr>
        <w:spacing w:line="600" w:lineRule="exact"/>
        <w:ind w:firstLine="420"/>
        <w:rPr>
          <w:rFonts w:ascii="宋体" w:hAnsi="宋体" w:cs="宋体"/>
          <w:color w:val="auto"/>
          <w:szCs w:val="21"/>
          <w:highlight w:val="none"/>
        </w:rPr>
      </w:pPr>
      <w:r>
        <w:rPr>
          <w:rFonts w:hint="eastAsia" w:ascii="宋体" w:hAnsi="宋体" w:cs="宋体"/>
          <w:color w:val="auto"/>
          <w:szCs w:val="21"/>
          <w:highlight w:val="none"/>
        </w:rPr>
        <w:t>1.负责合同签订后项目实施的工作（如与乙方的具体联系和衔接，货物现场安装调试时配备人员进行监管控制等）。</w:t>
      </w:r>
    </w:p>
    <w:p w14:paraId="5DCDBB4B">
      <w:pPr>
        <w:spacing w:line="600" w:lineRule="exact"/>
        <w:ind w:firstLine="420"/>
        <w:rPr>
          <w:rFonts w:ascii="宋体" w:hAnsi="宋体" w:cs="宋体"/>
          <w:color w:val="auto"/>
          <w:szCs w:val="21"/>
          <w:highlight w:val="none"/>
        </w:rPr>
      </w:pPr>
      <w:r>
        <w:rPr>
          <w:rFonts w:hint="eastAsia" w:ascii="宋体" w:hAnsi="宋体" w:cs="宋体"/>
          <w:color w:val="auto"/>
          <w:szCs w:val="21"/>
          <w:highlight w:val="none"/>
        </w:rPr>
        <w:t>甲方联系人：，联系电话：           。</w:t>
      </w:r>
    </w:p>
    <w:p w14:paraId="0FA9EFD6">
      <w:pPr>
        <w:spacing w:line="600" w:lineRule="exact"/>
        <w:ind w:firstLine="420"/>
        <w:rPr>
          <w:rFonts w:ascii="宋体" w:hAnsi="宋体" w:cs="宋体"/>
          <w:color w:val="auto"/>
          <w:szCs w:val="21"/>
          <w:highlight w:val="none"/>
        </w:rPr>
      </w:pPr>
      <w:r>
        <w:rPr>
          <w:rFonts w:hint="eastAsia" w:ascii="宋体" w:hAnsi="宋体" w:cs="宋体"/>
          <w:color w:val="auto"/>
          <w:szCs w:val="21"/>
          <w:highlight w:val="none"/>
        </w:rPr>
        <w:t>2.负责提供项目建设、安装调试所必须的场地和环境。</w:t>
      </w:r>
    </w:p>
    <w:p w14:paraId="3F941F8E">
      <w:pPr>
        <w:spacing w:line="600" w:lineRule="exact"/>
        <w:ind w:firstLine="420"/>
        <w:rPr>
          <w:rFonts w:ascii="宋体" w:hAnsi="宋体" w:cs="宋体"/>
          <w:color w:val="auto"/>
          <w:szCs w:val="21"/>
          <w:highlight w:val="none"/>
        </w:rPr>
      </w:pPr>
      <w:r>
        <w:rPr>
          <w:rFonts w:hint="eastAsia" w:ascii="宋体" w:hAnsi="宋体" w:cs="宋体"/>
          <w:color w:val="auto"/>
          <w:szCs w:val="21"/>
          <w:highlight w:val="none"/>
        </w:rPr>
        <w:t>3.负责组织成立验收组对项目进行验收并签署验收报告。</w:t>
      </w:r>
    </w:p>
    <w:p w14:paraId="6E808907">
      <w:pPr>
        <w:spacing w:line="600" w:lineRule="exact"/>
        <w:ind w:firstLine="420"/>
        <w:rPr>
          <w:rFonts w:ascii="宋体" w:hAnsi="宋体" w:cs="宋体"/>
          <w:color w:val="auto"/>
          <w:szCs w:val="21"/>
          <w:highlight w:val="none"/>
        </w:rPr>
      </w:pPr>
      <w:r>
        <w:rPr>
          <w:rFonts w:hint="eastAsia" w:ascii="宋体" w:hAnsi="宋体" w:cs="宋体"/>
          <w:color w:val="auto"/>
          <w:szCs w:val="21"/>
          <w:highlight w:val="none"/>
        </w:rPr>
        <w:t>4.按合同约定及国家相关法律法规规定，享有乙方应提供的货物或项目服务。</w:t>
      </w:r>
    </w:p>
    <w:p w14:paraId="1078164D">
      <w:pPr>
        <w:spacing w:line="600" w:lineRule="exact"/>
        <w:ind w:firstLine="420"/>
        <w:rPr>
          <w:rFonts w:ascii="宋体" w:hAnsi="宋体" w:cs="宋体"/>
          <w:color w:val="auto"/>
          <w:szCs w:val="21"/>
          <w:highlight w:val="none"/>
        </w:rPr>
      </w:pPr>
      <w:r>
        <w:rPr>
          <w:rFonts w:hint="eastAsia" w:ascii="宋体" w:hAnsi="宋体" w:cs="宋体"/>
          <w:color w:val="auto"/>
          <w:szCs w:val="21"/>
          <w:highlight w:val="none"/>
        </w:rPr>
        <w:t>5.按政府采购规范落实采购资金并办理付款手续。</w:t>
      </w:r>
    </w:p>
    <w:p w14:paraId="33B5D92C">
      <w:pPr>
        <w:spacing w:line="600" w:lineRule="exact"/>
        <w:ind w:firstLine="420"/>
        <w:rPr>
          <w:rFonts w:ascii="宋体" w:hAnsi="宋体" w:cs="宋体"/>
          <w:color w:val="auto"/>
          <w:szCs w:val="21"/>
          <w:highlight w:val="none"/>
        </w:rPr>
      </w:pPr>
      <w:r>
        <w:rPr>
          <w:rFonts w:hint="eastAsia" w:ascii="宋体" w:hAnsi="宋体" w:cs="宋体"/>
          <w:color w:val="auto"/>
          <w:szCs w:val="21"/>
          <w:highlight w:val="none"/>
        </w:rPr>
        <w:t>6.享有货物使用者应当享有的其它权利。</w:t>
      </w:r>
    </w:p>
    <w:p w14:paraId="7BA20B59">
      <w:pPr>
        <w:spacing w:line="600" w:lineRule="exact"/>
        <w:ind w:firstLine="420"/>
        <w:rPr>
          <w:rFonts w:ascii="宋体" w:hAnsi="宋体" w:cs="宋体"/>
          <w:color w:val="auto"/>
          <w:szCs w:val="21"/>
          <w:highlight w:val="none"/>
        </w:rPr>
      </w:pPr>
      <w:r>
        <w:rPr>
          <w:rFonts w:hint="eastAsia" w:ascii="宋体" w:hAnsi="宋体" w:cs="宋体"/>
          <w:color w:val="auto"/>
          <w:szCs w:val="21"/>
          <w:highlight w:val="none"/>
        </w:rPr>
        <w:t>7.甲方及其有关当事人要遵守廉洁自律有关规定，不得有“吃拿卡要”等违纪违规行为，不得收受或变相接受乙方的回扣、礼金、礼品、宴请、娱乐等任何形式的贿赂，不得接受乙方请托或违反规定为乙方谋取好处，不得在合同执行和验收过程中暗箱操作、降低标准。</w:t>
      </w:r>
    </w:p>
    <w:p w14:paraId="5B8C751A">
      <w:pPr>
        <w:spacing w:line="600" w:lineRule="exact"/>
        <w:ind w:firstLine="420"/>
        <w:rPr>
          <w:rFonts w:ascii="宋体" w:hAnsi="宋体" w:cs="宋体"/>
          <w:color w:val="auto"/>
          <w:szCs w:val="21"/>
          <w:highlight w:val="none"/>
        </w:rPr>
      </w:pPr>
      <w:r>
        <w:rPr>
          <w:rFonts w:hint="eastAsia" w:ascii="宋体" w:hAnsi="宋体" w:cs="宋体"/>
          <w:color w:val="auto"/>
          <w:szCs w:val="21"/>
          <w:highlight w:val="none"/>
        </w:rPr>
        <w:t>（二）乙方的权利和义务</w:t>
      </w:r>
    </w:p>
    <w:p w14:paraId="2CAD491F">
      <w:pPr>
        <w:spacing w:line="600" w:lineRule="exact"/>
        <w:ind w:firstLine="420"/>
        <w:rPr>
          <w:rFonts w:ascii="宋体" w:hAnsi="宋体" w:cs="宋体"/>
          <w:color w:val="auto"/>
          <w:szCs w:val="21"/>
          <w:highlight w:val="none"/>
        </w:rPr>
      </w:pPr>
      <w:r>
        <w:rPr>
          <w:rFonts w:hint="eastAsia" w:ascii="宋体" w:hAnsi="宋体" w:cs="宋体"/>
          <w:color w:val="auto"/>
          <w:szCs w:val="21"/>
          <w:highlight w:val="none"/>
        </w:rPr>
        <w:t>1.乙方保证按合同规定条款完成甲方项目，提供完整配套、原装全新（包括零部件）、符合招标文件规定、具有国家有关部门注册并符合国家质量检测标准和产品出厂标准、具有生产企业质量保证书的货物，并进行安装调试、系统对接服务。</w:t>
      </w:r>
    </w:p>
    <w:p w14:paraId="3E752007">
      <w:pPr>
        <w:widowControl/>
        <w:ind w:firstLine="420"/>
        <w:jc w:val="left"/>
        <w:rPr>
          <w:rFonts w:ascii="宋体" w:hAnsi="宋体" w:cs="宋体"/>
          <w:color w:val="auto"/>
          <w:szCs w:val="21"/>
          <w:highlight w:val="none"/>
        </w:rPr>
      </w:pPr>
      <w:r>
        <w:rPr>
          <w:rFonts w:hint="eastAsia" w:ascii="宋体" w:hAnsi="宋体" w:cs="宋体"/>
          <w:color w:val="auto"/>
          <w:szCs w:val="21"/>
          <w:highlight w:val="none"/>
        </w:rPr>
        <w:t>2.所有产品质保期为</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年（从整体项目验收合格之日起算）。质保期内，如产品发生非用户使用不当所导致的质量问题，由乙方免费维修或更换，产品同样问题大修超过两次则免费更换同品牌同型号同参数的新品。质保期满后,所有产品提供终身免费维护维修服务，如发生维修事项，由乙方负责免费维修，发生更换零配件的，仅由甲方按零配件的成本价支付费用。</w:t>
      </w:r>
    </w:p>
    <w:p w14:paraId="19D3FE18">
      <w:pPr>
        <w:spacing w:line="600" w:lineRule="exact"/>
        <w:ind w:firstLine="420"/>
        <w:rPr>
          <w:rFonts w:ascii="宋体" w:hAnsi="宋体" w:cs="宋体"/>
          <w:color w:val="auto"/>
          <w:szCs w:val="21"/>
          <w:highlight w:val="none"/>
        </w:rPr>
      </w:pPr>
      <w:r>
        <w:rPr>
          <w:rFonts w:hint="eastAsia" w:ascii="宋体" w:hAnsi="宋体" w:cs="宋体"/>
          <w:color w:val="auto"/>
          <w:szCs w:val="21"/>
          <w:highlight w:val="none"/>
        </w:rPr>
        <w:t>3.乙方向甲方提供货物使用人员现场例行免费培训，保证甲方操作人员能熟练使用设备。培训内容包括设备的性能、结构、拆装、调试、使用、一般的维修、维护及保养等。</w:t>
      </w:r>
    </w:p>
    <w:p w14:paraId="0B73B8EC">
      <w:pPr>
        <w:spacing w:line="600" w:lineRule="exact"/>
        <w:ind w:firstLine="420"/>
        <w:rPr>
          <w:rFonts w:ascii="宋体" w:hAnsi="宋体" w:cs="宋体"/>
          <w:color w:val="auto"/>
          <w:szCs w:val="21"/>
          <w:highlight w:val="none"/>
        </w:rPr>
      </w:pPr>
      <w:r>
        <w:rPr>
          <w:rFonts w:hint="eastAsia" w:ascii="宋体" w:hAnsi="宋体" w:cs="宋体"/>
          <w:color w:val="auto"/>
          <w:szCs w:val="21"/>
          <w:highlight w:val="none"/>
        </w:rPr>
        <w:t>4.保证甲方在合同货物（或配套软件）使用期间不受第三方提出侵犯其专利权、商标权、工业设计权等的起诉。</w:t>
      </w:r>
    </w:p>
    <w:p w14:paraId="6D96BECE">
      <w:pPr>
        <w:spacing w:line="600" w:lineRule="exact"/>
        <w:ind w:firstLine="420"/>
        <w:rPr>
          <w:rFonts w:ascii="宋体" w:hAnsi="宋体" w:cs="宋体"/>
          <w:color w:val="auto"/>
          <w:szCs w:val="21"/>
          <w:highlight w:val="none"/>
        </w:rPr>
      </w:pPr>
      <w:r>
        <w:rPr>
          <w:rFonts w:hint="eastAsia" w:ascii="宋体" w:hAnsi="宋体" w:cs="宋体"/>
          <w:color w:val="auto"/>
          <w:szCs w:val="21"/>
          <w:highlight w:val="none"/>
        </w:rPr>
        <w:t>5.严格遵守招标文件、投标文件、技术澄清、中标所承诺的一切规定和条款。</w:t>
      </w:r>
    </w:p>
    <w:p w14:paraId="4EF100E1">
      <w:pPr>
        <w:spacing w:line="600" w:lineRule="exact"/>
        <w:ind w:firstLine="420"/>
        <w:rPr>
          <w:rFonts w:ascii="宋体" w:hAnsi="宋体" w:cs="宋体"/>
          <w:color w:val="auto"/>
          <w:szCs w:val="21"/>
          <w:highlight w:val="none"/>
        </w:rPr>
      </w:pPr>
      <w:r>
        <w:rPr>
          <w:rFonts w:hint="eastAsia" w:ascii="宋体" w:hAnsi="宋体" w:cs="宋体"/>
          <w:color w:val="auto"/>
          <w:szCs w:val="21"/>
          <w:highlight w:val="none"/>
        </w:rPr>
        <w:t>6.如需乙方配合其它项目施工的，乙方必须无条件配合。在安装布置过程中，对现场所有设施设备进行充分的保护，若有任何损坏，将立即采取措施复原，并赔偿甲方的损失。</w:t>
      </w:r>
    </w:p>
    <w:p w14:paraId="79195ADF">
      <w:pPr>
        <w:spacing w:line="600" w:lineRule="exact"/>
        <w:ind w:firstLine="420"/>
        <w:rPr>
          <w:rFonts w:ascii="宋体" w:hAnsi="宋体" w:cs="宋体"/>
          <w:color w:val="auto"/>
          <w:szCs w:val="21"/>
          <w:highlight w:val="none"/>
        </w:rPr>
      </w:pPr>
      <w:r>
        <w:rPr>
          <w:rFonts w:hint="eastAsia" w:ascii="宋体" w:hAnsi="宋体" w:cs="宋体"/>
          <w:color w:val="auto"/>
          <w:szCs w:val="21"/>
          <w:highlight w:val="none"/>
        </w:rPr>
        <w:t>7.乙方应加强对现场施工人员的教育和管理。若发生安全事故或劳动纠纷，由乙方自行承担全部责任及相关费用。</w:t>
      </w:r>
    </w:p>
    <w:p w14:paraId="5CB88BA1">
      <w:pPr>
        <w:spacing w:line="600" w:lineRule="exact"/>
        <w:ind w:firstLine="420"/>
        <w:rPr>
          <w:rFonts w:ascii="宋体" w:hAnsi="宋体" w:cs="宋体"/>
          <w:color w:val="auto"/>
          <w:szCs w:val="21"/>
          <w:highlight w:val="none"/>
        </w:rPr>
      </w:pPr>
      <w:r>
        <w:rPr>
          <w:rFonts w:hint="eastAsia" w:ascii="宋体" w:hAnsi="宋体" w:cs="宋体"/>
          <w:color w:val="auto"/>
          <w:szCs w:val="21"/>
          <w:highlight w:val="none"/>
        </w:rPr>
        <w:t>8.配合甲方进行货物验收，按合同约定收取合同款项。</w:t>
      </w:r>
    </w:p>
    <w:p w14:paraId="6ED15AC4">
      <w:pPr>
        <w:spacing w:line="600" w:lineRule="exact"/>
        <w:ind w:firstLine="420"/>
        <w:rPr>
          <w:rFonts w:ascii="宋体" w:hAnsi="宋体" w:cs="宋体"/>
          <w:color w:val="auto"/>
          <w:szCs w:val="21"/>
          <w:highlight w:val="none"/>
        </w:rPr>
      </w:pPr>
      <w:r>
        <w:rPr>
          <w:rFonts w:hint="eastAsia" w:ascii="宋体" w:hAnsi="宋体" w:cs="宋体"/>
          <w:color w:val="auto"/>
          <w:szCs w:val="21"/>
          <w:highlight w:val="none"/>
        </w:rPr>
        <w:t>9.甲方在货物使用过程中如发生技术质量问题，乙方提供有效支持，保证在接到甲方故障报告后小时响应，小时内到达现场，一般类故障保证在天内修复，重大类故障保证在天内修复，解决不了提供备用产品；同时，对所提供的货物实行每个月定期进行一次保养。</w:t>
      </w:r>
    </w:p>
    <w:p w14:paraId="28010762">
      <w:pPr>
        <w:spacing w:line="600" w:lineRule="exact"/>
        <w:ind w:firstLine="420"/>
        <w:rPr>
          <w:rFonts w:ascii="宋体" w:hAnsi="宋体" w:cs="宋体"/>
          <w:color w:val="auto"/>
          <w:szCs w:val="21"/>
          <w:highlight w:val="none"/>
        </w:rPr>
      </w:pPr>
      <w:r>
        <w:rPr>
          <w:rFonts w:hint="eastAsia" w:ascii="宋体" w:hAnsi="宋体" w:cs="宋体"/>
          <w:color w:val="auto"/>
          <w:szCs w:val="21"/>
          <w:highlight w:val="none"/>
        </w:rPr>
        <w:t>乙方项目联系人：，联系电话：。</w:t>
      </w:r>
    </w:p>
    <w:p w14:paraId="027982B8">
      <w:pPr>
        <w:spacing w:line="600" w:lineRule="exact"/>
        <w:ind w:firstLine="420"/>
        <w:rPr>
          <w:rFonts w:ascii="宋体" w:hAnsi="宋体" w:cs="宋体"/>
          <w:color w:val="auto"/>
          <w:szCs w:val="21"/>
          <w:highlight w:val="none"/>
        </w:rPr>
      </w:pPr>
      <w:r>
        <w:rPr>
          <w:rFonts w:hint="eastAsia" w:ascii="宋体" w:hAnsi="宋体" w:cs="宋体"/>
          <w:color w:val="auto"/>
          <w:szCs w:val="21"/>
          <w:highlight w:val="none"/>
        </w:rPr>
        <w:t>10.乙方不得贿赂或变相贿赂甲方及其有关当事人，不得向甲方当事人赠送礼金、礼品、礼券、礼卡、回扣等，不得宴请甲方当事人，不得邀请甲方当事人参加各种娱乐活动，不得请托甲方当事人谋取好处，不得通过“找关系”干扰甲方执行合同。如遇甲方当事人提出“吃拿卡要”等要求，及时向甲方纪检部门反映。（举报电话：）</w:t>
      </w:r>
    </w:p>
    <w:p w14:paraId="140D261C">
      <w:pPr>
        <w:spacing w:line="600" w:lineRule="exact"/>
        <w:ind w:firstLine="420"/>
        <w:rPr>
          <w:rFonts w:ascii="宋体" w:hAnsi="宋体" w:cs="宋体"/>
          <w:color w:val="auto"/>
          <w:szCs w:val="21"/>
          <w:highlight w:val="none"/>
        </w:rPr>
      </w:pPr>
      <w:r>
        <w:rPr>
          <w:rFonts w:hint="eastAsia" w:ascii="宋体" w:hAnsi="宋体" w:cs="宋体"/>
          <w:color w:val="auto"/>
          <w:szCs w:val="21"/>
          <w:highlight w:val="none"/>
        </w:rPr>
        <w:t>四、以上内容与政府采购监管部门审核以及甲方确认采购和乙方成交承诺情况一致并不得改变和放弃。</w:t>
      </w:r>
    </w:p>
    <w:p w14:paraId="07FAF0AC">
      <w:pPr>
        <w:spacing w:line="600" w:lineRule="exact"/>
        <w:ind w:firstLine="420"/>
        <w:rPr>
          <w:rFonts w:ascii="宋体" w:hAnsi="宋体" w:cs="宋体"/>
          <w:color w:val="auto"/>
          <w:szCs w:val="21"/>
          <w:highlight w:val="none"/>
        </w:rPr>
      </w:pPr>
      <w:r>
        <w:rPr>
          <w:rFonts w:hint="eastAsia" w:ascii="宋体" w:hAnsi="宋体" w:cs="宋体"/>
          <w:color w:val="auto"/>
          <w:szCs w:val="21"/>
          <w:highlight w:val="none"/>
        </w:rPr>
        <w:t>五、</w:t>
      </w:r>
      <w:bookmarkStart w:id="723" w:name="_Hlk107242605"/>
      <w:r>
        <w:rPr>
          <w:rFonts w:hint="eastAsia" w:ascii="宋体" w:hAnsi="宋体" w:cs="宋体"/>
          <w:color w:val="auto"/>
          <w:szCs w:val="21"/>
          <w:highlight w:val="none"/>
        </w:rPr>
        <w:t>交货时间及地点：</w:t>
      </w:r>
      <w:bookmarkEnd w:id="723"/>
    </w:p>
    <w:p w14:paraId="0FB058BE">
      <w:pPr>
        <w:spacing w:line="600" w:lineRule="exact"/>
        <w:ind w:firstLine="420"/>
        <w:rPr>
          <w:rFonts w:ascii="宋体" w:hAnsi="宋体" w:cs="宋体"/>
          <w:color w:val="auto"/>
          <w:szCs w:val="21"/>
          <w:highlight w:val="none"/>
          <w:u w:val="single"/>
        </w:rPr>
      </w:pPr>
      <w:r>
        <w:rPr>
          <w:rFonts w:hint="eastAsia" w:ascii="宋体" w:hAnsi="宋体" w:cs="宋体"/>
          <w:color w:val="auto"/>
          <w:szCs w:val="21"/>
          <w:highlight w:val="none"/>
        </w:rPr>
        <w:t>1.交货时间：</w:t>
      </w:r>
      <w:r>
        <w:rPr>
          <w:rFonts w:hint="eastAsia" w:ascii="宋体" w:hAnsi="宋体" w:cs="宋体"/>
          <w:color w:val="auto"/>
          <w:szCs w:val="21"/>
          <w:highlight w:val="none"/>
          <w:u w:val="single"/>
        </w:rPr>
        <w:t xml:space="preserve">                                  。</w:t>
      </w:r>
      <w:bookmarkStart w:id="994" w:name="_GoBack"/>
      <w:bookmarkEnd w:id="994"/>
    </w:p>
    <w:p w14:paraId="2F6CCC12">
      <w:pPr>
        <w:spacing w:line="600" w:lineRule="exact"/>
        <w:ind w:firstLine="420"/>
        <w:rPr>
          <w:rFonts w:ascii="宋体" w:hAnsi="宋体" w:cs="宋体"/>
          <w:color w:val="auto"/>
          <w:szCs w:val="21"/>
          <w:highlight w:val="none"/>
          <w:u w:val="single"/>
        </w:rPr>
      </w:pPr>
      <w:r>
        <w:rPr>
          <w:rFonts w:hint="eastAsia" w:ascii="宋体" w:hAnsi="宋体" w:cs="宋体"/>
          <w:color w:val="auto"/>
          <w:szCs w:val="21"/>
          <w:highlight w:val="none"/>
        </w:rPr>
        <w:t>2.实施地点：</w:t>
      </w:r>
      <w:r>
        <w:rPr>
          <w:rFonts w:hint="eastAsia" w:ascii="宋体" w:hAnsi="宋体" w:cs="宋体"/>
          <w:color w:val="auto"/>
          <w:szCs w:val="21"/>
          <w:highlight w:val="none"/>
          <w:u w:val="single"/>
        </w:rPr>
        <w:t>采购人指定地点。</w:t>
      </w:r>
    </w:p>
    <w:p w14:paraId="6BC18665">
      <w:pPr>
        <w:spacing w:line="600" w:lineRule="exact"/>
        <w:ind w:firstLine="420"/>
        <w:rPr>
          <w:rFonts w:ascii="宋体" w:hAnsi="宋体" w:cs="宋体"/>
          <w:color w:val="auto"/>
          <w:szCs w:val="21"/>
          <w:highlight w:val="none"/>
        </w:rPr>
      </w:pPr>
      <w:r>
        <w:rPr>
          <w:rFonts w:hint="eastAsia" w:ascii="宋体" w:hAnsi="宋体" w:cs="宋体"/>
          <w:color w:val="auto"/>
          <w:szCs w:val="21"/>
          <w:highlight w:val="none"/>
        </w:rPr>
        <w:t>六、</w:t>
      </w:r>
      <w:bookmarkStart w:id="724" w:name="_Hlk107242643"/>
      <w:r>
        <w:rPr>
          <w:rFonts w:hint="eastAsia" w:ascii="宋体" w:hAnsi="宋体" w:cs="宋体"/>
          <w:color w:val="auto"/>
          <w:szCs w:val="21"/>
          <w:highlight w:val="none"/>
        </w:rPr>
        <w:t>验收及验收标准：</w:t>
      </w:r>
      <w:bookmarkEnd w:id="724"/>
    </w:p>
    <w:p w14:paraId="46A7FC40">
      <w:pPr>
        <w:spacing w:line="600" w:lineRule="exact"/>
        <w:ind w:firstLine="422"/>
        <w:rPr>
          <w:rFonts w:ascii="宋体" w:hAnsi="宋体" w:cs="宋体"/>
          <w:color w:val="auto"/>
          <w:szCs w:val="21"/>
          <w:highlight w:val="none"/>
        </w:rPr>
      </w:pPr>
      <w:r>
        <w:rPr>
          <w:rFonts w:hint="eastAsia" w:ascii="宋体" w:hAnsi="宋体" w:cs="宋体"/>
          <w:b/>
          <w:bCs/>
          <w:color w:val="auto"/>
          <w:szCs w:val="21"/>
          <w:highlight w:val="none"/>
        </w:rPr>
        <w:t>1.到货验收：</w:t>
      </w:r>
      <w:r>
        <w:rPr>
          <w:rFonts w:hint="eastAsia" w:ascii="宋体" w:hAnsi="宋体" w:cs="宋体"/>
          <w:color w:val="auto"/>
          <w:szCs w:val="21"/>
          <w:highlight w:val="none"/>
        </w:rPr>
        <w:t>合同签订后，供货期内乙方负责按合同及招投标文件约定标准将完整配套的全新货物送到甲方指定的地点，货物到达交货地点后，甲方使用部门、乙方共同开箱检验货物的规格、质量和数量等表面状况,并填写货物交接单。如发现货物的外观、规格、数量、质量等与合同约定不符，甲方有权拒绝接收。乙方向甲方交付货物必需的相关资料并装订成册。</w:t>
      </w:r>
    </w:p>
    <w:p w14:paraId="0526F746">
      <w:pPr>
        <w:spacing w:line="600" w:lineRule="exact"/>
        <w:ind w:firstLine="422"/>
        <w:rPr>
          <w:rFonts w:ascii="宋体" w:hAnsi="宋体" w:cs="宋体"/>
          <w:color w:val="auto"/>
          <w:szCs w:val="21"/>
          <w:highlight w:val="none"/>
        </w:rPr>
      </w:pPr>
      <w:r>
        <w:rPr>
          <w:rFonts w:hint="eastAsia" w:ascii="宋体" w:hAnsi="宋体" w:cs="宋体"/>
          <w:b/>
          <w:bCs/>
          <w:color w:val="auto"/>
          <w:szCs w:val="21"/>
          <w:highlight w:val="none"/>
        </w:rPr>
        <w:t>2.实作性操作验收：</w:t>
      </w:r>
      <w:r>
        <w:rPr>
          <w:rFonts w:hint="eastAsia" w:ascii="宋体" w:hAnsi="宋体" w:cs="宋体"/>
          <w:color w:val="auto"/>
          <w:szCs w:val="21"/>
          <w:highlight w:val="none"/>
        </w:rPr>
        <w:t>乙方负责安装调试并承担相应的费用。安装完成并试运行正常后组织验收，甲方按照合同要求进行验收（可根据项目实际分批验收）。具体程序由乙方向甲方使用部门提出申请，甲方使用部门组织初验通过后，向甲方资产管理部门提出实作性操作验收（终验）申请，甲方资产管理部门组织相关部门进行验收，验收合格后签字确认。若甲方认为需要时可指定具有相应资格的第三方机构或专家进行验收并出具验收意见，因此产生的费用由乙方承担。</w:t>
      </w:r>
    </w:p>
    <w:p w14:paraId="6712CF33">
      <w:pPr>
        <w:spacing w:line="600" w:lineRule="exact"/>
        <w:ind w:firstLine="420"/>
        <w:rPr>
          <w:rFonts w:ascii="宋体" w:hAnsi="宋体" w:cs="宋体"/>
          <w:color w:val="auto"/>
          <w:szCs w:val="21"/>
          <w:highlight w:val="none"/>
        </w:rPr>
      </w:pPr>
      <w:r>
        <w:rPr>
          <w:rFonts w:hint="eastAsia" w:ascii="宋体" w:hAnsi="宋体" w:cs="宋体"/>
          <w:color w:val="auto"/>
          <w:szCs w:val="21"/>
          <w:highlight w:val="none"/>
        </w:rPr>
        <w:t>3.经甲方验收，货物达不到合同约定的质量、技术要求，甲方可以选择拒收全部或部分产品，并有权解除合同。如果因此给甲方造成损失的，乙方应负责赔偿。在货物验收后被证明存在缺陷（包括但不限于潜在的缺陷）、使用不合格的材料，甲方有权要求乙方改进并承担法律责任和经济责任。其中，在货物最终验收后的质量保证期内，乙方应对由于设计、工艺或者材料的缺陷而发生的任何不足或故障负责，费用由乙方承担，并应向甲方承担延期交付违约责任。</w:t>
      </w:r>
    </w:p>
    <w:p w14:paraId="03BE1EEA">
      <w:pPr>
        <w:spacing w:line="600" w:lineRule="exact"/>
        <w:ind w:firstLine="420"/>
        <w:rPr>
          <w:rFonts w:ascii="宋体" w:hAnsi="宋体" w:cs="宋体"/>
          <w:color w:val="auto"/>
          <w:szCs w:val="21"/>
          <w:highlight w:val="none"/>
        </w:rPr>
      </w:pPr>
      <w:r>
        <w:rPr>
          <w:rFonts w:hint="eastAsia" w:ascii="宋体" w:hAnsi="宋体" w:cs="宋体"/>
          <w:color w:val="auto"/>
          <w:szCs w:val="21"/>
          <w:highlight w:val="none"/>
        </w:rPr>
        <w:t>4.对于甲乙双方对实际到货产品是否满足合同约定质量和技术标准有争议的产品，甲方可从本项目实际供货的产品中每项产品各抽取至少1件样品，由乙方送交双方共同确定的具有有效《检验检测机构资质认定证书》的第三方检测机构依据相关的国家标准和本合同约定的对应产品所列全部技术要求进行检测，产生的费用全部由乙方承担。经该机构检测认定送检产品完全满足相关的国家标准和本合同约定的技术要求、出具带有CMA标志且具有法定证明效力的检测报告、并将检测报告编号上传到“全国认证认可信息公共服务平台”（或双方商定的相关平台）后方可进行安装、交付。若其中一项或多项产品未能按本条要求完成检测、上传检测报告编号，或者经检测不完全符合相关的国家标准和本合同约定的技术要求，甲方可视为整体项目验收不合格且不予接收本项目中的任何产品。</w:t>
      </w:r>
    </w:p>
    <w:p w14:paraId="66E98611">
      <w:pPr>
        <w:spacing w:line="600" w:lineRule="exact"/>
        <w:ind w:firstLine="420"/>
        <w:rPr>
          <w:rFonts w:ascii="宋体" w:hAnsi="宋体" w:cs="宋体"/>
          <w:color w:val="auto"/>
          <w:szCs w:val="21"/>
          <w:highlight w:val="none"/>
        </w:rPr>
      </w:pPr>
      <w:r>
        <w:rPr>
          <w:rFonts w:hint="eastAsia" w:ascii="宋体" w:hAnsi="宋体" w:cs="宋体"/>
          <w:color w:val="auto"/>
          <w:szCs w:val="21"/>
          <w:highlight w:val="none"/>
        </w:rPr>
        <w:t>七、</w:t>
      </w:r>
      <w:bookmarkStart w:id="725" w:name="_Hlk107242667"/>
      <w:r>
        <w:rPr>
          <w:rFonts w:hint="eastAsia" w:ascii="宋体" w:hAnsi="宋体" w:cs="宋体"/>
          <w:color w:val="auto"/>
          <w:szCs w:val="21"/>
          <w:highlight w:val="none"/>
        </w:rPr>
        <w:t>合同价款结算</w:t>
      </w:r>
      <w:bookmarkEnd w:id="725"/>
      <w:r>
        <w:rPr>
          <w:rFonts w:hint="eastAsia" w:ascii="宋体" w:hAnsi="宋体" w:cs="宋体"/>
          <w:color w:val="auto"/>
          <w:szCs w:val="21"/>
          <w:highlight w:val="none"/>
        </w:rPr>
        <w:t>：</w:t>
      </w:r>
    </w:p>
    <w:p w14:paraId="2E18BEB5">
      <w:pPr>
        <w:spacing w:line="600" w:lineRule="exact"/>
        <w:ind w:firstLine="420"/>
        <w:rPr>
          <w:rFonts w:ascii="宋体" w:hAnsi="宋体" w:cs="宋体"/>
          <w:color w:val="auto"/>
          <w:szCs w:val="21"/>
          <w:highlight w:val="none"/>
        </w:rPr>
      </w:pPr>
      <w:r>
        <w:rPr>
          <w:rFonts w:hint="eastAsia" w:ascii="宋体" w:hAnsi="宋体" w:cs="宋体"/>
          <w:color w:val="auto"/>
          <w:szCs w:val="21"/>
          <w:highlight w:val="none"/>
        </w:rPr>
        <w:t>乙方完成所有交货安装调试并验收合格，所有货物无任何质量问题，且甲方自收到乙方开据合同金额100%的发票后60日内以转账方式将全部合同金额支付到合同约定的乙方账户，实际以财政支付审批进度为准。</w:t>
      </w:r>
    </w:p>
    <w:p w14:paraId="1429C8F4">
      <w:pPr>
        <w:spacing w:line="600" w:lineRule="exact"/>
        <w:ind w:firstLine="420"/>
        <w:rPr>
          <w:rFonts w:ascii="宋体" w:hAnsi="宋体" w:cs="宋体"/>
          <w:color w:val="auto"/>
          <w:szCs w:val="21"/>
          <w:highlight w:val="none"/>
        </w:rPr>
      </w:pPr>
      <w:r>
        <w:rPr>
          <w:rFonts w:hint="eastAsia" w:ascii="宋体" w:hAnsi="宋体" w:cs="宋体"/>
          <w:color w:val="auto"/>
          <w:szCs w:val="21"/>
          <w:highlight w:val="none"/>
        </w:rPr>
        <w:t>八、</w:t>
      </w:r>
      <w:bookmarkStart w:id="726" w:name="_Hlk107242687"/>
      <w:r>
        <w:rPr>
          <w:rFonts w:hint="eastAsia" w:ascii="宋体" w:hAnsi="宋体" w:cs="宋体"/>
          <w:color w:val="auto"/>
          <w:szCs w:val="21"/>
          <w:highlight w:val="none"/>
        </w:rPr>
        <w:t>违约责任</w:t>
      </w:r>
      <w:bookmarkEnd w:id="726"/>
      <w:r>
        <w:rPr>
          <w:rFonts w:hint="eastAsia" w:ascii="宋体" w:hAnsi="宋体" w:cs="宋体"/>
          <w:color w:val="auto"/>
          <w:szCs w:val="21"/>
          <w:highlight w:val="none"/>
        </w:rPr>
        <w:t>：</w:t>
      </w:r>
    </w:p>
    <w:p w14:paraId="41764287">
      <w:pPr>
        <w:spacing w:line="600" w:lineRule="exact"/>
        <w:ind w:firstLine="420"/>
        <w:rPr>
          <w:rFonts w:ascii="宋体" w:hAnsi="宋体" w:cs="宋体"/>
          <w:color w:val="auto"/>
          <w:szCs w:val="21"/>
          <w:highlight w:val="none"/>
        </w:rPr>
      </w:pPr>
      <w:bookmarkStart w:id="727" w:name="_Hlk107242698"/>
      <w:r>
        <w:rPr>
          <w:rFonts w:hint="eastAsia" w:ascii="宋体" w:hAnsi="宋体" w:cs="宋体"/>
          <w:color w:val="auto"/>
          <w:szCs w:val="21"/>
          <w:highlight w:val="none"/>
        </w:rPr>
        <w:t>1.乙方所交产品和安装调试与合同标准不相符的，甲方有权拒收并拒付货款，且乙方应继续履行合同义务，直到提交产品符合约定标准为止；乙方原因逾期交付合格项目将向甲方每日偿付合同总额万分之二的违约金，乙方承诺放弃向法院申请降低违约金的权利。该违约金不足以弥补甲方因此造成的经济损失的，乙方还应依法赔偿。若延期交付期限达30日，甲方可以拒绝支付合同价款并选择要求乙方承担违约责任后解除合同。</w:t>
      </w:r>
    </w:p>
    <w:p w14:paraId="77FD2481">
      <w:pPr>
        <w:spacing w:line="600" w:lineRule="exact"/>
        <w:ind w:firstLine="420"/>
        <w:rPr>
          <w:rFonts w:ascii="宋体" w:hAnsi="宋体" w:cs="宋体"/>
          <w:color w:val="auto"/>
          <w:szCs w:val="21"/>
          <w:highlight w:val="none"/>
        </w:rPr>
      </w:pPr>
      <w:r>
        <w:rPr>
          <w:rFonts w:hint="eastAsia" w:ascii="宋体" w:hAnsi="宋体" w:cs="宋体"/>
          <w:color w:val="auto"/>
          <w:szCs w:val="21"/>
          <w:highlight w:val="none"/>
        </w:rPr>
        <w:t>2.乙方交付项目的期限：乙方提请甲方验收之日后能一次性通过验收，若未能一次性验收合格视为未能如约交付，同样应承担违约责任（甲方原因造成延期交付的除外）。</w:t>
      </w:r>
    </w:p>
    <w:p w14:paraId="3112E9F1">
      <w:pPr>
        <w:spacing w:line="600" w:lineRule="exact"/>
        <w:ind w:firstLine="420"/>
        <w:rPr>
          <w:rFonts w:ascii="宋体" w:hAnsi="宋体" w:cs="宋体"/>
          <w:color w:val="auto"/>
          <w:szCs w:val="21"/>
          <w:highlight w:val="none"/>
        </w:rPr>
      </w:pPr>
      <w:r>
        <w:rPr>
          <w:rFonts w:hint="eastAsia" w:ascii="宋体" w:hAnsi="宋体" w:cs="宋体"/>
          <w:color w:val="auto"/>
          <w:szCs w:val="21"/>
          <w:highlight w:val="none"/>
        </w:rPr>
        <w:t>3.甲方无正当理由拒收产品或拒绝验收的，甲方向乙方偿付合同总额百分之五的违约金；由甲方原因造成逾期支付合同款将向乙方每日偿付欠款总额万分之二的违约金。</w:t>
      </w:r>
    </w:p>
    <w:p w14:paraId="6399FDBE">
      <w:pPr>
        <w:spacing w:line="600" w:lineRule="exact"/>
        <w:ind w:firstLine="420"/>
        <w:rPr>
          <w:rFonts w:ascii="宋体" w:hAnsi="宋体" w:cs="宋体"/>
          <w:color w:val="auto"/>
          <w:szCs w:val="21"/>
          <w:highlight w:val="none"/>
        </w:rPr>
      </w:pPr>
      <w:r>
        <w:rPr>
          <w:rFonts w:hint="eastAsia" w:ascii="宋体" w:hAnsi="宋体" w:cs="宋体"/>
          <w:color w:val="auto"/>
          <w:szCs w:val="21"/>
          <w:highlight w:val="none"/>
        </w:rPr>
        <w:t>4.若乙方未按所承诺售后服务标准执行，应依法赔偿因此给甲方造成的全部损失。乙方拒不履行售后服务义务的，甲方有权自主选择第三方机构提供售后服务，费用全部由乙方承担。</w:t>
      </w:r>
    </w:p>
    <w:bookmarkEnd w:id="727"/>
    <w:p w14:paraId="1933E070">
      <w:pPr>
        <w:spacing w:line="600" w:lineRule="exact"/>
        <w:ind w:firstLine="420"/>
        <w:rPr>
          <w:rFonts w:ascii="宋体" w:hAnsi="宋体" w:cs="宋体"/>
          <w:color w:val="auto"/>
          <w:szCs w:val="21"/>
          <w:highlight w:val="none"/>
        </w:rPr>
      </w:pPr>
      <w:r>
        <w:rPr>
          <w:rFonts w:hint="eastAsia" w:ascii="宋体" w:hAnsi="宋体" w:cs="宋体"/>
          <w:color w:val="auto"/>
          <w:szCs w:val="21"/>
          <w:highlight w:val="none"/>
        </w:rPr>
        <w:t>九、甲方有权拒付合同价以外的任何费用；乙方有权拒绝合同整体范围以外的条件。</w:t>
      </w:r>
    </w:p>
    <w:p w14:paraId="18E9ED9C">
      <w:pPr>
        <w:spacing w:line="600" w:lineRule="exact"/>
        <w:ind w:firstLine="420"/>
        <w:rPr>
          <w:rFonts w:ascii="宋体" w:hAnsi="宋体" w:cs="宋体"/>
          <w:color w:val="auto"/>
          <w:szCs w:val="21"/>
          <w:highlight w:val="none"/>
        </w:rPr>
      </w:pPr>
      <w:r>
        <w:rPr>
          <w:rFonts w:hint="eastAsia" w:ascii="宋体" w:hAnsi="宋体" w:cs="宋体"/>
          <w:color w:val="auto"/>
          <w:szCs w:val="21"/>
          <w:highlight w:val="none"/>
        </w:rPr>
        <w:t>十、甲乙双方在履行合同过程中发生纠纷，应积极协商处理；协商不成可向合同签订地有管辖权的人民法院提起诉讼。</w:t>
      </w:r>
    </w:p>
    <w:p w14:paraId="0D934102">
      <w:pPr>
        <w:spacing w:line="600" w:lineRule="exact"/>
        <w:ind w:firstLine="420"/>
        <w:rPr>
          <w:rFonts w:ascii="宋体" w:hAnsi="宋体" w:cs="宋体"/>
          <w:color w:val="auto"/>
          <w:szCs w:val="21"/>
          <w:highlight w:val="none"/>
        </w:rPr>
      </w:pPr>
      <w:r>
        <w:rPr>
          <w:rFonts w:hint="eastAsia" w:ascii="宋体" w:hAnsi="宋体" w:cs="宋体"/>
          <w:color w:val="auto"/>
          <w:szCs w:val="21"/>
          <w:highlight w:val="none"/>
        </w:rPr>
        <w:t>十一、本合同其他未尽事宜，按《民法典》有关规定处理。</w:t>
      </w:r>
    </w:p>
    <w:p w14:paraId="00FDDC7D">
      <w:pPr>
        <w:spacing w:line="600" w:lineRule="exact"/>
        <w:ind w:firstLine="420"/>
        <w:rPr>
          <w:rFonts w:ascii="宋体" w:hAnsi="宋体" w:cs="宋体"/>
          <w:color w:val="auto"/>
          <w:szCs w:val="21"/>
          <w:highlight w:val="none"/>
        </w:rPr>
      </w:pPr>
      <w:r>
        <w:rPr>
          <w:rFonts w:hint="eastAsia" w:ascii="宋体" w:hAnsi="宋体" w:cs="宋体"/>
          <w:color w:val="auto"/>
          <w:szCs w:val="21"/>
          <w:highlight w:val="none"/>
        </w:rPr>
        <w:t>十二、本合同一式八份，甲方五份，乙方两份，丙方一份。</w:t>
      </w:r>
    </w:p>
    <w:p w14:paraId="285C63A7">
      <w:pPr>
        <w:spacing w:line="600" w:lineRule="exact"/>
        <w:ind w:firstLine="420"/>
        <w:rPr>
          <w:rFonts w:ascii="宋体" w:hAnsi="宋体" w:cs="宋体"/>
          <w:color w:val="auto"/>
          <w:szCs w:val="21"/>
          <w:highlight w:val="none"/>
        </w:rPr>
      </w:pPr>
      <w:r>
        <w:rPr>
          <w:rFonts w:hint="eastAsia" w:ascii="宋体" w:hAnsi="宋体" w:cs="宋体"/>
          <w:color w:val="auto"/>
          <w:szCs w:val="21"/>
          <w:highlight w:val="none"/>
        </w:rPr>
        <w:t>十三、本合同自签订之日起生效。</w:t>
      </w:r>
    </w:p>
    <w:p w14:paraId="2895B31C">
      <w:pPr>
        <w:spacing w:line="600" w:lineRule="exact"/>
        <w:ind w:firstLine="420"/>
        <w:rPr>
          <w:rFonts w:ascii="宋体" w:hAnsi="宋体" w:cs="宋体"/>
          <w:color w:val="auto"/>
          <w:szCs w:val="21"/>
          <w:highlight w:val="none"/>
        </w:rPr>
      </w:pPr>
      <w:r>
        <w:rPr>
          <w:rFonts w:hint="eastAsia" w:ascii="宋体" w:hAnsi="宋体" w:cs="宋体"/>
          <w:color w:val="auto"/>
          <w:szCs w:val="21"/>
          <w:highlight w:val="none"/>
        </w:rPr>
        <w:t>十四、本合同不可分割之部分及解释顺序：</w:t>
      </w:r>
    </w:p>
    <w:p w14:paraId="7CF66AAF">
      <w:pPr>
        <w:spacing w:line="600" w:lineRule="exact"/>
        <w:ind w:firstLine="420"/>
        <w:rPr>
          <w:rFonts w:ascii="宋体" w:hAnsi="宋体" w:cs="宋体"/>
          <w:color w:val="auto"/>
          <w:szCs w:val="21"/>
          <w:highlight w:val="none"/>
        </w:rPr>
      </w:pPr>
      <w:r>
        <w:rPr>
          <w:rFonts w:hint="eastAsia" w:ascii="宋体" w:hAnsi="宋体" w:cs="宋体"/>
          <w:color w:val="auto"/>
          <w:szCs w:val="21"/>
          <w:highlight w:val="none"/>
        </w:rPr>
        <w:t>1.合同书及附件；</w:t>
      </w:r>
    </w:p>
    <w:p w14:paraId="2637E599">
      <w:pPr>
        <w:spacing w:line="600" w:lineRule="exact"/>
        <w:ind w:firstLine="420"/>
        <w:rPr>
          <w:rFonts w:ascii="宋体" w:hAnsi="宋体" w:cs="宋体"/>
          <w:color w:val="auto"/>
          <w:szCs w:val="21"/>
          <w:highlight w:val="none"/>
        </w:rPr>
      </w:pPr>
      <w:r>
        <w:rPr>
          <w:rFonts w:hint="eastAsia" w:ascii="宋体" w:hAnsi="宋体" w:cs="宋体"/>
          <w:color w:val="auto"/>
          <w:szCs w:val="21"/>
          <w:highlight w:val="none"/>
        </w:rPr>
        <w:t>2.中标通知书；</w:t>
      </w:r>
    </w:p>
    <w:p w14:paraId="793B3C70">
      <w:pPr>
        <w:spacing w:line="600" w:lineRule="exact"/>
        <w:ind w:firstLine="420"/>
        <w:rPr>
          <w:rFonts w:ascii="宋体" w:hAnsi="宋体" w:cs="宋体"/>
          <w:color w:val="auto"/>
          <w:szCs w:val="21"/>
          <w:highlight w:val="none"/>
        </w:rPr>
      </w:pPr>
      <w:r>
        <w:rPr>
          <w:rFonts w:hint="eastAsia" w:ascii="宋体" w:hAnsi="宋体" w:cs="宋体"/>
          <w:color w:val="auto"/>
          <w:szCs w:val="21"/>
          <w:highlight w:val="none"/>
        </w:rPr>
        <w:t>3.中标人投标文件及澄清、承诺；</w:t>
      </w:r>
    </w:p>
    <w:p w14:paraId="39D525D8">
      <w:pPr>
        <w:spacing w:line="600" w:lineRule="exact"/>
        <w:ind w:firstLine="420"/>
        <w:rPr>
          <w:rFonts w:ascii="宋体" w:hAnsi="宋体" w:cs="宋体"/>
          <w:color w:val="auto"/>
          <w:szCs w:val="21"/>
          <w:highlight w:val="none"/>
        </w:rPr>
      </w:pPr>
      <w:r>
        <w:rPr>
          <w:rFonts w:hint="eastAsia" w:ascii="宋体" w:hAnsi="宋体" w:cs="宋体"/>
          <w:color w:val="auto"/>
          <w:szCs w:val="21"/>
          <w:highlight w:val="none"/>
        </w:rPr>
        <w:t>4.招标文件。</w:t>
      </w:r>
    </w:p>
    <w:p w14:paraId="20B105F7">
      <w:pPr>
        <w:spacing w:line="600" w:lineRule="exact"/>
        <w:ind w:firstLine="420"/>
        <w:rPr>
          <w:rFonts w:ascii="宋体" w:hAnsi="宋体" w:cs="宋体"/>
          <w:color w:val="auto"/>
          <w:szCs w:val="21"/>
          <w:highlight w:val="none"/>
        </w:rPr>
      </w:pPr>
      <w:r>
        <w:rPr>
          <w:rFonts w:hint="eastAsia" w:ascii="宋体" w:hAnsi="宋体" w:cs="宋体"/>
          <w:color w:val="auto"/>
          <w:szCs w:val="21"/>
          <w:highlight w:val="none"/>
        </w:rPr>
        <w:t>十五、附件：</w:t>
      </w:r>
    </w:p>
    <w:p w14:paraId="1201A7B6">
      <w:pPr>
        <w:spacing w:line="600" w:lineRule="exact"/>
        <w:ind w:firstLine="420"/>
        <w:rPr>
          <w:rFonts w:ascii="宋体" w:hAnsi="宋体" w:cs="宋体"/>
          <w:color w:val="auto"/>
          <w:szCs w:val="21"/>
          <w:highlight w:val="none"/>
        </w:rPr>
      </w:pPr>
      <w:r>
        <w:rPr>
          <w:rFonts w:hint="eastAsia" w:ascii="宋体" w:hAnsi="宋体" w:cs="宋体"/>
          <w:color w:val="auto"/>
          <w:szCs w:val="21"/>
          <w:highlight w:val="none"/>
        </w:rPr>
        <w:t>1.合同货物技术参数和详细配置明细表</w:t>
      </w:r>
    </w:p>
    <w:p w14:paraId="7446CA48">
      <w:pPr>
        <w:ind w:firstLine="420"/>
        <w:rPr>
          <w:color w:val="auto"/>
          <w:highlight w:val="none"/>
        </w:rPr>
      </w:pPr>
    </w:p>
    <w:p w14:paraId="0BB62789">
      <w:pPr>
        <w:ind w:firstLine="420"/>
        <w:rPr>
          <w:rFonts w:ascii="Times New Roman" w:hAnsi="Times New Roman" w:cs="Times New Roman"/>
          <w:color w:val="auto"/>
          <w:highlight w:val="none"/>
        </w:rPr>
      </w:pPr>
      <w:bookmarkStart w:id="728" w:name="_Toc23671"/>
      <w:bookmarkStart w:id="729" w:name="_Toc489145749"/>
      <w:bookmarkStart w:id="730" w:name="_Toc38338315"/>
      <w:r>
        <w:rPr>
          <w:rFonts w:ascii="Times New Roman" w:hAnsi="Times New Roman" w:cs="Times New Roman"/>
          <w:color w:val="auto"/>
          <w:highlight w:val="none"/>
        </w:rPr>
        <w:br w:type="page"/>
      </w:r>
    </w:p>
    <w:p w14:paraId="7F74813E">
      <w:pPr>
        <w:pStyle w:val="2"/>
        <w:spacing w:before="165"/>
        <w:rPr>
          <w:rFonts w:ascii="Times New Roman" w:hAnsi="Times New Roman" w:cs="Times New Roman"/>
          <w:color w:val="auto"/>
          <w:highlight w:val="none"/>
        </w:rPr>
      </w:pPr>
      <w:r>
        <w:rPr>
          <w:rFonts w:ascii="Times New Roman" w:hAnsi="Times New Roman" w:cs="Times New Roman"/>
          <w:color w:val="auto"/>
          <w:highlight w:val="none"/>
        </w:rPr>
        <w:t>第四章 投标文件格式</w:t>
      </w:r>
      <w:bookmarkEnd w:id="728"/>
      <w:bookmarkEnd w:id="729"/>
      <w:bookmarkEnd w:id="730"/>
    </w:p>
    <w:p w14:paraId="3DC3B168">
      <w:pPr>
        <w:widowControl/>
        <w:ind w:firstLine="0" w:firstLineChars="0"/>
        <w:jc w:val="center"/>
        <w:rPr>
          <w:rFonts w:ascii="宋体" w:hAnsi="宋体" w:cs="宋体"/>
          <w:b/>
          <w:bCs/>
          <w:color w:val="auto"/>
          <w:szCs w:val="21"/>
          <w:highlight w:val="none"/>
        </w:rPr>
      </w:pPr>
      <w:bookmarkStart w:id="731" w:name="OLE_LINK376"/>
      <w:bookmarkStart w:id="732" w:name="OLE_LINK373"/>
      <w:r>
        <w:rPr>
          <w:rFonts w:hint="eastAsia" w:ascii="宋体" w:hAnsi="宋体" w:cs="宋体"/>
          <w:b/>
          <w:bCs/>
          <w:color w:val="auto"/>
          <w:szCs w:val="21"/>
          <w:highlight w:val="none"/>
        </w:rPr>
        <w:t>投标人编制文件须知</w:t>
      </w:r>
    </w:p>
    <w:bookmarkEnd w:id="731"/>
    <w:p w14:paraId="5EE7C79E">
      <w:pPr>
        <w:widowControl/>
        <w:numPr>
          <w:ilvl w:val="255"/>
          <w:numId w:val="0"/>
        </w:numPr>
        <w:ind w:firstLine="420" w:firstLineChars="200"/>
        <w:rPr>
          <w:rFonts w:ascii="宋体" w:hAnsi="宋体" w:cs="宋体"/>
          <w:color w:val="auto"/>
          <w:szCs w:val="21"/>
          <w:highlight w:val="none"/>
        </w:rPr>
      </w:pPr>
      <w:r>
        <w:rPr>
          <w:rFonts w:hint="eastAsia" w:ascii="宋体" w:hAnsi="宋体" w:cs="宋体"/>
          <w:color w:val="auto"/>
          <w:szCs w:val="21"/>
          <w:highlight w:val="none"/>
        </w:rPr>
        <w:t>1.投标人按照本部分的要求编制投标文件，编制中涉及格式资料的，应按照本部分提供的内容和格式（所有表格的格式可扩展）填写提交。</w:t>
      </w:r>
    </w:p>
    <w:p w14:paraId="6AD189FD">
      <w:pPr>
        <w:widowControl/>
        <w:ind w:firstLine="420"/>
        <w:rPr>
          <w:rFonts w:ascii="宋体" w:hAnsi="宋体" w:cs="宋体"/>
          <w:color w:val="auto"/>
          <w:szCs w:val="21"/>
          <w:highlight w:val="none"/>
        </w:rPr>
      </w:pPr>
      <w:r>
        <w:rPr>
          <w:rFonts w:hint="eastAsia" w:ascii="宋体" w:hAnsi="宋体" w:cs="宋体"/>
          <w:color w:val="auto"/>
          <w:szCs w:val="21"/>
          <w:highlight w:val="none"/>
        </w:rPr>
        <w:t>2.格式中标记了★号的为实质性格式文件，投标人不得改变格式中给定的文字所表达的含义，不得删减格式中的实质性内容，不得自行添加与格式中给定的文字内容相矛盾的内容，不得对应当实质性响应的内容不实质性响应，否则</w:t>
      </w:r>
      <w:r>
        <w:rPr>
          <w:rFonts w:hint="eastAsia" w:ascii="宋体" w:hAnsi="宋体" w:cs="宋体"/>
          <w:b/>
          <w:bCs/>
          <w:color w:val="auto"/>
          <w:szCs w:val="21"/>
          <w:highlight w:val="none"/>
        </w:rPr>
        <w:t>投标无效</w:t>
      </w:r>
      <w:r>
        <w:rPr>
          <w:rFonts w:hint="eastAsia" w:ascii="宋体" w:hAnsi="宋体" w:cs="宋体"/>
          <w:color w:val="auto"/>
          <w:szCs w:val="21"/>
          <w:highlight w:val="none"/>
        </w:rPr>
        <w:t xml:space="preserve">。未标记★号的格式文件和招标文件未提供格式的内容，可由投标人自行编写。 </w:t>
      </w:r>
    </w:p>
    <w:p w14:paraId="03525624">
      <w:pPr>
        <w:widowControl/>
        <w:ind w:firstLine="420"/>
        <w:rPr>
          <w:rFonts w:ascii="宋体" w:hAnsi="宋体" w:cs="宋体"/>
          <w:color w:val="auto"/>
          <w:szCs w:val="21"/>
          <w:highlight w:val="none"/>
        </w:rPr>
      </w:pPr>
      <w:r>
        <w:rPr>
          <w:rFonts w:hint="eastAsia" w:ascii="宋体" w:hAnsi="宋体" w:cs="宋体"/>
          <w:color w:val="auto"/>
          <w:szCs w:val="21"/>
          <w:highlight w:val="none"/>
        </w:rPr>
        <w:t>3.全部声明和问题的回答及所附材料必须是真实的、准确的和完整的。</w:t>
      </w:r>
      <w:bookmarkEnd w:id="732"/>
    </w:p>
    <w:p w14:paraId="4056962C">
      <w:pPr>
        <w:widowControl/>
        <w:ind w:firstLine="420"/>
        <w:rPr>
          <w:rFonts w:ascii="宋体" w:hAnsi="宋体" w:cs="宋体"/>
          <w:color w:val="auto"/>
          <w:szCs w:val="21"/>
          <w:highlight w:val="none"/>
        </w:rPr>
      </w:pPr>
      <w:r>
        <w:rPr>
          <w:rFonts w:hint="eastAsia" w:ascii="宋体" w:hAnsi="宋体" w:cs="宋体"/>
          <w:color w:val="auto"/>
          <w:szCs w:val="21"/>
          <w:highlight w:val="none"/>
        </w:rPr>
        <w:t>4.有关文件的提交如未特别注明需提供原件的，可提供扫描件或照片等形式的电子文件。</w:t>
      </w:r>
    </w:p>
    <w:p w14:paraId="195220B7">
      <w:pPr>
        <w:ind w:firstLine="0" w:firstLineChars="0"/>
        <w:rPr>
          <w:color w:val="auto"/>
          <w:highlight w:val="none"/>
        </w:rPr>
      </w:pPr>
    </w:p>
    <w:p w14:paraId="2DA1F03B">
      <w:pPr>
        <w:spacing w:line="680" w:lineRule="exact"/>
        <w:ind w:firstLine="720"/>
        <w:jc w:val="center"/>
        <w:rPr>
          <w:rFonts w:ascii="Times New Roman" w:hAnsi="Times New Roman" w:cs="Times New Roman"/>
          <w:color w:val="auto"/>
          <w:sz w:val="36"/>
          <w:szCs w:val="36"/>
          <w:highlight w:val="none"/>
        </w:rPr>
      </w:pPr>
      <w:r>
        <w:rPr>
          <w:rFonts w:ascii="Times New Roman" w:hAnsi="Times New Roman" w:cs="Times New Roman"/>
          <w:color w:val="auto"/>
          <w:sz w:val="36"/>
          <w:szCs w:val="36"/>
          <w:highlight w:val="none"/>
        </w:rPr>
        <w:br w:type="page"/>
      </w:r>
      <w:bookmarkStart w:id="733" w:name="_Toc31707"/>
      <w:bookmarkStart w:id="734" w:name="_Toc68090078"/>
      <w:bookmarkStart w:id="735" w:name="_Toc49935356"/>
      <w:bookmarkStart w:id="736" w:name="_Toc36116087"/>
      <w:bookmarkStart w:id="737" w:name="OLE_LINK96"/>
    </w:p>
    <w:p w14:paraId="3B466697">
      <w:pPr>
        <w:spacing w:line="680" w:lineRule="exact"/>
        <w:ind w:firstLine="0" w:firstLineChars="0"/>
        <w:rPr>
          <w:rFonts w:hAnsi="宋体" w:cs="宋体"/>
          <w:b/>
          <w:bCs/>
          <w:color w:val="auto"/>
          <w:sz w:val="48"/>
          <w:szCs w:val="48"/>
          <w:highlight w:val="none"/>
        </w:rPr>
      </w:pPr>
    </w:p>
    <w:p w14:paraId="50360906">
      <w:pPr>
        <w:pStyle w:val="21"/>
        <w:adjustRightInd w:val="0"/>
        <w:snapToGrid w:val="0"/>
        <w:spacing w:line="240" w:lineRule="auto"/>
        <w:jc w:val="center"/>
        <w:rPr>
          <w:rFonts w:hAnsi="宋体" w:cs="宋体"/>
          <w:b/>
          <w:bCs/>
          <w:color w:val="auto"/>
          <w:sz w:val="56"/>
          <w:szCs w:val="56"/>
          <w:highlight w:val="none"/>
        </w:rPr>
      </w:pPr>
    </w:p>
    <w:p w14:paraId="07EDF9F2">
      <w:pPr>
        <w:pStyle w:val="12"/>
        <w:adjustRightInd w:val="0"/>
        <w:snapToGrid w:val="0"/>
        <w:spacing w:beforeLines="50" w:line="240" w:lineRule="auto"/>
        <w:ind w:firstLine="0" w:firstLineChars="0"/>
        <w:jc w:val="center"/>
        <w:rPr>
          <w:rFonts w:ascii="华文中宋" w:hAnsi="华文中宋" w:eastAsia="华文中宋" w:cs="华文中宋"/>
          <w:b/>
          <w:bCs/>
          <w:color w:val="auto"/>
          <w:sz w:val="52"/>
          <w:szCs w:val="52"/>
          <w:highlight w:val="none"/>
        </w:rPr>
      </w:pPr>
      <w:r>
        <w:rPr>
          <w:rFonts w:hint="eastAsia" w:ascii="华文中宋" w:hAnsi="华文中宋" w:eastAsia="华文中宋" w:cs="华文中宋"/>
          <w:b/>
          <w:bCs/>
          <w:color w:val="auto"/>
          <w:sz w:val="52"/>
          <w:szCs w:val="52"/>
          <w:highlight w:val="none"/>
        </w:rPr>
        <w:t>昆明市盘龙区滇源街道中心卫生院重点中心乡镇卫生院提质建设项目</w:t>
      </w:r>
    </w:p>
    <w:p w14:paraId="1638DE41">
      <w:pPr>
        <w:pStyle w:val="21"/>
        <w:adjustRightInd w:val="0"/>
        <w:snapToGrid w:val="0"/>
        <w:spacing w:line="240" w:lineRule="auto"/>
        <w:jc w:val="center"/>
        <w:rPr>
          <w:rFonts w:hAnsi="宋体" w:cs="宋体"/>
          <w:b/>
          <w:color w:val="auto"/>
          <w:sz w:val="48"/>
          <w:szCs w:val="48"/>
          <w:highlight w:val="none"/>
        </w:rPr>
      </w:pPr>
      <w:r>
        <w:rPr>
          <w:rFonts w:hint="eastAsia" w:ascii="华文中宋" w:hAnsi="华文中宋" w:eastAsia="华文中宋" w:cs="华文中宋"/>
          <w:b/>
          <w:bCs/>
          <w:color w:val="auto"/>
          <w:sz w:val="52"/>
          <w:szCs w:val="52"/>
          <w:highlight w:val="none"/>
        </w:rPr>
        <w:t>医疗设备采购</w:t>
      </w:r>
    </w:p>
    <w:p w14:paraId="73E7078F">
      <w:pPr>
        <w:pStyle w:val="21"/>
        <w:spacing w:line="500" w:lineRule="exact"/>
        <w:ind w:firstLine="2800" w:firstLineChars="1000"/>
        <w:rPr>
          <w:rFonts w:hAnsi="宋体" w:cs="宋体"/>
          <w:b/>
          <w:color w:val="auto"/>
          <w:sz w:val="28"/>
          <w:szCs w:val="28"/>
          <w:highlight w:val="none"/>
        </w:rPr>
      </w:pPr>
    </w:p>
    <w:p w14:paraId="0FBD19C4">
      <w:pPr>
        <w:pStyle w:val="21"/>
        <w:spacing w:line="500" w:lineRule="exact"/>
        <w:ind w:firstLine="2800" w:firstLineChars="1000"/>
        <w:rPr>
          <w:rFonts w:hAnsi="宋体" w:cs="宋体"/>
          <w:b/>
          <w:color w:val="auto"/>
          <w:sz w:val="28"/>
          <w:szCs w:val="28"/>
          <w:highlight w:val="none"/>
        </w:rPr>
      </w:pPr>
    </w:p>
    <w:p w14:paraId="60E4AB74">
      <w:pPr>
        <w:pStyle w:val="21"/>
        <w:spacing w:line="500" w:lineRule="exact"/>
        <w:ind w:firstLine="2800" w:firstLineChars="1000"/>
        <w:rPr>
          <w:rFonts w:hAnsi="宋体" w:cs="宋体"/>
          <w:b/>
          <w:color w:val="auto"/>
          <w:sz w:val="28"/>
          <w:szCs w:val="28"/>
          <w:highlight w:val="none"/>
          <w:u w:val="single"/>
        </w:rPr>
      </w:pPr>
      <w:r>
        <w:rPr>
          <w:rFonts w:hint="eastAsia" w:hAnsi="宋体" w:cs="宋体"/>
          <w:b/>
          <w:color w:val="auto"/>
          <w:sz w:val="28"/>
          <w:szCs w:val="28"/>
          <w:highlight w:val="none"/>
        </w:rPr>
        <w:t>项目编号：</w:t>
      </w:r>
    </w:p>
    <w:p w14:paraId="32896F13">
      <w:pPr>
        <w:ind w:firstLine="420"/>
        <w:rPr>
          <w:color w:val="auto"/>
          <w:highlight w:val="none"/>
        </w:rPr>
      </w:pPr>
    </w:p>
    <w:p w14:paraId="65629BEA">
      <w:pPr>
        <w:pStyle w:val="21"/>
        <w:spacing w:line="480" w:lineRule="auto"/>
        <w:jc w:val="center"/>
        <w:rPr>
          <w:rFonts w:hAnsi="宋体" w:cs="宋体"/>
          <w:b/>
          <w:color w:val="auto"/>
          <w:sz w:val="84"/>
          <w:szCs w:val="84"/>
          <w:highlight w:val="none"/>
        </w:rPr>
      </w:pPr>
    </w:p>
    <w:p w14:paraId="0352168B">
      <w:pPr>
        <w:pStyle w:val="21"/>
        <w:spacing w:line="480" w:lineRule="auto"/>
        <w:jc w:val="center"/>
        <w:rPr>
          <w:rFonts w:hAnsi="宋体" w:cs="宋体"/>
          <w:b/>
          <w:color w:val="auto"/>
          <w:sz w:val="84"/>
          <w:szCs w:val="84"/>
          <w:highlight w:val="none"/>
        </w:rPr>
      </w:pPr>
      <w:r>
        <w:rPr>
          <w:rFonts w:hint="eastAsia" w:hAnsi="宋体" w:cs="宋体"/>
          <w:b/>
          <w:color w:val="auto"/>
          <w:sz w:val="84"/>
          <w:szCs w:val="84"/>
          <w:highlight w:val="none"/>
        </w:rPr>
        <w:t>投 标 文 件</w:t>
      </w:r>
    </w:p>
    <w:p w14:paraId="5CABB9D7">
      <w:pPr>
        <w:ind w:firstLine="0" w:firstLineChars="0"/>
        <w:rPr>
          <w:rFonts w:ascii="宋体" w:hAnsi="宋体" w:cs="宋体"/>
          <w:b/>
          <w:bCs/>
          <w:color w:val="auto"/>
          <w:sz w:val="44"/>
          <w:szCs w:val="44"/>
          <w:highlight w:val="none"/>
        </w:rPr>
      </w:pPr>
    </w:p>
    <w:p w14:paraId="025F039F">
      <w:pPr>
        <w:ind w:firstLine="0" w:firstLineChars="0"/>
        <w:rPr>
          <w:rFonts w:ascii="宋体" w:hAnsi="宋体" w:cs="宋体"/>
          <w:b/>
          <w:bCs/>
          <w:color w:val="auto"/>
          <w:sz w:val="44"/>
          <w:szCs w:val="44"/>
          <w:highlight w:val="none"/>
        </w:rPr>
      </w:pPr>
    </w:p>
    <w:p w14:paraId="0A66FAA3">
      <w:pPr>
        <w:ind w:firstLine="883"/>
        <w:jc w:val="center"/>
        <w:rPr>
          <w:rFonts w:ascii="宋体" w:hAnsi="宋体" w:cs="宋体"/>
          <w:b/>
          <w:bCs/>
          <w:color w:val="auto"/>
          <w:sz w:val="44"/>
          <w:szCs w:val="44"/>
          <w:highlight w:val="none"/>
        </w:rPr>
      </w:pPr>
    </w:p>
    <w:p w14:paraId="295BD67B">
      <w:pPr>
        <w:ind w:firstLine="480"/>
        <w:jc w:val="center"/>
        <w:rPr>
          <w:rFonts w:ascii="宋体" w:hAnsi="宋体" w:cs="宋体"/>
          <w:color w:val="auto"/>
          <w:sz w:val="24"/>
          <w:highlight w:val="none"/>
        </w:rPr>
      </w:pPr>
    </w:p>
    <w:p w14:paraId="2C9EB5EE">
      <w:pPr>
        <w:ind w:firstLine="480"/>
        <w:jc w:val="center"/>
        <w:rPr>
          <w:rFonts w:ascii="宋体" w:hAnsi="宋体" w:cs="宋体"/>
          <w:color w:val="auto"/>
          <w:sz w:val="24"/>
          <w:highlight w:val="none"/>
        </w:rPr>
      </w:pPr>
    </w:p>
    <w:p w14:paraId="0A37909E">
      <w:pPr>
        <w:ind w:firstLine="480"/>
        <w:jc w:val="center"/>
        <w:rPr>
          <w:rFonts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w:t>
      </w:r>
      <w:r>
        <w:rPr>
          <w:rFonts w:hint="eastAsia" w:ascii="宋体" w:hAnsi="宋体" w:cs="宋体"/>
          <w:color w:val="auto"/>
          <w:sz w:val="24"/>
          <w:highlight w:val="none"/>
        </w:rPr>
        <w:t>加盖投标人公章）</w:t>
      </w:r>
    </w:p>
    <w:p w14:paraId="5F1A47D1">
      <w:pPr>
        <w:pStyle w:val="21"/>
        <w:spacing w:line="500" w:lineRule="exact"/>
        <w:jc w:val="center"/>
        <w:rPr>
          <w:rFonts w:hAnsi="宋体" w:cs="宋体"/>
          <w:color w:val="auto"/>
          <w:sz w:val="24"/>
          <w:highlight w:val="none"/>
        </w:rPr>
      </w:pPr>
      <w:r>
        <w:rPr>
          <w:rFonts w:hint="eastAsia" w:hAnsi="宋体" w:cs="宋体"/>
          <w:color w:val="auto"/>
          <w:sz w:val="24"/>
          <w:highlight w:val="none"/>
        </w:rPr>
        <w:t>法定代表人或委托代理人：（签名或签章）</w:t>
      </w:r>
    </w:p>
    <w:p w14:paraId="44603646">
      <w:pPr>
        <w:pStyle w:val="21"/>
        <w:spacing w:line="500" w:lineRule="exact"/>
        <w:jc w:val="center"/>
        <w:rPr>
          <w:rFonts w:hAnsi="宋体" w:cs="宋体"/>
          <w:color w:val="auto"/>
          <w:sz w:val="24"/>
          <w:highlight w:val="none"/>
        </w:rPr>
      </w:pPr>
      <w:r>
        <w:rPr>
          <w:rFonts w:hint="eastAsia" w:hAnsi="宋体" w:cs="宋体"/>
          <w:color w:val="auto"/>
          <w:sz w:val="24"/>
          <w:highlight w:val="none"/>
        </w:rPr>
        <w:t>年月日</w:t>
      </w:r>
    </w:p>
    <w:p w14:paraId="060138B2">
      <w:pPr>
        <w:pStyle w:val="3"/>
        <w:spacing w:beforeLines="0"/>
        <w:jc w:val="center"/>
        <w:rPr>
          <w:rFonts w:ascii="Times New Roman" w:hAnsi="Times New Roman" w:cs="Times New Roman"/>
          <w:color w:val="auto"/>
          <w:highlight w:val="none"/>
        </w:rPr>
      </w:pPr>
      <w:r>
        <w:rPr>
          <w:rFonts w:hint="eastAsia" w:ascii="宋体" w:hAnsi="宋体" w:cs="宋体"/>
          <w:color w:val="auto"/>
          <w:szCs w:val="28"/>
          <w:highlight w:val="none"/>
        </w:rPr>
        <w:br w:type="page"/>
      </w:r>
      <w:r>
        <w:rPr>
          <w:rFonts w:hint="eastAsia" w:ascii="Times New Roman" w:hAnsi="Times New Roman" w:cs="Times New Roman"/>
          <w:color w:val="auto"/>
          <w:highlight w:val="none"/>
        </w:rPr>
        <w:t>一、</w:t>
      </w:r>
      <w:r>
        <w:rPr>
          <w:rFonts w:ascii="Times New Roman" w:hAnsi="Times New Roman" w:cs="Times New Roman"/>
          <w:color w:val="auto"/>
          <w:highlight w:val="none"/>
        </w:rPr>
        <w:t>资格</w:t>
      </w:r>
      <w:bookmarkEnd w:id="733"/>
      <w:bookmarkEnd w:id="734"/>
      <w:bookmarkEnd w:id="735"/>
      <w:bookmarkEnd w:id="736"/>
      <w:bookmarkStart w:id="738" w:name="_Toc213141104"/>
      <w:bookmarkStart w:id="739" w:name="_Toc51288985"/>
      <w:bookmarkStart w:id="740" w:name="_Toc272421900"/>
      <w:bookmarkStart w:id="741" w:name="_Toc68090079"/>
      <w:bookmarkStart w:id="742" w:name="_Toc49935357"/>
      <w:bookmarkStart w:id="743" w:name="_Toc26783956"/>
      <w:r>
        <w:rPr>
          <w:rFonts w:ascii="Times New Roman" w:hAnsi="Times New Roman" w:cs="Times New Roman"/>
          <w:bCs w:val="0"/>
          <w:color w:val="auto"/>
          <w:szCs w:val="28"/>
          <w:highlight w:val="none"/>
        </w:rPr>
        <w:t>证明文件部分</w:t>
      </w:r>
    </w:p>
    <w:bookmarkEnd w:id="738"/>
    <w:bookmarkEnd w:id="739"/>
    <w:bookmarkEnd w:id="740"/>
    <w:p w14:paraId="5022C992">
      <w:pPr>
        <w:pStyle w:val="4"/>
        <w:spacing w:beforeLines="0"/>
        <w:ind w:firstLine="0" w:firstLineChars="0"/>
        <w:jc w:val="center"/>
        <w:rPr>
          <w:rFonts w:ascii="Times New Roman" w:hAnsi="Times New Roman" w:cs="Times New Roman"/>
          <w:b w:val="0"/>
          <w:bCs w:val="0"/>
          <w:color w:val="auto"/>
          <w:sz w:val="28"/>
          <w:szCs w:val="28"/>
          <w:highlight w:val="none"/>
        </w:rPr>
      </w:pPr>
      <w:bookmarkStart w:id="744" w:name="OLE_LINK189"/>
      <w:bookmarkStart w:id="745" w:name="_Toc19833"/>
      <w:r>
        <w:rPr>
          <w:rFonts w:ascii="Times New Roman" w:hAnsi="Times New Roman" w:cs="Times New Roman"/>
          <w:b w:val="0"/>
          <w:bCs w:val="0"/>
          <w:color w:val="auto"/>
          <w:sz w:val="28"/>
          <w:szCs w:val="28"/>
          <w:highlight w:val="none"/>
        </w:rPr>
        <w:t>资格证明</w:t>
      </w:r>
      <w:bookmarkEnd w:id="744"/>
      <w:r>
        <w:rPr>
          <w:rFonts w:ascii="Times New Roman" w:hAnsi="Times New Roman" w:cs="Times New Roman"/>
          <w:b w:val="0"/>
          <w:bCs w:val="0"/>
          <w:color w:val="auto"/>
          <w:sz w:val="28"/>
          <w:szCs w:val="28"/>
          <w:highlight w:val="none"/>
        </w:rPr>
        <w:t>材料</w:t>
      </w:r>
      <w:bookmarkEnd w:id="741"/>
      <w:bookmarkEnd w:id="742"/>
      <w:bookmarkEnd w:id="743"/>
      <w:bookmarkEnd w:id="745"/>
    </w:p>
    <w:p w14:paraId="7A6EF3DF">
      <w:pPr>
        <w:ind w:firstLine="422"/>
        <w:rPr>
          <w:rFonts w:ascii="宋体" w:hAnsi="宋体" w:cs="宋体"/>
          <w:b/>
          <w:color w:val="auto"/>
          <w:szCs w:val="21"/>
          <w:highlight w:val="none"/>
        </w:rPr>
      </w:pPr>
      <w:bookmarkStart w:id="746" w:name="OLE_LINK54"/>
      <w:r>
        <w:rPr>
          <w:rFonts w:hint="eastAsia" w:ascii="宋体" w:hAnsi="宋体" w:cs="宋体"/>
          <w:b/>
          <w:bCs/>
          <w:color w:val="auto"/>
          <w:szCs w:val="21"/>
          <w:highlight w:val="none"/>
        </w:rPr>
        <w:t>投标人提供的资格证明</w:t>
      </w:r>
      <w:r>
        <w:rPr>
          <w:rFonts w:hint="eastAsia" w:ascii="宋体" w:hAnsi="宋体" w:cs="宋体"/>
          <w:color w:val="auto"/>
          <w:szCs w:val="21"/>
          <w:highlight w:val="none"/>
        </w:rPr>
        <w:t>材料应满</w:t>
      </w:r>
      <w:bookmarkStart w:id="747" w:name="OLE_LINK374"/>
      <w:r>
        <w:rPr>
          <w:rFonts w:hint="eastAsia" w:ascii="宋体" w:hAnsi="宋体" w:cs="宋体"/>
          <w:color w:val="auto"/>
          <w:szCs w:val="21"/>
          <w:highlight w:val="none"/>
        </w:rPr>
        <w:t>足本项目招标公告中对申</w:t>
      </w:r>
      <w:bookmarkEnd w:id="747"/>
      <w:r>
        <w:rPr>
          <w:rFonts w:hint="eastAsia" w:ascii="宋体" w:hAnsi="宋体" w:cs="宋体"/>
          <w:color w:val="auto"/>
          <w:szCs w:val="21"/>
          <w:highlight w:val="none"/>
        </w:rPr>
        <w:t>请人的资格要求，提供的材料不能证明其符合申请人资格要求的，</w:t>
      </w:r>
      <w:r>
        <w:rPr>
          <w:rFonts w:hint="eastAsia" w:ascii="宋体" w:hAnsi="宋体" w:cs="宋体"/>
          <w:b/>
          <w:color w:val="auto"/>
          <w:szCs w:val="21"/>
          <w:highlight w:val="none"/>
        </w:rPr>
        <w:t>其投标文件无效</w:t>
      </w:r>
      <w:bookmarkEnd w:id="737"/>
      <w:bookmarkEnd w:id="746"/>
      <w:bookmarkStart w:id="748" w:name="OLE_LINK342"/>
      <w:r>
        <w:rPr>
          <w:rFonts w:hint="eastAsia" w:ascii="宋体" w:hAnsi="宋体" w:cs="宋体"/>
          <w:b/>
          <w:color w:val="auto"/>
          <w:szCs w:val="21"/>
          <w:highlight w:val="none"/>
        </w:rPr>
        <w:t>。</w:t>
      </w:r>
      <w:bookmarkEnd w:id="748"/>
    </w:p>
    <w:p w14:paraId="38F505ED">
      <w:pPr>
        <w:ind w:firstLine="422"/>
        <w:rPr>
          <w:rFonts w:ascii="宋体" w:hAnsi="宋体" w:cs="宋体"/>
          <w:b/>
          <w:color w:val="auto"/>
          <w:szCs w:val="21"/>
          <w:highlight w:val="none"/>
        </w:rPr>
      </w:pPr>
      <w:r>
        <w:rPr>
          <w:rFonts w:hint="eastAsia" w:ascii="宋体" w:hAnsi="宋体" w:cs="宋体"/>
          <w:b/>
          <w:color w:val="auto"/>
          <w:szCs w:val="21"/>
          <w:highlight w:val="none"/>
        </w:rPr>
        <w:br w:type="page"/>
      </w:r>
    </w:p>
    <w:p w14:paraId="665038AE">
      <w:pPr>
        <w:ind w:firstLine="422"/>
        <w:rPr>
          <w:rFonts w:ascii="宋体" w:hAnsi="宋体" w:cs="宋体"/>
          <w:b/>
          <w:bCs/>
          <w:color w:val="auto"/>
          <w:kern w:val="0"/>
          <w:szCs w:val="21"/>
          <w:highlight w:val="none"/>
        </w:rPr>
      </w:pPr>
      <w:bookmarkStart w:id="749" w:name="OLE_LINK302"/>
      <w:bookmarkStart w:id="750" w:name="OLE_LINK154"/>
      <w:bookmarkStart w:id="751" w:name="_Toc68090080"/>
      <w:bookmarkStart w:id="752" w:name="_Toc49935360"/>
      <w:bookmarkStart w:id="753" w:name="_Toc36116104"/>
      <w:r>
        <w:rPr>
          <w:rFonts w:hint="eastAsia" w:ascii="宋体" w:hAnsi="宋体" w:cs="宋体"/>
          <w:b/>
          <w:bCs/>
          <w:color w:val="auto"/>
          <w:szCs w:val="21"/>
          <w:highlight w:val="none"/>
        </w:rPr>
        <w:t>1.1</w:t>
      </w:r>
      <w:r>
        <w:rPr>
          <w:rFonts w:hint="eastAsia" w:ascii="宋体" w:hAnsi="宋体" w:cs="宋体"/>
          <w:b/>
          <w:bCs/>
          <w:color w:val="auto"/>
          <w:kern w:val="0"/>
          <w:szCs w:val="21"/>
          <w:highlight w:val="none"/>
        </w:rPr>
        <w:t>具有独立承担民事责任的能力：</w:t>
      </w:r>
      <w:r>
        <w:rPr>
          <w:rFonts w:hint="eastAsia" w:ascii="宋体" w:hAnsi="宋体" w:cs="宋体"/>
          <w:color w:val="auto"/>
          <w:kern w:val="0"/>
          <w:szCs w:val="21"/>
          <w:highlight w:val="none"/>
        </w:rPr>
        <w:t>投标人须是具有独立承担民事责任能力的</w:t>
      </w:r>
      <w:r>
        <w:rPr>
          <w:rFonts w:hint="eastAsia" w:ascii="宋体" w:hAnsi="宋体" w:cs="宋体"/>
          <w:color w:val="auto"/>
          <w:szCs w:val="21"/>
          <w:highlight w:val="none"/>
        </w:rPr>
        <w:t>法人、其他组织或者自然人；（①若投标人是企业，提供有效的“营业执照”；②若投标人是事业单位，提供有效的“事业单位法人证书”；③若投标人是社会团体或非企业专业服务机构等其他形式的组织，提供有效的法定证明文件；④若投标人是个体工商户，提供有效的“个体工商户营业执照”；⑤若投标人是自然人，提供有效的自然人身份证明）。</w:t>
      </w:r>
    </w:p>
    <w:p w14:paraId="3B22A544">
      <w:pPr>
        <w:ind w:firstLine="422"/>
        <w:rPr>
          <w:rFonts w:ascii="宋体" w:hAnsi="宋体" w:cs="宋体"/>
          <w:b/>
          <w:bCs/>
          <w:color w:val="auto"/>
          <w:szCs w:val="21"/>
          <w:highlight w:val="none"/>
        </w:rPr>
      </w:pPr>
      <w:r>
        <w:rPr>
          <w:rFonts w:hint="eastAsia" w:ascii="宋体" w:hAnsi="宋体" w:cs="宋体"/>
          <w:b/>
          <w:bCs/>
          <w:color w:val="auto"/>
          <w:szCs w:val="21"/>
          <w:highlight w:val="none"/>
        </w:rPr>
        <w:t>1.2具有良好的商业信誉和健全的财务会计制度</w:t>
      </w:r>
    </w:p>
    <w:p w14:paraId="6C18C259">
      <w:pPr>
        <w:ind w:firstLine="422"/>
        <w:rPr>
          <w:rFonts w:ascii="宋体" w:hAnsi="宋体" w:cs="宋体"/>
          <w:b/>
          <w:bCs/>
          <w:color w:val="auto"/>
          <w:kern w:val="0"/>
          <w:szCs w:val="21"/>
          <w:highlight w:val="none"/>
        </w:rPr>
      </w:pPr>
      <w:r>
        <w:rPr>
          <w:rFonts w:hint="eastAsia" w:ascii="宋体" w:hAnsi="宋体" w:cs="宋体"/>
          <w:b/>
          <w:bCs/>
          <w:color w:val="auto"/>
          <w:szCs w:val="21"/>
          <w:highlight w:val="none"/>
        </w:rPr>
        <w:t>1.2.2</w:t>
      </w:r>
      <w:r>
        <w:rPr>
          <w:rFonts w:hint="eastAsia" w:ascii="宋体" w:hAnsi="宋体" w:cs="宋体"/>
          <w:b/>
          <w:bCs/>
          <w:color w:val="auto"/>
          <w:kern w:val="0"/>
          <w:szCs w:val="21"/>
          <w:highlight w:val="none"/>
        </w:rPr>
        <w:t>具有健全的财务会计制度</w:t>
      </w:r>
    </w:p>
    <w:p w14:paraId="7BD03629">
      <w:pPr>
        <w:ind w:firstLine="422"/>
        <w:rPr>
          <w:color w:val="auto"/>
          <w:highlight w:val="none"/>
        </w:rPr>
      </w:pPr>
      <w:r>
        <w:rPr>
          <w:rFonts w:hint="eastAsia" w:ascii="宋体" w:hAnsi="宋体" w:cs="宋体"/>
          <w:b/>
          <w:bCs/>
          <w:color w:val="auto"/>
          <w:kern w:val="0"/>
          <w:szCs w:val="21"/>
          <w:highlight w:val="none"/>
        </w:rPr>
        <w:t>以下①-②项证明材料具有同等效力，投标人应根据自身情况提供下列任意一种证明材料</w:t>
      </w:r>
      <w:r>
        <w:rPr>
          <w:rFonts w:hint="eastAsia" w:ascii="宋体" w:hAnsi="宋体" w:cs="宋体"/>
          <w:b/>
          <w:bCs/>
          <w:color w:val="auto"/>
          <w:szCs w:val="21"/>
          <w:highlight w:val="none"/>
        </w:rPr>
        <w:t>：</w:t>
      </w:r>
    </w:p>
    <w:p w14:paraId="1AEB6621">
      <w:pPr>
        <w:pStyle w:val="14"/>
        <w:ind w:firstLine="420"/>
        <w:rPr>
          <w:rFonts w:ascii="宋体" w:hAnsi="宋体" w:cs="宋体"/>
          <w:color w:val="auto"/>
          <w:kern w:val="0"/>
          <w:szCs w:val="21"/>
          <w:highlight w:val="none"/>
        </w:rPr>
      </w:pPr>
      <w:r>
        <w:rPr>
          <w:rFonts w:hint="eastAsia" w:ascii="宋体" w:hAnsi="宋体" w:cs="宋体"/>
          <w:color w:val="auto"/>
          <w:kern w:val="0"/>
          <w:szCs w:val="21"/>
          <w:highlight w:val="none"/>
        </w:rPr>
        <w:t>①投标人须提供</w:t>
      </w:r>
      <w:r>
        <w:rPr>
          <w:rFonts w:hint="eastAsia" w:ascii="宋体" w:hAnsi="宋体" w:cs="宋体"/>
          <w:color w:val="auto"/>
          <w:szCs w:val="21"/>
          <w:highlight w:val="none"/>
        </w:rPr>
        <w:t>2024年度或2025年度</w:t>
      </w:r>
      <w:r>
        <w:rPr>
          <w:rFonts w:hint="eastAsia" w:ascii="宋体" w:hAnsi="宋体" w:cs="宋体"/>
          <w:color w:val="auto"/>
          <w:kern w:val="0"/>
          <w:szCs w:val="21"/>
          <w:highlight w:val="none"/>
        </w:rPr>
        <w:t>经审计的财务会计报告及报表资料（至少包括：财务审计报告、资产负债表、利润表、现金流量表）；2026年以来新成立的单位，可提供成立至今的财务报表。</w:t>
      </w:r>
    </w:p>
    <w:p w14:paraId="53CB7782">
      <w:pPr>
        <w:ind w:firstLine="420"/>
        <w:rPr>
          <w:rFonts w:ascii="宋体" w:hAnsi="宋体" w:cs="宋体"/>
          <w:color w:val="auto"/>
          <w:kern w:val="0"/>
          <w:szCs w:val="21"/>
          <w:highlight w:val="none"/>
        </w:rPr>
      </w:pPr>
      <w:r>
        <w:rPr>
          <w:rFonts w:hint="eastAsia" w:ascii="宋体" w:hAnsi="宋体" w:cs="宋体"/>
          <w:color w:val="auto"/>
          <w:kern w:val="0"/>
          <w:szCs w:val="21"/>
          <w:highlight w:val="none"/>
        </w:rPr>
        <w:t>②投标人须提供在</w:t>
      </w:r>
      <w:r>
        <w:rPr>
          <w:rFonts w:ascii="宋体" w:hAnsi="宋体" w:cs="宋体"/>
          <w:color w:val="auto"/>
          <w:kern w:val="0"/>
          <w:szCs w:val="21"/>
          <w:highlight w:val="none"/>
        </w:rPr>
        <w:t>提交投标文件截止时间</w:t>
      </w:r>
      <w:r>
        <w:rPr>
          <w:rFonts w:hint="eastAsia" w:ascii="宋体" w:hAnsi="宋体" w:cs="宋体"/>
          <w:color w:val="auto"/>
          <w:kern w:val="0"/>
          <w:szCs w:val="21"/>
          <w:highlight w:val="none"/>
        </w:rPr>
        <w:t>前三个月内银行开具的资信证明（银行出具的资信证明无需针对本项目或本项目采购人）。</w:t>
      </w:r>
    </w:p>
    <w:p w14:paraId="3DCA1CB4">
      <w:pPr>
        <w:ind w:firstLine="422"/>
        <w:rPr>
          <w:rFonts w:ascii="宋体" w:hAnsi="宋体" w:cs="宋体"/>
          <w:b/>
          <w:bCs/>
          <w:color w:val="auto"/>
          <w:szCs w:val="21"/>
          <w:highlight w:val="none"/>
        </w:rPr>
      </w:pPr>
      <w:r>
        <w:rPr>
          <w:rFonts w:hint="eastAsia" w:ascii="宋体" w:hAnsi="宋体" w:cs="宋体"/>
          <w:b/>
          <w:bCs/>
          <w:color w:val="auto"/>
          <w:szCs w:val="21"/>
          <w:highlight w:val="none"/>
        </w:rPr>
        <w:t>1.</w:t>
      </w:r>
      <w:r>
        <w:rPr>
          <w:rFonts w:ascii="宋体" w:hAnsi="宋体" w:cs="宋体"/>
          <w:b/>
          <w:bCs/>
          <w:color w:val="auto"/>
          <w:szCs w:val="21"/>
          <w:highlight w:val="none"/>
        </w:rPr>
        <w:t>3</w:t>
      </w:r>
      <w:r>
        <w:rPr>
          <w:rFonts w:hint="eastAsia" w:ascii="宋体" w:hAnsi="宋体" w:cs="宋体"/>
          <w:b/>
          <w:bCs/>
          <w:color w:val="auto"/>
          <w:szCs w:val="21"/>
          <w:highlight w:val="none"/>
        </w:rPr>
        <w:t>有依法缴纳税收和社会保障资金的良好记录</w:t>
      </w:r>
    </w:p>
    <w:p w14:paraId="5BA26833">
      <w:pPr>
        <w:pStyle w:val="12"/>
        <w:ind w:firstLine="422"/>
        <w:rPr>
          <w:rFonts w:ascii="宋体" w:hAnsi="宋体" w:cs="宋体"/>
          <w:color w:val="auto"/>
          <w:szCs w:val="21"/>
          <w:highlight w:val="none"/>
        </w:rPr>
      </w:pPr>
      <w:r>
        <w:rPr>
          <w:rFonts w:ascii="宋体" w:hAnsi="宋体" w:cs="宋体"/>
          <w:b/>
          <w:bCs/>
          <w:color w:val="auto"/>
          <w:szCs w:val="21"/>
          <w:highlight w:val="none"/>
        </w:rPr>
        <w:t xml:space="preserve">1.3.1 </w:t>
      </w:r>
      <w:r>
        <w:rPr>
          <w:rFonts w:hint="eastAsia"/>
          <w:b/>
          <w:bCs/>
          <w:color w:val="auto"/>
          <w:highlight w:val="none"/>
        </w:rPr>
        <w:t>依法缴纳税收：</w:t>
      </w:r>
      <w:r>
        <w:rPr>
          <w:rFonts w:hint="eastAsia" w:ascii="宋体" w:hAnsi="宋体" w:cs="宋体"/>
          <w:color w:val="auto"/>
          <w:kern w:val="0"/>
          <w:szCs w:val="21"/>
          <w:highlight w:val="none"/>
        </w:rPr>
        <w:t>投标人须提供缴税所属时间在2025年4月1日起至提交投标文件截止之日内任意2个月的税务局税收通用缴款书或银行电子缴税（费）凭证或税务局出具纳税情况的相关证明</w:t>
      </w:r>
      <w:r>
        <w:rPr>
          <w:rFonts w:ascii="宋体" w:hAnsi="宋体" w:cs="宋体"/>
          <w:color w:val="auto"/>
          <w:kern w:val="0"/>
          <w:szCs w:val="21"/>
          <w:highlight w:val="none"/>
        </w:rPr>
        <w:t>；依法免税的，应提供依法免税的相关证明文件；</w:t>
      </w:r>
      <w:r>
        <w:rPr>
          <w:rFonts w:hint="eastAsia" w:ascii="宋体" w:hAnsi="宋体" w:cs="宋体"/>
          <w:color w:val="auto"/>
          <w:szCs w:val="21"/>
          <w:highlight w:val="none"/>
        </w:rPr>
        <w:t>成立未满2个月的提供成立以来的纳税证明材料。</w:t>
      </w:r>
    </w:p>
    <w:p w14:paraId="3C0671DC">
      <w:pPr>
        <w:ind w:firstLine="422"/>
        <w:rPr>
          <w:rFonts w:ascii="宋体" w:hAnsi="宋体" w:cs="宋体"/>
          <w:b/>
          <w:bCs/>
          <w:color w:val="auto"/>
          <w:szCs w:val="21"/>
          <w:highlight w:val="none"/>
        </w:rPr>
      </w:pPr>
      <w:r>
        <w:rPr>
          <w:rFonts w:hint="eastAsia" w:ascii="宋体" w:hAnsi="宋体" w:cs="宋体"/>
          <w:b/>
          <w:bCs/>
          <w:color w:val="auto"/>
          <w:szCs w:val="21"/>
          <w:highlight w:val="none"/>
        </w:rPr>
        <w:t>1.</w:t>
      </w:r>
      <w:r>
        <w:rPr>
          <w:rFonts w:ascii="宋体" w:hAnsi="宋体" w:cs="宋体"/>
          <w:b/>
          <w:bCs/>
          <w:color w:val="auto"/>
          <w:szCs w:val="21"/>
          <w:highlight w:val="none"/>
        </w:rPr>
        <w:t>3</w:t>
      </w:r>
      <w:r>
        <w:rPr>
          <w:rFonts w:hint="eastAsia" w:ascii="宋体" w:hAnsi="宋体" w:cs="宋体"/>
          <w:b/>
          <w:bCs/>
          <w:color w:val="auto"/>
          <w:szCs w:val="21"/>
          <w:highlight w:val="none"/>
        </w:rPr>
        <w:t>.2依法缴纳社会保障资金：</w:t>
      </w:r>
      <w:r>
        <w:rPr>
          <w:rFonts w:hint="eastAsia" w:ascii="宋体" w:hAnsi="宋体" w:cs="宋体"/>
          <w:color w:val="auto"/>
          <w:kern w:val="0"/>
          <w:szCs w:val="21"/>
          <w:highlight w:val="none"/>
        </w:rPr>
        <w:t>投标人须提供缴费所属时间在2025年4月1日起至提交投标文件截止之日内任意2个月的社会保险费缴款书或银行电子缴税（费）凭证或社保管理部门出具的有效的缴款证明</w:t>
      </w:r>
      <w:r>
        <w:rPr>
          <w:rFonts w:ascii="宋体" w:hAnsi="宋体" w:cs="宋体"/>
          <w:color w:val="auto"/>
          <w:kern w:val="0"/>
          <w:szCs w:val="21"/>
          <w:highlight w:val="none"/>
        </w:rPr>
        <w:t>；依法</w:t>
      </w:r>
      <w:r>
        <w:rPr>
          <w:rFonts w:hint="eastAsia"/>
          <w:color w:val="auto"/>
          <w:szCs w:val="21"/>
          <w:highlight w:val="none"/>
        </w:rPr>
        <w:t>不需要缴纳社会保障资金</w:t>
      </w:r>
      <w:r>
        <w:rPr>
          <w:rFonts w:ascii="宋体" w:hAnsi="宋体" w:cs="宋体"/>
          <w:color w:val="auto"/>
          <w:kern w:val="0"/>
          <w:szCs w:val="21"/>
          <w:highlight w:val="none"/>
        </w:rPr>
        <w:t>的，应提供依法免缴的相关证明文件；</w:t>
      </w:r>
      <w:r>
        <w:rPr>
          <w:rFonts w:hint="eastAsia" w:ascii="宋体" w:hAnsi="宋体" w:cs="宋体"/>
          <w:color w:val="auto"/>
          <w:szCs w:val="21"/>
          <w:highlight w:val="none"/>
        </w:rPr>
        <w:t>成立未满2个月的提供成立以来的社保资金缴纳证明材料</w:t>
      </w:r>
      <w:r>
        <w:rPr>
          <w:rFonts w:hint="eastAsia" w:ascii="宋体" w:hAnsi="宋体" w:cs="宋体"/>
          <w:color w:val="auto"/>
          <w:kern w:val="0"/>
          <w:szCs w:val="21"/>
          <w:highlight w:val="none"/>
        </w:rPr>
        <w:t>。</w:t>
      </w:r>
    </w:p>
    <w:p w14:paraId="2EE120AF">
      <w:pPr>
        <w:ind w:firstLine="422"/>
        <w:rPr>
          <w:rFonts w:ascii="宋体" w:hAnsi="宋体" w:cs="宋体"/>
          <w:b/>
          <w:bCs/>
          <w:color w:val="auto"/>
          <w:szCs w:val="21"/>
          <w:highlight w:val="none"/>
        </w:rPr>
      </w:pPr>
      <w:r>
        <w:rPr>
          <w:rFonts w:hint="eastAsia" w:ascii="宋体" w:hAnsi="宋体" w:cs="宋体"/>
          <w:b/>
          <w:bCs/>
          <w:color w:val="auto"/>
          <w:szCs w:val="21"/>
          <w:highlight w:val="none"/>
        </w:rPr>
        <w:t>1.</w:t>
      </w:r>
      <w:r>
        <w:rPr>
          <w:rFonts w:ascii="宋体" w:hAnsi="宋体" w:cs="宋体"/>
          <w:b/>
          <w:bCs/>
          <w:color w:val="auto"/>
          <w:szCs w:val="21"/>
          <w:highlight w:val="none"/>
        </w:rPr>
        <w:t>4</w:t>
      </w:r>
      <w:r>
        <w:rPr>
          <w:rFonts w:hint="eastAsia" w:ascii="宋体" w:hAnsi="宋体" w:cs="宋体"/>
          <w:b/>
          <w:bCs/>
          <w:color w:val="auto"/>
          <w:szCs w:val="21"/>
          <w:highlight w:val="none"/>
        </w:rPr>
        <w:t>具有履行合同所必需的设备和专业技术能力：</w:t>
      </w:r>
      <w:r>
        <w:rPr>
          <w:rFonts w:hint="eastAsia" w:ascii="宋体" w:hAnsi="宋体" w:cs="宋体"/>
          <w:color w:val="auto"/>
          <w:szCs w:val="21"/>
          <w:highlight w:val="none"/>
        </w:rPr>
        <w:t>须提供投标人具有履行合同所必需的设备和专业技术能力的承诺书或相关证明材料。</w:t>
      </w:r>
    </w:p>
    <w:p w14:paraId="3C9EE326">
      <w:pPr>
        <w:ind w:firstLine="422"/>
        <w:rPr>
          <w:rFonts w:ascii="宋体" w:hAnsi="宋体" w:cs="宋体"/>
          <w:b/>
          <w:bCs/>
          <w:color w:val="auto"/>
          <w:szCs w:val="21"/>
          <w:highlight w:val="none"/>
        </w:rPr>
      </w:pPr>
      <w:r>
        <w:rPr>
          <w:rFonts w:hint="eastAsia" w:ascii="宋体" w:hAnsi="宋体" w:cs="宋体"/>
          <w:b/>
          <w:bCs/>
          <w:color w:val="auto"/>
          <w:szCs w:val="21"/>
          <w:highlight w:val="none"/>
        </w:rPr>
        <w:t>1.5参加政府采购活动前三年内，在经营活动中没有重大违法记录</w:t>
      </w:r>
      <w:r>
        <w:rPr>
          <w:rFonts w:hint="eastAsia" w:ascii="宋体" w:hAnsi="宋体" w:cs="宋体"/>
          <w:color w:val="auto"/>
          <w:szCs w:val="21"/>
          <w:highlight w:val="none"/>
        </w:rPr>
        <w:t>：须提供投标人参加政府采购活动前三年内，在经营活动中没有重大违法记录（重大违法记录，是指投标人因违法经营受到刑事处罚或者责令停产停业、吊销许可证或者执照、较大数额罚款等行政处罚）的书面声明或承诺书。</w:t>
      </w:r>
    </w:p>
    <w:p w14:paraId="6B4C3F36">
      <w:pPr>
        <w:ind w:firstLine="422"/>
        <w:rPr>
          <w:rFonts w:ascii="宋体" w:hAnsi="宋体" w:cs="宋体"/>
          <w:b/>
          <w:bCs/>
          <w:color w:val="auto"/>
          <w:szCs w:val="21"/>
          <w:highlight w:val="none"/>
        </w:rPr>
      </w:pPr>
      <w:r>
        <w:rPr>
          <w:rFonts w:hint="eastAsia" w:ascii="宋体" w:hAnsi="宋体" w:cs="宋体"/>
          <w:b/>
          <w:bCs/>
          <w:color w:val="auto"/>
          <w:szCs w:val="21"/>
          <w:highlight w:val="none"/>
        </w:rPr>
        <w:t>1.6法律、行政法规规定的其他条件：</w:t>
      </w:r>
    </w:p>
    <w:p w14:paraId="4C7C4C4B">
      <w:pPr>
        <w:widowControl/>
        <w:ind w:firstLine="422"/>
        <w:jc w:val="left"/>
        <w:rPr>
          <w:rFonts w:ascii="Times New Roman" w:hAnsi="Times New Roman" w:eastAsia="黑体" w:cs="Times New Roman"/>
          <w:color w:val="auto"/>
          <w:sz w:val="28"/>
          <w:szCs w:val="28"/>
          <w:highlight w:val="none"/>
        </w:rPr>
      </w:pPr>
      <w:r>
        <w:rPr>
          <w:rFonts w:hint="eastAsia" w:ascii="宋体" w:hAnsi="宋体" w:cs="宋体"/>
          <w:b/>
          <w:bCs/>
          <w:color w:val="auto"/>
          <w:szCs w:val="21"/>
          <w:highlight w:val="none"/>
        </w:rPr>
        <w:t>1.6.1</w:t>
      </w:r>
      <w:r>
        <w:rPr>
          <w:rFonts w:hint="eastAsia" w:ascii="宋体" w:hAnsi="宋体" w:cs="宋体"/>
          <w:color w:val="auto"/>
          <w:szCs w:val="21"/>
          <w:highlight w:val="none"/>
        </w:rPr>
        <w:t>单位负责人为同一人或者存在直接控股、管理关系的不同投标人，不得参加同一合同项下的政府采购活动（提供投标人关联单位情况声明）。</w:t>
      </w:r>
      <w:bookmarkEnd w:id="749"/>
      <w:bookmarkEnd w:id="750"/>
      <w:bookmarkStart w:id="754" w:name="OLE_LINK367"/>
      <w:bookmarkStart w:id="755" w:name="OLE_LINK257"/>
      <w:bookmarkStart w:id="756" w:name="_Toc68090077"/>
      <w:bookmarkStart w:id="757" w:name="_Toc23663"/>
      <w:bookmarkStart w:id="758" w:name="OLE_LINK97"/>
    </w:p>
    <w:p w14:paraId="45668635">
      <w:pPr>
        <w:widowControl/>
        <w:ind w:firstLine="422"/>
        <w:jc w:val="left"/>
        <w:rPr>
          <w:color w:val="auto"/>
          <w:highlight w:val="none"/>
        </w:rPr>
      </w:pPr>
      <w:r>
        <w:rPr>
          <w:rFonts w:hint="eastAsia" w:ascii="宋体" w:hAnsi="宋体" w:cs="宋体"/>
          <w:b/>
          <w:bCs/>
          <w:color w:val="auto"/>
          <w:szCs w:val="21"/>
          <w:highlight w:val="none"/>
        </w:rPr>
        <w:t>1.6.2</w:t>
      </w:r>
      <w:r>
        <w:rPr>
          <w:rFonts w:hint="eastAsia" w:ascii="宋体" w:hAnsi="宋体" w:cs="宋体"/>
          <w:color w:val="auto"/>
          <w:szCs w:val="21"/>
          <w:highlight w:val="none"/>
        </w:rPr>
        <w:t>为采购项目提供整体设计、规范编制或者项目管理、 监理、检测等服务的投标人，不得再参加该采购项目的其他采购活动（提供承诺书）。</w:t>
      </w:r>
    </w:p>
    <w:p w14:paraId="32819A06">
      <w:pPr>
        <w:ind w:firstLine="422"/>
        <w:rPr>
          <w:rFonts w:ascii="宋体" w:hAnsi="宋体" w:cs="宋体"/>
          <w:color w:val="auto"/>
          <w:szCs w:val="21"/>
          <w:highlight w:val="none"/>
        </w:rPr>
      </w:pPr>
      <w:r>
        <w:rPr>
          <w:rFonts w:hint="eastAsia" w:ascii="宋体" w:hAnsi="宋体" w:cs="宋体"/>
          <w:b/>
          <w:bCs/>
          <w:color w:val="auto"/>
          <w:szCs w:val="21"/>
          <w:highlight w:val="none"/>
        </w:rPr>
        <w:t>2.落实政府采购政策需满足的资格要求：</w:t>
      </w:r>
      <w:r>
        <w:rPr>
          <w:rFonts w:hint="eastAsia" w:ascii="宋体" w:hAnsi="宋体" w:cs="宋体"/>
          <w:color w:val="auto"/>
          <w:szCs w:val="21"/>
          <w:highlight w:val="none"/>
        </w:rPr>
        <w:t>无，本项目非专门面向中小企业采购项目。</w:t>
      </w:r>
    </w:p>
    <w:p w14:paraId="2855ADF9">
      <w:pPr>
        <w:ind w:firstLine="422"/>
        <w:rPr>
          <w:rFonts w:ascii="宋体" w:hAnsi="宋体" w:cs="宋体"/>
          <w:color w:val="auto"/>
          <w:szCs w:val="21"/>
          <w:highlight w:val="none"/>
        </w:rPr>
      </w:pPr>
      <w:r>
        <w:rPr>
          <w:rFonts w:ascii="宋体" w:hAnsi="宋体" w:cs="宋体"/>
          <w:b/>
          <w:bCs/>
          <w:color w:val="auto"/>
          <w:szCs w:val="21"/>
          <w:highlight w:val="none"/>
        </w:rPr>
        <w:t>3</w:t>
      </w:r>
      <w:r>
        <w:rPr>
          <w:rFonts w:hint="eastAsia" w:ascii="宋体" w:hAnsi="宋体" w:cs="宋体"/>
          <w:b/>
          <w:bCs/>
          <w:color w:val="auto"/>
          <w:szCs w:val="21"/>
          <w:highlight w:val="none"/>
        </w:rPr>
        <w:t>.本项目的特定资格要求：</w:t>
      </w:r>
      <w:r>
        <w:rPr>
          <w:rFonts w:hint="eastAsia" w:ascii="宋体" w:hAnsi="宋体" w:cs="宋体"/>
          <w:color w:val="auto"/>
          <w:szCs w:val="21"/>
          <w:highlight w:val="none"/>
        </w:rPr>
        <w:t>若投标产品在《医疗器械分类目录》内，作为医疗器械管理的：投标人如果是代理商或经销商，须提供①投标人医疗器械经营许可证/备案凭证、②所投产品制造商医疗器械生产许可证/备案凭证（制造商工商注册地在中华人民共和国境外的，不作此要求）、③所投产品医疗器械注册证/备案信息表；投标人如果是制造商，须提供①医疗器械生产许可证/备案凭证（制造商工商注册地在中华人民共和国境外的，不作此要求）、②所投产品医疗器械注册证/备案信息表。注：医疗器械生产或经营许可证/备案凭证的生产或经营范围须覆盖所投产品所属类别医疗器械（根据中华人民共和国国务院令第739号《医疗器械监督管理条例》和国家药品监督管理局《医疗器械分类目录》的规定，在《医疗器械分类目录》内的产品必须按照《医疗器械监督管理条例》的要求提供，其他不在《医疗器械分类目录》内的不作强行要求）。本项目拟</w:t>
      </w:r>
      <w:r>
        <w:rPr>
          <w:rFonts w:hint="eastAsia" w:ascii="宋体" w:hAnsi="宋体" w:cs="宋体"/>
          <w:color w:val="auto"/>
          <w:szCs w:val="21"/>
          <w:highlight w:val="none"/>
          <w:lang w:val="en-US" w:eastAsia="zh-CN"/>
        </w:rPr>
        <w:t>采购的</w:t>
      </w:r>
      <w:r>
        <w:rPr>
          <w:rFonts w:hint="eastAsia" w:ascii="宋体" w:hAnsi="宋体" w:cs="宋体"/>
          <w:color w:val="auto"/>
          <w:szCs w:val="21"/>
          <w:highlight w:val="none"/>
        </w:rPr>
        <w:t>X射线计算机断层摄影设备（CT）属于射线装置，投标人若是代理商或经销商的，须提供投标人有效的《辐射安全许可证》（种类范围须覆盖销售类别）和制造商有效的《辐射安全许可证》（种类范围须覆盖生产类别）。投标人为制造商的，须提供有效的《辐射安全许可证》（种类范围须覆盖生产类别）。</w:t>
      </w:r>
    </w:p>
    <w:p w14:paraId="14F7B528">
      <w:pPr>
        <w:ind w:firstLine="420"/>
        <w:rPr>
          <w:rFonts w:ascii="Times New Roman" w:hAnsi="Times New Roman" w:cs="Times New Roman"/>
          <w:color w:val="auto"/>
          <w:highlight w:val="none"/>
        </w:rPr>
      </w:pPr>
      <w:r>
        <w:rPr>
          <w:rFonts w:hint="eastAsia" w:ascii="Times New Roman" w:hAnsi="Times New Roman" w:cs="Times New Roman"/>
          <w:color w:val="auto"/>
          <w:highlight w:val="none"/>
        </w:rPr>
        <w:br w:type="page"/>
      </w:r>
    </w:p>
    <w:p w14:paraId="4DC3FEAE">
      <w:pPr>
        <w:pStyle w:val="3"/>
        <w:spacing w:beforeLines="0"/>
        <w:jc w:val="center"/>
        <w:rPr>
          <w:rFonts w:ascii="Times New Roman" w:hAnsi="Times New Roman" w:cs="Times New Roman"/>
          <w:color w:val="auto"/>
          <w:szCs w:val="21"/>
          <w:highlight w:val="none"/>
        </w:rPr>
      </w:pPr>
      <w:r>
        <w:rPr>
          <w:rFonts w:hint="eastAsia" w:ascii="Times New Roman" w:hAnsi="Times New Roman" w:cs="Times New Roman"/>
          <w:color w:val="auto"/>
          <w:highlight w:val="none"/>
        </w:rPr>
        <w:t>二</w:t>
      </w:r>
      <w:bookmarkEnd w:id="754"/>
      <w:r>
        <w:rPr>
          <w:rFonts w:hint="eastAsia" w:ascii="Times New Roman" w:hAnsi="Times New Roman" w:cs="Times New Roman"/>
          <w:color w:val="auto"/>
          <w:highlight w:val="none"/>
        </w:rPr>
        <w:t>、报价</w:t>
      </w:r>
      <w:r>
        <w:rPr>
          <w:rFonts w:ascii="Times New Roman" w:hAnsi="Times New Roman" w:cs="Times New Roman"/>
          <w:color w:val="auto"/>
          <w:highlight w:val="none"/>
        </w:rPr>
        <w:t>文件部分</w:t>
      </w:r>
      <w:bookmarkEnd w:id="755"/>
      <w:bookmarkEnd w:id="756"/>
      <w:bookmarkEnd w:id="757"/>
      <w:bookmarkEnd w:id="758"/>
    </w:p>
    <w:p w14:paraId="318B296A">
      <w:pPr>
        <w:pStyle w:val="4"/>
        <w:spacing w:beforeLines="0"/>
        <w:ind w:firstLine="0" w:firstLineChars="0"/>
        <w:jc w:val="center"/>
        <w:rPr>
          <w:rFonts w:ascii="黑体" w:hAnsi="黑体" w:cs="黑体"/>
          <w:b w:val="0"/>
          <w:bCs w:val="0"/>
          <w:color w:val="auto"/>
          <w:sz w:val="28"/>
          <w:szCs w:val="28"/>
          <w:highlight w:val="none"/>
        </w:rPr>
      </w:pPr>
      <w:bookmarkStart w:id="759" w:name="_Toc31699"/>
      <w:bookmarkStart w:id="760" w:name="OLE_LINK100"/>
      <w:r>
        <w:rPr>
          <w:rFonts w:hint="eastAsia" w:ascii="黑体" w:hAnsi="黑体" w:cs="黑体"/>
          <w:b w:val="0"/>
          <w:bCs w:val="0"/>
          <w:color w:val="auto"/>
          <w:sz w:val="28"/>
          <w:szCs w:val="28"/>
          <w:highlight w:val="none"/>
        </w:rPr>
        <w:t>★开标一览表</w:t>
      </w:r>
    </w:p>
    <w:tbl>
      <w:tblPr>
        <w:tblStyle w:val="34"/>
        <w:tblW w:w="9037"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856"/>
        <w:gridCol w:w="6181"/>
      </w:tblGrid>
      <w:tr w14:paraId="2386E24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128" w:hRule="atLeast"/>
          <w:jc w:val="center"/>
        </w:trPr>
        <w:tc>
          <w:tcPr>
            <w:tcW w:w="2856" w:type="dxa"/>
            <w:vAlign w:val="center"/>
          </w:tcPr>
          <w:p w14:paraId="3F50FE0F">
            <w:pPr>
              <w:ind w:firstLine="0" w:firstLineChars="0"/>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投标人名称</w:t>
            </w:r>
          </w:p>
        </w:tc>
        <w:tc>
          <w:tcPr>
            <w:tcW w:w="6181" w:type="dxa"/>
            <w:vAlign w:val="center"/>
          </w:tcPr>
          <w:p w14:paraId="24A8B3D7">
            <w:pPr>
              <w:ind w:firstLine="0" w:firstLineChars="0"/>
              <w:jc w:val="left"/>
              <w:rPr>
                <w:rFonts w:ascii="Times New Roman" w:hAnsi="Times New Roman" w:cs="Times New Roman"/>
                <w:color w:val="auto"/>
                <w:szCs w:val="21"/>
                <w:highlight w:val="none"/>
              </w:rPr>
            </w:pPr>
          </w:p>
        </w:tc>
      </w:tr>
      <w:tr w14:paraId="2E3DBAC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128" w:hRule="atLeast"/>
          <w:jc w:val="center"/>
        </w:trPr>
        <w:tc>
          <w:tcPr>
            <w:tcW w:w="2856" w:type="dxa"/>
            <w:vAlign w:val="center"/>
          </w:tcPr>
          <w:p w14:paraId="65460641">
            <w:pPr>
              <w:ind w:firstLine="0" w:firstLineChars="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投标</w:t>
            </w:r>
            <w:r>
              <w:rPr>
                <w:rFonts w:hint="eastAsia" w:ascii="Times New Roman" w:hAnsi="Times New Roman" w:cs="Times New Roman"/>
                <w:color w:val="auto"/>
                <w:szCs w:val="21"/>
                <w:highlight w:val="none"/>
              </w:rPr>
              <w:t>总</w:t>
            </w:r>
            <w:r>
              <w:rPr>
                <w:rFonts w:ascii="Times New Roman" w:hAnsi="Times New Roman" w:cs="Times New Roman"/>
                <w:color w:val="auto"/>
                <w:szCs w:val="21"/>
                <w:highlight w:val="none"/>
              </w:rPr>
              <w:t>报价</w:t>
            </w:r>
            <w:r>
              <w:rPr>
                <w:rFonts w:hint="eastAsia" w:ascii="Times New Roman" w:hAnsi="Times New Roman" w:cs="Times New Roman"/>
                <w:color w:val="auto"/>
                <w:szCs w:val="21"/>
                <w:highlight w:val="none"/>
              </w:rPr>
              <w:t>（元）</w:t>
            </w:r>
          </w:p>
        </w:tc>
        <w:tc>
          <w:tcPr>
            <w:tcW w:w="6181" w:type="dxa"/>
            <w:vAlign w:val="center"/>
          </w:tcPr>
          <w:p w14:paraId="356463B1">
            <w:pPr>
              <w:ind w:firstLine="0" w:firstLineChars="0"/>
              <w:jc w:val="left"/>
              <w:rPr>
                <w:rFonts w:ascii="Times New Roman" w:hAnsi="Times New Roman" w:cs="Times New Roman"/>
                <w:color w:val="auto"/>
                <w:szCs w:val="21"/>
                <w:highlight w:val="none"/>
              </w:rPr>
            </w:pPr>
          </w:p>
        </w:tc>
      </w:tr>
      <w:tr w14:paraId="3336426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128" w:hRule="atLeast"/>
          <w:jc w:val="center"/>
        </w:trPr>
        <w:tc>
          <w:tcPr>
            <w:tcW w:w="2856" w:type="dxa"/>
            <w:vAlign w:val="center"/>
          </w:tcPr>
          <w:p w14:paraId="2B554574">
            <w:pPr>
              <w:ind w:firstLine="0" w:firstLineChars="0"/>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交货期</w:t>
            </w:r>
          </w:p>
        </w:tc>
        <w:tc>
          <w:tcPr>
            <w:tcW w:w="6181" w:type="dxa"/>
            <w:vAlign w:val="center"/>
          </w:tcPr>
          <w:p w14:paraId="1D351C61">
            <w:pPr>
              <w:ind w:firstLine="0" w:firstLineChars="0"/>
              <w:jc w:val="left"/>
              <w:rPr>
                <w:rFonts w:ascii="Times New Roman" w:hAnsi="Times New Roman" w:cs="Times New Roman"/>
                <w:color w:val="auto"/>
                <w:szCs w:val="21"/>
                <w:highlight w:val="none"/>
              </w:rPr>
            </w:pPr>
          </w:p>
        </w:tc>
      </w:tr>
      <w:tr w14:paraId="1BAFA38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627" w:hRule="atLeast"/>
          <w:jc w:val="center"/>
        </w:trPr>
        <w:tc>
          <w:tcPr>
            <w:tcW w:w="2856" w:type="dxa"/>
            <w:vAlign w:val="center"/>
          </w:tcPr>
          <w:p w14:paraId="2CCDF6C8">
            <w:pPr>
              <w:ind w:firstLine="0" w:firstLineChars="0"/>
              <w:jc w:val="center"/>
              <w:rPr>
                <w:rFonts w:ascii="Times New Roman" w:hAnsi="Times New Roman" w:cs="Times New Roman"/>
                <w:color w:val="auto"/>
                <w:szCs w:val="21"/>
                <w:highlight w:val="none"/>
              </w:rPr>
            </w:pPr>
            <w:r>
              <w:rPr>
                <w:rFonts w:hint="eastAsia" w:ascii="宋体" w:hAnsi="宋体" w:cs="宋体"/>
                <w:color w:val="auto"/>
                <w:szCs w:val="21"/>
                <w:highlight w:val="none"/>
              </w:rPr>
              <w:t>交付（或实施）地点</w:t>
            </w:r>
          </w:p>
        </w:tc>
        <w:tc>
          <w:tcPr>
            <w:tcW w:w="6181" w:type="dxa"/>
            <w:vAlign w:val="center"/>
          </w:tcPr>
          <w:p w14:paraId="793D7D0B">
            <w:pPr>
              <w:ind w:firstLine="0" w:firstLineChars="0"/>
              <w:jc w:val="center"/>
              <w:rPr>
                <w:rFonts w:ascii="Times New Roman" w:hAnsi="Times New Roman" w:cs="Times New Roman"/>
                <w:color w:val="auto"/>
                <w:szCs w:val="21"/>
                <w:highlight w:val="none"/>
              </w:rPr>
            </w:pPr>
          </w:p>
        </w:tc>
      </w:tr>
      <w:tr w14:paraId="3BF22D4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930" w:hRule="atLeast"/>
          <w:jc w:val="center"/>
        </w:trPr>
        <w:tc>
          <w:tcPr>
            <w:tcW w:w="2856" w:type="dxa"/>
            <w:vAlign w:val="center"/>
          </w:tcPr>
          <w:p w14:paraId="7CBF0EF9">
            <w:pPr>
              <w:ind w:firstLine="0" w:firstLineChars="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投标保证金</w:t>
            </w:r>
          </w:p>
          <w:p w14:paraId="0D0213D0">
            <w:pPr>
              <w:ind w:firstLine="0" w:firstLineChars="0"/>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w:t>
            </w:r>
            <w:r>
              <w:rPr>
                <w:rFonts w:ascii="Times New Roman" w:hAnsi="Times New Roman" w:cs="Times New Roman"/>
                <w:color w:val="auto"/>
                <w:szCs w:val="21"/>
                <w:highlight w:val="none"/>
              </w:rPr>
              <w:t>形式</w:t>
            </w:r>
            <w:r>
              <w:rPr>
                <w:rFonts w:hint="eastAsia" w:ascii="Times New Roman" w:hAnsi="Times New Roman" w:cs="Times New Roman"/>
                <w:color w:val="auto"/>
                <w:szCs w:val="21"/>
                <w:highlight w:val="none"/>
              </w:rPr>
              <w:t>及</w:t>
            </w:r>
            <w:r>
              <w:rPr>
                <w:rFonts w:ascii="Times New Roman" w:hAnsi="Times New Roman" w:cs="Times New Roman"/>
                <w:color w:val="auto"/>
                <w:szCs w:val="21"/>
                <w:highlight w:val="none"/>
              </w:rPr>
              <w:t>金额</w:t>
            </w:r>
            <w:r>
              <w:rPr>
                <w:rFonts w:hint="eastAsia" w:ascii="Times New Roman" w:hAnsi="Times New Roman" w:cs="Times New Roman"/>
                <w:color w:val="auto"/>
                <w:szCs w:val="21"/>
                <w:highlight w:val="none"/>
              </w:rPr>
              <w:t>）</w:t>
            </w:r>
          </w:p>
        </w:tc>
        <w:tc>
          <w:tcPr>
            <w:tcW w:w="6181" w:type="dxa"/>
            <w:vAlign w:val="center"/>
          </w:tcPr>
          <w:p w14:paraId="352A96F8">
            <w:pPr>
              <w:ind w:firstLine="0" w:firstLineChars="0"/>
              <w:jc w:val="center"/>
              <w:rPr>
                <w:rFonts w:ascii="Times New Roman" w:hAnsi="Times New Roman" w:cs="Times New Roman"/>
                <w:color w:val="auto"/>
                <w:szCs w:val="21"/>
                <w:highlight w:val="none"/>
              </w:rPr>
            </w:pPr>
          </w:p>
        </w:tc>
      </w:tr>
    </w:tbl>
    <w:p w14:paraId="4D0AE406">
      <w:pPr>
        <w:ind w:firstLine="422"/>
        <w:rPr>
          <w:rFonts w:ascii="Times New Roman" w:hAnsi="Times New Roman" w:cs="Times New Roman"/>
          <w:b/>
          <w:color w:val="auto"/>
          <w:szCs w:val="21"/>
          <w:highlight w:val="none"/>
        </w:rPr>
      </w:pPr>
      <w:r>
        <w:rPr>
          <w:rFonts w:ascii="Times New Roman" w:hAnsi="Times New Roman" w:cs="Times New Roman"/>
          <w:b/>
          <w:color w:val="auto"/>
          <w:szCs w:val="21"/>
          <w:highlight w:val="none"/>
        </w:rPr>
        <w:t>注：</w:t>
      </w:r>
      <w:r>
        <w:rPr>
          <w:rFonts w:hint="eastAsia" w:ascii="Times New Roman" w:hAnsi="Times New Roman" w:cs="Times New Roman"/>
          <w:b/>
          <w:color w:val="auto"/>
          <w:szCs w:val="21"/>
          <w:highlight w:val="none"/>
        </w:rPr>
        <w:t>因本项目为电子招投标项目，上述开标一览表中投标人填写的内容应与</w:t>
      </w:r>
      <w:r>
        <w:rPr>
          <w:rFonts w:hint="eastAsia" w:ascii="宋体" w:hAnsi="宋体" w:cs="宋体"/>
          <w:b/>
          <w:color w:val="auto"/>
          <w:szCs w:val="21"/>
          <w:highlight w:val="none"/>
        </w:rPr>
        <w:t>电子交易系统中开标一览表填写内容一致，如出现不一致的情况以电子交易系统中开标一览表填写内容为准。</w:t>
      </w:r>
    </w:p>
    <w:p w14:paraId="5965CE27">
      <w:pPr>
        <w:tabs>
          <w:tab w:val="left" w:pos="4860"/>
        </w:tabs>
        <w:ind w:right="1560" w:firstLine="0" w:firstLineChars="0"/>
        <w:jc w:val="left"/>
        <w:rPr>
          <w:rFonts w:ascii="Times New Roman" w:hAnsi="Times New Roman" w:cs="Times New Roman"/>
          <w:color w:val="auto"/>
          <w:szCs w:val="20"/>
          <w:highlight w:val="none"/>
        </w:rPr>
      </w:pPr>
    </w:p>
    <w:p w14:paraId="1B47BF57">
      <w:pPr>
        <w:ind w:firstLine="422"/>
        <w:rPr>
          <w:rFonts w:ascii="Times New Roman" w:hAnsi="Times New Roman" w:cs="Times New Roman"/>
          <w:b/>
          <w:bCs/>
          <w:color w:val="auto"/>
          <w:szCs w:val="21"/>
          <w:highlight w:val="none"/>
          <w:u w:val="single"/>
        </w:rPr>
      </w:pPr>
      <w:r>
        <w:rPr>
          <w:rFonts w:ascii="Times New Roman" w:hAnsi="Times New Roman" w:cs="Times New Roman"/>
          <w:b/>
          <w:bCs/>
          <w:color w:val="auto"/>
          <w:szCs w:val="21"/>
          <w:highlight w:val="none"/>
          <w:u w:val="single"/>
        </w:rPr>
        <w:br w:type="page"/>
      </w:r>
    </w:p>
    <w:p w14:paraId="17E73685">
      <w:pPr>
        <w:ind w:firstLine="0" w:firstLineChars="0"/>
        <w:jc w:val="center"/>
        <w:outlineLvl w:val="2"/>
        <w:rPr>
          <w:rFonts w:hint="eastAsia" w:ascii="宋体" w:hAnsi="宋体" w:cs="宋体"/>
          <w:color w:val="auto"/>
          <w:sz w:val="28"/>
          <w:szCs w:val="28"/>
          <w:highlight w:val="none"/>
        </w:rPr>
      </w:pPr>
      <w:r>
        <w:rPr>
          <w:rFonts w:hint="eastAsia" w:ascii="宋体" w:hAnsi="宋体" w:cs="宋体"/>
          <w:color w:val="auto"/>
          <w:sz w:val="28"/>
          <w:szCs w:val="28"/>
          <w:highlight w:val="none"/>
        </w:rPr>
        <w:t>★投标分项报价表</w:t>
      </w:r>
    </w:p>
    <w:tbl>
      <w:tblPr>
        <w:tblStyle w:val="34"/>
        <w:tblW w:w="97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536"/>
        <w:gridCol w:w="980"/>
        <w:gridCol w:w="1162"/>
        <w:gridCol w:w="1273"/>
        <w:gridCol w:w="1273"/>
        <w:gridCol w:w="695"/>
        <w:gridCol w:w="695"/>
        <w:gridCol w:w="554"/>
        <w:gridCol w:w="1277"/>
        <w:gridCol w:w="1277"/>
      </w:tblGrid>
      <w:tr w14:paraId="5D5CE0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999" w:hRule="atLeast"/>
          <w:jc w:val="center"/>
        </w:trPr>
        <w:tc>
          <w:tcPr>
            <w:tcW w:w="536" w:type="dxa"/>
            <w:shd w:val="clear" w:color="auto" w:fill="auto"/>
            <w:vAlign w:val="center"/>
          </w:tcPr>
          <w:p w14:paraId="41F55807">
            <w:pPr>
              <w:spacing w:line="240" w:lineRule="auto"/>
              <w:ind w:firstLine="0" w:firstLineChars="0"/>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980" w:type="dxa"/>
            <w:shd w:val="clear" w:color="auto" w:fill="auto"/>
            <w:vAlign w:val="center"/>
          </w:tcPr>
          <w:p w14:paraId="76453366">
            <w:pPr>
              <w:spacing w:line="240" w:lineRule="auto"/>
              <w:ind w:firstLine="0" w:firstLineChars="0"/>
              <w:jc w:val="center"/>
              <w:rPr>
                <w:rFonts w:hint="eastAsia" w:ascii="宋体" w:hAnsi="宋体" w:eastAsia="宋体" w:cs="宋体"/>
                <w:b/>
                <w:color w:val="auto"/>
                <w:szCs w:val="21"/>
                <w:highlight w:val="none"/>
                <w:lang w:eastAsia="zh-CN"/>
              </w:rPr>
            </w:pPr>
            <w:r>
              <w:rPr>
                <w:rFonts w:hint="eastAsia" w:ascii="宋体" w:hAnsi="宋体" w:cs="宋体"/>
                <w:b/>
                <w:color w:val="auto"/>
                <w:kern w:val="0"/>
                <w:szCs w:val="21"/>
                <w:highlight w:val="none"/>
                <w:lang w:eastAsia="zh-CN"/>
              </w:rPr>
              <w:t>标的名称</w:t>
            </w:r>
          </w:p>
        </w:tc>
        <w:tc>
          <w:tcPr>
            <w:tcW w:w="1162" w:type="dxa"/>
            <w:shd w:val="clear" w:color="auto" w:fill="auto"/>
            <w:vAlign w:val="center"/>
          </w:tcPr>
          <w:p w14:paraId="5EFE1E4A">
            <w:pPr>
              <w:spacing w:line="240" w:lineRule="auto"/>
              <w:ind w:firstLine="0" w:firstLineChars="0"/>
              <w:jc w:val="center"/>
              <w:rPr>
                <w:rFonts w:hint="eastAsia" w:ascii="宋体" w:hAnsi="宋体" w:cs="宋体"/>
                <w:b/>
                <w:color w:val="auto"/>
                <w:szCs w:val="21"/>
                <w:highlight w:val="none"/>
              </w:rPr>
            </w:pPr>
            <w:r>
              <w:rPr>
                <w:rFonts w:hint="eastAsia" w:ascii="宋体" w:hAnsi="宋体" w:cs="宋体"/>
                <w:b/>
                <w:color w:val="auto"/>
                <w:szCs w:val="21"/>
                <w:highlight w:val="none"/>
              </w:rPr>
              <w:t>品牌</w:t>
            </w:r>
          </w:p>
        </w:tc>
        <w:tc>
          <w:tcPr>
            <w:tcW w:w="1273" w:type="dxa"/>
            <w:shd w:val="clear" w:color="auto" w:fill="auto"/>
            <w:vAlign w:val="center"/>
          </w:tcPr>
          <w:p w14:paraId="55B33262">
            <w:pPr>
              <w:spacing w:line="240" w:lineRule="auto"/>
              <w:ind w:firstLine="0" w:firstLineChars="0"/>
              <w:jc w:val="center"/>
              <w:rPr>
                <w:rFonts w:hint="eastAsia" w:ascii="宋体" w:hAnsi="宋体" w:cs="宋体"/>
                <w:b/>
                <w:color w:val="auto"/>
                <w:szCs w:val="21"/>
                <w:highlight w:val="none"/>
              </w:rPr>
            </w:pPr>
            <w:r>
              <w:rPr>
                <w:rFonts w:hint="eastAsia" w:ascii="宋体" w:hAnsi="宋体" w:cs="宋体"/>
                <w:b/>
                <w:color w:val="auto"/>
                <w:szCs w:val="21"/>
                <w:highlight w:val="none"/>
              </w:rPr>
              <w:t>型号和规格</w:t>
            </w:r>
          </w:p>
        </w:tc>
        <w:tc>
          <w:tcPr>
            <w:tcW w:w="1273" w:type="dxa"/>
            <w:shd w:val="clear" w:color="auto" w:fill="auto"/>
            <w:vAlign w:val="center"/>
          </w:tcPr>
          <w:p w14:paraId="657FC7D9">
            <w:pPr>
              <w:spacing w:line="240" w:lineRule="auto"/>
              <w:ind w:firstLine="0" w:firstLineChars="0"/>
              <w:jc w:val="center"/>
              <w:rPr>
                <w:rFonts w:hint="eastAsia" w:ascii="宋体" w:hAnsi="宋体" w:cs="宋体"/>
                <w:b/>
                <w:color w:val="auto"/>
                <w:szCs w:val="21"/>
                <w:highlight w:val="none"/>
              </w:rPr>
            </w:pPr>
            <w:r>
              <w:rPr>
                <w:rFonts w:hint="eastAsia" w:ascii="宋体" w:hAnsi="宋体" w:cs="宋体"/>
                <w:b/>
                <w:color w:val="auto"/>
                <w:szCs w:val="21"/>
                <w:highlight w:val="none"/>
              </w:rPr>
              <w:t>制造商/生产厂商名称</w:t>
            </w:r>
          </w:p>
        </w:tc>
        <w:tc>
          <w:tcPr>
            <w:tcW w:w="695" w:type="dxa"/>
            <w:shd w:val="clear" w:color="auto" w:fill="auto"/>
            <w:vAlign w:val="center"/>
          </w:tcPr>
          <w:p w14:paraId="0D4B8D55">
            <w:pPr>
              <w:spacing w:line="240" w:lineRule="auto"/>
              <w:ind w:firstLine="0" w:firstLineChars="0"/>
              <w:jc w:val="center"/>
              <w:rPr>
                <w:rFonts w:hint="eastAsia" w:ascii="宋体" w:hAnsi="宋体" w:cs="宋体"/>
                <w:b/>
                <w:color w:val="auto"/>
                <w:szCs w:val="21"/>
                <w:highlight w:val="none"/>
              </w:rPr>
            </w:pPr>
            <w:r>
              <w:rPr>
                <w:rFonts w:hint="eastAsia" w:ascii="宋体" w:hAnsi="宋体" w:cs="宋体"/>
                <w:b/>
                <w:color w:val="auto"/>
                <w:szCs w:val="21"/>
                <w:highlight w:val="none"/>
              </w:rPr>
              <w:t>产地</w:t>
            </w:r>
          </w:p>
        </w:tc>
        <w:tc>
          <w:tcPr>
            <w:tcW w:w="695" w:type="dxa"/>
            <w:shd w:val="clear" w:color="auto" w:fill="auto"/>
            <w:vAlign w:val="center"/>
          </w:tcPr>
          <w:p w14:paraId="43F63B3D">
            <w:pPr>
              <w:spacing w:line="240" w:lineRule="auto"/>
              <w:ind w:firstLine="0" w:firstLineChars="0"/>
              <w:jc w:val="center"/>
              <w:rPr>
                <w:rFonts w:hint="eastAsia" w:ascii="宋体" w:hAnsi="宋体" w:cs="宋体"/>
                <w:b/>
                <w:color w:val="auto"/>
                <w:szCs w:val="21"/>
                <w:highlight w:val="none"/>
              </w:rPr>
            </w:pPr>
            <w:r>
              <w:rPr>
                <w:rFonts w:hint="eastAsia" w:ascii="宋体" w:hAnsi="宋体" w:cs="宋体"/>
                <w:b/>
                <w:color w:val="auto"/>
                <w:szCs w:val="21"/>
                <w:highlight w:val="none"/>
              </w:rPr>
              <w:t>计量单位</w:t>
            </w:r>
          </w:p>
        </w:tc>
        <w:tc>
          <w:tcPr>
            <w:tcW w:w="554" w:type="dxa"/>
            <w:shd w:val="clear" w:color="auto" w:fill="auto"/>
            <w:vAlign w:val="center"/>
          </w:tcPr>
          <w:p w14:paraId="23377ED1">
            <w:pPr>
              <w:spacing w:line="240" w:lineRule="auto"/>
              <w:ind w:firstLine="0" w:firstLineChars="0"/>
              <w:jc w:val="center"/>
              <w:rPr>
                <w:rFonts w:hint="eastAsia" w:ascii="宋体" w:hAnsi="宋体" w:cs="宋体"/>
                <w:b/>
                <w:color w:val="auto"/>
                <w:szCs w:val="21"/>
                <w:highlight w:val="none"/>
              </w:rPr>
            </w:pPr>
            <w:r>
              <w:rPr>
                <w:rFonts w:hint="eastAsia" w:ascii="宋体" w:hAnsi="宋体" w:cs="宋体"/>
                <w:b/>
                <w:color w:val="auto"/>
                <w:szCs w:val="21"/>
                <w:highlight w:val="none"/>
              </w:rPr>
              <w:t>数量</w:t>
            </w:r>
          </w:p>
        </w:tc>
        <w:tc>
          <w:tcPr>
            <w:tcW w:w="1277" w:type="dxa"/>
            <w:shd w:val="clear" w:color="auto" w:fill="auto"/>
            <w:vAlign w:val="center"/>
          </w:tcPr>
          <w:p w14:paraId="44DFBD3F">
            <w:pPr>
              <w:spacing w:line="240" w:lineRule="auto"/>
              <w:ind w:firstLine="0" w:firstLineChars="0"/>
              <w:jc w:val="center"/>
              <w:rPr>
                <w:rFonts w:hint="eastAsia" w:ascii="宋体" w:hAnsi="宋体" w:cs="宋体"/>
                <w:b/>
                <w:color w:val="auto"/>
                <w:szCs w:val="21"/>
                <w:highlight w:val="none"/>
              </w:rPr>
            </w:pPr>
            <w:r>
              <w:rPr>
                <w:rFonts w:hint="eastAsia" w:ascii="宋体" w:hAnsi="宋体" w:cs="宋体"/>
                <w:b/>
                <w:color w:val="auto"/>
                <w:szCs w:val="21"/>
                <w:highlight w:val="none"/>
              </w:rPr>
              <w:t>单价</w:t>
            </w:r>
          </w:p>
          <w:p w14:paraId="65614C6C">
            <w:pPr>
              <w:spacing w:line="240" w:lineRule="auto"/>
              <w:ind w:firstLine="0" w:firstLineChars="0"/>
              <w:jc w:val="center"/>
              <w:rPr>
                <w:rFonts w:hint="eastAsia" w:ascii="宋体" w:hAnsi="宋体" w:cs="宋体"/>
                <w:b/>
                <w:color w:val="auto"/>
                <w:szCs w:val="21"/>
                <w:highlight w:val="none"/>
              </w:rPr>
            </w:pPr>
            <w:r>
              <w:rPr>
                <w:rFonts w:hint="eastAsia" w:ascii="宋体" w:hAnsi="宋体" w:cs="宋体"/>
                <w:b/>
                <w:color w:val="auto"/>
                <w:szCs w:val="21"/>
                <w:highlight w:val="none"/>
              </w:rPr>
              <w:t>（元）</w:t>
            </w:r>
          </w:p>
        </w:tc>
        <w:tc>
          <w:tcPr>
            <w:tcW w:w="1277" w:type="dxa"/>
            <w:shd w:val="clear" w:color="auto" w:fill="auto"/>
            <w:vAlign w:val="center"/>
          </w:tcPr>
          <w:p w14:paraId="2F69600B">
            <w:pPr>
              <w:spacing w:line="240" w:lineRule="auto"/>
              <w:ind w:firstLine="0" w:firstLineChars="0"/>
              <w:jc w:val="center"/>
              <w:rPr>
                <w:rFonts w:hint="eastAsia" w:ascii="宋体" w:hAnsi="宋体" w:cs="宋体"/>
                <w:b/>
                <w:color w:val="auto"/>
                <w:szCs w:val="21"/>
                <w:highlight w:val="none"/>
              </w:rPr>
            </w:pPr>
            <w:r>
              <w:rPr>
                <w:rFonts w:hint="eastAsia" w:ascii="宋体" w:hAnsi="宋体" w:cs="宋体"/>
                <w:b/>
                <w:color w:val="auto"/>
                <w:szCs w:val="21"/>
                <w:highlight w:val="none"/>
              </w:rPr>
              <w:t>合价（元）</w:t>
            </w:r>
          </w:p>
        </w:tc>
      </w:tr>
      <w:tr w14:paraId="2BBBEB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611" w:hRule="atLeast"/>
          <w:jc w:val="center"/>
        </w:trPr>
        <w:tc>
          <w:tcPr>
            <w:tcW w:w="536" w:type="dxa"/>
            <w:shd w:val="clear" w:color="auto" w:fill="auto"/>
            <w:vAlign w:val="center"/>
          </w:tcPr>
          <w:p w14:paraId="74E9D210">
            <w:pPr>
              <w:widowControl/>
              <w:spacing w:line="240" w:lineRule="auto"/>
              <w:ind w:firstLine="0" w:firstLineChars="0"/>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w:t>
            </w:r>
          </w:p>
        </w:tc>
        <w:tc>
          <w:tcPr>
            <w:tcW w:w="980" w:type="dxa"/>
            <w:shd w:val="clear" w:color="auto" w:fill="auto"/>
            <w:vAlign w:val="center"/>
          </w:tcPr>
          <w:p w14:paraId="0680CA31">
            <w:pPr>
              <w:widowControl/>
              <w:spacing w:line="240" w:lineRule="auto"/>
              <w:ind w:firstLine="0" w:firstLineChars="0"/>
              <w:jc w:val="center"/>
              <w:rPr>
                <w:rFonts w:hint="eastAsia" w:ascii="宋体" w:hAnsi="宋体" w:cs="宋体"/>
                <w:color w:val="auto"/>
                <w:szCs w:val="21"/>
                <w:highlight w:val="none"/>
              </w:rPr>
            </w:pPr>
          </w:p>
        </w:tc>
        <w:tc>
          <w:tcPr>
            <w:tcW w:w="1162" w:type="dxa"/>
            <w:shd w:val="clear" w:color="auto" w:fill="auto"/>
            <w:vAlign w:val="center"/>
          </w:tcPr>
          <w:p w14:paraId="28DD60DD">
            <w:pPr>
              <w:spacing w:line="240" w:lineRule="auto"/>
              <w:ind w:firstLine="0" w:firstLineChars="0"/>
              <w:jc w:val="center"/>
              <w:rPr>
                <w:rFonts w:hint="eastAsia" w:ascii="宋体" w:hAnsi="宋体" w:cs="宋体"/>
                <w:color w:val="auto"/>
                <w:szCs w:val="21"/>
                <w:highlight w:val="none"/>
              </w:rPr>
            </w:pPr>
          </w:p>
        </w:tc>
        <w:tc>
          <w:tcPr>
            <w:tcW w:w="1273" w:type="dxa"/>
            <w:shd w:val="clear" w:color="auto" w:fill="auto"/>
            <w:vAlign w:val="center"/>
          </w:tcPr>
          <w:p w14:paraId="5497A6DD">
            <w:pPr>
              <w:spacing w:line="240" w:lineRule="auto"/>
              <w:ind w:firstLine="0" w:firstLineChars="0"/>
              <w:jc w:val="center"/>
              <w:rPr>
                <w:rFonts w:hint="eastAsia" w:ascii="宋体" w:hAnsi="宋体" w:cs="宋体"/>
                <w:color w:val="auto"/>
                <w:szCs w:val="21"/>
                <w:highlight w:val="none"/>
              </w:rPr>
            </w:pPr>
          </w:p>
        </w:tc>
        <w:tc>
          <w:tcPr>
            <w:tcW w:w="1273" w:type="dxa"/>
            <w:shd w:val="clear" w:color="auto" w:fill="auto"/>
            <w:vAlign w:val="center"/>
          </w:tcPr>
          <w:p w14:paraId="5BC1D38F">
            <w:pPr>
              <w:spacing w:line="240" w:lineRule="auto"/>
              <w:ind w:firstLine="0" w:firstLineChars="0"/>
              <w:jc w:val="center"/>
              <w:rPr>
                <w:rFonts w:hint="eastAsia" w:ascii="宋体" w:hAnsi="宋体" w:cs="宋体"/>
                <w:color w:val="auto"/>
                <w:szCs w:val="21"/>
                <w:highlight w:val="none"/>
              </w:rPr>
            </w:pPr>
          </w:p>
        </w:tc>
        <w:tc>
          <w:tcPr>
            <w:tcW w:w="695" w:type="dxa"/>
            <w:shd w:val="clear" w:color="auto" w:fill="auto"/>
            <w:vAlign w:val="center"/>
          </w:tcPr>
          <w:p w14:paraId="35696F2A">
            <w:pPr>
              <w:spacing w:line="240" w:lineRule="auto"/>
              <w:ind w:firstLine="0" w:firstLineChars="0"/>
              <w:jc w:val="center"/>
              <w:rPr>
                <w:rFonts w:hint="eastAsia" w:ascii="宋体" w:hAnsi="宋体" w:cs="宋体"/>
                <w:color w:val="auto"/>
                <w:szCs w:val="21"/>
                <w:highlight w:val="none"/>
              </w:rPr>
            </w:pPr>
          </w:p>
        </w:tc>
        <w:tc>
          <w:tcPr>
            <w:tcW w:w="695" w:type="dxa"/>
            <w:shd w:val="clear" w:color="auto" w:fill="auto"/>
            <w:vAlign w:val="center"/>
          </w:tcPr>
          <w:p w14:paraId="590092A9">
            <w:pPr>
              <w:widowControl/>
              <w:spacing w:line="240" w:lineRule="auto"/>
              <w:ind w:firstLine="0" w:firstLineChars="0"/>
              <w:jc w:val="center"/>
              <w:rPr>
                <w:rFonts w:hint="eastAsia" w:ascii="宋体" w:hAnsi="宋体" w:cs="宋体"/>
                <w:color w:val="auto"/>
                <w:kern w:val="0"/>
                <w:szCs w:val="21"/>
                <w:highlight w:val="none"/>
              </w:rPr>
            </w:pPr>
          </w:p>
        </w:tc>
        <w:tc>
          <w:tcPr>
            <w:tcW w:w="554" w:type="dxa"/>
            <w:shd w:val="clear" w:color="auto" w:fill="auto"/>
            <w:vAlign w:val="center"/>
          </w:tcPr>
          <w:p w14:paraId="29BB1169">
            <w:pPr>
              <w:spacing w:line="240" w:lineRule="auto"/>
              <w:ind w:firstLine="0" w:firstLineChars="0"/>
              <w:jc w:val="center"/>
              <w:rPr>
                <w:rFonts w:hint="eastAsia" w:ascii="宋体" w:hAnsi="宋体" w:cs="宋体"/>
                <w:color w:val="auto"/>
                <w:spacing w:val="-6"/>
                <w:szCs w:val="21"/>
                <w:highlight w:val="none"/>
              </w:rPr>
            </w:pPr>
          </w:p>
        </w:tc>
        <w:tc>
          <w:tcPr>
            <w:tcW w:w="1277" w:type="dxa"/>
            <w:shd w:val="clear" w:color="auto" w:fill="auto"/>
            <w:vAlign w:val="center"/>
          </w:tcPr>
          <w:p w14:paraId="4563977A">
            <w:pPr>
              <w:spacing w:line="240" w:lineRule="auto"/>
              <w:ind w:firstLine="0" w:firstLineChars="0"/>
              <w:jc w:val="center"/>
              <w:rPr>
                <w:rFonts w:hint="eastAsia" w:ascii="宋体" w:hAnsi="宋体" w:cs="宋体"/>
                <w:color w:val="auto"/>
                <w:spacing w:val="-6"/>
                <w:szCs w:val="21"/>
                <w:highlight w:val="none"/>
              </w:rPr>
            </w:pPr>
          </w:p>
        </w:tc>
        <w:tc>
          <w:tcPr>
            <w:tcW w:w="1277" w:type="dxa"/>
            <w:shd w:val="clear" w:color="auto" w:fill="auto"/>
            <w:vAlign w:val="center"/>
          </w:tcPr>
          <w:p w14:paraId="2D64A052">
            <w:pPr>
              <w:spacing w:line="240" w:lineRule="auto"/>
              <w:ind w:firstLine="0" w:firstLineChars="0"/>
              <w:jc w:val="center"/>
              <w:rPr>
                <w:rFonts w:hint="eastAsia" w:ascii="宋体" w:hAnsi="宋体" w:cs="宋体"/>
                <w:color w:val="auto"/>
                <w:spacing w:val="-6"/>
                <w:szCs w:val="21"/>
                <w:highlight w:val="none"/>
              </w:rPr>
            </w:pPr>
          </w:p>
        </w:tc>
      </w:tr>
      <w:tr w14:paraId="04F83B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608" w:hRule="atLeast"/>
          <w:jc w:val="center"/>
        </w:trPr>
        <w:tc>
          <w:tcPr>
            <w:tcW w:w="536" w:type="dxa"/>
            <w:shd w:val="clear" w:color="auto" w:fill="auto"/>
            <w:vAlign w:val="center"/>
          </w:tcPr>
          <w:p w14:paraId="366EA49E">
            <w:pPr>
              <w:widowControl/>
              <w:spacing w:line="240" w:lineRule="auto"/>
              <w:ind w:firstLine="0" w:firstLineChars="0"/>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980" w:type="dxa"/>
            <w:shd w:val="clear" w:color="auto" w:fill="auto"/>
            <w:vAlign w:val="center"/>
          </w:tcPr>
          <w:p w14:paraId="50586137">
            <w:pPr>
              <w:widowControl/>
              <w:spacing w:line="240" w:lineRule="auto"/>
              <w:ind w:firstLine="0" w:firstLineChars="0"/>
              <w:jc w:val="center"/>
              <w:rPr>
                <w:rFonts w:hint="eastAsia" w:ascii="宋体" w:hAnsi="宋体" w:cs="宋体"/>
                <w:color w:val="auto"/>
                <w:szCs w:val="21"/>
                <w:highlight w:val="none"/>
              </w:rPr>
            </w:pPr>
          </w:p>
        </w:tc>
        <w:tc>
          <w:tcPr>
            <w:tcW w:w="1162" w:type="dxa"/>
            <w:shd w:val="clear" w:color="auto" w:fill="auto"/>
            <w:vAlign w:val="center"/>
          </w:tcPr>
          <w:p w14:paraId="184387AE">
            <w:pPr>
              <w:spacing w:line="240" w:lineRule="auto"/>
              <w:ind w:firstLine="0" w:firstLineChars="0"/>
              <w:jc w:val="center"/>
              <w:rPr>
                <w:rFonts w:hint="eastAsia" w:ascii="宋体" w:hAnsi="宋体" w:cs="宋体"/>
                <w:color w:val="auto"/>
                <w:szCs w:val="21"/>
                <w:highlight w:val="none"/>
              </w:rPr>
            </w:pPr>
          </w:p>
        </w:tc>
        <w:tc>
          <w:tcPr>
            <w:tcW w:w="1273" w:type="dxa"/>
            <w:shd w:val="clear" w:color="auto" w:fill="auto"/>
            <w:vAlign w:val="center"/>
          </w:tcPr>
          <w:p w14:paraId="7E499322">
            <w:pPr>
              <w:spacing w:line="240" w:lineRule="auto"/>
              <w:ind w:firstLine="0" w:firstLineChars="0"/>
              <w:jc w:val="center"/>
              <w:rPr>
                <w:rFonts w:hint="eastAsia" w:ascii="宋体" w:hAnsi="宋体" w:cs="宋体"/>
                <w:color w:val="auto"/>
                <w:szCs w:val="21"/>
                <w:highlight w:val="none"/>
              </w:rPr>
            </w:pPr>
          </w:p>
        </w:tc>
        <w:tc>
          <w:tcPr>
            <w:tcW w:w="1273" w:type="dxa"/>
            <w:shd w:val="clear" w:color="auto" w:fill="auto"/>
            <w:vAlign w:val="center"/>
          </w:tcPr>
          <w:p w14:paraId="5D9B1639">
            <w:pPr>
              <w:spacing w:line="240" w:lineRule="auto"/>
              <w:ind w:firstLine="0" w:firstLineChars="0"/>
              <w:jc w:val="center"/>
              <w:rPr>
                <w:rFonts w:hint="eastAsia" w:ascii="宋体" w:hAnsi="宋体" w:cs="宋体"/>
                <w:color w:val="auto"/>
                <w:szCs w:val="21"/>
                <w:highlight w:val="none"/>
              </w:rPr>
            </w:pPr>
          </w:p>
        </w:tc>
        <w:tc>
          <w:tcPr>
            <w:tcW w:w="695" w:type="dxa"/>
            <w:shd w:val="clear" w:color="auto" w:fill="auto"/>
            <w:vAlign w:val="center"/>
          </w:tcPr>
          <w:p w14:paraId="2E5E8F6F">
            <w:pPr>
              <w:spacing w:line="240" w:lineRule="auto"/>
              <w:ind w:firstLine="0" w:firstLineChars="0"/>
              <w:jc w:val="center"/>
              <w:rPr>
                <w:rFonts w:hint="eastAsia" w:ascii="宋体" w:hAnsi="宋体" w:cs="宋体"/>
                <w:color w:val="auto"/>
                <w:szCs w:val="21"/>
                <w:highlight w:val="none"/>
              </w:rPr>
            </w:pPr>
          </w:p>
        </w:tc>
        <w:tc>
          <w:tcPr>
            <w:tcW w:w="695" w:type="dxa"/>
            <w:shd w:val="clear" w:color="auto" w:fill="auto"/>
            <w:vAlign w:val="center"/>
          </w:tcPr>
          <w:p w14:paraId="62A5C39E">
            <w:pPr>
              <w:widowControl/>
              <w:spacing w:line="240" w:lineRule="auto"/>
              <w:ind w:firstLine="0" w:firstLineChars="0"/>
              <w:jc w:val="center"/>
              <w:rPr>
                <w:rFonts w:hint="eastAsia" w:ascii="宋体" w:hAnsi="宋体" w:cs="宋体"/>
                <w:color w:val="auto"/>
                <w:kern w:val="0"/>
                <w:szCs w:val="21"/>
                <w:highlight w:val="none"/>
              </w:rPr>
            </w:pPr>
          </w:p>
        </w:tc>
        <w:tc>
          <w:tcPr>
            <w:tcW w:w="554" w:type="dxa"/>
            <w:shd w:val="clear" w:color="auto" w:fill="auto"/>
            <w:vAlign w:val="center"/>
          </w:tcPr>
          <w:p w14:paraId="008E5B01">
            <w:pPr>
              <w:spacing w:line="240" w:lineRule="auto"/>
              <w:ind w:firstLine="0" w:firstLineChars="0"/>
              <w:jc w:val="center"/>
              <w:rPr>
                <w:rFonts w:hint="eastAsia" w:ascii="宋体" w:hAnsi="宋体" w:cs="宋体"/>
                <w:color w:val="auto"/>
                <w:spacing w:val="-6"/>
                <w:szCs w:val="21"/>
                <w:highlight w:val="none"/>
              </w:rPr>
            </w:pPr>
          </w:p>
        </w:tc>
        <w:tc>
          <w:tcPr>
            <w:tcW w:w="1277" w:type="dxa"/>
            <w:shd w:val="clear" w:color="auto" w:fill="auto"/>
            <w:vAlign w:val="center"/>
          </w:tcPr>
          <w:p w14:paraId="74409C5F">
            <w:pPr>
              <w:spacing w:line="240" w:lineRule="auto"/>
              <w:ind w:firstLine="0" w:firstLineChars="0"/>
              <w:jc w:val="center"/>
              <w:rPr>
                <w:rFonts w:hint="eastAsia" w:ascii="宋体" w:hAnsi="宋体" w:cs="宋体"/>
                <w:color w:val="auto"/>
                <w:spacing w:val="-6"/>
                <w:szCs w:val="21"/>
                <w:highlight w:val="none"/>
              </w:rPr>
            </w:pPr>
          </w:p>
        </w:tc>
        <w:tc>
          <w:tcPr>
            <w:tcW w:w="1277" w:type="dxa"/>
            <w:shd w:val="clear" w:color="auto" w:fill="auto"/>
            <w:vAlign w:val="center"/>
          </w:tcPr>
          <w:p w14:paraId="3B743301">
            <w:pPr>
              <w:spacing w:line="240" w:lineRule="auto"/>
              <w:ind w:firstLine="0" w:firstLineChars="0"/>
              <w:jc w:val="center"/>
              <w:rPr>
                <w:rFonts w:hint="eastAsia" w:ascii="宋体" w:hAnsi="宋体" w:cs="宋体"/>
                <w:color w:val="auto"/>
                <w:spacing w:val="-6"/>
                <w:szCs w:val="21"/>
                <w:highlight w:val="none"/>
              </w:rPr>
            </w:pPr>
          </w:p>
        </w:tc>
      </w:tr>
      <w:tr w14:paraId="1C7066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1" w:hRule="atLeast"/>
          <w:jc w:val="center"/>
        </w:trPr>
        <w:tc>
          <w:tcPr>
            <w:tcW w:w="536" w:type="dxa"/>
            <w:shd w:val="clear" w:color="auto" w:fill="auto"/>
            <w:vAlign w:val="center"/>
          </w:tcPr>
          <w:p w14:paraId="0894015E">
            <w:pPr>
              <w:widowControl/>
              <w:spacing w:line="240" w:lineRule="auto"/>
              <w:ind w:firstLine="0" w:firstLineChars="0"/>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980" w:type="dxa"/>
            <w:shd w:val="clear" w:color="auto" w:fill="auto"/>
            <w:vAlign w:val="center"/>
          </w:tcPr>
          <w:p w14:paraId="39403541">
            <w:pPr>
              <w:widowControl/>
              <w:spacing w:line="240" w:lineRule="auto"/>
              <w:ind w:firstLine="0" w:firstLineChars="0"/>
              <w:jc w:val="center"/>
              <w:rPr>
                <w:rFonts w:hint="eastAsia" w:ascii="宋体" w:hAnsi="宋体" w:cs="宋体"/>
                <w:color w:val="auto"/>
                <w:szCs w:val="21"/>
                <w:highlight w:val="none"/>
              </w:rPr>
            </w:pPr>
          </w:p>
        </w:tc>
        <w:tc>
          <w:tcPr>
            <w:tcW w:w="1162" w:type="dxa"/>
            <w:shd w:val="clear" w:color="auto" w:fill="auto"/>
            <w:vAlign w:val="center"/>
          </w:tcPr>
          <w:p w14:paraId="603EE42D">
            <w:pPr>
              <w:spacing w:line="240" w:lineRule="auto"/>
              <w:ind w:firstLine="0" w:firstLineChars="0"/>
              <w:jc w:val="center"/>
              <w:rPr>
                <w:rFonts w:hint="eastAsia" w:ascii="宋体" w:hAnsi="宋体" w:cs="宋体"/>
                <w:color w:val="auto"/>
                <w:szCs w:val="21"/>
                <w:highlight w:val="none"/>
              </w:rPr>
            </w:pPr>
          </w:p>
        </w:tc>
        <w:tc>
          <w:tcPr>
            <w:tcW w:w="1273" w:type="dxa"/>
            <w:shd w:val="clear" w:color="auto" w:fill="auto"/>
            <w:vAlign w:val="center"/>
          </w:tcPr>
          <w:p w14:paraId="0B88A9BD">
            <w:pPr>
              <w:spacing w:line="240" w:lineRule="auto"/>
              <w:ind w:firstLine="0" w:firstLineChars="0"/>
              <w:jc w:val="center"/>
              <w:rPr>
                <w:rFonts w:hint="eastAsia" w:ascii="宋体" w:hAnsi="宋体" w:cs="宋体"/>
                <w:color w:val="auto"/>
                <w:szCs w:val="21"/>
                <w:highlight w:val="none"/>
              </w:rPr>
            </w:pPr>
          </w:p>
        </w:tc>
        <w:tc>
          <w:tcPr>
            <w:tcW w:w="1273" w:type="dxa"/>
            <w:shd w:val="clear" w:color="auto" w:fill="auto"/>
            <w:vAlign w:val="center"/>
          </w:tcPr>
          <w:p w14:paraId="283671A2">
            <w:pPr>
              <w:spacing w:line="240" w:lineRule="auto"/>
              <w:ind w:firstLine="0" w:firstLineChars="0"/>
              <w:jc w:val="center"/>
              <w:rPr>
                <w:rFonts w:hint="eastAsia" w:ascii="宋体" w:hAnsi="宋体" w:cs="宋体"/>
                <w:color w:val="auto"/>
                <w:szCs w:val="21"/>
                <w:highlight w:val="none"/>
              </w:rPr>
            </w:pPr>
          </w:p>
        </w:tc>
        <w:tc>
          <w:tcPr>
            <w:tcW w:w="695" w:type="dxa"/>
            <w:shd w:val="clear" w:color="auto" w:fill="auto"/>
            <w:vAlign w:val="center"/>
          </w:tcPr>
          <w:p w14:paraId="006D283B">
            <w:pPr>
              <w:spacing w:line="240" w:lineRule="auto"/>
              <w:ind w:firstLine="0" w:firstLineChars="0"/>
              <w:jc w:val="center"/>
              <w:rPr>
                <w:rFonts w:hint="eastAsia" w:ascii="宋体" w:hAnsi="宋体" w:cs="宋体"/>
                <w:color w:val="auto"/>
                <w:szCs w:val="21"/>
                <w:highlight w:val="none"/>
              </w:rPr>
            </w:pPr>
          </w:p>
        </w:tc>
        <w:tc>
          <w:tcPr>
            <w:tcW w:w="695" w:type="dxa"/>
            <w:shd w:val="clear" w:color="auto" w:fill="auto"/>
            <w:vAlign w:val="center"/>
          </w:tcPr>
          <w:p w14:paraId="1AA851B5">
            <w:pPr>
              <w:widowControl/>
              <w:spacing w:line="240" w:lineRule="auto"/>
              <w:ind w:firstLine="0" w:firstLineChars="0"/>
              <w:jc w:val="center"/>
              <w:rPr>
                <w:rFonts w:hint="eastAsia" w:ascii="宋体" w:hAnsi="宋体" w:cs="宋体"/>
                <w:color w:val="auto"/>
                <w:kern w:val="0"/>
                <w:szCs w:val="21"/>
                <w:highlight w:val="none"/>
              </w:rPr>
            </w:pPr>
          </w:p>
        </w:tc>
        <w:tc>
          <w:tcPr>
            <w:tcW w:w="554" w:type="dxa"/>
            <w:shd w:val="clear" w:color="auto" w:fill="auto"/>
            <w:vAlign w:val="center"/>
          </w:tcPr>
          <w:p w14:paraId="6E6ECE34">
            <w:pPr>
              <w:spacing w:line="240" w:lineRule="auto"/>
              <w:ind w:firstLine="0" w:firstLineChars="0"/>
              <w:jc w:val="center"/>
              <w:rPr>
                <w:rFonts w:hint="eastAsia" w:ascii="宋体" w:hAnsi="宋体" w:cs="宋体"/>
                <w:color w:val="auto"/>
                <w:spacing w:val="-6"/>
                <w:szCs w:val="21"/>
                <w:highlight w:val="none"/>
              </w:rPr>
            </w:pPr>
          </w:p>
        </w:tc>
        <w:tc>
          <w:tcPr>
            <w:tcW w:w="1277" w:type="dxa"/>
            <w:shd w:val="clear" w:color="auto" w:fill="auto"/>
            <w:vAlign w:val="center"/>
          </w:tcPr>
          <w:p w14:paraId="2FA26CB4">
            <w:pPr>
              <w:spacing w:line="240" w:lineRule="auto"/>
              <w:ind w:firstLine="0" w:firstLineChars="0"/>
              <w:jc w:val="center"/>
              <w:rPr>
                <w:rFonts w:hint="eastAsia" w:ascii="宋体" w:hAnsi="宋体" w:cs="宋体"/>
                <w:color w:val="auto"/>
                <w:spacing w:val="-6"/>
                <w:szCs w:val="21"/>
                <w:highlight w:val="none"/>
              </w:rPr>
            </w:pPr>
          </w:p>
        </w:tc>
        <w:tc>
          <w:tcPr>
            <w:tcW w:w="1277" w:type="dxa"/>
            <w:shd w:val="clear" w:color="auto" w:fill="auto"/>
            <w:vAlign w:val="center"/>
          </w:tcPr>
          <w:p w14:paraId="6C538C18">
            <w:pPr>
              <w:spacing w:line="240" w:lineRule="auto"/>
              <w:ind w:firstLine="0" w:firstLineChars="0"/>
              <w:jc w:val="center"/>
              <w:rPr>
                <w:rFonts w:hint="eastAsia" w:ascii="宋体" w:hAnsi="宋体" w:cs="宋体"/>
                <w:color w:val="auto"/>
                <w:spacing w:val="-6"/>
                <w:szCs w:val="21"/>
                <w:highlight w:val="none"/>
              </w:rPr>
            </w:pPr>
          </w:p>
        </w:tc>
      </w:tr>
      <w:tr w14:paraId="6AF50F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611" w:hRule="atLeast"/>
          <w:jc w:val="center"/>
        </w:trPr>
        <w:tc>
          <w:tcPr>
            <w:tcW w:w="536" w:type="dxa"/>
            <w:shd w:val="clear" w:color="auto" w:fill="auto"/>
            <w:vAlign w:val="center"/>
          </w:tcPr>
          <w:p w14:paraId="16D301A4">
            <w:pPr>
              <w:widowControl/>
              <w:spacing w:line="240" w:lineRule="auto"/>
              <w:ind w:firstLine="0" w:firstLineChars="0"/>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980" w:type="dxa"/>
            <w:shd w:val="clear" w:color="auto" w:fill="auto"/>
            <w:vAlign w:val="center"/>
          </w:tcPr>
          <w:p w14:paraId="6DACAF42">
            <w:pPr>
              <w:widowControl/>
              <w:spacing w:line="240" w:lineRule="auto"/>
              <w:ind w:firstLine="0" w:firstLineChars="0"/>
              <w:jc w:val="center"/>
              <w:rPr>
                <w:rFonts w:hint="eastAsia" w:ascii="宋体" w:hAnsi="宋体" w:cs="宋体"/>
                <w:color w:val="auto"/>
                <w:szCs w:val="21"/>
                <w:highlight w:val="none"/>
              </w:rPr>
            </w:pPr>
          </w:p>
        </w:tc>
        <w:tc>
          <w:tcPr>
            <w:tcW w:w="1162" w:type="dxa"/>
            <w:shd w:val="clear" w:color="auto" w:fill="auto"/>
            <w:vAlign w:val="center"/>
          </w:tcPr>
          <w:p w14:paraId="34E820BD">
            <w:pPr>
              <w:spacing w:line="240" w:lineRule="auto"/>
              <w:ind w:firstLine="0" w:firstLineChars="0"/>
              <w:jc w:val="center"/>
              <w:rPr>
                <w:rFonts w:hint="eastAsia" w:ascii="宋体" w:hAnsi="宋体" w:cs="宋体"/>
                <w:color w:val="auto"/>
                <w:szCs w:val="21"/>
                <w:highlight w:val="none"/>
              </w:rPr>
            </w:pPr>
          </w:p>
        </w:tc>
        <w:tc>
          <w:tcPr>
            <w:tcW w:w="1273" w:type="dxa"/>
            <w:shd w:val="clear" w:color="auto" w:fill="auto"/>
            <w:vAlign w:val="center"/>
          </w:tcPr>
          <w:p w14:paraId="6851D97B">
            <w:pPr>
              <w:spacing w:line="240" w:lineRule="auto"/>
              <w:ind w:firstLine="0" w:firstLineChars="0"/>
              <w:jc w:val="center"/>
              <w:rPr>
                <w:rFonts w:hint="eastAsia" w:ascii="宋体" w:hAnsi="宋体" w:cs="宋体"/>
                <w:color w:val="auto"/>
                <w:szCs w:val="21"/>
                <w:highlight w:val="none"/>
              </w:rPr>
            </w:pPr>
          </w:p>
        </w:tc>
        <w:tc>
          <w:tcPr>
            <w:tcW w:w="1273" w:type="dxa"/>
            <w:shd w:val="clear" w:color="auto" w:fill="auto"/>
            <w:vAlign w:val="center"/>
          </w:tcPr>
          <w:p w14:paraId="2E4C24E5">
            <w:pPr>
              <w:spacing w:line="240" w:lineRule="auto"/>
              <w:ind w:firstLine="0" w:firstLineChars="0"/>
              <w:jc w:val="center"/>
              <w:rPr>
                <w:rFonts w:hint="eastAsia" w:ascii="宋体" w:hAnsi="宋体" w:cs="宋体"/>
                <w:color w:val="auto"/>
                <w:szCs w:val="21"/>
                <w:highlight w:val="none"/>
              </w:rPr>
            </w:pPr>
          </w:p>
        </w:tc>
        <w:tc>
          <w:tcPr>
            <w:tcW w:w="695" w:type="dxa"/>
            <w:shd w:val="clear" w:color="auto" w:fill="auto"/>
            <w:vAlign w:val="center"/>
          </w:tcPr>
          <w:p w14:paraId="4EE503B0">
            <w:pPr>
              <w:spacing w:line="240" w:lineRule="auto"/>
              <w:ind w:firstLine="0" w:firstLineChars="0"/>
              <w:jc w:val="center"/>
              <w:rPr>
                <w:rFonts w:hint="eastAsia" w:ascii="宋体" w:hAnsi="宋体" w:cs="宋体"/>
                <w:color w:val="auto"/>
                <w:szCs w:val="21"/>
                <w:highlight w:val="none"/>
              </w:rPr>
            </w:pPr>
          </w:p>
        </w:tc>
        <w:tc>
          <w:tcPr>
            <w:tcW w:w="695" w:type="dxa"/>
            <w:shd w:val="clear" w:color="auto" w:fill="auto"/>
            <w:vAlign w:val="center"/>
          </w:tcPr>
          <w:p w14:paraId="522FF45C">
            <w:pPr>
              <w:widowControl/>
              <w:spacing w:line="240" w:lineRule="auto"/>
              <w:ind w:firstLine="0" w:firstLineChars="0"/>
              <w:jc w:val="center"/>
              <w:rPr>
                <w:rFonts w:hint="eastAsia" w:ascii="宋体" w:hAnsi="宋体" w:cs="宋体"/>
                <w:color w:val="auto"/>
                <w:kern w:val="0"/>
                <w:szCs w:val="21"/>
                <w:highlight w:val="none"/>
              </w:rPr>
            </w:pPr>
          </w:p>
        </w:tc>
        <w:tc>
          <w:tcPr>
            <w:tcW w:w="554" w:type="dxa"/>
            <w:shd w:val="clear" w:color="auto" w:fill="auto"/>
            <w:vAlign w:val="center"/>
          </w:tcPr>
          <w:p w14:paraId="2172BA20">
            <w:pPr>
              <w:spacing w:line="240" w:lineRule="auto"/>
              <w:ind w:firstLine="0" w:firstLineChars="0"/>
              <w:jc w:val="center"/>
              <w:rPr>
                <w:rFonts w:hint="eastAsia" w:ascii="宋体" w:hAnsi="宋体" w:cs="宋体"/>
                <w:color w:val="auto"/>
                <w:spacing w:val="-6"/>
                <w:szCs w:val="21"/>
                <w:highlight w:val="none"/>
              </w:rPr>
            </w:pPr>
          </w:p>
        </w:tc>
        <w:tc>
          <w:tcPr>
            <w:tcW w:w="1277" w:type="dxa"/>
            <w:shd w:val="clear" w:color="auto" w:fill="auto"/>
            <w:vAlign w:val="center"/>
          </w:tcPr>
          <w:p w14:paraId="646A9658">
            <w:pPr>
              <w:spacing w:line="240" w:lineRule="auto"/>
              <w:ind w:firstLine="0" w:firstLineChars="0"/>
              <w:jc w:val="center"/>
              <w:rPr>
                <w:rFonts w:hint="eastAsia" w:ascii="宋体" w:hAnsi="宋体" w:cs="宋体"/>
                <w:color w:val="auto"/>
                <w:spacing w:val="-6"/>
                <w:szCs w:val="21"/>
                <w:highlight w:val="none"/>
              </w:rPr>
            </w:pPr>
          </w:p>
        </w:tc>
        <w:tc>
          <w:tcPr>
            <w:tcW w:w="1277" w:type="dxa"/>
            <w:shd w:val="clear" w:color="auto" w:fill="auto"/>
            <w:vAlign w:val="center"/>
          </w:tcPr>
          <w:p w14:paraId="411702BF">
            <w:pPr>
              <w:spacing w:line="240" w:lineRule="auto"/>
              <w:ind w:firstLine="0" w:firstLineChars="0"/>
              <w:jc w:val="center"/>
              <w:rPr>
                <w:rFonts w:hint="eastAsia" w:ascii="宋体" w:hAnsi="宋体" w:cs="宋体"/>
                <w:color w:val="auto"/>
                <w:spacing w:val="-6"/>
                <w:szCs w:val="21"/>
                <w:highlight w:val="none"/>
              </w:rPr>
            </w:pPr>
          </w:p>
        </w:tc>
      </w:tr>
      <w:tr w14:paraId="1BD893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993" w:hRule="atLeast"/>
          <w:jc w:val="center"/>
        </w:trPr>
        <w:tc>
          <w:tcPr>
            <w:tcW w:w="7168" w:type="dxa"/>
            <w:gridSpan w:val="8"/>
            <w:shd w:val="clear" w:color="auto" w:fill="auto"/>
            <w:vAlign w:val="center"/>
          </w:tcPr>
          <w:p w14:paraId="0C3BAFBD">
            <w:pPr>
              <w:ind w:firstLine="420"/>
              <w:jc w:val="left"/>
              <w:rPr>
                <w:rFonts w:hint="eastAsia" w:ascii="宋体" w:hAnsi="宋体" w:cs="宋体"/>
                <w:color w:val="auto"/>
                <w:szCs w:val="21"/>
                <w:highlight w:val="none"/>
              </w:rPr>
            </w:pPr>
            <w:r>
              <w:rPr>
                <w:rFonts w:hint="eastAsia" w:ascii="宋体" w:hAnsi="宋体" w:cs="宋体"/>
                <w:color w:val="auto"/>
                <w:szCs w:val="21"/>
                <w:highlight w:val="none"/>
              </w:rPr>
              <w:t>投标总报价（元）</w:t>
            </w:r>
          </w:p>
        </w:tc>
        <w:tc>
          <w:tcPr>
            <w:tcW w:w="2554" w:type="dxa"/>
            <w:gridSpan w:val="2"/>
            <w:tcBorders>
              <w:left w:val="single" w:color="auto" w:sz="4" w:space="0"/>
            </w:tcBorders>
            <w:shd w:val="clear" w:color="auto" w:fill="auto"/>
            <w:vAlign w:val="center"/>
          </w:tcPr>
          <w:p w14:paraId="126C537B">
            <w:pPr>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小写：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0B1BCF38">
            <w:pPr>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大写：</w:t>
            </w:r>
            <w:r>
              <w:rPr>
                <w:rFonts w:hint="eastAsia" w:ascii="宋体" w:hAnsi="宋体" w:cs="宋体"/>
                <w:color w:val="auto"/>
                <w:szCs w:val="21"/>
                <w:highlight w:val="none"/>
                <w:u w:val="single"/>
              </w:rPr>
              <w:t xml:space="preserve">               </w:t>
            </w:r>
          </w:p>
        </w:tc>
      </w:tr>
      <w:tr w14:paraId="00F72A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993" w:hRule="atLeast"/>
          <w:jc w:val="center"/>
        </w:trPr>
        <w:tc>
          <w:tcPr>
            <w:tcW w:w="7168" w:type="dxa"/>
            <w:gridSpan w:val="8"/>
            <w:shd w:val="clear" w:color="auto" w:fill="auto"/>
            <w:vAlign w:val="center"/>
          </w:tcPr>
          <w:p w14:paraId="75C50234">
            <w:pPr>
              <w:ind w:firstLine="398"/>
              <w:jc w:val="left"/>
              <w:rPr>
                <w:rFonts w:hint="eastAsia" w:ascii="宋体" w:hAnsi="宋体" w:cs="宋体"/>
                <w:b/>
                <w:color w:val="auto"/>
                <w:spacing w:val="-6"/>
                <w:szCs w:val="21"/>
                <w:highlight w:val="none"/>
                <w:u w:val="single"/>
              </w:rPr>
            </w:pPr>
            <w:r>
              <w:rPr>
                <w:rFonts w:hint="eastAsia" w:ascii="宋体" w:hAnsi="宋体" w:cs="宋体"/>
                <w:b/>
                <w:color w:val="auto"/>
                <w:spacing w:val="-6"/>
                <w:szCs w:val="21"/>
                <w:highlight w:val="none"/>
              </w:rPr>
              <w:t>根据《国务院办公厅关于在政府采购中实施本国产品标准及相关政策的通知》 （国办发〔2025〕34号）的规定，符合本国产品标准的产品成本之和占投标人提供的全部产品成本之和的比例</w:t>
            </w:r>
          </w:p>
        </w:tc>
        <w:tc>
          <w:tcPr>
            <w:tcW w:w="2554" w:type="dxa"/>
            <w:gridSpan w:val="2"/>
            <w:tcBorders>
              <w:left w:val="single" w:color="auto" w:sz="4" w:space="0"/>
            </w:tcBorders>
            <w:shd w:val="clear" w:color="auto" w:fill="auto"/>
            <w:vAlign w:val="center"/>
          </w:tcPr>
          <w:p w14:paraId="65436529">
            <w:pPr>
              <w:ind w:firstLine="398"/>
              <w:jc w:val="left"/>
              <w:rPr>
                <w:rFonts w:hint="eastAsia" w:ascii="宋体" w:hAnsi="宋体" w:cs="宋体"/>
                <w:b/>
                <w:color w:val="auto"/>
                <w:spacing w:val="-6"/>
                <w:szCs w:val="21"/>
                <w:highlight w:val="none"/>
                <w:u w:val="single"/>
              </w:rPr>
            </w:pPr>
            <w:r>
              <w:rPr>
                <w:rFonts w:hint="eastAsia" w:ascii="宋体" w:hAnsi="宋体" w:cs="宋体"/>
                <w:b/>
                <w:color w:val="auto"/>
                <w:spacing w:val="-6"/>
                <w:szCs w:val="21"/>
                <w:highlight w:val="none"/>
                <w:u w:val="single"/>
              </w:rPr>
              <w:t xml:space="preserve">          %</w:t>
            </w:r>
          </w:p>
        </w:tc>
      </w:tr>
    </w:tbl>
    <w:p w14:paraId="113375C4">
      <w:pPr>
        <w:ind w:firstLine="0" w:firstLineChars="0"/>
        <w:rPr>
          <w:rFonts w:hint="eastAsia" w:ascii="宋体" w:hAnsi="宋体" w:cs="宋体"/>
          <w:color w:val="auto"/>
          <w:szCs w:val="21"/>
          <w:highlight w:val="none"/>
        </w:rPr>
      </w:pPr>
      <w:r>
        <w:rPr>
          <w:rFonts w:hint="eastAsia" w:ascii="宋体" w:hAnsi="宋体" w:cs="宋体"/>
          <w:color w:val="auto"/>
          <w:szCs w:val="21"/>
          <w:highlight w:val="none"/>
        </w:rPr>
        <w:t>填表说明：</w:t>
      </w:r>
    </w:p>
    <w:p w14:paraId="1CFE1E96">
      <w:pPr>
        <w:ind w:firstLine="420"/>
        <w:rPr>
          <w:rFonts w:hint="eastAsia" w:ascii="宋体" w:hAnsi="宋体" w:cs="宋体"/>
          <w:color w:val="auto"/>
          <w:szCs w:val="24"/>
          <w:highlight w:val="none"/>
        </w:rPr>
      </w:pPr>
      <w:r>
        <w:rPr>
          <w:rFonts w:hint="eastAsia" w:ascii="宋体" w:hAnsi="宋体" w:cs="宋体"/>
          <w:color w:val="auto"/>
          <w:szCs w:val="21"/>
          <w:highlight w:val="none"/>
        </w:rPr>
        <w:t>①</w:t>
      </w:r>
      <w:r>
        <w:rPr>
          <w:rFonts w:hint="eastAsia" w:ascii="宋体" w:hAnsi="宋体" w:cs="宋体"/>
          <w:color w:val="auto"/>
          <w:szCs w:val="24"/>
          <w:highlight w:val="none"/>
        </w:rPr>
        <w:t>投标人需对本招标范围包括的标的进行逐一报价并填写表中的所有内容。</w:t>
      </w:r>
    </w:p>
    <w:p w14:paraId="3BC0392C">
      <w:pPr>
        <w:ind w:firstLine="420"/>
        <w:rPr>
          <w:rFonts w:ascii="Times New Roman" w:hAnsi="Times New Roman" w:cs="Times New Roman"/>
          <w:color w:val="auto"/>
          <w:szCs w:val="24"/>
          <w:highlight w:val="none"/>
        </w:rPr>
      </w:pPr>
      <w:r>
        <w:rPr>
          <w:rFonts w:hint="eastAsia" w:ascii="Times New Roman" w:hAnsi="Times New Roman" w:cs="Times New Roman"/>
          <w:color w:val="auto"/>
          <w:szCs w:val="24"/>
          <w:highlight w:val="none"/>
        </w:rPr>
        <w:br w:type="page"/>
      </w:r>
    </w:p>
    <w:p w14:paraId="4578E533">
      <w:pPr>
        <w:spacing w:line="240" w:lineRule="auto"/>
        <w:ind w:firstLine="0" w:firstLineChars="0"/>
        <w:jc w:val="center"/>
        <w:outlineLvl w:val="2"/>
        <w:rPr>
          <w:rFonts w:ascii="Times New Roman" w:hAnsi="Times New Roman" w:eastAsia="黑体" w:cs="Times New Roman"/>
          <w:color w:val="auto"/>
          <w:sz w:val="28"/>
          <w:szCs w:val="28"/>
          <w:highlight w:val="none"/>
        </w:rPr>
      </w:pPr>
      <w:r>
        <w:rPr>
          <w:rFonts w:ascii="Times New Roman" w:hAnsi="Times New Roman" w:eastAsia="黑体" w:cs="Times New Roman"/>
          <w:bCs/>
          <w:color w:val="auto"/>
          <w:sz w:val="28"/>
          <w:szCs w:val="28"/>
          <w:highlight w:val="none"/>
        </w:rPr>
        <w:t>必不可少的专用工具报价表</w:t>
      </w:r>
    </w:p>
    <w:p w14:paraId="36836793">
      <w:pPr>
        <w:ind w:firstLine="0" w:firstLineChars="0"/>
        <w:jc w:val="center"/>
        <w:rPr>
          <w:rFonts w:ascii="Times New Roman" w:hAnsi="Times New Roman" w:cs="Times New Roman"/>
          <w:color w:val="auto"/>
          <w:szCs w:val="24"/>
          <w:highlight w:val="none"/>
        </w:rPr>
      </w:pPr>
      <w:r>
        <w:rPr>
          <w:rFonts w:ascii="Times New Roman" w:hAnsi="Times New Roman" w:cs="Times New Roman"/>
          <w:color w:val="auto"/>
          <w:szCs w:val="24"/>
          <w:highlight w:val="none"/>
        </w:rPr>
        <w:t>（如有）</w:t>
      </w:r>
    </w:p>
    <w:tbl>
      <w:tblPr>
        <w:tblStyle w:val="34"/>
        <w:tblW w:w="90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3"/>
        <w:gridCol w:w="793"/>
        <w:gridCol w:w="1057"/>
        <w:gridCol w:w="794"/>
        <w:gridCol w:w="794"/>
        <w:gridCol w:w="794"/>
        <w:gridCol w:w="1057"/>
        <w:gridCol w:w="1057"/>
        <w:gridCol w:w="1917"/>
      </w:tblGrid>
      <w:tr w14:paraId="549DAF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93" w:type="dxa"/>
            <w:vAlign w:val="center"/>
          </w:tcPr>
          <w:p w14:paraId="4DC20CFE">
            <w:pPr>
              <w:ind w:firstLine="0" w:firstLineChars="0"/>
              <w:jc w:val="center"/>
              <w:rPr>
                <w:rFonts w:ascii="Times New Roman" w:hAnsi="Times New Roman" w:cs="Times New Roman"/>
                <w:b/>
                <w:color w:val="auto"/>
                <w:szCs w:val="21"/>
                <w:highlight w:val="none"/>
              </w:rPr>
            </w:pPr>
            <w:r>
              <w:rPr>
                <w:rFonts w:ascii="Times New Roman" w:hAnsi="Times New Roman" w:cs="Times New Roman"/>
                <w:b/>
                <w:color w:val="auto"/>
                <w:szCs w:val="21"/>
                <w:highlight w:val="none"/>
              </w:rPr>
              <w:t>序号</w:t>
            </w:r>
          </w:p>
        </w:tc>
        <w:tc>
          <w:tcPr>
            <w:tcW w:w="793" w:type="dxa"/>
            <w:vAlign w:val="center"/>
          </w:tcPr>
          <w:p w14:paraId="02199C6C">
            <w:pPr>
              <w:ind w:firstLine="0" w:firstLineChars="0"/>
              <w:jc w:val="center"/>
              <w:rPr>
                <w:rFonts w:ascii="Times New Roman" w:hAnsi="Times New Roman" w:cs="Times New Roman"/>
                <w:b/>
                <w:color w:val="auto"/>
                <w:szCs w:val="21"/>
                <w:highlight w:val="none"/>
              </w:rPr>
            </w:pPr>
            <w:r>
              <w:rPr>
                <w:rFonts w:ascii="Times New Roman" w:hAnsi="Times New Roman" w:cs="Times New Roman"/>
                <w:b/>
                <w:color w:val="auto"/>
                <w:szCs w:val="21"/>
                <w:highlight w:val="none"/>
              </w:rPr>
              <w:t>名称</w:t>
            </w:r>
          </w:p>
        </w:tc>
        <w:tc>
          <w:tcPr>
            <w:tcW w:w="1057" w:type="dxa"/>
            <w:vAlign w:val="center"/>
          </w:tcPr>
          <w:p w14:paraId="180E9AD1">
            <w:pPr>
              <w:ind w:firstLine="0" w:firstLineChars="0"/>
              <w:jc w:val="center"/>
              <w:rPr>
                <w:rFonts w:ascii="Times New Roman" w:hAnsi="Times New Roman" w:cs="Times New Roman"/>
                <w:b/>
                <w:color w:val="auto"/>
                <w:szCs w:val="21"/>
                <w:highlight w:val="none"/>
              </w:rPr>
            </w:pPr>
            <w:r>
              <w:rPr>
                <w:rFonts w:ascii="Times New Roman" w:hAnsi="Times New Roman" w:cs="Times New Roman"/>
                <w:b/>
                <w:color w:val="auto"/>
                <w:szCs w:val="21"/>
                <w:highlight w:val="none"/>
              </w:rPr>
              <w:t>规格和</w:t>
            </w:r>
          </w:p>
          <w:p w14:paraId="179DA425">
            <w:pPr>
              <w:ind w:firstLine="0" w:firstLineChars="0"/>
              <w:jc w:val="center"/>
              <w:rPr>
                <w:rFonts w:ascii="Times New Roman" w:hAnsi="Times New Roman" w:cs="Times New Roman"/>
                <w:b/>
                <w:color w:val="auto"/>
                <w:szCs w:val="21"/>
                <w:highlight w:val="none"/>
              </w:rPr>
            </w:pPr>
            <w:r>
              <w:rPr>
                <w:rFonts w:ascii="Times New Roman" w:hAnsi="Times New Roman" w:cs="Times New Roman"/>
                <w:b/>
                <w:color w:val="auto"/>
                <w:szCs w:val="21"/>
                <w:highlight w:val="none"/>
              </w:rPr>
              <w:t>型号</w:t>
            </w:r>
          </w:p>
        </w:tc>
        <w:tc>
          <w:tcPr>
            <w:tcW w:w="794" w:type="dxa"/>
            <w:vAlign w:val="center"/>
          </w:tcPr>
          <w:p w14:paraId="1508FFE3">
            <w:pPr>
              <w:ind w:firstLine="0" w:firstLineChars="0"/>
              <w:jc w:val="center"/>
              <w:rPr>
                <w:rFonts w:ascii="Times New Roman" w:hAnsi="Times New Roman" w:cs="Times New Roman"/>
                <w:b/>
                <w:color w:val="auto"/>
                <w:szCs w:val="21"/>
                <w:highlight w:val="none"/>
              </w:rPr>
            </w:pPr>
            <w:r>
              <w:rPr>
                <w:rFonts w:ascii="Times New Roman" w:hAnsi="Times New Roman" w:cs="Times New Roman"/>
                <w:b/>
                <w:color w:val="auto"/>
                <w:szCs w:val="21"/>
                <w:highlight w:val="none"/>
              </w:rPr>
              <w:t>材质</w:t>
            </w:r>
          </w:p>
        </w:tc>
        <w:tc>
          <w:tcPr>
            <w:tcW w:w="794" w:type="dxa"/>
            <w:vAlign w:val="center"/>
          </w:tcPr>
          <w:p w14:paraId="3D85D780">
            <w:pPr>
              <w:ind w:firstLine="0" w:firstLineChars="0"/>
              <w:jc w:val="center"/>
              <w:rPr>
                <w:rFonts w:ascii="Times New Roman" w:hAnsi="Times New Roman" w:cs="Times New Roman"/>
                <w:b/>
                <w:color w:val="auto"/>
                <w:szCs w:val="21"/>
                <w:highlight w:val="none"/>
              </w:rPr>
            </w:pPr>
            <w:r>
              <w:rPr>
                <w:rFonts w:ascii="Times New Roman" w:hAnsi="Times New Roman" w:cs="Times New Roman"/>
                <w:b/>
                <w:color w:val="auto"/>
                <w:szCs w:val="21"/>
                <w:highlight w:val="none"/>
              </w:rPr>
              <w:t>数量</w:t>
            </w:r>
          </w:p>
        </w:tc>
        <w:tc>
          <w:tcPr>
            <w:tcW w:w="794" w:type="dxa"/>
            <w:vAlign w:val="center"/>
          </w:tcPr>
          <w:p w14:paraId="14D105B1">
            <w:pPr>
              <w:ind w:firstLine="0" w:firstLineChars="0"/>
              <w:jc w:val="center"/>
              <w:rPr>
                <w:rFonts w:ascii="Times New Roman" w:hAnsi="Times New Roman" w:cs="Times New Roman"/>
                <w:b/>
                <w:color w:val="auto"/>
                <w:szCs w:val="21"/>
                <w:highlight w:val="none"/>
              </w:rPr>
            </w:pPr>
            <w:r>
              <w:rPr>
                <w:rFonts w:hint="eastAsia" w:ascii="Times New Roman" w:hAnsi="Times New Roman" w:cs="Times New Roman"/>
                <w:b/>
                <w:color w:val="auto"/>
                <w:szCs w:val="21"/>
                <w:highlight w:val="none"/>
              </w:rPr>
              <w:t>计量</w:t>
            </w:r>
            <w:r>
              <w:rPr>
                <w:rFonts w:ascii="Times New Roman" w:hAnsi="Times New Roman" w:cs="Times New Roman"/>
                <w:b/>
                <w:color w:val="auto"/>
                <w:szCs w:val="21"/>
                <w:highlight w:val="none"/>
              </w:rPr>
              <w:t>单位</w:t>
            </w:r>
          </w:p>
        </w:tc>
        <w:tc>
          <w:tcPr>
            <w:tcW w:w="1057" w:type="dxa"/>
            <w:vAlign w:val="center"/>
          </w:tcPr>
          <w:p w14:paraId="3416E412">
            <w:pPr>
              <w:ind w:firstLine="0" w:firstLineChars="0"/>
              <w:jc w:val="center"/>
              <w:rPr>
                <w:rFonts w:ascii="Times New Roman" w:hAnsi="Times New Roman" w:cs="Times New Roman"/>
                <w:b/>
                <w:color w:val="auto"/>
                <w:szCs w:val="21"/>
                <w:highlight w:val="none"/>
              </w:rPr>
            </w:pPr>
            <w:r>
              <w:rPr>
                <w:rFonts w:ascii="Times New Roman" w:hAnsi="Times New Roman" w:cs="Times New Roman"/>
                <w:b/>
                <w:color w:val="auto"/>
                <w:szCs w:val="21"/>
                <w:highlight w:val="none"/>
              </w:rPr>
              <w:t>单价</w:t>
            </w:r>
          </w:p>
          <w:p w14:paraId="6B98A5C3">
            <w:pPr>
              <w:ind w:firstLine="0" w:firstLineChars="0"/>
              <w:jc w:val="center"/>
              <w:rPr>
                <w:rFonts w:ascii="Times New Roman" w:hAnsi="Times New Roman" w:cs="Times New Roman"/>
                <w:b/>
                <w:color w:val="auto"/>
                <w:szCs w:val="21"/>
                <w:highlight w:val="none"/>
              </w:rPr>
            </w:pPr>
            <w:r>
              <w:rPr>
                <w:rFonts w:ascii="Times New Roman" w:hAnsi="Times New Roman" w:cs="Times New Roman"/>
                <w:b/>
                <w:color w:val="auto"/>
                <w:szCs w:val="21"/>
                <w:highlight w:val="none"/>
              </w:rPr>
              <w:t>（元）</w:t>
            </w:r>
          </w:p>
        </w:tc>
        <w:tc>
          <w:tcPr>
            <w:tcW w:w="1057" w:type="dxa"/>
            <w:vAlign w:val="center"/>
          </w:tcPr>
          <w:p w14:paraId="2A880E52">
            <w:pPr>
              <w:ind w:firstLine="0" w:firstLineChars="0"/>
              <w:jc w:val="center"/>
              <w:rPr>
                <w:rFonts w:ascii="Times New Roman" w:hAnsi="Times New Roman" w:cs="Times New Roman"/>
                <w:b/>
                <w:color w:val="auto"/>
                <w:szCs w:val="21"/>
                <w:highlight w:val="none"/>
              </w:rPr>
            </w:pPr>
            <w:r>
              <w:rPr>
                <w:rFonts w:ascii="Times New Roman" w:hAnsi="Times New Roman" w:cs="Times New Roman"/>
                <w:b/>
                <w:color w:val="auto"/>
                <w:szCs w:val="21"/>
                <w:highlight w:val="none"/>
              </w:rPr>
              <w:t>总价</w:t>
            </w:r>
          </w:p>
          <w:p w14:paraId="7A941A24">
            <w:pPr>
              <w:ind w:firstLine="0" w:firstLineChars="0"/>
              <w:jc w:val="center"/>
              <w:rPr>
                <w:rFonts w:ascii="Times New Roman" w:hAnsi="Times New Roman" w:cs="Times New Roman"/>
                <w:b/>
                <w:color w:val="auto"/>
                <w:szCs w:val="21"/>
                <w:highlight w:val="none"/>
              </w:rPr>
            </w:pPr>
            <w:r>
              <w:rPr>
                <w:rFonts w:ascii="Times New Roman" w:hAnsi="Times New Roman" w:cs="Times New Roman"/>
                <w:b/>
                <w:color w:val="auto"/>
                <w:szCs w:val="21"/>
                <w:highlight w:val="none"/>
              </w:rPr>
              <w:t>（元）</w:t>
            </w:r>
          </w:p>
        </w:tc>
        <w:tc>
          <w:tcPr>
            <w:tcW w:w="1917" w:type="dxa"/>
            <w:vAlign w:val="center"/>
          </w:tcPr>
          <w:p w14:paraId="2BF34501">
            <w:pPr>
              <w:ind w:firstLine="0" w:firstLineChars="0"/>
              <w:jc w:val="center"/>
              <w:rPr>
                <w:rFonts w:ascii="Times New Roman" w:hAnsi="Times New Roman" w:cs="Times New Roman"/>
                <w:b/>
                <w:color w:val="auto"/>
                <w:szCs w:val="21"/>
                <w:highlight w:val="none"/>
              </w:rPr>
            </w:pPr>
            <w:r>
              <w:rPr>
                <w:rFonts w:ascii="Times New Roman" w:hAnsi="Times New Roman" w:cs="Times New Roman"/>
                <w:b/>
                <w:color w:val="auto"/>
                <w:szCs w:val="21"/>
                <w:highlight w:val="none"/>
              </w:rPr>
              <w:t>生产厂家/品牌</w:t>
            </w:r>
          </w:p>
        </w:tc>
      </w:tr>
      <w:tr w14:paraId="2171E6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2" w:hRule="atLeast"/>
          <w:jc w:val="center"/>
        </w:trPr>
        <w:tc>
          <w:tcPr>
            <w:tcW w:w="793" w:type="dxa"/>
          </w:tcPr>
          <w:p w14:paraId="46656812">
            <w:pPr>
              <w:ind w:firstLine="0" w:firstLineChars="0"/>
              <w:rPr>
                <w:rFonts w:ascii="Times New Roman" w:hAnsi="Times New Roman" w:cs="Times New Roman"/>
                <w:color w:val="auto"/>
                <w:szCs w:val="21"/>
                <w:highlight w:val="none"/>
              </w:rPr>
            </w:pPr>
          </w:p>
        </w:tc>
        <w:tc>
          <w:tcPr>
            <w:tcW w:w="793" w:type="dxa"/>
          </w:tcPr>
          <w:p w14:paraId="069358D1">
            <w:pPr>
              <w:ind w:firstLine="0" w:firstLineChars="0"/>
              <w:rPr>
                <w:rFonts w:ascii="Times New Roman" w:hAnsi="Times New Roman" w:cs="Times New Roman"/>
                <w:color w:val="auto"/>
                <w:szCs w:val="21"/>
                <w:highlight w:val="none"/>
              </w:rPr>
            </w:pPr>
          </w:p>
        </w:tc>
        <w:tc>
          <w:tcPr>
            <w:tcW w:w="1057" w:type="dxa"/>
          </w:tcPr>
          <w:p w14:paraId="6AEADCC7">
            <w:pPr>
              <w:ind w:firstLine="0" w:firstLineChars="0"/>
              <w:rPr>
                <w:rFonts w:ascii="Times New Roman" w:hAnsi="Times New Roman" w:cs="Times New Roman"/>
                <w:color w:val="auto"/>
                <w:szCs w:val="21"/>
                <w:highlight w:val="none"/>
              </w:rPr>
            </w:pPr>
          </w:p>
        </w:tc>
        <w:tc>
          <w:tcPr>
            <w:tcW w:w="794" w:type="dxa"/>
          </w:tcPr>
          <w:p w14:paraId="23B868E8">
            <w:pPr>
              <w:ind w:firstLine="0" w:firstLineChars="0"/>
              <w:rPr>
                <w:rFonts w:ascii="Times New Roman" w:hAnsi="Times New Roman" w:cs="Times New Roman"/>
                <w:color w:val="auto"/>
                <w:szCs w:val="21"/>
                <w:highlight w:val="none"/>
              </w:rPr>
            </w:pPr>
          </w:p>
        </w:tc>
        <w:tc>
          <w:tcPr>
            <w:tcW w:w="794" w:type="dxa"/>
          </w:tcPr>
          <w:p w14:paraId="6FE6FC44">
            <w:pPr>
              <w:ind w:firstLine="0" w:firstLineChars="0"/>
              <w:rPr>
                <w:rFonts w:ascii="Times New Roman" w:hAnsi="Times New Roman" w:cs="Times New Roman"/>
                <w:color w:val="auto"/>
                <w:szCs w:val="21"/>
                <w:highlight w:val="none"/>
              </w:rPr>
            </w:pPr>
          </w:p>
        </w:tc>
        <w:tc>
          <w:tcPr>
            <w:tcW w:w="794" w:type="dxa"/>
          </w:tcPr>
          <w:p w14:paraId="5498E2BE">
            <w:pPr>
              <w:ind w:firstLine="0" w:firstLineChars="0"/>
              <w:rPr>
                <w:rFonts w:ascii="Times New Roman" w:hAnsi="Times New Roman" w:cs="Times New Roman"/>
                <w:color w:val="auto"/>
                <w:szCs w:val="21"/>
                <w:highlight w:val="none"/>
              </w:rPr>
            </w:pPr>
          </w:p>
        </w:tc>
        <w:tc>
          <w:tcPr>
            <w:tcW w:w="1057" w:type="dxa"/>
          </w:tcPr>
          <w:p w14:paraId="322AB33D">
            <w:pPr>
              <w:ind w:firstLine="0" w:firstLineChars="0"/>
              <w:rPr>
                <w:rFonts w:ascii="Times New Roman" w:hAnsi="Times New Roman" w:cs="Times New Roman"/>
                <w:color w:val="auto"/>
                <w:szCs w:val="21"/>
                <w:highlight w:val="none"/>
              </w:rPr>
            </w:pPr>
          </w:p>
        </w:tc>
        <w:tc>
          <w:tcPr>
            <w:tcW w:w="1057" w:type="dxa"/>
          </w:tcPr>
          <w:p w14:paraId="55C677E1">
            <w:pPr>
              <w:ind w:firstLine="0" w:firstLineChars="0"/>
              <w:rPr>
                <w:rFonts w:ascii="Times New Roman" w:hAnsi="Times New Roman" w:cs="Times New Roman"/>
                <w:color w:val="auto"/>
                <w:szCs w:val="21"/>
                <w:highlight w:val="none"/>
              </w:rPr>
            </w:pPr>
          </w:p>
        </w:tc>
        <w:tc>
          <w:tcPr>
            <w:tcW w:w="1917" w:type="dxa"/>
          </w:tcPr>
          <w:p w14:paraId="14DB6545">
            <w:pPr>
              <w:ind w:firstLine="0" w:firstLineChars="0"/>
              <w:rPr>
                <w:rFonts w:ascii="Times New Roman" w:hAnsi="Times New Roman" w:cs="Times New Roman"/>
                <w:color w:val="auto"/>
                <w:szCs w:val="21"/>
                <w:highlight w:val="none"/>
              </w:rPr>
            </w:pPr>
          </w:p>
        </w:tc>
      </w:tr>
      <w:tr w14:paraId="0E8292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793" w:type="dxa"/>
          </w:tcPr>
          <w:p w14:paraId="7FD0EEB9">
            <w:pPr>
              <w:ind w:firstLine="0" w:firstLineChars="0"/>
              <w:rPr>
                <w:rFonts w:ascii="Times New Roman" w:hAnsi="Times New Roman" w:cs="Times New Roman"/>
                <w:color w:val="auto"/>
                <w:szCs w:val="21"/>
                <w:highlight w:val="none"/>
              </w:rPr>
            </w:pPr>
          </w:p>
        </w:tc>
        <w:tc>
          <w:tcPr>
            <w:tcW w:w="793" w:type="dxa"/>
          </w:tcPr>
          <w:p w14:paraId="3EAC4E19">
            <w:pPr>
              <w:ind w:firstLine="0" w:firstLineChars="0"/>
              <w:rPr>
                <w:rFonts w:ascii="Times New Roman" w:hAnsi="Times New Roman" w:cs="Times New Roman"/>
                <w:color w:val="auto"/>
                <w:szCs w:val="21"/>
                <w:highlight w:val="none"/>
              </w:rPr>
            </w:pPr>
          </w:p>
        </w:tc>
        <w:tc>
          <w:tcPr>
            <w:tcW w:w="1057" w:type="dxa"/>
          </w:tcPr>
          <w:p w14:paraId="07E4EABD">
            <w:pPr>
              <w:ind w:firstLine="0" w:firstLineChars="0"/>
              <w:rPr>
                <w:rFonts w:ascii="Times New Roman" w:hAnsi="Times New Roman" w:cs="Times New Roman"/>
                <w:color w:val="auto"/>
                <w:szCs w:val="21"/>
                <w:highlight w:val="none"/>
              </w:rPr>
            </w:pPr>
          </w:p>
        </w:tc>
        <w:tc>
          <w:tcPr>
            <w:tcW w:w="794" w:type="dxa"/>
          </w:tcPr>
          <w:p w14:paraId="3DCFF756">
            <w:pPr>
              <w:ind w:firstLine="0" w:firstLineChars="0"/>
              <w:rPr>
                <w:rFonts w:ascii="Times New Roman" w:hAnsi="Times New Roman" w:cs="Times New Roman"/>
                <w:color w:val="auto"/>
                <w:szCs w:val="21"/>
                <w:highlight w:val="none"/>
              </w:rPr>
            </w:pPr>
          </w:p>
        </w:tc>
        <w:tc>
          <w:tcPr>
            <w:tcW w:w="794" w:type="dxa"/>
          </w:tcPr>
          <w:p w14:paraId="5F278C38">
            <w:pPr>
              <w:ind w:firstLine="0" w:firstLineChars="0"/>
              <w:rPr>
                <w:rFonts w:ascii="Times New Roman" w:hAnsi="Times New Roman" w:cs="Times New Roman"/>
                <w:color w:val="auto"/>
                <w:szCs w:val="21"/>
                <w:highlight w:val="none"/>
              </w:rPr>
            </w:pPr>
          </w:p>
        </w:tc>
        <w:tc>
          <w:tcPr>
            <w:tcW w:w="794" w:type="dxa"/>
          </w:tcPr>
          <w:p w14:paraId="3260A4DA">
            <w:pPr>
              <w:ind w:firstLine="0" w:firstLineChars="0"/>
              <w:rPr>
                <w:rFonts w:ascii="Times New Roman" w:hAnsi="Times New Roman" w:cs="Times New Roman"/>
                <w:color w:val="auto"/>
                <w:szCs w:val="21"/>
                <w:highlight w:val="none"/>
              </w:rPr>
            </w:pPr>
          </w:p>
        </w:tc>
        <w:tc>
          <w:tcPr>
            <w:tcW w:w="1057" w:type="dxa"/>
          </w:tcPr>
          <w:p w14:paraId="419DBD81">
            <w:pPr>
              <w:ind w:firstLine="0" w:firstLineChars="0"/>
              <w:rPr>
                <w:rFonts w:ascii="Times New Roman" w:hAnsi="Times New Roman" w:cs="Times New Roman"/>
                <w:color w:val="auto"/>
                <w:szCs w:val="21"/>
                <w:highlight w:val="none"/>
              </w:rPr>
            </w:pPr>
          </w:p>
        </w:tc>
        <w:tc>
          <w:tcPr>
            <w:tcW w:w="1057" w:type="dxa"/>
          </w:tcPr>
          <w:p w14:paraId="03B5752D">
            <w:pPr>
              <w:ind w:firstLine="0" w:firstLineChars="0"/>
              <w:rPr>
                <w:rFonts w:ascii="Times New Roman" w:hAnsi="Times New Roman" w:cs="Times New Roman"/>
                <w:color w:val="auto"/>
                <w:szCs w:val="21"/>
                <w:highlight w:val="none"/>
              </w:rPr>
            </w:pPr>
          </w:p>
        </w:tc>
        <w:tc>
          <w:tcPr>
            <w:tcW w:w="1917" w:type="dxa"/>
          </w:tcPr>
          <w:p w14:paraId="0D97B7DF">
            <w:pPr>
              <w:ind w:firstLine="0" w:firstLineChars="0"/>
              <w:rPr>
                <w:rFonts w:ascii="Times New Roman" w:hAnsi="Times New Roman" w:cs="Times New Roman"/>
                <w:color w:val="auto"/>
                <w:szCs w:val="21"/>
                <w:highlight w:val="none"/>
              </w:rPr>
            </w:pPr>
          </w:p>
        </w:tc>
      </w:tr>
      <w:tr w14:paraId="569205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793" w:type="dxa"/>
          </w:tcPr>
          <w:p w14:paraId="334A8EEF">
            <w:pPr>
              <w:ind w:firstLine="0" w:firstLineChars="0"/>
              <w:rPr>
                <w:rFonts w:ascii="Times New Roman" w:hAnsi="Times New Roman" w:cs="Times New Roman"/>
                <w:color w:val="auto"/>
                <w:szCs w:val="21"/>
                <w:highlight w:val="none"/>
              </w:rPr>
            </w:pPr>
          </w:p>
        </w:tc>
        <w:tc>
          <w:tcPr>
            <w:tcW w:w="793" w:type="dxa"/>
          </w:tcPr>
          <w:p w14:paraId="546610D9">
            <w:pPr>
              <w:ind w:firstLine="0" w:firstLineChars="0"/>
              <w:rPr>
                <w:rFonts w:ascii="Times New Roman" w:hAnsi="Times New Roman" w:cs="Times New Roman"/>
                <w:color w:val="auto"/>
                <w:szCs w:val="21"/>
                <w:highlight w:val="none"/>
              </w:rPr>
            </w:pPr>
          </w:p>
        </w:tc>
        <w:tc>
          <w:tcPr>
            <w:tcW w:w="1057" w:type="dxa"/>
          </w:tcPr>
          <w:p w14:paraId="0DAEB880">
            <w:pPr>
              <w:ind w:firstLine="0" w:firstLineChars="0"/>
              <w:rPr>
                <w:rFonts w:ascii="Times New Roman" w:hAnsi="Times New Roman" w:cs="Times New Roman"/>
                <w:color w:val="auto"/>
                <w:szCs w:val="21"/>
                <w:highlight w:val="none"/>
              </w:rPr>
            </w:pPr>
          </w:p>
        </w:tc>
        <w:tc>
          <w:tcPr>
            <w:tcW w:w="794" w:type="dxa"/>
          </w:tcPr>
          <w:p w14:paraId="70767734">
            <w:pPr>
              <w:ind w:firstLine="0" w:firstLineChars="0"/>
              <w:rPr>
                <w:rFonts w:ascii="Times New Roman" w:hAnsi="Times New Roman" w:cs="Times New Roman"/>
                <w:color w:val="auto"/>
                <w:szCs w:val="21"/>
                <w:highlight w:val="none"/>
              </w:rPr>
            </w:pPr>
          </w:p>
        </w:tc>
        <w:tc>
          <w:tcPr>
            <w:tcW w:w="794" w:type="dxa"/>
          </w:tcPr>
          <w:p w14:paraId="3112C058">
            <w:pPr>
              <w:ind w:firstLine="0" w:firstLineChars="0"/>
              <w:rPr>
                <w:rFonts w:ascii="Times New Roman" w:hAnsi="Times New Roman" w:cs="Times New Roman"/>
                <w:color w:val="auto"/>
                <w:szCs w:val="21"/>
                <w:highlight w:val="none"/>
              </w:rPr>
            </w:pPr>
          </w:p>
        </w:tc>
        <w:tc>
          <w:tcPr>
            <w:tcW w:w="794" w:type="dxa"/>
          </w:tcPr>
          <w:p w14:paraId="17CE6245">
            <w:pPr>
              <w:ind w:firstLine="0" w:firstLineChars="0"/>
              <w:rPr>
                <w:rFonts w:ascii="Times New Roman" w:hAnsi="Times New Roman" w:cs="Times New Roman"/>
                <w:color w:val="auto"/>
                <w:szCs w:val="21"/>
                <w:highlight w:val="none"/>
              </w:rPr>
            </w:pPr>
          </w:p>
        </w:tc>
        <w:tc>
          <w:tcPr>
            <w:tcW w:w="1057" w:type="dxa"/>
          </w:tcPr>
          <w:p w14:paraId="16F47F43">
            <w:pPr>
              <w:ind w:firstLine="0" w:firstLineChars="0"/>
              <w:rPr>
                <w:rFonts w:ascii="Times New Roman" w:hAnsi="Times New Roman" w:cs="Times New Roman"/>
                <w:color w:val="auto"/>
                <w:szCs w:val="21"/>
                <w:highlight w:val="none"/>
              </w:rPr>
            </w:pPr>
          </w:p>
        </w:tc>
        <w:tc>
          <w:tcPr>
            <w:tcW w:w="1057" w:type="dxa"/>
          </w:tcPr>
          <w:p w14:paraId="4F23B56E">
            <w:pPr>
              <w:ind w:firstLine="0" w:firstLineChars="0"/>
              <w:rPr>
                <w:rFonts w:ascii="Times New Roman" w:hAnsi="Times New Roman" w:cs="Times New Roman"/>
                <w:color w:val="auto"/>
                <w:szCs w:val="21"/>
                <w:highlight w:val="none"/>
              </w:rPr>
            </w:pPr>
          </w:p>
        </w:tc>
        <w:tc>
          <w:tcPr>
            <w:tcW w:w="1917" w:type="dxa"/>
          </w:tcPr>
          <w:p w14:paraId="5A46ECA4">
            <w:pPr>
              <w:ind w:firstLine="0" w:firstLineChars="0"/>
              <w:rPr>
                <w:rFonts w:ascii="Times New Roman" w:hAnsi="Times New Roman" w:cs="Times New Roman"/>
                <w:color w:val="auto"/>
                <w:szCs w:val="21"/>
                <w:highlight w:val="none"/>
              </w:rPr>
            </w:pPr>
          </w:p>
        </w:tc>
      </w:tr>
      <w:tr w14:paraId="4DC49D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5" w:hRule="atLeast"/>
          <w:jc w:val="center"/>
        </w:trPr>
        <w:tc>
          <w:tcPr>
            <w:tcW w:w="793" w:type="dxa"/>
          </w:tcPr>
          <w:p w14:paraId="1416BB41">
            <w:pPr>
              <w:ind w:firstLine="0" w:firstLineChars="0"/>
              <w:rPr>
                <w:rFonts w:ascii="Times New Roman" w:hAnsi="Times New Roman" w:cs="Times New Roman"/>
                <w:color w:val="auto"/>
                <w:szCs w:val="21"/>
                <w:highlight w:val="none"/>
              </w:rPr>
            </w:pPr>
          </w:p>
        </w:tc>
        <w:tc>
          <w:tcPr>
            <w:tcW w:w="793" w:type="dxa"/>
          </w:tcPr>
          <w:p w14:paraId="26BA5EE8">
            <w:pPr>
              <w:ind w:firstLine="0" w:firstLineChars="0"/>
              <w:rPr>
                <w:rFonts w:ascii="Times New Roman" w:hAnsi="Times New Roman" w:cs="Times New Roman"/>
                <w:color w:val="auto"/>
                <w:szCs w:val="21"/>
                <w:highlight w:val="none"/>
              </w:rPr>
            </w:pPr>
          </w:p>
        </w:tc>
        <w:tc>
          <w:tcPr>
            <w:tcW w:w="1057" w:type="dxa"/>
          </w:tcPr>
          <w:p w14:paraId="2403865D">
            <w:pPr>
              <w:ind w:firstLine="0" w:firstLineChars="0"/>
              <w:rPr>
                <w:rFonts w:ascii="Times New Roman" w:hAnsi="Times New Roman" w:cs="Times New Roman"/>
                <w:color w:val="auto"/>
                <w:szCs w:val="21"/>
                <w:highlight w:val="none"/>
              </w:rPr>
            </w:pPr>
          </w:p>
        </w:tc>
        <w:tc>
          <w:tcPr>
            <w:tcW w:w="794" w:type="dxa"/>
          </w:tcPr>
          <w:p w14:paraId="17675535">
            <w:pPr>
              <w:ind w:firstLine="0" w:firstLineChars="0"/>
              <w:rPr>
                <w:rFonts w:ascii="Times New Roman" w:hAnsi="Times New Roman" w:cs="Times New Roman"/>
                <w:color w:val="auto"/>
                <w:szCs w:val="21"/>
                <w:highlight w:val="none"/>
              </w:rPr>
            </w:pPr>
          </w:p>
        </w:tc>
        <w:tc>
          <w:tcPr>
            <w:tcW w:w="794" w:type="dxa"/>
          </w:tcPr>
          <w:p w14:paraId="1D2F21B2">
            <w:pPr>
              <w:ind w:firstLine="0" w:firstLineChars="0"/>
              <w:rPr>
                <w:rFonts w:ascii="Times New Roman" w:hAnsi="Times New Roman" w:cs="Times New Roman"/>
                <w:color w:val="auto"/>
                <w:szCs w:val="21"/>
                <w:highlight w:val="none"/>
              </w:rPr>
            </w:pPr>
          </w:p>
        </w:tc>
        <w:tc>
          <w:tcPr>
            <w:tcW w:w="794" w:type="dxa"/>
          </w:tcPr>
          <w:p w14:paraId="5B36C5F5">
            <w:pPr>
              <w:ind w:firstLine="0" w:firstLineChars="0"/>
              <w:rPr>
                <w:rFonts w:ascii="Times New Roman" w:hAnsi="Times New Roman" w:cs="Times New Roman"/>
                <w:color w:val="auto"/>
                <w:szCs w:val="21"/>
                <w:highlight w:val="none"/>
              </w:rPr>
            </w:pPr>
          </w:p>
        </w:tc>
        <w:tc>
          <w:tcPr>
            <w:tcW w:w="1057" w:type="dxa"/>
          </w:tcPr>
          <w:p w14:paraId="757D846B">
            <w:pPr>
              <w:ind w:firstLine="0" w:firstLineChars="0"/>
              <w:rPr>
                <w:rFonts w:ascii="Times New Roman" w:hAnsi="Times New Roman" w:cs="Times New Roman"/>
                <w:color w:val="auto"/>
                <w:szCs w:val="21"/>
                <w:highlight w:val="none"/>
              </w:rPr>
            </w:pPr>
          </w:p>
        </w:tc>
        <w:tc>
          <w:tcPr>
            <w:tcW w:w="1057" w:type="dxa"/>
          </w:tcPr>
          <w:p w14:paraId="248889A8">
            <w:pPr>
              <w:ind w:firstLine="0" w:firstLineChars="0"/>
              <w:rPr>
                <w:rFonts w:ascii="Times New Roman" w:hAnsi="Times New Roman" w:cs="Times New Roman"/>
                <w:color w:val="auto"/>
                <w:szCs w:val="21"/>
                <w:highlight w:val="none"/>
              </w:rPr>
            </w:pPr>
          </w:p>
        </w:tc>
        <w:tc>
          <w:tcPr>
            <w:tcW w:w="1917" w:type="dxa"/>
          </w:tcPr>
          <w:p w14:paraId="7DABE188">
            <w:pPr>
              <w:ind w:firstLine="0" w:firstLineChars="0"/>
              <w:rPr>
                <w:rFonts w:ascii="Times New Roman" w:hAnsi="Times New Roman" w:cs="Times New Roman"/>
                <w:color w:val="auto"/>
                <w:szCs w:val="21"/>
                <w:highlight w:val="none"/>
              </w:rPr>
            </w:pPr>
          </w:p>
        </w:tc>
      </w:tr>
      <w:tr w14:paraId="5DF4F2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6" w:hRule="atLeast"/>
          <w:jc w:val="center"/>
        </w:trPr>
        <w:tc>
          <w:tcPr>
            <w:tcW w:w="793" w:type="dxa"/>
          </w:tcPr>
          <w:p w14:paraId="0755F77B">
            <w:pPr>
              <w:ind w:firstLine="0" w:firstLineChars="0"/>
              <w:rPr>
                <w:rFonts w:ascii="Times New Roman" w:hAnsi="Times New Roman" w:cs="Times New Roman"/>
                <w:color w:val="auto"/>
                <w:szCs w:val="21"/>
                <w:highlight w:val="none"/>
              </w:rPr>
            </w:pPr>
          </w:p>
        </w:tc>
        <w:tc>
          <w:tcPr>
            <w:tcW w:w="793" w:type="dxa"/>
          </w:tcPr>
          <w:p w14:paraId="73CBCC8F">
            <w:pPr>
              <w:ind w:firstLine="0" w:firstLineChars="0"/>
              <w:rPr>
                <w:rFonts w:ascii="Times New Roman" w:hAnsi="Times New Roman" w:cs="Times New Roman"/>
                <w:color w:val="auto"/>
                <w:szCs w:val="21"/>
                <w:highlight w:val="none"/>
              </w:rPr>
            </w:pPr>
          </w:p>
        </w:tc>
        <w:tc>
          <w:tcPr>
            <w:tcW w:w="1057" w:type="dxa"/>
          </w:tcPr>
          <w:p w14:paraId="1414008A">
            <w:pPr>
              <w:ind w:firstLine="0" w:firstLineChars="0"/>
              <w:rPr>
                <w:rFonts w:ascii="Times New Roman" w:hAnsi="Times New Roman" w:cs="Times New Roman"/>
                <w:color w:val="auto"/>
                <w:szCs w:val="21"/>
                <w:highlight w:val="none"/>
              </w:rPr>
            </w:pPr>
          </w:p>
        </w:tc>
        <w:tc>
          <w:tcPr>
            <w:tcW w:w="794" w:type="dxa"/>
          </w:tcPr>
          <w:p w14:paraId="066B6333">
            <w:pPr>
              <w:ind w:firstLine="0" w:firstLineChars="0"/>
              <w:rPr>
                <w:rFonts w:ascii="Times New Roman" w:hAnsi="Times New Roman" w:cs="Times New Roman"/>
                <w:color w:val="auto"/>
                <w:szCs w:val="21"/>
                <w:highlight w:val="none"/>
              </w:rPr>
            </w:pPr>
          </w:p>
        </w:tc>
        <w:tc>
          <w:tcPr>
            <w:tcW w:w="794" w:type="dxa"/>
          </w:tcPr>
          <w:p w14:paraId="30F9BF2D">
            <w:pPr>
              <w:ind w:firstLine="0" w:firstLineChars="0"/>
              <w:rPr>
                <w:rFonts w:ascii="Times New Roman" w:hAnsi="Times New Roman" w:cs="Times New Roman"/>
                <w:color w:val="auto"/>
                <w:szCs w:val="21"/>
                <w:highlight w:val="none"/>
              </w:rPr>
            </w:pPr>
          </w:p>
        </w:tc>
        <w:tc>
          <w:tcPr>
            <w:tcW w:w="794" w:type="dxa"/>
          </w:tcPr>
          <w:p w14:paraId="583E8EFE">
            <w:pPr>
              <w:ind w:firstLine="0" w:firstLineChars="0"/>
              <w:rPr>
                <w:rFonts w:ascii="Times New Roman" w:hAnsi="Times New Roman" w:cs="Times New Roman"/>
                <w:color w:val="auto"/>
                <w:szCs w:val="21"/>
                <w:highlight w:val="none"/>
              </w:rPr>
            </w:pPr>
          </w:p>
        </w:tc>
        <w:tc>
          <w:tcPr>
            <w:tcW w:w="1057" w:type="dxa"/>
          </w:tcPr>
          <w:p w14:paraId="008C1E8B">
            <w:pPr>
              <w:ind w:firstLine="0" w:firstLineChars="0"/>
              <w:rPr>
                <w:rFonts w:ascii="Times New Roman" w:hAnsi="Times New Roman" w:cs="Times New Roman"/>
                <w:color w:val="auto"/>
                <w:szCs w:val="21"/>
                <w:highlight w:val="none"/>
              </w:rPr>
            </w:pPr>
          </w:p>
        </w:tc>
        <w:tc>
          <w:tcPr>
            <w:tcW w:w="1057" w:type="dxa"/>
          </w:tcPr>
          <w:p w14:paraId="30DCD072">
            <w:pPr>
              <w:ind w:firstLine="0" w:firstLineChars="0"/>
              <w:rPr>
                <w:rFonts w:ascii="Times New Roman" w:hAnsi="Times New Roman" w:cs="Times New Roman"/>
                <w:color w:val="auto"/>
                <w:szCs w:val="21"/>
                <w:highlight w:val="none"/>
              </w:rPr>
            </w:pPr>
          </w:p>
        </w:tc>
        <w:tc>
          <w:tcPr>
            <w:tcW w:w="1917" w:type="dxa"/>
          </w:tcPr>
          <w:p w14:paraId="76C3CA67">
            <w:pPr>
              <w:ind w:firstLine="0" w:firstLineChars="0"/>
              <w:rPr>
                <w:rFonts w:ascii="Times New Roman" w:hAnsi="Times New Roman" w:cs="Times New Roman"/>
                <w:color w:val="auto"/>
                <w:szCs w:val="21"/>
                <w:highlight w:val="none"/>
              </w:rPr>
            </w:pPr>
          </w:p>
        </w:tc>
      </w:tr>
      <w:tr w14:paraId="121FAB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6" w:hRule="atLeast"/>
          <w:jc w:val="center"/>
        </w:trPr>
        <w:tc>
          <w:tcPr>
            <w:tcW w:w="793" w:type="dxa"/>
          </w:tcPr>
          <w:p w14:paraId="23E903FA">
            <w:pPr>
              <w:ind w:firstLine="0" w:firstLineChars="0"/>
              <w:rPr>
                <w:rFonts w:ascii="Times New Roman" w:hAnsi="Times New Roman" w:cs="Times New Roman"/>
                <w:color w:val="auto"/>
                <w:szCs w:val="21"/>
                <w:highlight w:val="none"/>
              </w:rPr>
            </w:pPr>
          </w:p>
        </w:tc>
        <w:tc>
          <w:tcPr>
            <w:tcW w:w="793" w:type="dxa"/>
          </w:tcPr>
          <w:p w14:paraId="16B55A0E">
            <w:pPr>
              <w:ind w:firstLine="0" w:firstLineChars="0"/>
              <w:rPr>
                <w:rFonts w:ascii="Times New Roman" w:hAnsi="Times New Roman" w:cs="Times New Roman"/>
                <w:color w:val="auto"/>
                <w:szCs w:val="21"/>
                <w:highlight w:val="none"/>
              </w:rPr>
            </w:pPr>
          </w:p>
        </w:tc>
        <w:tc>
          <w:tcPr>
            <w:tcW w:w="1057" w:type="dxa"/>
          </w:tcPr>
          <w:p w14:paraId="7E7DC59A">
            <w:pPr>
              <w:ind w:firstLine="0" w:firstLineChars="0"/>
              <w:rPr>
                <w:rFonts w:ascii="Times New Roman" w:hAnsi="Times New Roman" w:cs="Times New Roman"/>
                <w:color w:val="auto"/>
                <w:szCs w:val="21"/>
                <w:highlight w:val="none"/>
              </w:rPr>
            </w:pPr>
          </w:p>
        </w:tc>
        <w:tc>
          <w:tcPr>
            <w:tcW w:w="794" w:type="dxa"/>
          </w:tcPr>
          <w:p w14:paraId="7E6526A4">
            <w:pPr>
              <w:ind w:firstLine="0" w:firstLineChars="0"/>
              <w:rPr>
                <w:rFonts w:ascii="Times New Roman" w:hAnsi="Times New Roman" w:cs="Times New Roman"/>
                <w:color w:val="auto"/>
                <w:szCs w:val="21"/>
                <w:highlight w:val="none"/>
              </w:rPr>
            </w:pPr>
          </w:p>
        </w:tc>
        <w:tc>
          <w:tcPr>
            <w:tcW w:w="794" w:type="dxa"/>
          </w:tcPr>
          <w:p w14:paraId="069DA1B8">
            <w:pPr>
              <w:ind w:firstLine="0" w:firstLineChars="0"/>
              <w:rPr>
                <w:rFonts w:ascii="Times New Roman" w:hAnsi="Times New Roman" w:cs="Times New Roman"/>
                <w:color w:val="auto"/>
                <w:szCs w:val="21"/>
                <w:highlight w:val="none"/>
              </w:rPr>
            </w:pPr>
          </w:p>
        </w:tc>
        <w:tc>
          <w:tcPr>
            <w:tcW w:w="794" w:type="dxa"/>
          </w:tcPr>
          <w:p w14:paraId="56511B13">
            <w:pPr>
              <w:ind w:firstLine="0" w:firstLineChars="0"/>
              <w:rPr>
                <w:rFonts w:ascii="Times New Roman" w:hAnsi="Times New Roman" w:cs="Times New Roman"/>
                <w:color w:val="auto"/>
                <w:szCs w:val="21"/>
                <w:highlight w:val="none"/>
              </w:rPr>
            </w:pPr>
          </w:p>
        </w:tc>
        <w:tc>
          <w:tcPr>
            <w:tcW w:w="1057" w:type="dxa"/>
          </w:tcPr>
          <w:p w14:paraId="4747F477">
            <w:pPr>
              <w:ind w:firstLine="0" w:firstLineChars="0"/>
              <w:rPr>
                <w:rFonts w:ascii="Times New Roman" w:hAnsi="Times New Roman" w:cs="Times New Roman"/>
                <w:color w:val="auto"/>
                <w:szCs w:val="21"/>
                <w:highlight w:val="none"/>
              </w:rPr>
            </w:pPr>
          </w:p>
        </w:tc>
        <w:tc>
          <w:tcPr>
            <w:tcW w:w="1057" w:type="dxa"/>
          </w:tcPr>
          <w:p w14:paraId="77D30B78">
            <w:pPr>
              <w:ind w:firstLine="0" w:firstLineChars="0"/>
              <w:rPr>
                <w:rFonts w:ascii="Times New Roman" w:hAnsi="Times New Roman" w:cs="Times New Roman"/>
                <w:color w:val="auto"/>
                <w:szCs w:val="21"/>
                <w:highlight w:val="none"/>
              </w:rPr>
            </w:pPr>
          </w:p>
        </w:tc>
        <w:tc>
          <w:tcPr>
            <w:tcW w:w="1917" w:type="dxa"/>
          </w:tcPr>
          <w:p w14:paraId="5E1725B8">
            <w:pPr>
              <w:ind w:firstLine="0" w:firstLineChars="0"/>
              <w:rPr>
                <w:rFonts w:ascii="Times New Roman" w:hAnsi="Times New Roman" w:cs="Times New Roman"/>
                <w:color w:val="auto"/>
                <w:szCs w:val="21"/>
                <w:highlight w:val="none"/>
              </w:rPr>
            </w:pPr>
          </w:p>
        </w:tc>
      </w:tr>
      <w:tr w14:paraId="304EED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6" w:hRule="atLeast"/>
          <w:jc w:val="center"/>
        </w:trPr>
        <w:tc>
          <w:tcPr>
            <w:tcW w:w="793" w:type="dxa"/>
          </w:tcPr>
          <w:p w14:paraId="25B8C828">
            <w:pPr>
              <w:ind w:firstLine="0" w:firstLineChars="0"/>
              <w:rPr>
                <w:rFonts w:ascii="Times New Roman" w:hAnsi="Times New Roman" w:cs="Times New Roman"/>
                <w:color w:val="auto"/>
                <w:szCs w:val="21"/>
                <w:highlight w:val="none"/>
              </w:rPr>
            </w:pPr>
          </w:p>
        </w:tc>
        <w:tc>
          <w:tcPr>
            <w:tcW w:w="793" w:type="dxa"/>
          </w:tcPr>
          <w:p w14:paraId="088C918D">
            <w:pPr>
              <w:ind w:firstLine="0" w:firstLineChars="0"/>
              <w:rPr>
                <w:rFonts w:ascii="Times New Roman" w:hAnsi="Times New Roman" w:cs="Times New Roman"/>
                <w:color w:val="auto"/>
                <w:szCs w:val="21"/>
                <w:highlight w:val="none"/>
              </w:rPr>
            </w:pPr>
          </w:p>
        </w:tc>
        <w:tc>
          <w:tcPr>
            <w:tcW w:w="1057" w:type="dxa"/>
          </w:tcPr>
          <w:p w14:paraId="77D714C5">
            <w:pPr>
              <w:ind w:firstLine="0" w:firstLineChars="0"/>
              <w:rPr>
                <w:rFonts w:ascii="Times New Roman" w:hAnsi="Times New Roman" w:cs="Times New Roman"/>
                <w:color w:val="auto"/>
                <w:szCs w:val="21"/>
                <w:highlight w:val="none"/>
              </w:rPr>
            </w:pPr>
          </w:p>
        </w:tc>
        <w:tc>
          <w:tcPr>
            <w:tcW w:w="794" w:type="dxa"/>
          </w:tcPr>
          <w:p w14:paraId="0DF8535C">
            <w:pPr>
              <w:ind w:firstLine="0" w:firstLineChars="0"/>
              <w:rPr>
                <w:rFonts w:ascii="Times New Roman" w:hAnsi="Times New Roman" w:cs="Times New Roman"/>
                <w:color w:val="auto"/>
                <w:szCs w:val="21"/>
                <w:highlight w:val="none"/>
              </w:rPr>
            </w:pPr>
          </w:p>
        </w:tc>
        <w:tc>
          <w:tcPr>
            <w:tcW w:w="794" w:type="dxa"/>
          </w:tcPr>
          <w:p w14:paraId="2B82366D">
            <w:pPr>
              <w:ind w:firstLine="0" w:firstLineChars="0"/>
              <w:rPr>
                <w:rFonts w:ascii="Times New Roman" w:hAnsi="Times New Roman" w:cs="Times New Roman"/>
                <w:color w:val="auto"/>
                <w:szCs w:val="21"/>
                <w:highlight w:val="none"/>
              </w:rPr>
            </w:pPr>
          </w:p>
        </w:tc>
        <w:tc>
          <w:tcPr>
            <w:tcW w:w="794" w:type="dxa"/>
          </w:tcPr>
          <w:p w14:paraId="20989641">
            <w:pPr>
              <w:ind w:firstLine="0" w:firstLineChars="0"/>
              <w:rPr>
                <w:rFonts w:ascii="Times New Roman" w:hAnsi="Times New Roman" w:cs="Times New Roman"/>
                <w:color w:val="auto"/>
                <w:szCs w:val="21"/>
                <w:highlight w:val="none"/>
              </w:rPr>
            </w:pPr>
          </w:p>
        </w:tc>
        <w:tc>
          <w:tcPr>
            <w:tcW w:w="1057" w:type="dxa"/>
          </w:tcPr>
          <w:p w14:paraId="540D54CA">
            <w:pPr>
              <w:ind w:firstLine="0" w:firstLineChars="0"/>
              <w:rPr>
                <w:rFonts w:ascii="Times New Roman" w:hAnsi="Times New Roman" w:cs="Times New Roman"/>
                <w:color w:val="auto"/>
                <w:szCs w:val="21"/>
                <w:highlight w:val="none"/>
              </w:rPr>
            </w:pPr>
          </w:p>
        </w:tc>
        <w:tc>
          <w:tcPr>
            <w:tcW w:w="1057" w:type="dxa"/>
          </w:tcPr>
          <w:p w14:paraId="053B0747">
            <w:pPr>
              <w:ind w:firstLine="0" w:firstLineChars="0"/>
              <w:rPr>
                <w:rFonts w:ascii="Times New Roman" w:hAnsi="Times New Roman" w:cs="Times New Roman"/>
                <w:color w:val="auto"/>
                <w:szCs w:val="21"/>
                <w:highlight w:val="none"/>
              </w:rPr>
            </w:pPr>
          </w:p>
        </w:tc>
        <w:tc>
          <w:tcPr>
            <w:tcW w:w="1917" w:type="dxa"/>
          </w:tcPr>
          <w:p w14:paraId="4E7B9FBE">
            <w:pPr>
              <w:ind w:firstLine="0" w:firstLineChars="0"/>
              <w:rPr>
                <w:rFonts w:ascii="Times New Roman" w:hAnsi="Times New Roman" w:cs="Times New Roman"/>
                <w:color w:val="auto"/>
                <w:szCs w:val="21"/>
                <w:highlight w:val="none"/>
              </w:rPr>
            </w:pPr>
          </w:p>
        </w:tc>
      </w:tr>
    </w:tbl>
    <w:p w14:paraId="1867952E">
      <w:pPr>
        <w:ind w:firstLine="0" w:firstLineChars="0"/>
        <w:rPr>
          <w:rFonts w:ascii="Times New Roman" w:hAnsi="Times New Roman" w:cs="Times New Roman"/>
          <w:color w:val="auto"/>
          <w:sz w:val="24"/>
          <w:szCs w:val="24"/>
          <w:highlight w:val="none"/>
        </w:rPr>
      </w:pPr>
      <w:r>
        <w:rPr>
          <w:rFonts w:ascii="Times New Roman" w:hAnsi="Times New Roman" w:cs="Times New Roman"/>
          <w:color w:val="auto"/>
          <w:szCs w:val="24"/>
          <w:highlight w:val="none"/>
        </w:rPr>
        <w:t>备注：此表由投标人按实际情况编制，</w:t>
      </w:r>
      <w:r>
        <w:rPr>
          <w:rFonts w:ascii="Times New Roman" w:hAnsi="Times New Roman" w:cs="Times New Roman"/>
          <w:color w:val="auto"/>
          <w:szCs w:val="21"/>
          <w:highlight w:val="none"/>
        </w:rPr>
        <w:t>如有则单列，此报价含在总报价中</w:t>
      </w:r>
      <w:r>
        <w:rPr>
          <w:rFonts w:hint="eastAsia" w:ascii="Times New Roman" w:hAnsi="Times New Roman" w:cs="Times New Roman"/>
          <w:color w:val="auto"/>
          <w:szCs w:val="21"/>
          <w:highlight w:val="none"/>
        </w:rPr>
        <w:t>，</w:t>
      </w:r>
      <w:r>
        <w:rPr>
          <w:rFonts w:ascii="Times New Roman" w:hAnsi="Times New Roman" w:cs="Times New Roman"/>
          <w:color w:val="auto"/>
          <w:szCs w:val="24"/>
          <w:highlight w:val="none"/>
        </w:rPr>
        <w:t>若无</w:t>
      </w:r>
      <w:r>
        <w:rPr>
          <w:rFonts w:hint="eastAsia" w:ascii="Times New Roman" w:hAnsi="Times New Roman" w:cs="Times New Roman"/>
          <w:color w:val="auto"/>
          <w:szCs w:val="24"/>
          <w:highlight w:val="none"/>
        </w:rPr>
        <w:t>专用工具</w:t>
      </w:r>
      <w:r>
        <w:rPr>
          <w:rFonts w:ascii="Times New Roman" w:hAnsi="Times New Roman" w:cs="Times New Roman"/>
          <w:color w:val="auto"/>
          <w:szCs w:val="24"/>
          <w:highlight w:val="none"/>
        </w:rPr>
        <w:t>则此表可不提供。</w:t>
      </w:r>
    </w:p>
    <w:p w14:paraId="09BC6C68">
      <w:pPr>
        <w:spacing w:line="240" w:lineRule="auto"/>
        <w:ind w:firstLine="0" w:firstLineChars="0"/>
        <w:rPr>
          <w:rFonts w:ascii="Times New Roman" w:hAnsi="Times New Roman" w:cs="Times New Roman"/>
          <w:color w:val="auto"/>
          <w:szCs w:val="21"/>
          <w:highlight w:val="none"/>
        </w:rPr>
      </w:pPr>
    </w:p>
    <w:p w14:paraId="3D8AAC45">
      <w:pPr>
        <w:spacing w:line="500" w:lineRule="exact"/>
        <w:ind w:firstLine="0" w:firstLineChars="0"/>
        <w:rPr>
          <w:rFonts w:ascii="Times New Roman" w:hAnsi="Times New Roman" w:cs="Times New Roman"/>
          <w:color w:val="auto"/>
          <w:szCs w:val="21"/>
          <w:highlight w:val="none"/>
        </w:rPr>
      </w:pPr>
    </w:p>
    <w:p w14:paraId="2B78D3E0">
      <w:pPr>
        <w:spacing w:line="500" w:lineRule="exact"/>
        <w:ind w:firstLine="0" w:firstLineChars="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br w:type="page"/>
      </w:r>
    </w:p>
    <w:p w14:paraId="6AD106C3">
      <w:pPr>
        <w:ind w:firstLine="0" w:firstLineChars="0"/>
        <w:jc w:val="center"/>
        <w:outlineLvl w:val="2"/>
        <w:rPr>
          <w:rFonts w:ascii="Times New Roman" w:hAnsi="Times New Roman" w:eastAsia="黑体" w:cs="Times New Roman"/>
          <w:bCs/>
          <w:color w:val="auto"/>
          <w:sz w:val="28"/>
          <w:szCs w:val="28"/>
          <w:highlight w:val="none"/>
        </w:rPr>
      </w:pPr>
      <w:r>
        <w:rPr>
          <w:rFonts w:ascii="Times New Roman" w:hAnsi="Times New Roman" w:eastAsia="黑体" w:cs="Times New Roman"/>
          <w:bCs/>
          <w:color w:val="auto"/>
          <w:sz w:val="28"/>
          <w:szCs w:val="28"/>
          <w:highlight w:val="none"/>
        </w:rPr>
        <w:t>备品备件、易损件表</w:t>
      </w:r>
    </w:p>
    <w:p w14:paraId="72577B95">
      <w:pPr>
        <w:spacing w:line="240" w:lineRule="auto"/>
        <w:ind w:firstLine="0" w:firstLineChars="0"/>
        <w:jc w:val="center"/>
        <w:rPr>
          <w:rFonts w:ascii="Times New Roman" w:hAnsi="Times New Roman" w:cs="Times New Roman"/>
          <w:color w:val="auto"/>
          <w:szCs w:val="24"/>
          <w:highlight w:val="none"/>
        </w:rPr>
      </w:pPr>
      <w:r>
        <w:rPr>
          <w:rFonts w:ascii="Times New Roman" w:hAnsi="Times New Roman" w:cs="Times New Roman"/>
          <w:color w:val="auto"/>
          <w:szCs w:val="24"/>
          <w:highlight w:val="none"/>
        </w:rPr>
        <w:t>（如有）</w:t>
      </w:r>
    </w:p>
    <w:p w14:paraId="0993FA52">
      <w:pPr>
        <w:ind w:firstLine="420"/>
        <w:rPr>
          <w:rFonts w:ascii="Times New Roman" w:hAnsi="Times New Roman" w:cs="Times New Roman"/>
          <w:color w:val="auto"/>
          <w:szCs w:val="24"/>
          <w:highlight w:val="none"/>
        </w:rPr>
      </w:pPr>
      <w:r>
        <w:rPr>
          <w:rFonts w:ascii="Times New Roman" w:hAnsi="Times New Roman" w:cs="Times New Roman"/>
          <w:color w:val="auto"/>
          <w:szCs w:val="21"/>
          <w:highlight w:val="none"/>
        </w:rPr>
        <w:t>我公司在此郑重承诺：若我公司有幸中标，在今后的售后服务中，我公司将严格按照下表中所列的优惠条件提供中标产品的备品备件、易损件。</w:t>
      </w:r>
    </w:p>
    <w:tbl>
      <w:tblPr>
        <w:tblStyle w:val="34"/>
        <w:tblW w:w="90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90"/>
        <w:gridCol w:w="704"/>
        <w:gridCol w:w="1354"/>
        <w:gridCol w:w="744"/>
        <w:gridCol w:w="591"/>
        <w:gridCol w:w="591"/>
        <w:gridCol w:w="849"/>
        <w:gridCol w:w="656"/>
        <w:gridCol w:w="1245"/>
        <w:gridCol w:w="1736"/>
      </w:tblGrid>
      <w:tr w14:paraId="72C9AD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90" w:type="dxa"/>
            <w:vAlign w:val="center"/>
          </w:tcPr>
          <w:p w14:paraId="0B2EDE8A">
            <w:pPr>
              <w:ind w:firstLine="0" w:firstLineChars="0"/>
              <w:jc w:val="center"/>
              <w:rPr>
                <w:rFonts w:ascii="Times New Roman" w:hAnsi="Times New Roman" w:cs="Times New Roman"/>
                <w:b/>
                <w:color w:val="auto"/>
                <w:szCs w:val="21"/>
                <w:highlight w:val="none"/>
              </w:rPr>
            </w:pPr>
            <w:r>
              <w:rPr>
                <w:rFonts w:ascii="Times New Roman" w:hAnsi="Times New Roman" w:cs="Times New Roman"/>
                <w:b/>
                <w:color w:val="auto"/>
                <w:szCs w:val="21"/>
                <w:highlight w:val="none"/>
              </w:rPr>
              <w:t>序号</w:t>
            </w:r>
          </w:p>
        </w:tc>
        <w:tc>
          <w:tcPr>
            <w:tcW w:w="704" w:type="dxa"/>
            <w:vAlign w:val="center"/>
          </w:tcPr>
          <w:p w14:paraId="5984E46B">
            <w:pPr>
              <w:ind w:firstLine="0" w:firstLineChars="0"/>
              <w:jc w:val="center"/>
              <w:rPr>
                <w:rFonts w:ascii="Times New Roman" w:hAnsi="Times New Roman" w:cs="Times New Roman"/>
                <w:b/>
                <w:color w:val="auto"/>
                <w:szCs w:val="21"/>
                <w:highlight w:val="none"/>
              </w:rPr>
            </w:pPr>
            <w:r>
              <w:rPr>
                <w:rFonts w:ascii="Times New Roman" w:hAnsi="Times New Roman" w:cs="Times New Roman"/>
                <w:b/>
                <w:color w:val="auto"/>
                <w:szCs w:val="21"/>
                <w:highlight w:val="none"/>
              </w:rPr>
              <w:t>名称</w:t>
            </w:r>
          </w:p>
        </w:tc>
        <w:tc>
          <w:tcPr>
            <w:tcW w:w="1354" w:type="dxa"/>
            <w:vAlign w:val="center"/>
          </w:tcPr>
          <w:p w14:paraId="53E41EAE">
            <w:pPr>
              <w:ind w:firstLine="0" w:firstLineChars="0"/>
              <w:jc w:val="center"/>
              <w:rPr>
                <w:rFonts w:ascii="Times New Roman" w:hAnsi="Times New Roman" w:cs="Times New Roman"/>
                <w:b/>
                <w:color w:val="auto"/>
                <w:szCs w:val="21"/>
                <w:highlight w:val="none"/>
              </w:rPr>
            </w:pPr>
            <w:r>
              <w:rPr>
                <w:rFonts w:ascii="Times New Roman" w:hAnsi="Times New Roman" w:cs="Times New Roman"/>
                <w:b/>
                <w:color w:val="auto"/>
                <w:szCs w:val="21"/>
                <w:highlight w:val="none"/>
              </w:rPr>
              <w:t>品牌、规格和型号</w:t>
            </w:r>
          </w:p>
        </w:tc>
        <w:tc>
          <w:tcPr>
            <w:tcW w:w="744" w:type="dxa"/>
            <w:vAlign w:val="center"/>
          </w:tcPr>
          <w:p w14:paraId="3BB7E7C7">
            <w:pPr>
              <w:ind w:firstLine="0" w:firstLineChars="0"/>
              <w:jc w:val="center"/>
              <w:rPr>
                <w:rFonts w:ascii="Times New Roman" w:hAnsi="Times New Roman" w:cs="Times New Roman"/>
                <w:b/>
                <w:color w:val="auto"/>
                <w:szCs w:val="21"/>
                <w:highlight w:val="none"/>
              </w:rPr>
            </w:pPr>
            <w:r>
              <w:rPr>
                <w:rFonts w:ascii="Times New Roman" w:hAnsi="Times New Roman" w:cs="Times New Roman"/>
                <w:b/>
                <w:color w:val="auto"/>
                <w:szCs w:val="21"/>
                <w:highlight w:val="none"/>
              </w:rPr>
              <w:t>材质</w:t>
            </w:r>
          </w:p>
        </w:tc>
        <w:tc>
          <w:tcPr>
            <w:tcW w:w="591" w:type="dxa"/>
            <w:vAlign w:val="center"/>
          </w:tcPr>
          <w:p w14:paraId="731EEBA6">
            <w:pPr>
              <w:ind w:firstLine="0" w:firstLineChars="0"/>
              <w:jc w:val="center"/>
              <w:rPr>
                <w:rFonts w:ascii="Times New Roman" w:hAnsi="Times New Roman" w:cs="Times New Roman"/>
                <w:b/>
                <w:color w:val="auto"/>
                <w:szCs w:val="21"/>
                <w:highlight w:val="none"/>
              </w:rPr>
            </w:pPr>
            <w:r>
              <w:rPr>
                <w:rFonts w:ascii="Times New Roman" w:hAnsi="Times New Roman" w:cs="Times New Roman"/>
                <w:b/>
                <w:color w:val="auto"/>
                <w:szCs w:val="21"/>
                <w:highlight w:val="none"/>
              </w:rPr>
              <w:t>数量</w:t>
            </w:r>
          </w:p>
        </w:tc>
        <w:tc>
          <w:tcPr>
            <w:tcW w:w="591" w:type="dxa"/>
            <w:vAlign w:val="center"/>
          </w:tcPr>
          <w:p w14:paraId="0823E3D0">
            <w:pPr>
              <w:ind w:firstLine="0" w:firstLineChars="0"/>
              <w:jc w:val="center"/>
              <w:rPr>
                <w:rFonts w:ascii="Times New Roman" w:hAnsi="Times New Roman" w:cs="Times New Roman"/>
                <w:b/>
                <w:color w:val="auto"/>
                <w:szCs w:val="21"/>
                <w:highlight w:val="none"/>
              </w:rPr>
            </w:pPr>
            <w:r>
              <w:rPr>
                <w:rFonts w:ascii="Times New Roman" w:hAnsi="Times New Roman" w:cs="Times New Roman"/>
                <w:b/>
                <w:color w:val="auto"/>
                <w:szCs w:val="21"/>
                <w:highlight w:val="none"/>
              </w:rPr>
              <w:t>单位</w:t>
            </w:r>
          </w:p>
        </w:tc>
        <w:tc>
          <w:tcPr>
            <w:tcW w:w="849" w:type="dxa"/>
            <w:vAlign w:val="center"/>
          </w:tcPr>
          <w:p w14:paraId="33861AD3">
            <w:pPr>
              <w:ind w:firstLine="0" w:firstLineChars="0"/>
              <w:jc w:val="center"/>
              <w:rPr>
                <w:rFonts w:ascii="Times New Roman" w:hAnsi="Times New Roman" w:cs="Times New Roman"/>
                <w:b/>
                <w:color w:val="auto"/>
                <w:szCs w:val="21"/>
                <w:highlight w:val="none"/>
              </w:rPr>
            </w:pPr>
            <w:r>
              <w:rPr>
                <w:rFonts w:ascii="Times New Roman" w:hAnsi="Times New Roman" w:cs="Times New Roman"/>
                <w:b/>
                <w:color w:val="auto"/>
                <w:szCs w:val="21"/>
                <w:highlight w:val="none"/>
              </w:rPr>
              <w:t>单价</w:t>
            </w:r>
          </w:p>
          <w:p w14:paraId="2C374401">
            <w:pPr>
              <w:ind w:firstLine="0" w:firstLineChars="0"/>
              <w:jc w:val="center"/>
              <w:rPr>
                <w:rFonts w:ascii="Times New Roman" w:hAnsi="Times New Roman" w:cs="Times New Roman"/>
                <w:b/>
                <w:color w:val="auto"/>
                <w:szCs w:val="21"/>
                <w:highlight w:val="none"/>
              </w:rPr>
            </w:pPr>
            <w:r>
              <w:rPr>
                <w:rFonts w:ascii="Times New Roman" w:hAnsi="Times New Roman" w:cs="Times New Roman"/>
                <w:b/>
                <w:color w:val="auto"/>
                <w:szCs w:val="21"/>
                <w:highlight w:val="none"/>
              </w:rPr>
              <w:t>（元）</w:t>
            </w:r>
          </w:p>
        </w:tc>
        <w:tc>
          <w:tcPr>
            <w:tcW w:w="656" w:type="dxa"/>
            <w:vAlign w:val="center"/>
          </w:tcPr>
          <w:p w14:paraId="6594643E">
            <w:pPr>
              <w:ind w:firstLine="0" w:firstLineChars="0"/>
              <w:jc w:val="center"/>
              <w:rPr>
                <w:rFonts w:ascii="Times New Roman" w:hAnsi="Times New Roman" w:cs="Times New Roman"/>
                <w:b/>
                <w:color w:val="auto"/>
                <w:szCs w:val="21"/>
                <w:highlight w:val="none"/>
              </w:rPr>
            </w:pPr>
            <w:r>
              <w:rPr>
                <w:rFonts w:ascii="Times New Roman" w:hAnsi="Times New Roman" w:cs="Times New Roman"/>
                <w:b/>
                <w:color w:val="auto"/>
                <w:szCs w:val="21"/>
                <w:highlight w:val="none"/>
              </w:rPr>
              <w:t>优惠</w:t>
            </w:r>
          </w:p>
          <w:p w14:paraId="3BA48B44">
            <w:pPr>
              <w:ind w:firstLine="0" w:firstLineChars="0"/>
              <w:jc w:val="center"/>
              <w:rPr>
                <w:rFonts w:ascii="Times New Roman" w:hAnsi="Times New Roman" w:cs="Times New Roman"/>
                <w:b/>
                <w:color w:val="auto"/>
                <w:szCs w:val="21"/>
                <w:highlight w:val="none"/>
              </w:rPr>
            </w:pPr>
            <w:r>
              <w:rPr>
                <w:rFonts w:ascii="Times New Roman" w:hAnsi="Times New Roman" w:cs="Times New Roman"/>
                <w:b/>
                <w:color w:val="auto"/>
                <w:szCs w:val="21"/>
                <w:highlight w:val="none"/>
              </w:rPr>
              <w:t>比例</w:t>
            </w:r>
          </w:p>
        </w:tc>
        <w:tc>
          <w:tcPr>
            <w:tcW w:w="1245" w:type="dxa"/>
            <w:vAlign w:val="center"/>
          </w:tcPr>
          <w:p w14:paraId="22F5CDDB">
            <w:pPr>
              <w:ind w:firstLine="0" w:firstLineChars="0"/>
              <w:jc w:val="center"/>
              <w:rPr>
                <w:rFonts w:ascii="Times New Roman" w:hAnsi="Times New Roman" w:cs="Times New Roman"/>
                <w:b/>
                <w:color w:val="auto"/>
                <w:szCs w:val="21"/>
                <w:highlight w:val="none"/>
              </w:rPr>
            </w:pPr>
            <w:r>
              <w:rPr>
                <w:rFonts w:ascii="Times New Roman" w:hAnsi="Times New Roman" w:cs="Times New Roman"/>
                <w:b/>
                <w:color w:val="auto"/>
                <w:szCs w:val="21"/>
                <w:highlight w:val="none"/>
              </w:rPr>
              <w:t>实际投标单价</w:t>
            </w:r>
          </w:p>
        </w:tc>
        <w:tc>
          <w:tcPr>
            <w:tcW w:w="1736" w:type="dxa"/>
            <w:vAlign w:val="center"/>
          </w:tcPr>
          <w:p w14:paraId="65E42E7F">
            <w:pPr>
              <w:ind w:firstLine="0" w:firstLineChars="0"/>
              <w:jc w:val="center"/>
              <w:rPr>
                <w:rFonts w:ascii="Times New Roman" w:hAnsi="Times New Roman" w:cs="Times New Roman"/>
                <w:b/>
                <w:color w:val="auto"/>
                <w:szCs w:val="21"/>
                <w:highlight w:val="none"/>
              </w:rPr>
            </w:pPr>
            <w:r>
              <w:rPr>
                <w:rFonts w:ascii="Times New Roman" w:hAnsi="Times New Roman" w:cs="Times New Roman"/>
                <w:b/>
                <w:color w:val="auto"/>
                <w:szCs w:val="21"/>
                <w:highlight w:val="none"/>
              </w:rPr>
              <w:t>是否已含在总报价中</w:t>
            </w:r>
          </w:p>
        </w:tc>
      </w:tr>
      <w:tr w14:paraId="74D46B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2" w:hRule="atLeast"/>
          <w:jc w:val="center"/>
        </w:trPr>
        <w:tc>
          <w:tcPr>
            <w:tcW w:w="590" w:type="dxa"/>
            <w:vAlign w:val="center"/>
          </w:tcPr>
          <w:p w14:paraId="7642BF8D">
            <w:pPr>
              <w:spacing w:line="240" w:lineRule="auto"/>
              <w:ind w:firstLine="0" w:firstLineChars="0"/>
              <w:rPr>
                <w:rFonts w:ascii="Times New Roman" w:hAnsi="Times New Roman" w:cs="Times New Roman"/>
                <w:color w:val="auto"/>
                <w:szCs w:val="21"/>
                <w:highlight w:val="none"/>
              </w:rPr>
            </w:pPr>
          </w:p>
        </w:tc>
        <w:tc>
          <w:tcPr>
            <w:tcW w:w="704" w:type="dxa"/>
            <w:vAlign w:val="center"/>
          </w:tcPr>
          <w:p w14:paraId="4B0D8CC1">
            <w:pPr>
              <w:spacing w:line="240" w:lineRule="auto"/>
              <w:ind w:firstLine="0" w:firstLineChars="0"/>
              <w:rPr>
                <w:rFonts w:ascii="Times New Roman" w:hAnsi="Times New Roman" w:cs="Times New Roman"/>
                <w:color w:val="auto"/>
                <w:szCs w:val="21"/>
                <w:highlight w:val="none"/>
              </w:rPr>
            </w:pPr>
          </w:p>
        </w:tc>
        <w:tc>
          <w:tcPr>
            <w:tcW w:w="1354" w:type="dxa"/>
            <w:vAlign w:val="center"/>
          </w:tcPr>
          <w:p w14:paraId="06A8E968">
            <w:pPr>
              <w:spacing w:line="240" w:lineRule="auto"/>
              <w:ind w:firstLine="0" w:firstLineChars="0"/>
              <w:rPr>
                <w:rFonts w:ascii="Times New Roman" w:hAnsi="Times New Roman" w:cs="Times New Roman"/>
                <w:color w:val="auto"/>
                <w:szCs w:val="21"/>
                <w:highlight w:val="none"/>
              </w:rPr>
            </w:pPr>
          </w:p>
        </w:tc>
        <w:tc>
          <w:tcPr>
            <w:tcW w:w="744" w:type="dxa"/>
            <w:vAlign w:val="center"/>
          </w:tcPr>
          <w:p w14:paraId="70B10F9D">
            <w:pPr>
              <w:spacing w:line="240" w:lineRule="auto"/>
              <w:ind w:firstLine="0" w:firstLineChars="0"/>
              <w:rPr>
                <w:rFonts w:ascii="Times New Roman" w:hAnsi="Times New Roman" w:cs="Times New Roman"/>
                <w:color w:val="auto"/>
                <w:szCs w:val="21"/>
                <w:highlight w:val="none"/>
              </w:rPr>
            </w:pPr>
          </w:p>
        </w:tc>
        <w:tc>
          <w:tcPr>
            <w:tcW w:w="591" w:type="dxa"/>
            <w:vAlign w:val="center"/>
          </w:tcPr>
          <w:p w14:paraId="47087CDB">
            <w:pPr>
              <w:spacing w:line="240" w:lineRule="auto"/>
              <w:ind w:firstLine="0" w:firstLineChars="0"/>
              <w:rPr>
                <w:rFonts w:ascii="Times New Roman" w:hAnsi="Times New Roman" w:cs="Times New Roman"/>
                <w:color w:val="auto"/>
                <w:szCs w:val="21"/>
                <w:highlight w:val="none"/>
              </w:rPr>
            </w:pPr>
          </w:p>
        </w:tc>
        <w:tc>
          <w:tcPr>
            <w:tcW w:w="591" w:type="dxa"/>
            <w:vAlign w:val="center"/>
          </w:tcPr>
          <w:p w14:paraId="1DD2060B">
            <w:pPr>
              <w:spacing w:line="240" w:lineRule="auto"/>
              <w:ind w:firstLine="0" w:firstLineChars="0"/>
              <w:rPr>
                <w:rFonts w:ascii="Times New Roman" w:hAnsi="Times New Roman" w:cs="Times New Roman"/>
                <w:color w:val="auto"/>
                <w:szCs w:val="21"/>
                <w:highlight w:val="none"/>
              </w:rPr>
            </w:pPr>
          </w:p>
        </w:tc>
        <w:tc>
          <w:tcPr>
            <w:tcW w:w="849" w:type="dxa"/>
            <w:vAlign w:val="center"/>
          </w:tcPr>
          <w:p w14:paraId="0CE7CA05">
            <w:pPr>
              <w:spacing w:line="240" w:lineRule="auto"/>
              <w:ind w:firstLine="0" w:firstLineChars="0"/>
              <w:rPr>
                <w:rFonts w:ascii="Times New Roman" w:hAnsi="Times New Roman" w:cs="Times New Roman"/>
                <w:color w:val="auto"/>
                <w:szCs w:val="21"/>
                <w:highlight w:val="none"/>
              </w:rPr>
            </w:pPr>
          </w:p>
        </w:tc>
        <w:tc>
          <w:tcPr>
            <w:tcW w:w="656" w:type="dxa"/>
            <w:vAlign w:val="center"/>
          </w:tcPr>
          <w:p w14:paraId="7933EA68">
            <w:pPr>
              <w:spacing w:line="240" w:lineRule="auto"/>
              <w:ind w:firstLine="0" w:firstLineChars="0"/>
              <w:rPr>
                <w:rFonts w:ascii="Times New Roman" w:hAnsi="Times New Roman" w:cs="Times New Roman"/>
                <w:color w:val="auto"/>
                <w:szCs w:val="21"/>
                <w:highlight w:val="none"/>
              </w:rPr>
            </w:pPr>
            <w:r>
              <w:rPr>
                <w:rFonts w:ascii="Times New Roman" w:hAnsi="Times New Roman" w:cs="Times New Roman"/>
                <w:color w:val="auto"/>
                <w:sz w:val="24"/>
                <w:szCs w:val="24"/>
                <w:highlight w:val="none"/>
              </w:rPr>
              <w:t>%</w:t>
            </w:r>
          </w:p>
        </w:tc>
        <w:tc>
          <w:tcPr>
            <w:tcW w:w="1245" w:type="dxa"/>
            <w:vAlign w:val="center"/>
          </w:tcPr>
          <w:p w14:paraId="3964B975">
            <w:pPr>
              <w:spacing w:line="240" w:lineRule="auto"/>
              <w:ind w:firstLine="0" w:firstLineChars="0"/>
              <w:rPr>
                <w:rFonts w:ascii="Times New Roman" w:hAnsi="Times New Roman" w:cs="Times New Roman"/>
                <w:color w:val="auto"/>
                <w:szCs w:val="21"/>
                <w:highlight w:val="none"/>
              </w:rPr>
            </w:pPr>
          </w:p>
        </w:tc>
        <w:tc>
          <w:tcPr>
            <w:tcW w:w="1736" w:type="dxa"/>
            <w:vAlign w:val="center"/>
          </w:tcPr>
          <w:p w14:paraId="76ED0D2F">
            <w:pPr>
              <w:spacing w:line="240" w:lineRule="auto"/>
              <w:ind w:firstLine="0" w:firstLineChars="0"/>
              <w:rPr>
                <w:rFonts w:ascii="Times New Roman" w:hAnsi="Times New Roman" w:cs="Times New Roman"/>
                <w:color w:val="auto"/>
                <w:szCs w:val="21"/>
                <w:highlight w:val="none"/>
              </w:rPr>
            </w:pPr>
          </w:p>
        </w:tc>
      </w:tr>
      <w:tr w14:paraId="54BD5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590" w:type="dxa"/>
            <w:vAlign w:val="center"/>
          </w:tcPr>
          <w:p w14:paraId="20B4D2FE">
            <w:pPr>
              <w:spacing w:line="240" w:lineRule="auto"/>
              <w:ind w:firstLine="0" w:firstLineChars="0"/>
              <w:rPr>
                <w:rFonts w:ascii="Times New Roman" w:hAnsi="Times New Roman" w:cs="Times New Roman"/>
                <w:color w:val="auto"/>
                <w:szCs w:val="21"/>
                <w:highlight w:val="none"/>
              </w:rPr>
            </w:pPr>
          </w:p>
        </w:tc>
        <w:tc>
          <w:tcPr>
            <w:tcW w:w="704" w:type="dxa"/>
            <w:vAlign w:val="center"/>
          </w:tcPr>
          <w:p w14:paraId="3E994317">
            <w:pPr>
              <w:spacing w:line="240" w:lineRule="auto"/>
              <w:ind w:firstLine="0" w:firstLineChars="0"/>
              <w:rPr>
                <w:rFonts w:ascii="Times New Roman" w:hAnsi="Times New Roman" w:cs="Times New Roman"/>
                <w:color w:val="auto"/>
                <w:szCs w:val="21"/>
                <w:highlight w:val="none"/>
              </w:rPr>
            </w:pPr>
          </w:p>
        </w:tc>
        <w:tc>
          <w:tcPr>
            <w:tcW w:w="1354" w:type="dxa"/>
            <w:vAlign w:val="center"/>
          </w:tcPr>
          <w:p w14:paraId="1BEA166A">
            <w:pPr>
              <w:spacing w:line="240" w:lineRule="auto"/>
              <w:ind w:firstLine="0" w:firstLineChars="0"/>
              <w:rPr>
                <w:rFonts w:ascii="Times New Roman" w:hAnsi="Times New Roman" w:cs="Times New Roman"/>
                <w:color w:val="auto"/>
                <w:szCs w:val="21"/>
                <w:highlight w:val="none"/>
              </w:rPr>
            </w:pPr>
          </w:p>
        </w:tc>
        <w:tc>
          <w:tcPr>
            <w:tcW w:w="744" w:type="dxa"/>
            <w:vAlign w:val="center"/>
          </w:tcPr>
          <w:p w14:paraId="6706E978">
            <w:pPr>
              <w:spacing w:line="240" w:lineRule="auto"/>
              <w:ind w:firstLine="0" w:firstLineChars="0"/>
              <w:rPr>
                <w:rFonts w:ascii="Times New Roman" w:hAnsi="Times New Roman" w:cs="Times New Roman"/>
                <w:color w:val="auto"/>
                <w:szCs w:val="21"/>
                <w:highlight w:val="none"/>
              </w:rPr>
            </w:pPr>
          </w:p>
        </w:tc>
        <w:tc>
          <w:tcPr>
            <w:tcW w:w="591" w:type="dxa"/>
            <w:vAlign w:val="center"/>
          </w:tcPr>
          <w:p w14:paraId="53A48FE7">
            <w:pPr>
              <w:spacing w:line="240" w:lineRule="auto"/>
              <w:ind w:firstLine="0" w:firstLineChars="0"/>
              <w:rPr>
                <w:rFonts w:ascii="Times New Roman" w:hAnsi="Times New Roman" w:cs="Times New Roman"/>
                <w:color w:val="auto"/>
                <w:szCs w:val="21"/>
                <w:highlight w:val="none"/>
              </w:rPr>
            </w:pPr>
          </w:p>
        </w:tc>
        <w:tc>
          <w:tcPr>
            <w:tcW w:w="591" w:type="dxa"/>
            <w:vAlign w:val="center"/>
          </w:tcPr>
          <w:p w14:paraId="3967003E">
            <w:pPr>
              <w:spacing w:line="240" w:lineRule="auto"/>
              <w:ind w:firstLine="0" w:firstLineChars="0"/>
              <w:rPr>
                <w:rFonts w:ascii="Times New Roman" w:hAnsi="Times New Roman" w:cs="Times New Roman"/>
                <w:color w:val="auto"/>
                <w:szCs w:val="21"/>
                <w:highlight w:val="none"/>
              </w:rPr>
            </w:pPr>
          </w:p>
        </w:tc>
        <w:tc>
          <w:tcPr>
            <w:tcW w:w="849" w:type="dxa"/>
            <w:vAlign w:val="center"/>
          </w:tcPr>
          <w:p w14:paraId="5FDF960C">
            <w:pPr>
              <w:spacing w:line="240" w:lineRule="auto"/>
              <w:ind w:firstLine="0" w:firstLineChars="0"/>
              <w:rPr>
                <w:rFonts w:ascii="Times New Roman" w:hAnsi="Times New Roman" w:cs="Times New Roman"/>
                <w:color w:val="auto"/>
                <w:szCs w:val="21"/>
                <w:highlight w:val="none"/>
              </w:rPr>
            </w:pPr>
          </w:p>
        </w:tc>
        <w:tc>
          <w:tcPr>
            <w:tcW w:w="656" w:type="dxa"/>
            <w:vAlign w:val="center"/>
          </w:tcPr>
          <w:p w14:paraId="5270EC32">
            <w:pPr>
              <w:spacing w:line="240" w:lineRule="auto"/>
              <w:ind w:firstLine="0" w:firstLineChars="0"/>
              <w:rPr>
                <w:rFonts w:ascii="Times New Roman" w:hAnsi="Times New Roman" w:cs="Times New Roman"/>
                <w:color w:val="auto"/>
                <w:szCs w:val="21"/>
                <w:highlight w:val="none"/>
              </w:rPr>
            </w:pPr>
            <w:r>
              <w:rPr>
                <w:rFonts w:ascii="Times New Roman" w:hAnsi="Times New Roman" w:cs="Times New Roman"/>
                <w:color w:val="auto"/>
                <w:sz w:val="24"/>
                <w:szCs w:val="24"/>
                <w:highlight w:val="none"/>
              </w:rPr>
              <w:t>%</w:t>
            </w:r>
          </w:p>
        </w:tc>
        <w:tc>
          <w:tcPr>
            <w:tcW w:w="1245" w:type="dxa"/>
            <w:vAlign w:val="center"/>
          </w:tcPr>
          <w:p w14:paraId="64700F42">
            <w:pPr>
              <w:spacing w:line="240" w:lineRule="auto"/>
              <w:ind w:firstLine="0" w:firstLineChars="0"/>
              <w:rPr>
                <w:rFonts w:ascii="Times New Roman" w:hAnsi="Times New Roman" w:cs="Times New Roman"/>
                <w:color w:val="auto"/>
                <w:szCs w:val="21"/>
                <w:highlight w:val="none"/>
              </w:rPr>
            </w:pPr>
          </w:p>
        </w:tc>
        <w:tc>
          <w:tcPr>
            <w:tcW w:w="1736" w:type="dxa"/>
            <w:vAlign w:val="center"/>
          </w:tcPr>
          <w:p w14:paraId="4621F177">
            <w:pPr>
              <w:spacing w:line="240" w:lineRule="auto"/>
              <w:ind w:firstLine="0" w:firstLineChars="0"/>
              <w:rPr>
                <w:rFonts w:ascii="Times New Roman" w:hAnsi="Times New Roman" w:cs="Times New Roman"/>
                <w:color w:val="auto"/>
                <w:szCs w:val="21"/>
                <w:highlight w:val="none"/>
              </w:rPr>
            </w:pPr>
          </w:p>
        </w:tc>
      </w:tr>
      <w:tr w14:paraId="3BECC3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590" w:type="dxa"/>
            <w:vAlign w:val="center"/>
          </w:tcPr>
          <w:p w14:paraId="73CE0824">
            <w:pPr>
              <w:spacing w:line="240" w:lineRule="auto"/>
              <w:ind w:firstLine="0" w:firstLineChars="0"/>
              <w:rPr>
                <w:rFonts w:ascii="Times New Roman" w:hAnsi="Times New Roman" w:cs="Times New Roman"/>
                <w:color w:val="auto"/>
                <w:szCs w:val="21"/>
                <w:highlight w:val="none"/>
              </w:rPr>
            </w:pPr>
          </w:p>
        </w:tc>
        <w:tc>
          <w:tcPr>
            <w:tcW w:w="704" w:type="dxa"/>
            <w:vAlign w:val="center"/>
          </w:tcPr>
          <w:p w14:paraId="43C5A145">
            <w:pPr>
              <w:spacing w:line="240" w:lineRule="auto"/>
              <w:ind w:firstLine="0" w:firstLineChars="0"/>
              <w:rPr>
                <w:rFonts w:ascii="Times New Roman" w:hAnsi="Times New Roman" w:cs="Times New Roman"/>
                <w:color w:val="auto"/>
                <w:szCs w:val="21"/>
                <w:highlight w:val="none"/>
              </w:rPr>
            </w:pPr>
          </w:p>
        </w:tc>
        <w:tc>
          <w:tcPr>
            <w:tcW w:w="1354" w:type="dxa"/>
            <w:vAlign w:val="center"/>
          </w:tcPr>
          <w:p w14:paraId="5D2C7BDA">
            <w:pPr>
              <w:spacing w:line="240" w:lineRule="auto"/>
              <w:ind w:firstLine="0" w:firstLineChars="0"/>
              <w:rPr>
                <w:rFonts w:ascii="Times New Roman" w:hAnsi="Times New Roman" w:cs="Times New Roman"/>
                <w:color w:val="auto"/>
                <w:szCs w:val="21"/>
                <w:highlight w:val="none"/>
              </w:rPr>
            </w:pPr>
          </w:p>
        </w:tc>
        <w:tc>
          <w:tcPr>
            <w:tcW w:w="744" w:type="dxa"/>
            <w:vAlign w:val="center"/>
          </w:tcPr>
          <w:p w14:paraId="7D2B3995">
            <w:pPr>
              <w:spacing w:line="240" w:lineRule="auto"/>
              <w:ind w:firstLine="0" w:firstLineChars="0"/>
              <w:rPr>
                <w:rFonts w:ascii="Times New Roman" w:hAnsi="Times New Roman" w:cs="Times New Roman"/>
                <w:color w:val="auto"/>
                <w:szCs w:val="21"/>
                <w:highlight w:val="none"/>
              </w:rPr>
            </w:pPr>
          </w:p>
        </w:tc>
        <w:tc>
          <w:tcPr>
            <w:tcW w:w="591" w:type="dxa"/>
            <w:vAlign w:val="center"/>
          </w:tcPr>
          <w:p w14:paraId="529CB8FA">
            <w:pPr>
              <w:spacing w:line="240" w:lineRule="auto"/>
              <w:ind w:firstLine="0" w:firstLineChars="0"/>
              <w:rPr>
                <w:rFonts w:ascii="Times New Roman" w:hAnsi="Times New Roman" w:cs="Times New Roman"/>
                <w:color w:val="auto"/>
                <w:szCs w:val="21"/>
                <w:highlight w:val="none"/>
              </w:rPr>
            </w:pPr>
          </w:p>
        </w:tc>
        <w:tc>
          <w:tcPr>
            <w:tcW w:w="591" w:type="dxa"/>
            <w:vAlign w:val="center"/>
          </w:tcPr>
          <w:p w14:paraId="462BE973">
            <w:pPr>
              <w:spacing w:line="240" w:lineRule="auto"/>
              <w:ind w:firstLine="0" w:firstLineChars="0"/>
              <w:rPr>
                <w:rFonts w:ascii="Times New Roman" w:hAnsi="Times New Roman" w:cs="Times New Roman"/>
                <w:color w:val="auto"/>
                <w:szCs w:val="21"/>
                <w:highlight w:val="none"/>
              </w:rPr>
            </w:pPr>
          </w:p>
        </w:tc>
        <w:tc>
          <w:tcPr>
            <w:tcW w:w="849" w:type="dxa"/>
            <w:vAlign w:val="center"/>
          </w:tcPr>
          <w:p w14:paraId="0E51AED9">
            <w:pPr>
              <w:spacing w:line="240" w:lineRule="auto"/>
              <w:ind w:firstLine="0" w:firstLineChars="0"/>
              <w:rPr>
                <w:rFonts w:ascii="Times New Roman" w:hAnsi="Times New Roman" w:cs="Times New Roman"/>
                <w:color w:val="auto"/>
                <w:szCs w:val="21"/>
                <w:highlight w:val="none"/>
              </w:rPr>
            </w:pPr>
          </w:p>
        </w:tc>
        <w:tc>
          <w:tcPr>
            <w:tcW w:w="656" w:type="dxa"/>
            <w:vAlign w:val="center"/>
          </w:tcPr>
          <w:p w14:paraId="4C9CEDA4">
            <w:pPr>
              <w:spacing w:line="240" w:lineRule="auto"/>
              <w:ind w:firstLine="0" w:firstLineChars="0"/>
              <w:rPr>
                <w:rFonts w:ascii="Times New Roman" w:hAnsi="Times New Roman" w:cs="Times New Roman"/>
                <w:color w:val="auto"/>
                <w:szCs w:val="21"/>
                <w:highlight w:val="none"/>
              </w:rPr>
            </w:pPr>
            <w:r>
              <w:rPr>
                <w:rFonts w:ascii="Times New Roman" w:hAnsi="Times New Roman" w:cs="Times New Roman"/>
                <w:color w:val="auto"/>
                <w:sz w:val="24"/>
                <w:szCs w:val="24"/>
                <w:highlight w:val="none"/>
              </w:rPr>
              <w:t>%</w:t>
            </w:r>
          </w:p>
        </w:tc>
        <w:tc>
          <w:tcPr>
            <w:tcW w:w="1245" w:type="dxa"/>
            <w:vAlign w:val="center"/>
          </w:tcPr>
          <w:p w14:paraId="3B35DEEC">
            <w:pPr>
              <w:spacing w:line="240" w:lineRule="auto"/>
              <w:ind w:firstLine="0" w:firstLineChars="0"/>
              <w:rPr>
                <w:rFonts w:ascii="Times New Roman" w:hAnsi="Times New Roman" w:cs="Times New Roman"/>
                <w:color w:val="auto"/>
                <w:szCs w:val="21"/>
                <w:highlight w:val="none"/>
              </w:rPr>
            </w:pPr>
          </w:p>
        </w:tc>
        <w:tc>
          <w:tcPr>
            <w:tcW w:w="1736" w:type="dxa"/>
            <w:vAlign w:val="center"/>
          </w:tcPr>
          <w:p w14:paraId="5BD4F026">
            <w:pPr>
              <w:spacing w:line="240" w:lineRule="auto"/>
              <w:ind w:firstLine="0" w:firstLineChars="0"/>
              <w:rPr>
                <w:rFonts w:ascii="Times New Roman" w:hAnsi="Times New Roman" w:cs="Times New Roman"/>
                <w:color w:val="auto"/>
                <w:szCs w:val="21"/>
                <w:highlight w:val="none"/>
              </w:rPr>
            </w:pPr>
          </w:p>
        </w:tc>
      </w:tr>
      <w:tr w14:paraId="54B770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5" w:hRule="atLeast"/>
          <w:jc w:val="center"/>
        </w:trPr>
        <w:tc>
          <w:tcPr>
            <w:tcW w:w="590" w:type="dxa"/>
            <w:vAlign w:val="center"/>
          </w:tcPr>
          <w:p w14:paraId="0A8025DD">
            <w:pPr>
              <w:spacing w:line="240" w:lineRule="auto"/>
              <w:ind w:firstLine="0" w:firstLineChars="0"/>
              <w:rPr>
                <w:rFonts w:ascii="Times New Roman" w:hAnsi="Times New Roman" w:cs="Times New Roman"/>
                <w:color w:val="auto"/>
                <w:szCs w:val="21"/>
                <w:highlight w:val="none"/>
              </w:rPr>
            </w:pPr>
          </w:p>
        </w:tc>
        <w:tc>
          <w:tcPr>
            <w:tcW w:w="704" w:type="dxa"/>
            <w:vAlign w:val="center"/>
          </w:tcPr>
          <w:p w14:paraId="6EFDDA63">
            <w:pPr>
              <w:spacing w:line="240" w:lineRule="auto"/>
              <w:ind w:firstLine="0" w:firstLineChars="0"/>
              <w:rPr>
                <w:rFonts w:ascii="Times New Roman" w:hAnsi="Times New Roman" w:cs="Times New Roman"/>
                <w:color w:val="auto"/>
                <w:szCs w:val="21"/>
                <w:highlight w:val="none"/>
              </w:rPr>
            </w:pPr>
          </w:p>
        </w:tc>
        <w:tc>
          <w:tcPr>
            <w:tcW w:w="1354" w:type="dxa"/>
            <w:vAlign w:val="center"/>
          </w:tcPr>
          <w:p w14:paraId="68AF1CB3">
            <w:pPr>
              <w:spacing w:line="240" w:lineRule="auto"/>
              <w:ind w:firstLine="0" w:firstLineChars="0"/>
              <w:rPr>
                <w:rFonts w:ascii="Times New Roman" w:hAnsi="Times New Roman" w:cs="Times New Roman"/>
                <w:color w:val="auto"/>
                <w:szCs w:val="21"/>
                <w:highlight w:val="none"/>
              </w:rPr>
            </w:pPr>
          </w:p>
        </w:tc>
        <w:tc>
          <w:tcPr>
            <w:tcW w:w="744" w:type="dxa"/>
            <w:vAlign w:val="center"/>
          </w:tcPr>
          <w:p w14:paraId="075518BE">
            <w:pPr>
              <w:spacing w:line="240" w:lineRule="auto"/>
              <w:ind w:firstLine="0" w:firstLineChars="0"/>
              <w:rPr>
                <w:rFonts w:ascii="Times New Roman" w:hAnsi="Times New Roman" w:cs="Times New Roman"/>
                <w:color w:val="auto"/>
                <w:szCs w:val="21"/>
                <w:highlight w:val="none"/>
              </w:rPr>
            </w:pPr>
          </w:p>
        </w:tc>
        <w:tc>
          <w:tcPr>
            <w:tcW w:w="591" w:type="dxa"/>
            <w:vAlign w:val="center"/>
          </w:tcPr>
          <w:p w14:paraId="4A9EE35C">
            <w:pPr>
              <w:spacing w:line="240" w:lineRule="auto"/>
              <w:ind w:firstLine="0" w:firstLineChars="0"/>
              <w:rPr>
                <w:rFonts w:ascii="Times New Roman" w:hAnsi="Times New Roman" w:cs="Times New Roman"/>
                <w:color w:val="auto"/>
                <w:szCs w:val="21"/>
                <w:highlight w:val="none"/>
              </w:rPr>
            </w:pPr>
          </w:p>
        </w:tc>
        <w:tc>
          <w:tcPr>
            <w:tcW w:w="591" w:type="dxa"/>
            <w:vAlign w:val="center"/>
          </w:tcPr>
          <w:p w14:paraId="0B68ED01">
            <w:pPr>
              <w:spacing w:line="240" w:lineRule="auto"/>
              <w:ind w:firstLine="0" w:firstLineChars="0"/>
              <w:rPr>
                <w:rFonts w:ascii="Times New Roman" w:hAnsi="Times New Roman" w:cs="Times New Roman"/>
                <w:color w:val="auto"/>
                <w:szCs w:val="21"/>
                <w:highlight w:val="none"/>
              </w:rPr>
            </w:pPr>
          </w:p>
        </w:tc>
        <w:tc>
          <w:tcPr>
            <w:tcW w:w="849" w:type="dxa"/>
            <w:vAlign w:val="center"/>
          </w:tcPr>
          <w:p w14:paraId="5A5B5DB1">
            <w:pPr>
              <w:spacing w:line="240" w:lineRule="auto"/>
              <w:ind w:firstLine="0" w:firstLineChars="0"/>
              <w:rPr>
                <w:rFonts w:ascii="Times New Roman" w:hAnsi="Times New Roman" w:cs="Times New Roman"/>
                <w:color w:val="auto"/>
                <w:szCs w:val="21"/>
                <w:highlight w:val="none"/>
              </w:rPr>
            </w:pPr>
          </w:p>
        </w:tc>
        <w:tc>
          <w:tcPr>
            <w:tcW w:w="656" w:type="dxa"/>
            <w:vAlign w:val="center"/>
          </w:tcPr>
          <w:p w14:paraId="4768573C">
            <w:pPr>
              <w:spacing w:line="240" w:lineRule="auto"/>
              <w:ind w:firstLine="0" w:firstLineChars="0"/>
              <w:rPr>
                <w:rFonts w:ascii="Times New Roman" w:hAnsi="Times New Roman" w:cs="Times New Roman"/>
                <w:color w:val="auto"/>
                <w:szCs w:val="21"/>
                <w:highlight w:val="none"/>
              </w:rPr>
            </w:pPr>
          </w:p>
        </w:tc>
        <w:tc>
          <w:tcPr>
            <w:tcW w:w="1245" w:type="dxa"/>
            <w:vAlign w:val="center"/>
          </w:tcPr>
          <w:p w14:paraId="3AE1FC4A">
            <w:pPr>
              <w:spacing w:line="240" w:lineRule="auto"/>
              <w:ind w:firstLine="0" w:firstLineChars="0"/>
              <w:rPr>
                <w:rFonts w:ascii="Times New Roman" w:hAnsi="Times New Roman" w:cs="Times New Roman"/>
                <w:color w:val="auto"/>
                <w:szCs w:val="21"/>
                <w:highlight w:val="none"/>
              </w:rPr>
            </w:pPr>
          </w:p>
        </w:tc>
        <w:tc>
          <w:tcPr>
            <w:tcW w:w="1736" w:type="dxa"/>
            <w:vAlign w:val="center"/>
          </w:tcPr>
          <w:p w14:paraId="2F3DB7FB">
            <w:pPr>
              <w:spacing w:line="240" w:lineRule="auto"/>
              <w:ind w:firstLine="0" w:firstLineChars="0"/>
              <w:rPr>
                <w:rFonts w:ascii="Times New Roman" w:hAnsi="Times New Roman" w:cs="Times New Roman"/>
                <w:color w:val="auto"/>
                <w:szCs w:val="21"/>
                <w:highlight w:val="none"/>
              </w:rPr>
            </w:pPr>
          </w:p>
        </w:tc>
      </w:tr>
      <w:tr w14:paraId="5C4B6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6" w:hRule="atLeast"/>
          <w:jc w:val="center"/>
        </w:trPr>
        <w:tc>
          <w:tcPr>
            <w:tcW w:w="590" w:type="dxa"/>
            <w:vAlign w:val="center"/>
          </w:tcPr>
          <w:p w14:paraId="20B39D7F">
            <w:pPr>
              <w:spacing w:line="240" w:lineRule="auto"/>
              <w:ind w:firstLine="0" w:firstLineChars="0"/>
              <w:rPr>
                <w:rFonts w:ascii="Times New Roman" w:hAnsi="Times New Roman" w:cs="Times New Roman"/>
                <w:color w:val="auto"/>
                <w:szCs w:val="21"/>
                <w:highlight w:val="none"/>
              </w:rPr>
            </w:pPr>
          </w:p>
        </w:tc>
        <w:tc>
          <w:tcPr>
            <w:tcW w:w="704" w:type="dxa"/>
            <w:vAlign w:val="center"/>
          </w:tcPr>
          <w:p w14:paraId="15D819FC">
            <w:pPr>
              <w:spacing w:line="240" w:lineRule="auto"/>
              <w:ind w:firstLine="0" w:firstLineChars="0"/>
              <w:rPr>
                <w:rFonts w:ascii="Times New Roman" w:hAnsi="Times New Roman" w:cs="Times New Roman"/>
                <w:color w:val="auto"/>
                <w:szCs w:val="21"/>
                <w:highlight w:val="none"/>
              </w:rPr>
            </w:pPr>
          </w:p>
        </w:tc>
        <w:tc>
          <w:tcPr>
            <w:tcW w:w="1354" w:type="dxa"/>
            <w:vAlign w:val="center"/>
          </w:tcPr>
          <w:p w14:paraId="28439A26">
            <w:pPr>
              <w:spacing w:line="240" w:lineRule="auto"/>
              <w:ind w:firstLine="0" w:firstLineChars="0"/>
              <w:rPr>
                <w:rFonts w:ascii="Times New Roman" w:hAnsi="Times New Roman" w:cs="Times New Roman"/>
                <w:color w:val="auto"/>
                <w:szCs w:val="21"/>
                <w:highlight w:val="none"/>
              </w:rPr>
            </w:pPr>
          </w:p>
        </w:tc>
        <w:tc>
          <w:tcPr>
            <w:tcW w:w="744" w:type="dxa"/>
            <w:vAlign w:val="center"/>
          </w:tcPr>
          <w:p w14:paraId="31F03B28">
            <w:pPr>
              <w:spacing w:line="240" w:lineRule="auto"/>
              <w:ind w:firstLine="0" w:firstLineChars="0"/>
              <w:rPr>
                <w:rFonts w:ascii="Times New Roman" w:hAnsi="Times New Roman" w:cs="Times New Roman"/>
                <w:color w:val="auto"/>
                <w:szCs w:val="21"/>
                <w:highlight w:val="none"/>
              </w:rPr>
            </w:pPr>
          </w:p>
        </w:tc>
        <w:tc>
          <w:tcPr>
            <w:tcW w:w="591" w:type="dxa"/>
            <w:vAlign w:val="center"/>
          </w:tcPr>
          <w:p w14:paraId="0B159DF9">
            <w:pPr>
              <w:spacing w:line="240" w:lineRule="auto"/>
              <w:ind w:firstLine="0" w:firstLineChars="0"/>
              <w:rPr>
                <w:rFonts w:ascii="Times New Roman" w:hAnsi="Times New Roman" w:cs="Times New Roman"/>
                <w:color w:val="auto"/>
                <w:szCs w:val="21"/>
                <w:highlight w:val="none"/>
              </w:rPr>
            </w:pPr>
          </w:p>
        </w:tc>
        <w:tc>
          <w:tcPr>
            <w:tcW w:w="591" w:type="dxa"/>
            <w:vAlign w:val="center"/>
          </w:tcPr>
          <w:p w14:paraId="493C983A">
            <w:pPr>
              <w:spacing w:line="240" w:lineRule="auto"/>
              <w:ind w:firstLine="0" w:firstLineChars="0"/>
              <w:rPr>
                <w:rFonts w:ascii="Times New Roman" w:hAnsi="Times New Roman" w:cs="Times New Roman"/>
                <w:color w:val="auto"/>
                <w:szCs w:val="21"/>
                <w:highlight w:val="none"/>
              </w:rPr>
            </w:pPr>
          </w:p>
        </w:tc>
        <w:tc>
          <w:tcPr>
            <w:tcW w:w="849" w:type="dxa"/>
            <w:vAlign w:val="center"/>
          </w:tcPr>
          <w:p w14:paraId="1BE31405">
            <w:pPr>
              <w:spacing w:line="240" w:lineRule="auto"/>
              <w:ind w:firstLine="0" w:firstLineChars="0"/>
              <w:rPr>
                <w:rFonts w:ascii="Times New Roman" w:hAnsi="Times New Roman" w:cs="Times New Roman"/>
                <w:color w:val="auto"/>
                <w:szCs w:val="21"/>
                <w:highlight w:val="none"/>
              </w:rPr>
            </w:pPr>
          </w:p>
        </w:tc>
        <w:tc>
          <w:tcPr>
            <w:tcW w:w="656" w:type="dxa"/>
            <w:vAlign w:val="center"/>
          </w:tcPr>
          <w:p w14:paraId="4CD0B77A">
            <w:pPr>
              <w:spacing w:line="240" w:lineRule="auto"/>
              <w:ind w:firstLine="0" w:firstLineChars="0"/>
              <w:rPr>
                <w:rFonts w:ascii="Times New Roman" w:hAnsi="Times New Roman" w:cs="Times New Roman"/>
                <w:color w:val="auto"/>
                <w:szCs w:val="21"/>
                <w:highlight w:val="none"/>
              </w:rPr>
            </w:pPr>
          </w:p>
        </w:tc>
        <w:tc>
          <w:tcPr>
            <w:tcW w:w="1245" w:type="dxa"/>
            <w:vAlign w:val="center"/>
          </w:tcPr>
          <w:p w14:paraId="678B74AC">
            <w:pPr>
              <w:spacing w:line="240" w:lineRule="auto"/>
              <w:ind w:firstLine="0" w:firstLineChars="0"/>
              <w:rPr>
                <w:rFonts w:ascii="Times New Roman" w:hAnsi="Times New Roman" w:cs="Times New Roman"/>
                <w:color w:val="auto"/>
                <w:szCs w:val="21"/>
                <w:highlight w:val="none"/>
              </w:rPr>
            </w:pPr>
          </w:p>
        </w:tc>
        <w:tc>
          <w:tcPr>
            <w:tcW w:w="1736" w:type="dxa"/>
            <w:vAlign w:val="center"/>
          </w:tcPr>
          <w:p w14:paraId="079D992C">
            <w:pPr>
              <w:spacing w:line="240" w:lineRule="auto"/>
              <w:ind w:firstLine="0" w:firstLineChars="0"/>
              <w:rPr>
                <w:rFonts w:ascii="Times New Roman" w:hAnsi="Times New Roman" w:cs="Times New Roman"/>
                <w:color w:val="auto"/>
                <w:szCs w:val="21"/>
                <w:highlight w:val="none"/>
              </w:rPr>
            </w:pPr>
          </w:p>
        </w:tc>
      </w:tr>
    </w:tbl>
    <w:p w14:paraId="619A971B">
      <w:pPr>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设备验收开始使用后至质保期结束前正常、连续地使用所必须的备品备件、易损件已计入投标总价中。</w:t>
      </w:r>
    </w:p>
    <w:p w14:paraId="7032BF93">
      <w:pPr>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上述优惠比例及实际投标单价可以</w:t>
      </w:r>
      <w:r>
        <w:rPr>
          <w:rFonts w:hint="eastAsia" w:ascii="Times New Roman" w:hAnsi="Times New Roman" w:cs="Times New Roman"/>
          <w:color w:val="auto"/>
          <w:szCs w:val="21"/>
          <w:highlight w:val="none"/>
        </w:rPr>
        <w:t>沿用</w:t>
      </w:r>
      <w:r>
        <w:rPr>
          <w:rFonts w:ascii="Times New Roman" w:hAnsi="Times New Roman" w:cs="Times New Roman"/>
          <w:color w:val="auto"/>
          <w:szCs w:val="21"/>
          <w:highlight w:val="none"/>
        </w:rPr>
        <w:t>到质保期满以后的备品备件更换中，也可以根据以后的市场价按上述优惠比例进行下调，本报价的币种为人民币（元）。</w:t>
      </w:r>
    </w:p>
    <w:p w14:paraId="37831E02">
      <w:pPr>
        <w:ind w:firstLine="420"/>
        <w:rPr>
          <w:rFonts w:ascii="Times New Roman" w:hAnsi="Times New Roman" w:cs="Times New Roman"/>
          <w:color w:val="auto"/>
          <w:szCs w:val="24"/>
          <w:highlight w:val="none"/>
        </w:rPr>
      </w:pPr>
      <w:r>
        <w:rPr>
          <w:rFonts w:ascii="Times New Roman" w:hAnsi="Times New Roman" w:cs="Times New Roman"/>
          <w:color w:val="auto"/>
          <w:szCs w:val="21"/>
          <w:highlight w:val="none"/>
        </w:rPr>
        <w:t>特此承诺！</w:t>
      </w:r>
    </w:p>
    <w:p w14:paraId="4DFEA156">
      <w:pPr>
        <w:spacing w:line="240" w:lineRule="auto"/>
        <w:ind w:firstLine="420"/>
        <w:rPr>
          <w:rFonts w:ascii="Times New Roman" w:hAnsi="Times New Roman" w:cs="Times New Roman"/>
          <w:color w:val="auto"/>
          <w:szCs w:val="24"/>
          <w:highlight w:val="none"/>
        </w:rPr>
      </w:pPr>
    </w:p>
    <w:p w14:paraId="42AFC5B0">
      <w:pPr>
        <w:spacing w:line="240" w:lineRule="auto"/>
        <w:ind w:firstLine="420"/>
        <w:rPr>
          <w:rFonts w:ascii="Times New Roman" w:hAnsi="Times New Roman" w:cs="Times New Roman"/>
          <w:color w:val="auto"/>
          <w:sz w:val="24"/>
          <w:szCs w:val="24"/>
          <w:highlight w:val="none"/>
        </w:rPr>
      </w:pPr>
      <w:r>
        <w:rPr>
          <w:rFonts w:ascii="Times New Roman" w:hAnsi="Times New Roman" w:cs="Times New Roman"/>
          <w:color w:val="auto"/>
          <w:szCs w:val="24"/>
          <w:highlight w:val="none"/>
        </w:rPr>
        <w:t>备注：此表由投标人按实际情况编制，若无备品备件则此表可不提供。</w:t>
      </w:r>
    </w:p>
    <w:p w14:paraId="05C570A9">
      <w:pPr>
        <w:ind w:firstLine="600"/>
        <w:rPr>
          <w:rFonts w:ascii="Times New Roman" w:hAnsi="Times New Roman" w:cs="Times New Roman"/>
          <w:color w:val="auto"/>
          <w:szCs w:val="21"/>
          <w:highlight w:val="none"/>
        </w:rPr>
      </w:pPr>
      <w:r>
        <w:rPr>
          <w:rFonts w:ascii="Times New Roman" w:hAnsi="Times New Roman" w:eastAsia="黑体" w:cs="Times New Roman"/>
          <w:color w:val="auto"/>
          <w:sz w:val="30"/>
          <w:szCs w:val="30"/>
          <w:highlight w:val="none"/>
        </w:rPr>
        <w:br w:type="page"/>
      </w:r>
    </w:p>
    <w:p w14:paraId="77DFE6DE">
      <w:pPr>
        <w:spacing w:before="165"/>
        <w:ind w:firstLine="420"/>
        <w:jc w:val="center"/>
        <w:rPr>
          <w:rFonts w:ascii="Times New Roman" w:hAnsi="Times New Roman" w:cs="Times New Roman"/>
          <w:color w:val="auto"/>
          <w:highlight w:val="none"/>
        </w:rPr>
      </w:pPr>
    </w:p>
    <w:p w14:paraId="7330C777">
      <w:pPr>
        <w:pStyle w:val="3"/>
        <w:spacing w:before="165"/>
        <w:jc w:val="center"/>
        <w:rPr>
          <w:rFonts w:ascii="Times New Roman" w:hAnsi="Times New Roman" w:cs="Times New Roman"/>
          <w:color w:val="auto"/>
          <w:highlight w:val="none"/>
        </w:rPr>
      </w:pPr>
      <w:r>
        <w:rPr>
          <w:rFonts w:ascii="Times New Roman" w:hAnsi="Times New Roman" w:cs="Times New Roman"/>
          <w:color w:val="auto"/>
          <w:highlight w:val="none"/>
        </w:rPr>
        <w:t>三、</w:t>
      </w:r>
      <w:r>
        <w:rPr>
          <w:rFonts w:hint="eastAsia" w:ascii="Times New Roman" w:hAnsi="Times New Roman" w:cs="Times New Roman"/>
          <w:color w:val="auto"/>
          <w:highlight w:val="none"/>
        </w:rPr>
        <w:t>技术</w:t>
      </w:r>
      <w:r>
        <w:rPr>
          <w:rFonts w:ascii="Times New Roman" w:hAnsi="Times New Roman" w:cs="Times New Roman"/>
          <w:color w:val="auto"/>
          <w:highlight w:val="none"/>
        </w:rPr>
        <w:t>商务文件部分</w:t>
      </w:r>
      <w:bookmarkEnd w:id="751"/>
      <w:bookmarkEnd w:id="752"/>
      <w:bookmarkEnd w:id="759"/>
    </w:p>
    <w:bookmarkEnd w:id="760"/>
    <w:p w14:paraId="45937D51">
      <w:pPr>
        <w:spacing w:line="440" w:lineRule="exact"/>
        <w:ind w:firstLine="0" w:firstLineChars="0"/>
        <w:jc w:val="center"/>
        <w:outlineLvl w:val="2"/>
        <w:rPr>
          <w:rFonts w:ascii="Times New Roman" w:hAnsi="Times New Roman" w:eastAsia="黑体" w:cs="Times New Roman"/>
          <w:color w:val="auto"/>
          <w:sz w:val="30"/>
          <w:szCs w:val="30"/>
          <w:highlight w:val="none"/>
        </w:rPr>
      </w:pPr>
      <w:bookmarkStart w:id="761" w:name="_Toc49935363"/>
      <w:bookmarkStart w:id="762" w:name="OLE_LINK147"/>
      <w:bookmarkStart w:id="763" w:name="_Toc26783962"/>
      <w:bookmarkStart w:id="764" w:name="_Toc68090084"/>
      <w:bookmarkStart w:id="765" w:name="_Toc6581"/>
      <w:bookmarkStart w:id="766" w:name="OLE_LINK124"/>
      <w:bookmarkStart w:id="767" w:name="_Toc5364"/>
      <w:bookmarkStart w:id="768" w:name="_Toc25819"/>
      <w:bookmarkStart w:id="769" w:name="_Toc26783977"/>
      <w:bookmarkStart w:id="770" w:name="_Toc68090098"/>
      <w:bookmarkStart w:id="771" w:name="_Toc44576639"/>
      <w:bookmarkStart w:id="772" w:name="OLE_LINK156"/>
      <w:bookmarkStart w:id="773" w:name="_Toc272421901"/>
      <w:bookmarkStart w:id="774" w:name="_Toc213141106"/>
      <w:bookmarkStart w:id="775" w:name="_Toc3848"/>
      <w:bookmarkStart w:id="776" w:name="_Toc51288987"/>
      <w:bookmarkStart w:id="777" w:name="_Toc49935361"/>
      <w:bookmarkStart w:id="778" w:name="_Toc26783960"/>
      <w:bookmarkStart w:id="779" w:name="_Toc68090081"/>
      <w:bookmarkStart w:id="780" w:name="_Hlk519063903"/>
      <w:r>
        <w:rPr>
          <w:rFonts w:hint="eastAsia" w:ascii="宋体" w:hAnsi="宋体" w:cs="宋体"/>
          <w:color w:val="auto"/>
          <w:sz w:val="28"/>
          <w:szCs w:val="28"/>
          <w:highlight w:val="none"/>
        </w:rPr>
        <w:t>★</w:t>
      </w:r>
      <w:r>
        <w:rPr>
          <w:rFonts w:ascii="Times New Roman" w:hAnsi="Times New Roman" w:eastAsia="黑体" w:cs="Times New Roman"/>
          <w:color w:val="auto"/>
          <w:sz w:val="28"/>
          <w:szCs w:val="28"/>
          <w:highlight w:val="none"/>
        </w:rPr>
        <w:t>投标函</w:t>
      </w:r>
      <w:bookmarkEnd w:id="761"/>
      <w:bookmarkEnd w:id="762"/>
      <w:bookmarkEnd w:id="763"/>
      <w:bookmarkEnd w:id="764"/>
      <w:bookmarkEnd w:id="765"/>
    </w:p>
    <w:p w14:paraId="36E239A8">
      <w:pPr>
        <w:spacing w:line="440" w:lineRule="exact"/>
        <w:ind w:firstLine="0" w:firstLineChars="0"/>
        <w:rPr>
          <w:rFonts w:ascii="Times New Roman" w:hAnsi="Times New Roman" w:cs="Times New Roman"/>
          <w:color w:val="auto"/>
          <w:szCs w:val="21"/>
          <w:highlight w:val="none"/>
        </w:rPr>
      </w:pPr>
      <w:r>
        <w:rPr>
          <w:rFonts w:ascii="Times New Roman" w:hAnsi="Times New Roman" w:cs="Times New Roman"/>
          <w:color w:val="auto"/>
          <w:szCs w:val="21"/>
          <w:highlight w:val="none"/>
        </w:rPr>
        <w:t>致：</w:t>
      </w:r>
      <w:r>
        <w:rPr>
          <w:rFonts w:hint="eastAsia" w:ascii="Times New Roman" w:hAnsi="Times New Roman" w:cs="Times New Roman"/>
          <w:color w:val="auto"/>
          <w:szCs w:val="21"/>
          <w:highlight w:val="none"/>
          <w:u w:val="single"/>
        </w:rPr>
        <w:t>（采购人）</w:t>
      </w:r>
    </w:p>
    <w:p w14:paraId="63D4F88E">
      <w:pPr>
        <w:spacing w:line="440" w:lineRule="exact"/>
        <w:ind w:firstLine="420"/>
        <w:rPr>
          <w:rFonts w:ascii="Times New Roman" w:hAnsi="Times New Roman" w:cs="Times New Roman"/>
          <w:color w:val="auto"/>
          <w:szCs w:val="21"/>
          <w:highlight w:val="none"/>
        </w:rPr>
      </w:pPr>
      <w:r>
        <w:rPr>
          <w:rFonts w:hint="eastAsia" w:hAnsi="宋体" w:cs="宋体"/>
          <w:color w:val="auto"/>
          <w:szCs w:val="21"/>
          <w:highlight w:val="none"/>
        </w:rPr>
        <w:t>我方仔细研究了</w:t>
      </w:r>
      <w:r>
        <w:rPr>
          <w:rFonts w:hint="eastAsia" w:hAnsi="宋体" w:cs="宋体"/>
          <w:color w:val="auto"/>
          <w:szCs w:val="21"/>
          <w:highlight w:val="none"/>
          <w:u w:val="single"/>
        </w:rPr>
        <w:t>（</w:t>
      </w:r>
      <w:bookmarkStart w:id="781" w:name="OLE_LINK108"/>
      <w:r>
        <w:rPr>
          <w:rFonts w:hint="eastAsia" w:hAnsi="宋体" w:cs="宋体"/>
          <w:color w:val="auto"/>
          <w:szCs w:val="21"/>
          <w:highlight w:val="none"/>
          <w:u w:val="single"/>
        </w:rPr>
        <w:t>采购</w:t>
      </w:r>
      <w:bookmarkEnd w:id="781"/>
      <w:r>
        <w:rPr>
          <w:rFonts w:hint="eastAsia" w:hAnsi="宋体" w:cs="宋体"/>
          <w:color w:val="auto"/>
          <w:szCs w:val="21"/>
          <w:highlight w:val="none"/>
          <w:u w:val="single"/>
        </w:rPr>
        <w:t xml:space="preserve">项目名称）   </w:t>
      </w:r>
      <w:r>
        <w:rPr>
          <w:rFonts w:hint="eastAsia" w:hAnsi="宋体" w:cs="宋体"/>
          <w:color w:val="auto"/>
          <w:szCs w:val="21"/>
          <w:highlight w:val="none"/>
        </w:rPr>
        <w:t>（项目编号：）（标段：）项目招标文件的全部内容</w:t>
      </w:r>
      <w:r>
        <w:rPr>
          <w:rFonts w:ascii="Times New Roman" w:hAnsi="Times New Roman" w:cs="Times New Roman"/>
          <w:color w:val="auto"/>
          <w:szCs w:val="21"/>
          <w:highlight w:val="none"/>
        </w:rPr>
        <w:t>，正式授权</w:t>
      </w:r>
      <w:r>
        <w:rPr>
          <w:rFonts w:ascii="Times New Roman" w:hAnsi="Times New Roman" w:cs="Times New Roman"/>
          <w:color w:val="auto"/>
          <w:szCs w:val="21"/>
          <w:highlight w:val="none"/>
          <w:u w:val="single"/>
        </w:rPr>
        <w:t xml:space="preserve">   （姓名）     </w:t>
      </w:r>
      <w:r>
        <w:rPr>
          <w:rFonts w:ascii="Times New Roman" w:hAnsi="Times New Roman" w:cs="Times New Roman"/>
          <w:color w:val="auto"/>
          <w:szCs w:val="21"/>
          <w:highlight w:val="none"/>
        </w:rPr>
        <w:t>全权代表投标人</w:t>
      </w:r>
      <w:r>
        <w:rPr>
          <w:rFonts w:ascii="Times New Roman" w:hAnsi="Times New Roman" w:cs="Times New Roman"/>
          <w:color w:val="auto"/>
          <w:szCs w:val="21"/>
          <w:highlight w:val="none"/>
          <w:u w:val="single"/>
        </w:rPr>
        <w:t xml:space="preserve">  （投标人全称）   </w:t>
      </w:r>
      <w:r>
        <w:rPr>
          <w:rFonts w:ascii="Times New Roman" w:hAnsi="Times New Roman" w:cs="Times New Roman"/>
          <w:color w:val="auto"/>
          <w:szCs w:val="21"/>
          <w:highlight w:val="none"/>
        </w:rPr>
        <w:t>参加投标，并提交投标文件。</w:t>
      </w:r>
    </w:p>
    <w:p w14:paraId="6E52BCD7">
      <w:pPr>
        <w:spacing w:line="440" w:lineRule="exact"/>
        <w:ind w:firstLine="420"/>
        <w:rPr>
          <w:rFonts w:ascii="宋体" w:hAnsi="宋体" w:cs="宋体"/>
          <w:color w:val="auto"/>
          <w:szCs w:val="21"/>
          <w:highlight w:val="none"/>
        </w:rPr>
      </w:pPr>
      <w:bookmarkStart w:id="782" w:name="OLE_LINK153"/>
      <w:r>
        <w:rPr>
          <w:rFonts w:hint="eastAsia" w:ascii="宋体" w:hAnsi="宋体" w:cs="宋体"/>
          <w:color w:val="auto"/>
          <w:szCs w:val="21"/>
          <w:highlight w:val="none"/>
        </w:rPr>
        <w:t>据此函，我方兹宣布同意如下：</w:t>
      </w:r>
    </w:p>
    <w:p w14:paraId="2DD0A274">
      <w:pPr>
        <w:spacing w:line="440" w:lineRule="exact"/>
        <w:ind w:firstLine="420"/>
        <w:rPr>
          <w:rFonts w:ascii="宋体" w:hAnsi="宋体" w:cs="宋体"/>
          <w:color w:val="auto"/>
          <w:szCs w:val="21"/>
          <w:highlight w:val="none"/>
        </w:rPr>
      </w:pPr>
      <w:r>
        <w:rPr>
          <w:rFonts w:hint="eastAsia" w:ascii="宋体" w:hAnsi="宋体" w:cs="宋体"/>
          <w:color w:val="auto"/>
          <w:szCs w:val="21"/>
          <w:highlight w:val="none"/>
        </w:rPr>
        <w:t>1.按招</w:t>
      </w:r>
      <w:bookmarkStart w:id="783" w:name="OLE_LINK294"/>
      <w:r>
        <w:rPr>
          <w:rFonts w:hint="eastAsia" w:ascii="宋体" w:hAnsi="宋体" w:cs="宋体"/>
          <w:color w:val="auto"/>
          <w:szCs w:val="21"/>
          <w:highlight w:val="none"/>
        </w:rPr>
        <w:t>标文件要</w:t>
      </w:r>
      <w:bookmarkStart w:id="784" w:name="OLE_LINK109"/>
      <w:r>
        <w:rPr>
          <w:rFonts w:hint="eastAsia" w:ascii="宋体" w:hAnsi="宋体" w:cs="宋体"/>
          <w:color w:val="auto"/>
          <w:szCs w:val="21"/>
          <w:highlight w:val="none"/>
        </w:rPr>
        <w:t>求</w:t>
      </w:r>
      <w:bookmarkStart w:id="785" w:name="OLE_LINK369"/>
      <w:r>
        <w:rPr>
          <w:rFonts w:hint="eastAsia" w:ascii="宋体" w:hAnsi="宋体" w:cs="宋体"/>
          <w:color w:val="auto"/>
          <w:szCs w:val="21"/>
          <w:highlight w:val="none"/>
        </w:rPr>
        <w:t>，</w:t>
      </w:r>
      <w:bookmarkEnd w:id="785"/>
      <w:bookmarkStart w:id="786" w:name="OLE_LINK241"/>
      <w:bookmarkStart w:id="787" w:name="OLE_LINK293"/>
      <w:r>
        <w:rPr>
          <w:rFonts w:hint="eastAsia" w:ascii="宋体" w:hAnsi="宋体" w:cs="宋体"/>
          <w:color w:val="auto"/>
          <w:szCs w:val="21"/>
          <w:highlight w:val="none"/>
        </w:rPr>
        <w:t>以投标文件承诺的报价</w:t>
      </w:r>
      <w:r>
        <w:rPr>
          <w:rFonts w:hint="eastAsia" w:ascii="宋体" w:hAnsi="宋体"/>
          <w:color w:val="auto"/>
          <w:szCs w:val="21"/>
          <w:highlight w:val="none"/>
        </w:rPr>
        <w:t>实施和完成本项目</w:t>
      </w:r>
      <w:r>
        <w:rPr>
          <w:rFonts w:hint="eastAsia" w:ascii="宋体" w:hAnsi="宋体" w:cs="宋体"/>
          <w:color w:val="auto"/>
          <w:szCs w:val="21"/>
          <w:highlight w:val="none"/>
        </w:rPr>
        <w:t>。</w:t>
      </w:r>
      <w:bookmarkEnd w:id="784"/>
      <w:bookmarkEnd w:id="786"/>
      <w:bookmarkEnd w:id="787"/>
    </w:p>
    <w:bookmarkEnd w:id="783"/>
    <w:p w14:paraId="6F4552A3">
      <w:pPr>
        <w:spacing w:line="440" w:lineRule="exact"/>
        <w:ind w:firstLine="420"/>
        <w:rPr>
          <w:rFonts w:ascii="宋体" w:hAnsi="宋体" w:cs="宋体"/>
          <w:color w:val="auto"/>
          <w:szCs w:val="21"/>
          <w:highlight w:val="none"/>
        </w:rPr>
      </w:pPr>
      <w:bookmarkStart w:id="788" w:name="OLE_LINK149"/>
      <w:r>
        <w:rPr>
          <w:rFonts w:hint="eastAsia" w:ascii="宋体" w:hAnsi="宋体" w:cs="宋体"/>
          <w:color w:val="auto"/>
          <w:szCs w:val="21"/>
          <w:highlight w:val="none"/>
        </w:rPr>
        <w:t>2.我方同意在投标人须知规定的开标日期起遵循本投标文件，并在投标人须知前附表规定的投标文件有效期满之前均具有约束力。</w:t>
      </w:r>
    </w:p>
    <w:bookmarkEnd w:id="788"/>
    <w:p w14:paraId="1564BCC3">
      <w:pPr>
        <w:spacing w:line="440" w:lineRule="exact"/>
        <w:ind w:firstLine="420"/>
        <w:rPr>
          <w:rFonts w:ascii="宋体" w:hAnsi="宋体" w:cs="宋体"/>
          <w:color w:val="auto"/>
          <w:szCs w:val="21"/>
          <w:highlight w:val="none"/>
        </w:rPr>
      </w:pPr>
      <w:bookmarkStart w:id="789" w:name="OLE_LINK110"/>
      <w:r>
        <w:rPr>
          <w:rFonts w:hint="eastAsia" w:ascii="宋体" w:hAnsi="宋体" w:cs="宋体"/>
          <w:color w:val="auto"/>
          <w:szCs w:val="21"/>
          <w:highlight w:val="none"/>
        </w:rPr>
        <w:t>3.我方承诺已经具备《中华人民共和国政府采购法》中规定的参加政府采购活动的投标人应当具备的条件。</w:t>
      </w:r>
    </w:p>
    <w:p w14:paraId="52E29681">
      <w:pPr>
        <w:spacing w:line="440" w:lineRule="exact"/>
        <w:ind w:firstLine="420"/>
        <w:rPr>
          <w:rFonts w:ascii="宋体" w:hAnsi="宋体" w:cs="宋体"/>
          <w:color w:val="auto"/>
          <w:szCs w:val="21"/>
          <w:highlight w:val="none"/>
        </w:rPr>
      </w:pPr>
      <w:r>
        <w:rPr>
          <w:rFonts w:hint="eastAsia" w:ascii="宋体" w:hAnsi="宋体" w:cs="宋体"/>
          <w:color w:val="auto"/>
          <w:szCs w:val="21"/>
          <w:highlight w:val="none"/>
        </w:rPr>
        <w:t>4.如我方投标被接受，将保证忠实地执行买卖双方所</w:t>
      </w:r>
      <w:bookmarkStart w:id="790" w:name="OLE_LINK32"/>
      <w:r>
        <w:rPr>
          <w:rFonts w:hint="eastAsia" w:ascii="宋体" w:hAnsi="宋体" w:cs="宋体"/>
          <w:color w:val="auto"/>
          <w:szCs w:val="21"/>
          <w:highlight w:val="none"/>
        </w:rPr>
        <w:t>签</w:t>
      </w:r>
      <w:r>
        <w:rPr>
          <w:rFonts w:hint="eastAsia" w:ascii="宋体" w:hAnsi="宋体" w:cs="宋体"/>
          <w:color w:val="auto"/>
          <w:highlight w:val="none"/>
        </w:rPr>
        <w:t>政府采购合同</w:t>
      </w:r>
      <w:bookmarkEnd w:id="790"/>
      <w:r>
        <w:rPr>
          <w:rFonts w:hint="eastAsia" w:ascii="宋体" w:hAnsi="宋体" w:cs="宋体"/>
          <w:color w:val="auto"/>
          <w:szCs w:val="21"/>
          <w:highlight w:val="none"/>
        </w:rPr>
        <w:t>，在承诺的期限内完成交货或服务，并承担合同规定的责任义务。</w:t>
      </w:r>
    </w:p>
    <w:p w14:paraId="724EDE0D">
      <w:pPr>
        <w:spacing w:line="440" w:lineRule="exact"/>
        <w:ind w:firstLine="420"/>
        <w:rPr>
          <w:rFonts w:ascii="宋体" w:hAnsi="宋体" w:cs="宋体"/>
          <w:color w:val="auto"/>
          <w:szCs w:val="21"/>
          <w:highlight w:val="none"/>
        </w:rPr>
      </w:pPr>
      <w:r>
        <w:rPr>
          <w:rFonts w:hint="eastAsia" w:ascii="宋体" w:hAnsi="宋体" w:cs="宋体"/>
          <w:color w:val="auto"/>
          <w:szCs w:val="21"/>
          <w:highlight w:val="none"/>
        </w:rPr>
        <w:t>5.如果在投标文件有效期内撤销投标或者有其他违约行为，我方的投标保证金可被贵方全部或部分没收。</w:t>
      </w:r>
    </w:p>
    <w:p w14:paraId="17140248">
      <w:pPr>
        <w:spacing w:line="440" w:lineRule="exact"/>
        <w:ind w:firstLine="420"/>
        <w:rPr>
          <w:rFonts w:ascii="宋体" w:hAnsi="宋体" w:cs="宋体"/>
          <w:color w:val="auto"/>
          <w:szCs w:val="21"/>
          <w:highlight w:val="none"/>
        </w:rPr>
      </w:pPr>
      <w:r>
        <w:rPr>
          <w:rFonts w:hint="eastAsia" w:ascii="宋体" w:hAnsi="宋体" w:cs="宋体"/>
          <w:color w:val="auto"/>
          <w:szCs w:val="21"/>
          <w:highlight w:val="none"/>
        </w:rPr>
        <w:t>6.同意应贵方要求提供与本投标有关的任何数据或资料。</w:t>
      </w:r>
    </w:p>
    <w:p w14:paraId="63CD4831">
      <w:pPr>
        <w:spacing w:line="440" w:lineRule="exact"/>
        <w:ind w:firstLine="420"/>
        <w:rPr>
          <w:rFonts w:ascii="宋体" w:hAnsi="宋体" w:cs="宋体"/>
          <w:color w:val="auto"/>
          <w:szCs w:val="21"/>
          <w:highlight w:val="none"/>
        </w:rPr>
      </w:pPr>
      <w:r>
        <w:rPr>
          <w:rFonts w:hint="eastAsia" w:ascii="宋体" w:hAnsi="宋体" w:cs="宋体"/>
          <w:color w:val="auto"/>
          <w:szCs w:val="21"/>
          <w:highlight w:val="none"/>
        </w:rPr>
        <w:t>7.我方完全理解贵方不一定要接受最低报价的投标人为中标人的行为。</w:t>
      </w:r>
    </w:p>
    <w:p w14:paraId="16B6055C">
      <w:pPr>
        <w:spacing w:line="440" w:lineRule="exact"/>
        <w:ind w:firstLine="420"/>
        <w:rPr>
          <w:rFonts w:ascii="宋体" w:hAnsi="宋体" w:cs="宋体"/>
          <w:color w:val="auto"/>
          <w:szCs w:val="21"/>
          <w:highlight w:val="none"/>
        </w:rPr>
      </w:pPr>
      <w:r>
        <w:rPr>
          <w:rFonts w:hint="eastAsia" w:ascii="宋体" w:hAnsi="宋体" w:cs="宋体"/>
          <w:color w:val="auto"/>
          <w:szCs w:val="21"/>
          <w:highlight w:val="none"/>
        </w:rPr>
        <w:t>8.若贵方需要，我方愿意提供我方作出的一切承诺的证明材料。</w:t>
      </w:r>
    </w:p>
    <w:p w14:paraId="1D21FFD2">
      <w:pPr>
        <w:spacing w:line="440" w:lineRule="exact"/>
        <w:ind w:firstLine="420"/>
        <w:rPr>
          <w:rFonts w:ascii="宋体" w:hAnsi="宋体" w:cs="宋体"/>
          <w:color w:val="auto"/>
          <w:szCs w:val="21"/>
          <w:highlight w:val="none"/>
        </w:rPr>
      </w:pPr>
      <w:r>
        <w:rPr>
          <w:rFonts w:hint="eastAsia" w:ascii="宋体" w:hAnsi="宋体" w:cs="宋体"/>
          <w:color w:val="auto"/>
          <w:szCs w:val="21"/>
          <w:highlight w:val="none"/>
        </w:rPr>
        <w:t>与本投标有关的正式通讯地址为：</w:t>
      </w:r>
      <w:bookmarkEnd w:id="789"/>
    </w:p>
    <w:bookmarkEnd w:id="782"/>
    <w:p w14:paraId="39FC4F11">
      <w:pPr>
        <w:spacing w:line="440" w:lineRule="exact"/>
        <w:ind w:firstLine="420"/>
        <w:rPr>
          <w:rFonts w:ascii="Times New Roman" w:hAnsi="Times New Roman" w:cs="Times New Roman"/>
          <w:color w:val="auto"/>
          <w:szCs w:val="21"/>
          <w:highlight w:val="none"/>
        </w:rPr>
      </w:pPr>
      <w:bookmarkStart w:id="791" w:name="OLE_LINK112"/>
      <w:r>
        <w:rPr>
          <w:rFonts w:ascii="Times New Roman" w:hAnsi="Times New Roman" w:cs="Times New Roman"/>
          <w:color w:val="auto"/>
          <w:szCs w:val="21"/>
          <w:highlight w:val="none"/>
        </w:rPr>
        <w:t>地址：邮政编码：</w:t>
      </w:r>
    </w:p>
    <w:p w14:paraId="1D89AF75">
      <w:pPr>
        <w:spacing w:line="440" w:lineRule="exact"/>
        <w:ind w:firstLine="420"/>
        <w:rPr>
          <w:rFonts w:ascii="Times New Roman" w:hAnsi="Times New Roman" w:cs="Times New Roman"/>
          <w:color w:val="auto"/>
          <w:szCs w:val="21"/>
          <w:highlight w:val="none"/>
          <w:u w:val="single"/>
        </w:rPr>
      </w:pPr>
      <w:r>
        <w:rPr>
          <w:rFonts w:ascii="Times New Roman" w:hAnsi="Times New Roman" w:cs="Times New Roman"/>
          <w:color w:val="auto"/>
          <w:szCs w:val="21"/>
          <w:highlight w:val="none"/>
        </w:rPr>
        <w:t>电话：传真：</w:t>
      </w:r>
      <w:r>
        <w:rPr>
          <w:rFonts w:ascii="Times New Roman" w:hAnsi="Times New Roman" w:cs="Times New Roman"/>
          <w:color w:val="auto"/>
          <w:szCs w:val="21"/>
          <w:highlight w:val="none"/>
          <w:u w:val="single"/>
        </w:rPr>
        <w:t>　　　　　　　　　</w:t>
      </w:r>
    </w:p>
    <w:p w14:paraId="07339BD3">
      <w:pPr>
        <w:spacing w:line="440" w:lineRule="exact"/>
        <w:ind w:firstLine="420"/>
        <w:rPr>
          <w:rFonts w:ascii="Times New Roman" w:hAnsi="Times New Roman" w:cs="Times New Roman"/>
          <w:color w:val="auto"/>
          <w:szCs w:val="21"/>
          <w:highlight w:val="none"/>
          <w:u w:val="single"/>
        </w:rPr>
      </w:pPr>
      <w:r>
        <w:rPr>
          <w:rFonts w:ascii="Times New Roman" w:hAnsi="Times New Roman" w:cs="Times New Roman"/>
          <w:color w:val="auto"/>
          <w:szCs w:val="21"/>
          <w:highlight w:val="none"/>
        </w:rPr>
        <w:t>开户名称：</w:t>
      </w:r>
    </w:p>
    <w:p w14:paraId="4A344B68">
      <w:pPr>
        <w:spacing w:line="440" w:lineRule="exact"/>
        <w:ind w:firstLine="420"/>
        <w:rPr>
          <w:rFonts w:ascii="Times New Roman" w:hAnsi="Times New Roman" w:cs="Times New Roman"/>
          <w:color w:val="auto"/>
          <w:szCs w:val="21"/>
          <w:highlight w:val="none"/>
          <w:u w:val="single"/>
        </w:rPr>
      </w:pPr>
      <w:r>
        <w:rPr>
          <w:rFonts w:ascii="Times New Roman" w:hAnsi="Times New Roman" w:cs="Times New Roman"/>
          <w:color w:val="auto"/>
          <w:szCs w:val="21"/>
          <w:highlight w:val="none"/>
        </w:rPr>
        <w:t>开户银行：</w:t>
      </w:r>
    </w:p>
    <w:p w14:paraId="30E57DE3">
      <w:pPr>
        <w:spacing w:line="440" w:lineRule="exact"/>
        <w:ind w:firstLine="42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账</w:t>
      </w:r>
      <w:r>
        <w:rPr>
          <w:rFonts w:ascii="Times New Roman" w:hAnsi="Times New Roman" w:cs="Times New Roman"/>
          <w:color w:val="auto"/>
          <w:szCs w:val="21"/>
          <w:highlight w:val="none"/>
        </w:rPr>
        <w:t xml:space="preserve">    号：</w:t>
      </w:r>
    </w:p>
    <w:p w14:paraId="084AA024">
      <w:pPr>
        <w:tabs>
          <w:tab w:val="left" w:pos="4860"/>
        </w:tabs>
        <w:adjustRightInd w:val="0"/>
        <w:snapToGrid w:val="0"/>
        <w:spacing w:beforeLines="50" w:afterLines="50" w:line="440" w:lineRule="exact"/>
        <w:ind w:right="1560" w:firstLine="422"/>
        <w:jc w:val="left"/>
        <w:rPr>
          <w:rFonts w:ascii="Times New Roman" w:hAnsi="Times New Roman" w:cs="Times New Roman"/>
          <w:b/>
          <w:bCs/>
          <w:color w:val="auto"/>
          <w:szCs w:val="21"/>
          <w:highlight w:val="none"/>
        </w:rPr>
      </w:pPr>
      <w:r>
        <w:rPr>
          <w:rFonts w:ascii="Times New Roman" w:hAnsi="Times New Roman" w:cs="Times New Roman"/>
          <w:b/>
          <w:bCs/>
          <w:color w:val="auto"/>
          <w:szCs w:val="21"/>
          <w:highlight w:val="none"/>
        </w:rPr>
        <w:t>投标人：（</w:t>
      </w:r>
      <w:r>
        <w:rPr>
          <w:rFonts w:hint="eastAsia" w:ascii="Times New Roman" w:hAnsi="Times New Roman" w:cs="Times New Roman"/>
          <w:b/>
          <w:bCs/>
          <w:color w:val="auto"/>
          <w:szCs w:val="21"/>
          <w:highlight w:val="none"/>
        </w:rPr>
        <w:t>盖章</w:t>
      </w:r>
      <w:r>
        <w:rPr>
          <w:rFonts w:ascii="Times New Roman" w:hAnsi="Times New Roman" w:cs="Times New Roman"/>
          <w:b/>
          <w:bCs/>
          <w:color w:val="auto"/>
          <w:szCs w:val="21"/>
          <w:highlight w:val="none"/>
        </w:rPr>
        <w:t>）</w:t>
      </w:r>
    </w:p>
    <w:p w14:paraId="65443F25">
      <w:pPr>
        <w:tabs>
          <w:tab w:val="left" w:pos="4860"/>
        </w:tabs>
        <w:adjustRightInd w:val="0"/>
        <w:snapToGrid w:val="0"/>
        <w:spacing w:beforeLines="50" w:afterLines="50" w:line="440" w:lineRule="exact"/>
        <w:ind w:right="1560" w:firstLine="422"/>
        <w:jc w:val="left"/>
        <w:rPr>
          <w:rFonts w:ascii="Times New Roman" w:hAnsi="Times New Roman" w:cs="Times New Roman"/>
          <w:b/>
          <w:bCs/>
          <w:color w:val="auto"/>
          <w:szCs w:val="21"/>
          <w:highlight w:val="none"/>
          <w:u w:val="single"/>
        </w:rPr>
      </w:pPr>
      <w:r>
        <w:rPr>
          <w:rFonts w:ascii="Times New Roman" w:hAnsi="Times New Roman" w:cs="Times New Roman"/>
          <w:b/>
          <w:bCs/>
          <w:color w:val="auto"/>
          <w:szCs w:val="21"/>
          <w:highlight w:val="none"/>
        </w:rPr>
        <w:t>法定代表人</w:t>
      </w:r>
      <w:r>
        <w:rPr>
          <w:rFonts w:hint="eastAsia" w:ascii="Times New Roman" w:hAnsi="Times New Roman" w:cs="Times New Roman"/>
          <w:b/>
          <w:bCs/>
          <w:color w:val="auto"/>
          <w:szCs w:val="21"/>
          <w:highlight w:val="none"/>
        </w:rPr>
        <w:t>（单位负责人）或委托代理人</w:t>
      </w:r>
      <w:r>
        <w:rPr>
          <w:rFonts w:ascii="Times New Roman" w:hAnsi="Times New Roman" w:cs="Times New Roman"/>
          <w:b/>
          <w:bCs/>
          <w:color w:val="auto"/>
          <w:szCs w:val="21"/>
          <w:highlight w:val="none"/>
        </w:rPr>
        <w:t>：（</w:t>
      </w:r>
      <w:bookmarkStart w:id="792" w:name="OLE_LINK269"/>
      <w:r>
        <w:rPr>
          <w:rFonts w:ascii="Times New Roman" w:hAnsi="Times New Roman" w:cs="Times New Roman"/>
          <w:b/>
          <w:bCs/>
          <w:color w:val="auto"/>
          <w:szCs w:val="21"/>
          <w:highlight w:val="none"/>
        </w:rPr>
        <w:t>签名或签章</w:t>
      </w:r>
      <w:bookmarkEnd w:id="792"/>
      <w:r>
        <w:rPr>
          <w:rFonts w:ascii="Times New Roman" w:hAnsi="Times New Roman" w:cs="Times New Roman"/>
          <w:b/>
          <w:bCs/>
          <w:color w:val="auto"/>
          <w:szCs w:val="21"/>
          <w:highlight w:val="none"/>
        </w:rPr>
        <w:t>）</w:t>
      </w:r>
    </w:p>
    <w:p w14:paraId="6A96BD01">
      <w:pPr>
        <w:adjustRightInd w:val="0"/>
        <w:snapToGrid w:val="0"/>
        <w:spacing w:beforeLines="50" w:afterLines="50" w:line="440" w:lineRule="exact"/>
        <w:ind w:firstLine="422"/>
        <w:rPr>
          <w:rFonts w:ascii="Times New Roman" w:hAnsi="Times New Roman" w:cs="Times New Roman"/>
          <w:b/>
          <w:bCs/>
          <w:color w:val="auto"/>
          <w:sz w:val="24"/>
          <w:szCs w:val="24"/>
          <w:highlight w:val="none"/>
          <w:u w:val="single"/>
        </w:rPr>
        <w:sectPr>
          <w:pgSz w:w="11906" w:h="16838"/>
          <w:pgMar w:top="1418" w:right="1418" w:bottom="1417" w:left="1418" w:header="850" w:footer="964" w:gutter="0"/>
          <w:cols w:space="720" w:num="1"/>
          <w:docGrid w:type="linesAndChars" w:linePitch="331" w:charSpace="0"/>
        </w:sectPr>
      </w:pPr>
      <w:r>
        <w:rPr>
          <w:rFonts w:ascii="Times New Roman" w:hAnsi="Times New Roman" w:cs="Times New Roman"/>
          <w:b/>
          <w:bCs/>
          <w:color w:val="auto"/>
          <w:szCs w:val="21"/>
          <w:highlight w:val="none"/>
        </w:rPr>
        <w:t>日期：</w:t>
      </w:r>
      <w:r>
        <w:rPr>
          <w:rFonts w:hint="eastAsia" w:ascii="Times New Roman" w:hAnsi="Times New Roman" w:cs="Times New Roman"/>
          <w:b/>
          <w:bCs/>
          <w:color w:val="auto"/>
          <w:szCs w:val="21"/>
          <w:highlight w:val="none"/>
        </w:rPr>
        <w:t>年月</w:t>
      </w:r>
      <w:bookmarkEnd w:id="791"/>
      <w:bookmarkStart w:id="793" w:name="OLE_LINK111"/>
      <w:r>
        <w:rPr>
          <w:rFonts w:hint="eastAsia" w:ascii="Times New Roman" w:hAnsi="Times New Roman" w:cs="Times New Roman"/>
          <w:b/>
          <w:bCs/>
          <w:color w:val="auto"/>
          <w:szCs w:val="21"/>
          <w:highlight w:val="none"/>
        </w:rPr>
        <w:t>日</w:t>
      </w:r>
      <w:bookmarkEnd w:id="793"/>
    </w:p>
    <w:p w14:paraId="3D3E4E1D">
      <w:pPr>
        <w:ind w:firstLine="0" w:firstLineChars="0"/>
        <w:jc w:val="center"/>
        <w:outlineLvl w:val="2"/>
        <w:rPr>
          <w:rFonts w:ascii="Times New Roman" w:hAnsi="Times New Roman" w:eastAsia="黑体" w:cs="Times New Roman"/>
          <w:color w:val="auto"/>
          <w:sz w:val="28"/>
          <w:szCs w:val="28"/>
          <w:highlight w:val="none"/>
        </w:rPr>
      </w:pPr>
      <w:bookmarkStart w:id="794" w:name="OLE_LINK125"/>
      <w:r>
        <w:rPr>
          <w:rFonts w:hint="eastAsia" w:ascii="宋体" w:hAnsi="宋体" w:cs="宋体"/>
          <w:color w:val="auto"/>
          <w:sz w:val="28"/>
          <w:szCs w:val="28"/>
          <w:highlight w:val="none"/>
        </w:rPr>
        <w:t>★</w:t>
      </w:r>
      <w:r>
        <w:rPr>
          <w:rFonts w:ascii="Times New Roman" w:hAnsi="Times New Roman" w:eastAsia="黑体" w:cs="Times New Roman"/>
          <w:color w:val="auto"/>
          <w:sz w:val="28"/>
          <w:szCs w:val="28"/>
          <w:highlight w:val="none"/>
        </w:rPr>
        <w:t>法定代表人</w:t>
      </w:r>
      <w:r>
        <w:rPr>
          <w:rFonts w:hint="eastAsia" w:ascii="Times New Roman" w:hAnsi="Times New Roman" w:eastAsia="黑体" w:cs="Times New Roman"/>
          <w:color w:val="auto"/>
          <w:sz w:val="28"/>
          <w:szCs w:val="28"/>
          <w:highlight w:val="none"/>
        </w:rPr>
        <w:t>（单位负责人）</w:t>
      </w:r>
      <w:r>
        <w:rPr>
          <w:rFonts w:ascii="Times New Roman" w:hAnsi="Times New Roman" w:eastAsia="黑体" w:cs="Times New Roman"/>
          <w:color w:val="auto"/>
          <w:sz w:val="28"/>
          <w:szCs w:val="28"/>
          <w:highlight w:val="none"/>
        </w:rPr>
        <w:t>身份证明书</w:t>
      </w:r>
    </w:p>
    <w:p w14:paraId="0883BBE4">
      <w:pPr>
        <w:ind w:firstLine="0" w:firstLineChars="0"/>
        <w:rPr>
          <w:rFonts w:ascii="Times New Roman" w:hAnsi="Times New Roman" w:cs="Times New Roman"/>
          <w:color w:val="auto"/>
          <w:szCs w:val="21"/>
          <w:highlight w:val="none"/>
        </w:rPr>
      </w:pPr>
    </w:p>
    <w:p w14:paraId="5AB3CF70">
      <w:pPr>
        <w:ind w:firstLine="0" w:firstLineChars="0"/>
        <w:rPr>
          <w:rFonts w:ascii="Times New Roman" w:hAnsi="Times New Roman" w:cs="Times New Roman"/>
          <w:color w:val="auto"/>
          <w:szCs w:val="21"/>
          <w:highlight w:val="none"/>
        </w:rPr>
      </w:pPr>
      <w:r>
        <w:rPr>
          <w:rFonts w:ascii="Times New Roman" w:hAnsi="Times New Roman" w:cs="Times New Roman"/>
          <w:color w:val="auto"/>
          <w:szCs w:val="21"/>
          <w:highlight w:val="none"/>
        </w:rPr>
        <w:t>投标人名称：</w:t>
      </w:r>
    </w:p>
    <w:p w14:paraId="4E0CD3A9">
      <w:pPr>
        <w:ind w:firstLine="0" w:firstLineChars="0"/>
        <w:rPr>
          <w:rFonts w:ascii="Times New Roman" w:hAnsi="Times New Roman" w:cs="Times New Roman"/>
          <w:color w:val="auto"/>
          <w:szCs w:val="21"/>
          <w:highlight w:val="none"/>
        </w:rPr>
      </w:pPr>
      <w:r>
        <w:rPr>
          <w:rFonts w:ascii="Times New Roman" w:hAnsi="Times New Roman" w:cs="Times New Roman"/>
          <w:color w:val="auto"/>
          <w:szCs w:val="21"/>
          <w:highlight w:val="none"/>
        </w:rPr>
        <w:t>单位性质：</w:t>
      </w:r>
    </w:p>
    <w:p w14:paraId="4D94DFF9">
      <w:pPr>
        <w:ind w:firstLine="0" w:firstLineChars="0"/>
        <w:rPr>
          <w:rFonts w:ascii="Times New Roman" w:hAnsi="Times New Roman" w:cs="Times New Roman"/>
          <w:color w:val="auto"/>
          <w:szCs w:val="21"/>
          <w:highlight w:val="none"/>
        </w:rPr>
      </w:pPr>
      <w:r>
        <w:rPr>
          <w:rFonts w:ascii="Times New Roman" w:hAnsi="Times New Roman" w:cs="Times New Roman"/>
          <w:color w:val="auto"/>
          <w:szCs w:val="21"/>
          <w:highlight w:val="none"/>
        </w:rPr>
        <w:t>成立时间：年月日</w:t>
      </w:r>
    </w:p>
    <w:p w14:paraId="2E838F23">
      <w:pPr>
        <w:ind w:firstLine="0" w:firstLineChars="0"/>
        <w:rPr>
          <w:rFonts w:ascii="Times New Roman" w:hAnsi="Times New Roman" w:cs="Times New Roman"/>
          <w:color w:val="auto"/>
          <w:szCs w:val="21"/>
          <w:highlight w:val="none"/>
        </w:rPr>
      </w:pPr>
      <w:r>
        <w:rPr>
          <w:rFonts w:ascii="Times New Roman" w:hAnsi="Times New Roman" w:cs="Times New Roman"/>
          <w:color w:val="auto"/>
          <w:szCs w:val="21"/>
          <w:highlight w:val="none"/>
        </w:rPr>
        <w:t>经营期限：</w:t>
      </w:r>
    </w:p>
    <w:p w14:paraId="3D42060C">
      <w:pPr>
        <w:ind w:firstLine="0" w:firstLineChars="0"/>
        <w:rPr>
          <w:rFonts w:ascii="Times New Roman" w:hAnsi="Times New Roman" w:cs="Times New Roman"/>
          <w:color w:val="auto"/>
          <w:szCs w:val="21"/>
          <w:highlight w:val="none"/>
        </w:rPr>
      </w:pPr>
      <w:r>
        <w:rPr>
          <w:rFonts w:ascii="Times New Roman" w:hAnsi="Times New Roman" w:cs="Times New Roman"/>
          <w:color w:val="auto"/>
          <w:szCs w:val="21"/>
          <w:highlight w:val="none"/>
        </w:rPr>
        <w:t>姓名：性别：年龄：职务：</w:t>
      </w:r>
    </w:p>
    <w:p w14:paraId="4CCC7EBC">
      <w:pPr>
        <w:ind w:firstLine="0" w:firstLineChars="0"/>
        <w:rPr>
          <w:rFonts w:ascii="Times New Roman" w:hAnsi="Times New Roman" w:cs="Times New Roman"/>
          <w:color w:val="auto"/>
          <w:szCs w:val="21"/>
          <w:highlight w:val="none"/>
        </w:rPr>
      </w:pPr>
      <w:r>
        <w:rPr>
          <w:rFonts w:ascii="Times New Roman" w:hAnsi="Times New Roman" w:cs="Times New Roman"/>
          <w:color w:val="auto"/>
          <w:szCs w:val="21"/>
          <w:highlight w:val="none"/>
        </w:rPr>
        <w:t>系</w:t>
      </w:r>
      <w:r>
        <w:rPr>
          <w:rFonts w:hint="eastAsia" w:ascii="宋体" w:hAnsi="宋体" w:cs="宋体"/>
          <w:color w:val="auto"/>
          <w:szCs w:val="21"/>
          <w:highlight w:val="none"/>
        </w:rPr>
        <w:t>（投标人名称）的法定代表人（单位负责人）</w:t>
      </w:r>
      <w:r>
        <w:rPr>
          <w:rFonts w:ascii="Times New Roman" w:hAnsi="Times New Roman" w:cs="Times New Roman"/>
          <w:color w:val="auto"/>
          <w:szCs w:val="21"/>
          <w:highlight w:val="none"/>
        </w:rPr>
        <w:t>。</w:t>
      </w:r>
    </w:p>
    <w:p w14:paraId="3B380250">
      <w:pPr>
        <w:ind w:firstLine="0" w:firstLineChars="0"/>
        <w:rPr>
          <w:rFonts w:ascii="Times New Roman" w:hAnsi="Times New Roman" w:cs="Times New Roman"/>
          <w:color w:val="auto"/>
          <w:szCs w:val="21"/>
          <w:highlight w:val="none"/>
        </w:rPr>
      </w:pPr>
    </w:p>
    <w:p w14:paraId="01D253CB">
      <w:pPr>
        <w:ind w:firstLine="420"/>
        <w:rPr>
          <w:rFonts w:ascii="Times New Roman" w:hAnsi="Times New Roman" w:cs="Times New Roman"/>
          <w:color w:val="auto"/>
          <w:szCs w:val="21"/>
          <w:highlight w:val="none"/>
        </w:rPr>
      </w:pPr>
    </w:p>
    <w:p w14:paraId="40426551">
      <w:pPr>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特此证明。</w:t>
      </w:r>
    </w:p>
    <w:p w14:paraId="6472DC03">
      <w:pPr>
        <w:ind w:firstLine="0" w:firstLineChars="0"/>
        <w:rPr>
          <w:rFonts w:ascii="Times New Roman" w:hAnsi="Times New Roman" w:cs="Times New Roman"/>
          <w:color w:val="auto"/>
          <w:szCs w:val="21"/>
          <w:highlight w:val="none"/>
        </w:rPr>
      </w:pPr>
    </w:p>
    <w:p w14:paraId="28718ED7">
      <w:pPr>
        <w:ind w:firstLine="0" w:firstLineChars="0"/>
        <w:rPr>
          <w:rFonts w:ascii="Times New Roman" w:hAnsi="Times New Roman" w:cs="Times New Roman"/>
          <w:b/>
          <w:bCs/>
          <w:color w:val="auto"/>
          <w:szCs w:val="21"/>
          <w:highlight w:val="none"/>
        </w:rPr>
      </w:pPr>
      <w:r>
        <w:rPr>
          <w:rFonts w:ascii="Times New Roman" w:hAnsi="Times New Roman" w:cs="Times New Roman"/>
          <w:b/>
          <w:bCs/>
          <w:color w:val="auto"/>
          <w:szCs w:val="21"/>
          <w:highlight w:val="none"/>
        </w:rPr>
        <w:t>附：法定代表人</w:t>
      </w:r>
      <w:r>
        <w:rPr>
          <w:rFonts w:hint="eastAsia" w:ascii="Times New Roman" w:hAnsi="Times New Roman" w:cs="Times New Roman"/>
          <w:b/>
          <w:bCs/>
          <w:color w:val="auto"/>
          <w:szCs w:val="21"/>
          <w:highlight w:val="none"/>
        </w:rPr>
        <w:t>（单位负责人）</w:t>
      </w:r>
      <w:r>
        <w:rPr>
          <w:rFonts w:ascii="Times New Roman" w:hAnsi="Times New Roman" w:cs="Times New Roman"/>
          <w:b/>
          <w:bCs/>
          <w:color w:val="auto"/>
          <w:szCs w:val="21"/>
          <w:highlight w:val="none"/>
        </w:rPr>
        <w:t>身份证</w:t>
      </w:r>
      <w:r>
        <w:rPr>
          <w:rFonts w:hint="eastAsia" w:ascii="Times New Roman" w:hAnsi="Times New Roman" w:cs="Times New Roman"/>
          <w:b/>
          <w:bCs/>
          <w:color w:val="auto"/>
          <w:szCs w:val="21"/>
          <w:highlight w:val="none"/>
        </w:rPr>
        <w:t>正反面电子件。</w:t>
      </w:r>
    </w:p>
    <w:p w14:paraId="18FEA96A">
      <w:pPr>
        <w:ind w:firstLine="0" w:firstLineChars="0"/>
        <w:rPr>
          <w:rFonts w:ascii="Times New Roman" w:hAnsi="Times New Roman" w:cs="Times New Roman"/>
          <w:color w:val="auto"/>
          <w:szCs w:val="21"/>
          <w:highlight w:val="none"/>
        </w:rPr>
      </w:pPr>
    </w:p>
    <w:p w14:paraId="5C5326CD">
      <w:pPr>
        <w:ind w:firstLine="0" w:firstLineChars="0"/>
        <w:rPr>
          <w:rFonts w:ascii="Times New Roman" w:hAnsi="Times New Roman" w:cs="Times New Roman"/>
          <w:color w:val="auto"/>
          <w:szCs w:val="21"/>
          <w:highlight w:val="none"/>
        </w:rPr>
      </w:pPr>
    </w:p>
    <w:p w14:paraId="4BE0B580">
      <w:pPr>
        <w:ind w:firstLine="0" w:firstLineChars="0"/>
        <w:rPr>
          <w:rFonts w:ascii="Times New Roman" w:hAnsi="Times New Roman" w:cs="Times New Roman"/>
          <w:color w:val="auto"/>
          <w:szCs w:val="21"/>
          <w:highlight w:val="none"/>
        </w:rPr>
      </w:pPr>
    </w:p>
    <w:p w14:paraId="60BD40E4">
      <w:pPr>
        <w:ind w:left="5397" w:leftChars="2570" w:firstLine="0" w:firstLineChars="0"/>
        <w:rPr>
          <w:rFonts w:ascii="Times New Roman" w:hAnsi="Times New Roman" w:cs="Times New Roman"/>
          <w:b/>
          <w:bCs/>
          <w:color w:val="auto"/>
          <w:szCs w:val="21"/>
          <w:highlight w:val="none"/>
        </w:rPr>
      </w:pPr>
      <w:r>
        <w:rPr>
          <w:rFonts w:ascii="Times New Roman" w:hAnsi="Times New Roman" w:cs="Times New Roman"/>
          <w:b/>
          <w:bCs/>
          <w:color w:val="auto"/>
          <w:szCs w:val="21"/>
          <w:highlight w:val="none"/>
        </w:rPr>
        <w:t>投标人：（</w:t>
      </w:r>
      <w:r>
        <w:rPr>
          <w:rFonts w:hint="eastAsia" w:ascii="宋体" w:hAnsi="宋体" w:cs="宋体"/>
          <w:b/>
          <w:bCs/>
          <w:color w:val="auto"/>
          <w:szCs w:val="21"/>
          <w:highlight w:val="none"/>
        </w:rPr>
        <w:t>盖章</w:t>
      </w:r>
      <w:r>
        <w:rPr>
          <w:rFonts w:ascii="Times New Roman" w:hAnsi="Times New Roman" w:cs="Times New Roman"/>
          <w:b/>
          <w:bCs/>
          <w:color w:val="auto"/>
          <w:szCs w:val="21"/>
          <w:highlight w:val="none"/>
        </w:rPr>
        <w:t>）</w:t>
      </w:r>
    </w:p>
    <w:p w14:paraId="164A7191">
      <w:pPr>
        <w:ind w:left="5397" w:leftChars="2570" w:firstLine="0" w:firstLineChars="0"/>
        <w:rPr>
          <w:rFonts w:ascii="Times New Roman" w:hAnsi="Times New Roman" w:cs="Times New Roman"/>
          <w:b/>
          <w:bCs/>
          <w:color w:val="auto"/>
          <w:szCs w:val="21"/>
          <w:highlight w:val="none"/>
        </w:rPr>
      </w:pPr>
    </w:p>
    <w:p w14:paraId="20461E41">
      <w:pPr>
        <w:ind w:left="5397" w:leftChars="2570" w:firstLine="0" w:firstLineChars="0"/>
        <w:rPr>
          <w:rFonts w:ascii="Times New Roman" w:hAnsi="Times New Roman" w:cs="Times New Roman"/>
          <w:b/>
          <w:bCs/>
          <w:color w:val="auto"/>
          <w:szCs w:val="21"/>
          <w:highlight w:val="none"/>
        </w:rPr>
      </w:pPr>
      <w:r>
        <w:rPr>
          <w:rFonts w:hint="eastAsia" w:ascii="Times New Roman" w:hAnsi="Times New Roman" w:cs="Times New Roman"/>
          <w:b/>
          <w:bCs/>
          <w:color w:val="auto"/>
          <w:szCs w:val="21"/>
          <w:highlight w:val="none"/>
        </w:rPr>
        <w:t>日期：</w:t>
      </w:r>
      <w:r>
        <w:rPr>
          <w:rFonts w:ascii="Times New Roman" w:hAnsi="Times New Roman" w:cs="Times New Roman"/>
          <w:b/>
          <w:bCs/>
          <w:color w:val="auto"/>
          <w:szCs w:val="21"/>
          <w:highlight w:val="none"/>
        </w:rPr>
        <w:t>年月日</w:t>
      </w:r>
    </w:p>
    <w:p w14:paraId="79B3D07A">
      <w:pPr>
        <w:ind w:firstLine="0" w:firstLineChars="0"/>
        <w:rPr>
          <w:rFonts w:ascii="Times New Roman" w:hAnsi="Times New Roman" w:cs="Times New Roman"/>
          <w:color w:val="auto"/>
          <w:szCs w:val="21"/>
          <w:highlight w:val="none"/>
        </w:rPr>
      </w:pPr>
    </w:p>
    <w:p w14:paraId="09EBF7AC">
      <w:pPr>
        <w:ind w:firstLine="560"/>
        <w:rPr>
          <w:rFonts w:ascii="Times New Roman" w:hAnsi="Times New Roman" w:eastAsia="黑体" w:cs="Times New Roman"/>
          <w:color w:val="auto"/>
          <w:sz w:val="28"/>
          <w:szCs w:val="28"/>
          <w:highlight w:val="none"/>
        </w:rPr>
      </w:pPr>
      <w:r>
        <w:rPr>
          <w:rFonts w:hint="eastAsia" w:ascii="Times New Roman" w:hAnsi="Times New Roman" w:eastAsia="黑体" w:cs="Times New Roman"/>
          <w:color w:val="auto"/>
          <w:sz w:val="28"/>
          <w:szCs w:val="28"/>
          <w:highlight w:val="none"/>
        </w:rPr>
        <w:br w:type="page"/>
      </w:r>
    </w:p>
    <w:p w14:paraId="0DAE652C">
      <w:pPr>
        <w:spacing w:line="480" w:lineRule="auto"/>
        <w:ind w:firstLine="0" w:firstLineChars="0"/>
        <w:jc w:val="center"/>
        <w:outlineLvl w:val="2"/>
        <w:rPr>
          <w:rFonts w:ascii="Times New Roman" w:hAnsi="Times New Roman" w:cs="Times New Roman"/>
          <w:color w:val="auto"/>
          <w:szCs w:val="21"/>
          <w:highlight w:val="none"/>
        </w:rPr>
      </w:pPr>
      <w:r>
        <w:rPr>
          <w:rFonts w:hint="eastAsia" w:ascii="宋体" w:hAnsi="宋体" w:cs="宋体"/>
          <w:color w:val="auto"/>
          <w:sz w:val="28"/>
          <w:szCs w:val="28"/>
          <w:highlight w:val="none"/>
        </w:rPr>
        <w:t>★</w:t>
      </w:r>
      <w:r>
        <w:rPr>
          <w:rFonts w:ascii="Times New Roman" w:hAnsi="Times New Roman" w:eastAsia="黑体" w:cs="Times New Roman"/>
          <w:color w:val="auto"/>
          <w:sz w:val="28"/>
          <w:szCs w:val="28"/>
          <w:highlight w:val="none"/>
        </w:rPr>
        <w:t>法定代表人</w:t>
      </w:r>
      <w:r>
        <w:rPr>
          <w:rFonts w:hint="eastAsia" w:ascii="Times New Roman" w:hAnsi="Times New Roman" w:eastAsia="黑体" w:cs="Times New Roman"/>
          <w:color w:val="auto"/>
          <w:sz w:val="28"/>
          <w:szCs w:val="28"/>
          <w:highlight w:val="none"/>
        </w:rPr>
        <w:t>（单位负责人）</w:t>
      </w:r>
      <w:r>
        <w:rPr>
          <w:rFonts w:ascii="Times New Roman" w:hAnsi="Times New Roman" w:eastAsia="黑体" w:cs="Times New Roman"/>
          <w:color w:val="auto"/>
          <w:sz w:val="28"/>
          <w:szCs w:val="28"/>
          <w:highlight w:val="none"/>
        </w:rPr>
        <w:t>授权委托书</w:t>
      </w:r>
    </w:p>
    <w:p w14:paraId="48E40F50">
      <w:pPr>
        <w:spacing w:line="480" w:lineRule="auto"/>
        <w:ind w:firstLine="420" w:firstLineChars="0"/>
        <w:rPr>
          <w:rFonts w:ascii="Times New Roman" w:hAnsi="Times New Roman" w:cs="Times New Roman"/>
          <w:color w:val="auto"/>
          <w:szCs w:val="21"/>
          <w:highlight w:val="none"/>
        </w:rPr>
      </w:pPr>
      <w:r>
        <w:rPr>
          <w:rFonts w:ascii="Times New Roman" w:hAnsi="Times New Roman" w:cs="Times New Roman"/>
          <w:color w:val="auto"/>
          <w:szCs w:val="21"/>
          <w:highlight w:val="none"/>
        </w:rPr>
        <w:t>本授权书声明：</w:t>
      </w:r>
      <w:r>
        <w:rPr>
          <w:rFonts w:ascii="Times New Roman" w:hAnsi="Times New Roman" w:cs="Times New Roman"/>
          <w:color w:val="auto"/>
          <w:szCs w:val="21"/>
          <w:highlight w:val="none"/>
          <w:u w:val="single"/>
        </w:rPr>
        <w:t xml:space="preserve">  （投标人全称） </w:t>
      </w:r>
      <w:r>
        <w:rPr>
          <w:rFonts w:ascii="Times New Roman" w:hAnsi="Times New Roman" w:cs="Times New Roman"/>
          <w:color w:val="auto"/>
          <w:szCs w:val="21"/>
          <w:highlight w:val="none"/>
        </w:rPr>
        <w:t>的法定代表人</w:t>
      </w:r>
      <w:r>
        <w:rPr>
          <w:rFonts w:hint="eastAsia" w:ascii="Times New Roman" w:hAnsi="Times New Roman" w:cs="Times New Roman"/>
          <w:color w:val="auto"/>
          <w:szCs w:val="21"/>
          <w:highlight w:val="none"/>
        </w:rPr>
        <w:t>（单位负责人）</w:t>
      </w:r>
      <w:r>
        <w:rPr>
          <w:rFonts w:ascii="Times New Roman" w:hAnsi="Times New Roman" w:cs="Times New Roman"/>
          <w:color w:val="auto"/>
          <w:szCs w:val="21"/>
          <w:highlight w:val="none"/>
        </w:rPr>
        <w:t>代表本公司授权</w:t>
      </w:r>
      <w:r>
        <w:rPr>
          <w:rFonts w:ascii="Times New Roman" w:hAnsi="Times New Roman" w:cs="Times New Roman"/>
          <w:color w:val="auto"/>
          <w:szCs w:val="21"/>
          <w:highlight w:val="none"/>
          <w:u w:val="single"/>
        </w:rPr>
        <w:t>（委托代理人姓名）</w:t>
      </w:r>
      <w:r>
        <w:rPr>
          <w:rFonts w:ascii="Times New Roman" w:hAnsi="Times New Roman" w:cs="Times New Roman"/>
          <w:color w:val="auto"/>
          <w:szCs w:val="21"/>
          <w:highlight w:val="none"/>
        </w:rPr>
        <w:t>为本公司合法代理人，就贵方组织的有关</w:t>
      </w:r>
      <w:r>
        <w:rPr>
          <w:rFonts w:ascii="Times New Roman" w:hAnsi="Times New Roman" w:cs="Times New Roman"/>
          <w:color w:val="auto"/>
          <w:szCs w:val="21"/>
          <w:highlight w:val="none"/>
          <w:u w:val="single"/>
        </w:rPr>
        <w:t>（采购项目名称）项目</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项目</w:t>
      </w:r>
      <w:r>
        <w:rPr>
          <w:rFonts w:ascii="Times New Roman" w:hAnsi="Times New Roman" w:cs="Times New Roman"/>
          <w:color w:val="auto"/>
          <w:szCs w:val="21"/>
          <w:highlight w:val="none"/>
        </w:rPr>
        <w:t>编号：）的投标，以本单位名义处理一切与之有关的事务。</w:t>
      </w:r>
    </w:p>
    <w:p w14:paraId="415CB363">
      <w:pPr>
        <w:spacing w:line="480" w:lineRule="auto"/>
        <w:ind w:firstLine="420" w:firstLineChars="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委托期限：自本授权委托书签署之日起至投标有效期届满之日止。</w:t>
      </w:r>
    </w:p>
    <w:p w14:paraId="1824F696">
      <w:pPr>
        <w:spacing w:line="480" w:lineRule="auto"/>
        <w:ind w:firstLine="420" w:firstLineChars="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代理人无转委托权。</w:t>
      </w:r>
    </w:p>
    <w:p w14:paraId="632343AE">
      <w:pPr>
        <w:spacing w:line="700" w:lineRule="exact"/>
        <w:ind w:firstLine="422"/>
        <w:jc w:val="center"/>
        <w:rPr>
          <w:rFonts w:ascii="Times New Roman" w:hAnsi="Times New Roman" w:cs="Times New Roman"/>
          <w:b/>
          <w:bCs/>
          <w:color w:val="auto"/>
          <w:szCs w:val="21"/>
          <w:highlight w:val="none"/>
        </w:rPr>
      </w:pPr>
      <w:r>
        <w:rPr>
          <w:rFonts w:ascii="Times New Roman" w:hAnsi="Times New Roman" w:cs="Times New Roman"/>
          <w:b/>
          <w:bCs/>
          <w:color w:val="auto"/>
          <w:szCs w:val="21"/>
          <w:highlight w:val="none"/>
        </w:rPr>
        <w:t>投标人：（</w:t>
      </w:r>
      <w:r>
        <w:rPr>
          <w:rFonts w:hint="eastAsia" w:ascii="Times New Roman" w:hAnsi="Times New Roman" w:cs="Times New Roman"/>
          <w:b/>
          <w:bCs/>
          <w:color w:val="auto"/>
          <w:szCs w:val="21"/>
          <w:highlight w:val="none"/>
        </w:rPr>
        <w:t>盖章</w:t>
      </w:r>
      <w:r>
        <w:rPr>
          <w:rFonts w:ascii="Times New Roman" w:hAnsi="Times New Roman" w:cs="Times New Roman"/>
          <w:b/>
          <w:bCs/>
          <w:color w:val="auto"/>
          <w:szCs w:val="21"/>
          <w:highlight w:val="none"/>
        </w:rPr>
        <w:t>）</w:t>
      </w:r>
    </w:p>
    <w:p w14:paraId="48865254">
      <w:pPr>
        <w:spacing w:line="700" w:lineRule="exact"/>
        <w:ind w:firstLine="422"/>
        <w:jc w:val="center"/>
        <w:rPr>
          <w:rFonts w:ascii="Times New Roman" w:hAnsi="Times New Roman" w:cs="Times New Roman"/>
          <w:b/>
          <w:bCs/>
          <w:color w:val="auto"/>
          <w:szCs w:val="21"/>
          <w:highlight w:val="none"/>
        </w:rPr>
      </w:pPr>
      <w:r>
        <w:rPr>
          <w:rFonts w:ascii="Times New Roman" w:hAnsi="Times New Roman" w:cs="Times New Roman"/>
          <w:b/>
          <w:bCs/>
          <w:color w:val="auto"/>
          <w:szCs w:val="21"/>
          <w:highlight w:val="none"/>
        </w:rPr>
        <w:t>法定代表人</w:t>
      </w:r>
      <w:r>
        <w:rPr>
          <w:rFonts w:hint="eastAsia" w:ascii="Times New Roman" w:hAnsi="Times New Roman" w:cs="Times New Roman"/>
          <w:b/>
          <w:bCs/>
          <w:color w:val="auto"/>
          <w:szCs w:val="21"/>
          <w:highlight w:val="none"/>
        </w:rPr>
        <w:t>（单位负责人）：</w:t>
      </w:r>
      <w:r>
        <w:rPr>
          <w:rFonts w:ascii="Times New Roman" w:hAnsi="Times New Roman" w:cs="Times New Roman"/>
          <w:b/>
          <w:bCs/>
          <w:color w:val="auto"/>
          <w:szCs w:val="21"/>
          <w:highlight w:val="none"/>
        </w:rPr>
        <w:t>（签名或签章）</w:t>
      </w:r>
    </w:p>
    <w:p w14:paraId="21923209">
      <w:pPr>
        <w:pBdr>
          <w:bottom w:val="single" w:color="auto" w:sz="12" w:space="1"/>
        </w:pBdr>
        <w:spacing w:line="700" w:lineRule="exact"/>
        <w:ind w:firstLine="4638" w:firstLineChars="2200"/>
        <w:rPr>
          <w:rFonts w:ascii="Times New Roman" w:hAnsi="Times New Roman" w:cs="Times New Roman"/>
          <w:b/>
          <w:bCs/>
          <w:color w:val="auto"/>
          <w:szCs w:val="21"/>
          <w:highlight w:val="none"/>
        </w:rPr>
      </w:pPr>
      <w:r>
        <w:rPr>
          <w:rFonts w:ascii="Times New Roman" w:hAnsi="Times New Roman" w:cs="Times New Roman"/>
          <w:b/>
          <w:bCs/>
          <w:color w:val="auto"/>
          <w:szCs w:val="21"/>
          <w:highlight w:val="none"/>
        </w:rPr>
        <w:t>日期：年月日</w:t>
      </w:r>
    </w:p>
    <w:p w14:paraId="2C357212">
      <w:pPr>
        <w:spacing w:line="500" w:lineRule="exact"/>
        <w:ind w:firstLine="0" w:firstLineChars="0"/>
        <w:rPr>
          <w:rFonts w:ascii="Times New Roman" w:hAnsi="Times New Roman" w:cs="Times New Roman"/>
          <w:color w:val="auto"/>
          <w:szCs w:val="21"/>
          <w:highlight w:val="none"/>
        </w:rPr>
      </w:pPr>
    </w:p>
    <w:p w14:paraId="7F1E081C">
      <w:pPr>
        <w:spacing w:line="500" w:lineRule="exact"/>
        <w:ind w:firstLine="0" w:firstLineChars="0"/>
        <w:rPr>
          <w:rFonts w:ascii="Times New Roman" w:hAnsi="Times New Roman" w:cs="Times New Roman"/>
          <w:color w:val="auto"/>
          <w:szCs w:val="21"/>
          <w:highlight w:val="none"/>
          <w:u w:val="single"/>
        </w:rPr>
      </w:pPr>
      <w:r>
        <w:rPr>
          <w:rFonts w:hint="eastAsia" w:ascii="Times New Roman" w:hAnsi="Times New Roman" w:cs="Times New Roman"/>
          <w:color w:val="auto"/>
          <w:szCs w:val="21"/>
          <w:highlight w:val="none"/>
        </w:rPr>
        <w:t>被授权</w:t>
      </w:r>
      <w:r>
        <w:rPr>
          <w:rFonts w:ascii="Times New Roman" w:hAnsi="Times New Roman" w:cs="Times New Roman"/>
          <w:color w:val="auto"/>
          <w:szCs w:val="21"/>
          <w:highlight w:val="none"/>
        </w:rPr>
        <w:t>委托代理人姓名：</w:t>
      </w:r>
    </w:p>
    <w:p w14:paraId="2E932D70">
      <w:pPr>
        <w:spacing w:line="500" w:lineRule="exact"/>
        <w:ind w:firstLine="0" w:firstLineChars="0"/>
        <w:rPr>
          <w:rFonts w:ascii="Times New Roman" w:hAnsi="Times New Roman" w:cs="Times New Roman"/>
          <w:color w:val="auto"/>
          <w:szCs w:val="21"/>
          <w:highlight w:val="none"/>
          <w:u w:val="single"/>
        </w:rPr>
      </w:pPr>
      <w:r>
        <w:rPr>
          <w:rFonts w:ascii="Times New Roman" w:hAnsi="Times New Roman" w:cs="Times New Roman"/>
          <w:color w:val="auto"/>
          <w:szCs w:val="21"/>
          <w:highlight w:val="none"/>
        </w:rPr>
        <w:t>职务：</w:t>
      </w:r>
    </w:p>
    <w:p w14:paraId="52F1690D">
      <w:pPr>
        <w:spacing w:line="500" w:lineRule="exact"/>
        <w:ind w:firstLine="0" w:firstLineChars="0"/>
        <w:rPr>
          <w:rFonts w:ascii="Times New Roman" w:hAnsi="Times New Roman" w:cs="Times New Roman"/>
          <w:color w:val="auto"/>
          <w:szCs w:val="21"/>
          <w:highlight w:val="none"/>
          <w:u w:val="single"/>
        </w:rPr>
      </w:pPr>
      <w:r>
        <w:rPr>
          <w:rFonts w:ascii="Times New Roman" w:hAnsi="Times New Roman" w:cs="Times New Roman"/>
          <w:color w:val="auto"/>
          <w:szCs w:val="21"/>
          <w:highlight w:val="none"/>
        </w:rPr>
        <w:t>身份证号码：</w:t>
      </w:r>
    </w:p>
    <w:p w14:paraId="2C3EE04F">
      <w:pPr>
        <w:spacing w:line="500" w:lineRule="exact"/>
        <w:ind w:firstLine="0" w:firstLineChars="0"/>
        <w:rPr>
          <w:rFonts w:ascii="Times New Roman" w:hAnsi="Times New Roman" w:cs="Times New Roman"/>
          <w:color w:val="auto"/>
          <w:szCs w:val="21"/>
          <w:highlight w:val="none"/>
          <w:u w:val="single"/>
        </w:rPr>
      </w:pPr>
      <w:r>
        <w:rPr>
          <w:rFonts w:ascii="Times New Roman" w:hAnsi="Times New Roman" w:cs="Times New Roman"/>
          <w:color w:val="auto"/>
          <w:szCs w:val="21"/>
          <w:highlight w:val="none"/>
        </w:rPr>
        <w:t>详细地址：</w:t>
      </w:r>
    </w:p>
    <w:p w14:paraId="5AF2B5F0">
      <w:pPr>
        <w:spacing w:line="500" w:lineRule="exact"/>
        <w:ind w:firstLine="0" w:firstLineChars="0"/>
        <w:rPr>
          <w:rFonts w:ascii="Times New Roman" w:hAnsi="Times New Roman" w:cs="Times New Roman"/>
          <w:color w:val="auto"/>
          <w:szCs w:val="21"/>
          <w:highlight w:val="none"/>
          <w:u w:val="single"/>
        </w:rPr>
      </w:pPr>
      <w:r>
        <w:rPr>
          <w:rFonts w:ascii="Times New Roman" w:hAnsi="Times New Roman" w:cs="Times New Roman"/>
          <w:color w:val="auto"/>
          <w:szCs w:val="21"/>
          <w:highlight w:val="none"/>
        </w:rPr>
        <w:t>电话：</w:t>
      </w:r>
    </w:p>
    <w:p w14:paraId="2C9D7375">
      <w:pPr>
        <w:spacing w:line="500" w:lineRule="exact"/>
        <w:ind w:firstLine="0" w:firstLineChars="0"/>
        <w:rPr>
          <w:rFonts w:ascii="Times New Roman" w:hAnsi="Times New Roman" w:cs="Times New Roman"/>
          <w:b/>
          <w:bCs/>
          <w:color w:val="auto"/>
          <w:szCs w:val="21"/>
          <w:highlight w:val="none"/>
        </w:rPr>
      </w:pPr>
    </w:p>
    <w:p w14:paraId="6B29BF37">
      <w:pPr>
        <w:spacing w:line="500" w:lineRule="exact"/>
        <w:ind w:firstLine="0" w:firstLineChars="0"/>
        <w:rPr>
          <w:rFonts w:ascii="Times New Roman" w:hAnsi="Times New Roman" w:cs="Times New Roman"/>
          <w:b/>
          <w:bCs/>
          <w:color w:val="auto"/>
          <w:szCs w:val="21"/>
          <w:highlight w:val="none"/>
        </w:rPr>
      </w:pPr>
      <w:r>
        <w:rPr>
          <w:rFonts w:ascii="Times New Roman" w:hAnsi="Times New Roman" w:cs="Times New Roman"/>
          <w:b/>
          <w:bCs/>
          <w:color w:val="auto"/>
          <w:szCs w:val="21"/>
          <w:highlight w:val="none"/>
        </w:rPr>
        <w:t>附：</w:t>
      </w:r>
      <w:r>
        <w:rPr>
          <w:rFonts w:hint="eastAsia" w:ascii="Times New Roman" w:hAnsi="Times New Roman" w:cs="Times New Roman"/>
          <w:b/>
          <w:bCs/>
          <w:color w:val="auto"/>
          <w:szCs w:val="21"/>
          <w:highlight w:val="none"/>
        </w:rPr>
        <w:t>被授权委托代理人</w:t>
      </w:r>
      <w:r>
        <w:rPr>
          <w:rFonts w:ascii="Times New Roman" w:hAnsi="Times New Roman" w:cs="Times New Roman"/>
          <w:b/>
          <w:bCs/>
          <w:color w:val="auto"/>
          <w:szCs w:val="21"/>
          <w:highlight w:val="none"/>
        </w:rPr>
        <w:t>身份证</w:t>
      </w:r>
      <w:r>
        <w:rPr>
          <w:rFonts w:hint="eastAsia" w:ascii="Times New Roman" w:hAnsi="Times New Roman" w:cs="Times New Roman"/>
          <w:b/>
          <w:bCs/>
          <w:color w:val="auto"/>
          <w:szCs w:val="21"/>
          <w:highlight w:val="none"/>
        </w:rPr>
        <w:t>正反面电子件。</w:t>
      </w:r>
    </w:p>
    <w:p w14:paraId="10B91655">
      <w:pPr>
        <w:widowControl/>
        <w:spacing w:line="500" w:lineRule="exact"/>
        <w:ind w:firstLine="0" w:firstLineChars="0"/>
        <w:jc w:val="left"/>
        <w:rPr>
          <w:rFonts w:ascii="Times New Roman" w:hAnsi="Times New Roman" w:cs="Times New Roman"/>
          <w:b/>
          <w:bCs/>
          <w:color w:val="auto"/>
          <w:szCs w:val="21"/>
          <w:highlight w:val="none"/>
        </w:rPr>
      </w:pPr>
    </w:p>
    <w:p w14:paraId="5014A978">
      <w:pPr>
        <w:widowControl/>
        <w:ind w:firstLine="0" w:firstLineChars="0"/>
        <w:jc w:val="left"/>
        <w:rPr>
          <w:rFonts w:ascii="Times New Roman" w:hAnsi="Times New Roman" w:cs="Times New Roman"/>
          <w:b/>
          <w:bCs/>
          <w:color w:val="auto"/>
          <w:szCs w:val="21"/>
          <w:highlight w:val="none"/>
        </w:rPr>
      </w:pPr>
    </w:p>
    <w:p w14:paraId="7FB80FE4">
      <w:pPr>
        <w:widowControl/>
        <w:ind w:firstLine="0" w:firstLineChars="0"/>
        <w:jc w:val="left"/>
        <w:rPr>
          <w:rFonts w:ascii="Times New Roman" w:hAnsi="Times New Roman" w:cs="Times New Roman"/>
          <w:b/>
          <w:bCs/>
          <w:color w:val="auto"/>
          <w:szCs w:val="21"/>
          <w:highlight w:val="none"/>
        </w:rPr>
      </w:pPr>
    </w:p>
    <w:p w14:paraId="762F8A41">
      <w:pPr>
        <w:widowControl/>
        <w:ind w:firstLine="0" w:firstLineChars="0"/>
        <w:jc w:val="left"/>
        <w:rPr>
          <w:rFonts w:ascii="Times New Roman" w:hAnsi="Times New Roman" w:cs="Times New Roman"/>
          <w:b/>
          <w:bCs/>
          <w:color w:val="auto"/>
          <w:szCs w:val="21"/>
          <w:highlight w:val="none"/>
        </w:rPr>
      </w:pPr>
      <w:r>
        <w:rPr>
          <w:rFonts w:ascii="Times New Roman" w:hAnsi="Times New Roman" w:cs="Times New Roman"/>
          <w:b/>
          <w:bCs/>
          <w:color w:val="auto"/>
          <w:szCs w:val="21"/>
          <w:highlight w:val="none"/>
        </w:rPr>
        <w:t>注</w:t>
      </w:r>
      <w:r>
        <w:rPr>
          <w:rFonts w:hint="eastAsia" w:ascii="Times New Roman" w:hAnsi="Times New Roman" w:cs="Times New Roman"/>
          <w:b/>
          <w:bCs/>
          <w:color w:val="auto"/>
          <w:szCs w:val="21"/>
          <w:highlight w:val="none"/>
        </w:rPr>
        <w:t>：</w:t>
      </w:r>
      <w:r>
        <w:rPr>
          <w:rFonts w:ascii="Times New Roman" w:hAnsi="Times New Roman" w:cs="Times New Roman"/>
          <w:b/>
          <w:bCs/>
          <w:color w:val="auto"/>
          <w:szCs w:val="21"/>
          <w:highlight w:val="none"/>
        </w:rPr>
        <w:t>1.若</w:t>
      </w:r>
      <w:r>
        <w:rPr>
          <w:rFonts w:hint="eastAsia" w:ascii="Times New Roman" w:hAnsi="Times New Roman" w:cs="Times New Roman"/>
          <w:b/>
          <w:bCs/>
          <w:color w:val="auto"/>
          <w:szCs w:val="21"/>
          <w:highlight w:val="none"/>
        </w:rPr>
        <w:t>投标人</w:t>
      </w:r>
      <w:r>
        <w:rPr>
          <w:rFonts w:ascii="Times New Roman" w:hAnsi="Times New Roman" w:cs="Times New Roman"/>
          <w:b/>
          <w:bCs/>
          <w:color w:val="auto"/>
          <w:szCs w:val="21"/>
          <w:highlight w:val="none"/>
        </w:rPr>
        <w:t>为事业单位或其他组织，则法定代表人（单位负责人）处的</w:t>
      </w:r>
      <w:bookmarkStart w:id="795" w:name="OLE_LINK359"/>
      <w:r>
        <w:rPr>
          <w:rFonts w:ascii="Times New Roman" w:hAnsi="Times New Roman" w:cs="Times New Roman"/>
          <w:b/>
          <w:bCs/>
          <w:color w:val="auto"/>
          <w:szCs w:val="21"/>
          <w:highlight w:val="none"/>
        </w:rPr>
        <w:t>签署人</w:t>
      </w:r>
      <w:bookmarkEnd w:id="795"/>
      <w:r>
        <w:rPr>
          <w:rFonts w:ascii="Times New Roman" w:hAnsi="Times New Roman" w:cs="Times New Roman"/>
          <w:b/>
          <w:bCs/>
          <w:color w:val="auto"/>
          <w:szCs w:val="21"/>
          <w:highlight w:val="none"/>
        </w:rPr>
        <w:t xml:space="preserve">可为单位负责人。 </w:t>
      </w:r>
    </w:p>
    <w:p w14:paraId="3A0931F1">
      <w:pPr>
        <w:widowControl/>
        <w:ind w:firstLine="422"/>
        <w:jc w:val="left"/>
        <w:rPr>
          <w:rFonts w:ascii="Times New Roman" w:hAnsi="Times New Roman" w:cs="Times New Roman"/>
          <w:b/>
          <w:bCs/>
          <w:color w:val="auto"/>
          <w:szCs w:val="21"/>
          <w:highlight w:val="none"/>
        </w:rPr>
      </w:pPr>
      <w:r>
        <w:rPr>
          <w:rFonts w:ascii="Times New Roman" w:hAnsi="Times New Roman" w:cs="Times New Roman"/>
          <w:b/>
          <w:bCs/>
          <w:color w:val="auto"/>
          <w:szCs w:val="21"/>
          <w:highlight w:val="none"/>
        </w:rPr>
        <w:t>2.若投标文件中签字之处均为法定代表人（单位负责人）本人签署，则可不</w:t>
      </w:r>
      <w:r>
        <w:rPr>
          <w:rFonts w:hint="eastAsia" w:ascii="Times New Roman" w:hAnsi="Times New Roman" w:cs="Times New Roman"/>
          <w:b/>
          <w:bCs/>
          <w:color w:val="auto"/>
          <w:szCs w:val="21"/>
          <w:highlight w:val="none"/>
        </w:rPr>
        <w:t>提供本《授权委托书》</w:t>
      </w:r>
      <w:r>
        <w:rPr>
          <w:rFonts w:ascii="Times New Roman" w:hAnsi="Times New Roman" w:cs="Times New Roman"/>
          <w:b/>
          <w:bCs/>
          <w:color w:val="auto"/>
          <w:szCs w:val="21"/>
          <w:highlight w:val="none"/>
        </w:rPr>
        <w:t>，但须</w:t>
      </w:r>
      <w:r>
        <w:rPr>
          <w:rFonts w:hint="eastAsia" w:ascii="Times New Roman" w:hAnsi="Times New Roman" w:cs="Times New Roman"/>
          <w:b/>
          <w:bCs/>
          <w:color w:val="auto"/>
          <w:szCs w:val="21"/>
          <w:highlight w:val="none"/>
        </w:rPr>
        <w:t>提供《法定代表人（单位负责人）身份证明书》。</w:t>
      </w:r>
    </w:p>
    <w:p w14:paraId="3E744596">
      <w:pPr>
        <w:ind w:firstLine="422"/>
        <w:rPr>
          <w:rFonts w:ascii="Times New Roman" w:hAnsi="Times New Roman" w:cs="Times New Roman"/>
          <w:b/>
          <w:bCs/>
          <w:color w:val="auto"/>
          <w:szCs w:val="21"/>
          <w:highlight w:val="none"/>
        </w:rPr>
      </w:pPr>
      <w:r>
        <w:rPr>
          <w:rFonts w:hint="eastAsia" w:ascii="Times New Roman" w:hAnsi="Times New Roman" w:cs="Times New Roman"/>
          <w:b/>
          <w:bCs/>
          <w:color w:val="auto"/>
          <w:szCs w:val="21"/>
          <w:highlight w:val="none"/>
        </w:rPr>
        <w:br w:type="page"/>
      </w:r>
    </w:p>
    <w:p w14:paraId="4286A826">
      <w:pPr>
        <w:spacing w:line="480" w:lineRule="auto"/>
        <w:ind w:firstLine="0" w:firstLineChars="0"/>
        <w:jc w:val="center"/>
        <w:outlineLvl w:val="2"/>
        <w:rPr>
          <w:rFonts w:ascii="Times New Roman" w:hAnsi="Times New Roman" w:eastAsia="黑体" w:cs="Times New Roman"/>
          <w:color w:val="auto"/>
          <w:sz w:val="28"/>
          <w:szCs w:val="28"/>
          <w:highlight w:val="none"/>
        </w:rPr>
      </w:pPr>
      <w:r>
        <w:rPr>
          <w:rFonts w:hint="eastAsia" w:ascii="宋体" w:hAnsi="宋体" w:cs="宋体"/>
          <w:color w:val="auto"/>
          <w:sz w:val="28"/>
          <w:szCs w:val="28"/>
          <w:highlight w:val="none"/>
        </w:rPr>
        <w:t>★</w:t>
      </w:r>
      <w:r>
        <w:rPr>
          <w:rFonts w:ascii="Times New Roman" w:hAnsi="Times New Roman" w:eastAsia="黑体" w:cs="Times New Roman"/>
          <w:color w:val="auto"/>
          <w:sz w:val="28"/>
          <w:szCs w:val="28"/>
          <w:highlight w:val="none"/>
        </w:rPr>
        <w:t>自然人授权委托书</w:t>
      </w:r>
    </w:p>
    <w:p w14:paraId="4561D21B">
      <w:pPr>
        <w:adjustRightInd w:val="0"/>
        <w:snapToGrid w:val="0"/>
        <w:ind w:firstLine="0" w:firstLineChars="0"/>
        <w:jc w:val="center"/>
        <w:rPr>
          <w:rFonts w:ascii="Times New Roman" w:hAnsi="Times New Roman" w:eastAsia="仿宋_GB2312"/>
          <w:color w:val="auto"/>
          <w:highlight w:val="none"/>
        </w:rPr>
      </w:pPr>
      <w:r>
        <w:rPr>
          <w:rFonts w:hint="eastAsia" w:ascii="宋体" w:hAnsi="宋体" w:cs="宋体"/>
          <w:color w:val="auto"/>
          <w:szCs w:val="21"/>
          <w:highlight w:val="none"/>
        </w:rPr>
        <w:t>（仅适用于自然人投标）</w:t>
      </w:r>
    </w:p>
    <w:p w14:paraId="42228CA7">
      <w:pPr>
        <w:spacing w:line="480" w:lineRule="auto"/>
        <w:ind w:firstLine="420"/>
        <w:rPr>
          <w:color w:val="auto"/>
          <w:highlight w:val="none"/>
        </w:rPr>
      </w:pPr>
      <w:r>
        <w:rPr>
          <w:rFonts w:hint="eastAsia"/>
          <w:color w:val="auto"/>
          <w:highlight w:val="none"/>
        </w:rPr>
        <w:t>本授权书声明：</w:t>
      </w:r>
      <w:r>
        <w:rPr>
          <w:color w:val="auto"/>
          <w:highlight w:val="none"/>
        </w:rPr>
        <w:t>我</w:t>
      </w:r>
      <w:r>
        <w:rPr>
          <w:rFonts w:ascii="Times New Roman" w:hAnsi="Times New Roman" w:cs="Times New Roman"/>
          <w:color w:val="auto"/>
          <w:szCs w:val="21"/>
          <w:highlight w:val="none"/>
          <w:u w:val="single"/>
        </w:rPr>
        <w:t xml:space="preserve">  （姓名</w:t>
      </w:r>
      <w:r>
        <w:rPr>
          <w:rFonts w:hint="eastAsia" w:ascii="Times New Roman" w:hAnsi="Times New Roman" w:cs="Times New Roman"/>
          <w:color w:val="auto"/>
          <w:szCs w:val="21"/>
          <w:highlight w:val="none"/>
          <w:u w:val="single"/>
        </w:rPr>
        <w:t>、</w:t>
      </w:r>
      <w:r>
        <w:rPr>
          <w:rFonts w:ascii="Times New Roman" w:hAnsi="Times New Roman" w:cs="Times New Roman"/>
          <w:color w:val="auto"/>
          <w:szCs w:val="21"/>
          <w:highlight w:val="none"/>
          <w:u w:val="single"/>
        </w:rPr>
        <w:t xml:space="preserve">身份证号码） </w:t>
      </w:r>
      <w:r>
        <w:rPr>
          <w:color w:val="auto"/>
          <w:highlight w:val="none"/>
        </w:rPr>
        <w:t>系自然人，现授权委托</w:t>
      </w:r>
      <w:r>
        <w:rPr>
          <w:rFonts w:ascii="Times New Roman" w:hAnsi="Times New Roman" w:cs="Times New Roman"/>
          <w:color w:val="auto"/>
          <w:szCs w:val="21"/>
          <w:highlight w:val="none"/>
          <w:u w:val="single"/>
        </w:rPr>
        <w:t xml:space="preserve"> （姓名</w:t>
      </w:r>
      <w:r>
        <w:rPr>
          <w:rFonts w:hint="eastAsia" w:ascii="Times New Roman" w:hAnsi="Times New Roman" w:cs="Times New Roman"/>
          <w:color w:val="auto"/>
          <w:szCs w:val="21"/>
          <w:highlight w:val="none"/>
          <w:u w:val="single"/>
        </w:rPr>
        <w:t>、</w:t>
      </w:r>
      <w:r>
        <w:rPr>
          <w:rFonts w:ascii="Times New Roman" w:hAnsi="Times New Roman" w:cs="Times New Roman"/>
          <w:color w:val="auto"/>
          <w:szCs w:val="21"/>
          <w:highlight w:val="none"/>
          <w:u w:val="single"/>
        </w:rPr>
        <w:t>身份证号码）</w:t>
      </w:r>
      <w:r>
        <w:rPr>
          <w:color w:val="auto"/>
          <w:highlight w:val="none"/>
        </w:rPr>
        <w:t>以本人名义参加</w:t>
      </w:r>
      <w:r>
        <w:rPr>
          <w:rFonts w:ascii="Times New Roman" w:hAnsi="Times New Roman" w:cs="Times New Roman"/>
          <w:color w:val="auto"/>
          <w:szCs w:val="21"/>
          <w:highlight w:val="none"/>
          <w:u w:val="single"/>
        </w:rPr>
        <w:t>（采购项目名称）</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项目</w:t>
      </w:r>
      <w:r>
        <w:rPr>
          <w:rFonts w:ascii="Times New Roman" w:hAnsi="Times New Roman" w:cs="Times New Roman"/>
          <w:color w:val="auto"/>
          <w:szCs w:val="21"/>
          <w:highlight w:val="none"/>
        </w:rPr>
        <w:t>编号：）</w:t>
      </w:r>
      <w:r>
        <w:rPr>
          <w:color w:val="auto"/>
          <w:highlight w:val="none"/>
        </w:rPr>
        <w:t>的投标活动，并代表本人全权办理针对上述项目的投</w:t>
      </w:r>
      <w:r>
        <w:rPr>
          <w:rFonts w:hint="eastAsia"/>
          <w:color w:val="auto"/>
          <w:highlight w:val="none"/>
        </w:rPr>
        <w:t>标、签约等具体事务和签署相关文件。</w:t>
      </w:r>
    </w:p>
    <w:p w14:paraId="18D8E01F">
      <w:pPr>
        <w:spacing w:line="480" w:lineRule="auto"/>
        <w:ind w:firstLine="420"/>
        <w:rPr>
          <w:color w:val="auto"/>
          <w:highlight w:val="none"/>
        </w:rPr>
      </w:pPr>
      <w:r>
        <w:rPr>
          <w:rFonts w:hint="eastAsia"/>
          <w:color w:val="auto"/>
          <w:highlight w:val="none"/>
        </w:rPr>
        <w:t>本人对被授权人的签字事项负全部责任。</w:t>
      </w:r>
    </w:p>
    <w:p w14:paraId="77972244">
      <w:pPr>
        <w:spacing w:line="480" w:lineRule="auto"/>
        <w:ind w:firstLine="420" w:firstLineChars="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委托期限：自本授权委托书签署之日起至投标有效期届满之日止。</w:t>
      </w:r>
    </w:p>
    <w:p w14:paraId="60852CA9">
      <w:pPr>
        <w:spacing w:line="480" w:lineRule="auto"/>
        <w:ind w:firstLine="420"/>
        <w:rPr>
          <w:color w:val="auto"/>
          <w:highlight w:val="none"/>
        </w:rPr>
      </w:pPr>
      <w:r>
        <w:rPr>
          <w:rFonts w:hint="eastAsia" w:ascii="Times New Roman" w:hAnsi="Times New Roman" w:cs="Times New Roman"/>
          <w:color w:val="auto"/>
          <w:szCs w:val="21"/>
          <w:highlight w:val="none"/>
        </w:rPr>
        <w:t>代理人无转委托权。</w:t>
      </w:r>
    </w:p>
    <w:p w14:paraId="3D0CEA18">
      <w:pPr>
        <w:ind w:firstLine="420"/>
        <w:rPr>
          <w:color w:val="auto"/>
          <w:highlight w:val="none"/>
        </w:rPr>
      </w:pPr>
    </w:p>
    <w:p w14:paraId="7534FD52">
      <w:pPr>
        <w:spacing w:line="480" w:lineRule="auto"/>
        <w:ind w:firstLine="422"/>
        <w:jc w:val="center"/>
        <w:rPr>
          <w:b/>
          <w:bCs/>
          <w:color w:val="auto"/>
          <w:highlight w:val="none"/>
        </w:rPr>
      </w:pPr>
      <w:r>
        <w:rPr>
          <w:rFonts w:hint="eastAsia"/>
          <w:b/>
          <w:bCs/>
          <w:color w:val="auto"/>
          <w:highlight w:val="none"/>
        </w:rPr>
        <w:t xml:space="preserve">                                         投标人：</w:t>
      </w:r>
      <w:r>
        <w:rPr>
          <w:rFonts w:ascii="Times New Roman" w:hAnsi="Times New Roman" w:cs="Times New Roman"/>
          <w:b/>
          <w:bCs/>
          <w:color w:val="auto"/>
          <w:szCs w:val="21"/>
          <w:highlight w:val="none"/>
        </w:rPr>
        <w:t>（签名或签章）</w:t>
      </w:r>
      <w:r>
        <w:rPr>
          <w:rFonts w:hint="eastAsia"/>
          <w:b/>
          <w:bCs/>
          <w:color w:val="auto"/>
          <w:highlight w:val="none"/>
        </w:rPr>
        <w:t>　　　　</w:t>
      </w:r>
    </w:p>
    <w:p w14:paraId="643E74F6">
      <w:pPr>
        <w:pBdr>
          <w:bottom w:val="single" w:color="auto" w:sz="12" w:space="1"/>
        </w:pBdr>
        <w:spacing w:line="480" w:lineRule="auto"/>
        <w:ind w:firstLine="5692" w:firstLineChars="2700"/>
        <w:rPr>
          <w:rFonts w:ascii="Times New Roman" w:hAnsi="Times New Roman" w:cs="Times New Roman"/>
          <w:b/>
          <w:bCs/>
          <w:color w:val="auto"/>
          <w:szCs w:val="21"/>
          <w:highlight w:val="none"/>
        </w:rPr>
      </w:pPr>
      <w:r>
        <w:rPr>
          <w:rFonts w:ascii="Times New Roman" w:hAnsi="Times New Roman" w:cs="Times New Roman"/>
          <w:b/>
          <w:bCs/>
          <w:color w:val="auto"/>
          <w:szCs w:val="21"/>
          <w:highlight w:val="none"/>
        </w:rPr>
        <w:t>日期：年月日</w:t>
      </w:r>
    </w:p>
    <w:p w14:paraId="59579543">
      <w:pPr>
        <w:spacing w:line="500" w:lineRule="exact"/>
        <w:ind w:firstLine="0" w:firstLineChars="0"/>
        <w:rPr>
          <w:rFonts w:ascii="Times New Roman" w:hAnsi="Times New Roman" w:cs="Times New Roman"/>
          <w:color w:val="auto"/>
          <w:szCs w:val="21"/>
          <w:highlight w:val="none"/>
        </w:rPr>
      </w:pPr>
      <w:r>
        <w:rPr>
          <w:rFonts w:ascii="Times New Roman" w:hAnsi="Times New Roman" w:cs="Times New Roman"/>
          <w:color w:val="auto"/>
          <w:szCs w:val="21"/>
          <w:highlight w:val="none"/>
        </w:rPr>
        <w:t>附：</w:t>
      </w:r>
      <w:r>
        <w:rPr>
          <w:rFonts w:hint="eastAsia" w:ascii="Times New Roman" w:hAnsi="Times New Roman" w:cs="Times New Roman"/>
          <w:b/>
          <w:bCs/>
          <w:color w:val="auto"/>
          <w:szCs w:val="21"/>
          <w:highlight w:val="none"/>
        </w:rPr>
        <w:t>自然人</w:t>
      </w:r>
      <w:r>
        <w:rPr>
          <w:rFonts w:hint="eastAsia" w:ascii="Times New Roman" w:hAnsi="Times New Roman" w:cs="Times New Roman"/>
          <w:color w:val="auto"/>
          <w:szCs w:val="21"/>
          <w:highlight w:val="none"/>
        </w:rPr>
        <w:t>及</w:t>
      </w:r>
      <w:r>
        <w:rPr>
          <w:rFonts w:hint="eastAsia" w:ascii="Times New Roman" w:hAnsi="Times New Roman" w:cs="Times New Roman"/>
          <w:b/>
          <w:bCs/>
          <w:color w:val="auto"/>
          <w:szCs w:val="21"/>
          <w:highlight w:val="none"/>
        </w:rPr>
        <w:t>被授权委托代理人</w:t>
      </w:r>
      <w:r>
        <w:rPr>
          <w:rFonts w:ascii="Times New Roman" w:hAnsi="Times New Roman" w:cs="Times New Roman"/>
          <w:color w:val="auto"/>
          <w:szCs w:val="21"/>
          <w:highlight w:val="none"/>
        </w:rPr>
        <w:t>身份证</w:t>
      </w:r>
      <w:r>
        <w:rPr>
          <w:rFonts w:hint="eastAsia" w:ascii="Times New Roman" w:hAnsi="Times New Roman" w:cs="Times New Roman"/>
          <w:color w:val="auto"/>
          <w:szCs w:val="21"/>
          <w:highlight w:val="none"/>
        </w:rPr>
        <w:t>正反面电子件。</w:t>
      </w:r>
    </w:p>
    <w:p w14:paraId="42831D7C">
      <w:pPr>
        <w:spacing w:line="500" w:lineRule="exact"/>
        <w:ind w:firstLine="0" w:firstLineChars="0"/>
        <w:rPr>
          <w:rFonts w:ascii="Times New Roman" w:hAnsi="Times New Roman" w:cs="Times New Roman"/>
          <w:color w:val="auto"/>
          <w:szCs w:val="21"/>
          <w:highlight w:val="none"/>
        </w:rPr>
      </w:pPr>
    </w:p>
    <w:p w14:paraId="60170A2F">
      <w:pPr>
        <w:pStyle w:val="21"/>
        <w:spacing w:line="480" w:lineRule="auto"/>
        <w:ind w:firstLine="480" w:firstLineChars="200"/>
        <w:rPr>
          <w:rFonts w:hAnsi="宋体"/>
          <w:color w:val="auto"/>
          <w:sz w:val="24"/>
          <w:szCs w:val="24"/>
          <w:highlight w:val="none"/>
        </w:rPr>
      </w:pPr>
    </w:p>
    <w:p w14:paraId="44B122AA">
      <w:pPr>
        <w:topLinePunct/>
        <w:autoSpaceDE w:val="0"/>
        <w:autoSpaceDN w:val="0"/>
        <w:adjustRightInd w:val="0"/>
        <w:snapToGrid w:val="0"/>
        <w:spacing w:line="480" w:lineRule="auto"/>
        <w:ind w:firstLine="420"/>
        <w:jc w:val="left"/>
        <w:rPr>
          <w:rFonts w:ascii="宋体" w:hAnsi="宋体" w:cs="宋体"/>
          <w:color w:val="auto"/>
          <w:highlight w:val="none"/>
        </w:rPr>
      </w:pPr>
    </w:p>
    <w:p w14:paraId="3D0CFE6F">
      <w:pPr>
        <w:spacing w:line="240" w:lineRule="auto"/>
        <w:ind w:firstLine="0" w:firstLineChars="0"/>
        <w:rPr>
          <w:rFonts w:ascii="Times New Roman" w:hAnsi="Times New Roman" w:cs="Times New Roman"/>
          <w:b/>
          <w:bCs/>
          <w:color w:val="auto"/>
          <w:szCs w:val="21"/>
          <w:highlight w:val="none"/>
        </w:rPr>
      </w:pPr>
    </w:p>
    <w:p w14:paraId="21DFB4F2">
      <w:pPr>
        <w:ind w:firstLine="422"/>
        <w:rPr>
          <w:rFonts w:ascii="Times New Roman" w:hAnsi="Times New Roman" w:cs="Times New Roman"/>
          <w:b/>
          <w:bCs/>
          <w:color w:val="auto"/>
          <w:szCs w:val="21"/>
          <w:highlight w:val="none"/>
        </w:rPr>
      </w:pPr>
      <w:r>
        <w:rPr>
          <w:rFonts w:ascii="Times New Roman" w:hAnsi="Times New Roman" w:cs="Times New Roman"/>
          <w:b/>
          <w:bCs/>
          <w:color w:val="auto"/>
          <w:szCs w:val="21"/>
          <w:highlight w:val="none"/>
        </w:rPr>
        <w:br w:type="page"/>
      </w:r>
    </w:p>
    <w:p w14:paraId="69E5CCBA">
      <w:pPr>
        <w:spacing w:line="600" w:lineRule="exact"/>
        <w:ind w:firstLine="0" w:firstLineChars="0"/>
        <w:jc w:val="center"/>
        <w:outlineLvl w:val="2"/>
        <w:rPr>
          <w:rFonts w:ascii="Times New Roman" w:hAnsi="Times New Roman" w:eastAsia="黑体" w:cs="Times New Roman"/>
          <w:color w:val="auto"/>
          <w:sz w:val="28"/>
          <w:szCs w:val="28"/>
          <w:highlight w:val="none"/>
        </w:rPr>
      </w:pPr>
      <w:r>
        <w:rPr>
          <w:rFonts w:hint="eastAsia" w:ascii="宋体" w:hAnsi="宋体" w:cs="宋体"/>
          <w:color w:val="auto"/>
          <w:sz w:val="28"/>
          <w:szCs w:val="28"/>
          <w:highlight w:val="none"/>
        </w:rPr>
        <w:t>★</w:t>
      </w:r>
      <w:r>
        <w:rPr>
          <w:rFonts w:hint="eastAsia" w:ascii="Times New Roman" w:hAnsi="Times New Roman" w:eastAsia="黑体" w:cs="Times New Roman"/>
          <w:color w:val="auto"/>
          <w:sz w:val="28"/>
          <w:szCs w:val="28"/>
          <w:highlight w:val="none"/>
        </w:rPr>
        <w:t>投标保证金缴纳凭证</w:t>
      </w:r>
      <w:bookmarkEnd w:id="794"/>
    </w:p>
    <w:p w14:paraId="3B970F48">
      <w:pPr>
        <w:ind w:firstLine="560"/>
        <w:rPr>
          <w:rFonts w:ascii="Times New Roman" w:hAnsi="Times New Roman" w:eastAsia="黑体" w:cs="Times New Roman"/>
          <w:color w:val="auto"/>
          <w:sz w:val="28"/>
          <w:szCs w:val="28"/>
          <w:highlight w:val="none"/>
        </w:rPr>
      </w:pPr>
      <w:bookmarkStart w:id="796" w:name="OLE_LINK123"/>
      <w:bookmarkStart w:id="797" w:name="OLE_LINK18"/>
      <w:bookmarkStart w:id="798" w:name="_Toc205017032"/>
      <w:bookmarkStart w:id="799" w:name="_Toc8604"/>
      <w:bookmarkStart w:id="800" w:name="_Toc272421896"/>
      <w:r>
        <w:rPr>
          <w:rFonts w:hint="eastAsia" w:ascii="Times New Roman" w:hAnsi="Times New Roman" w:eastAsia="黑体" w:cs="Times New Roman"/>
          <w:color w:val="auto"/>
          <w:sz w:val="28"/>
          <w:szCs w:val="28"/>
          <w:highlight w:val="none"/>
        </w:rPr>
        <w:br w:type="page"/>
      </w:r>
    </w:p>
    <w:bookmarkEnd w:id="766"/>
    <w:bookmarkEnd w:id="767"/>
    <w:bookmarkEnd w:id="796"/>
    <w:bookmarkEnd w:id="797"/>
    <w:bookmarkEnd w:id="798"/>
    <w:bookmarkEnd w:id="799"/>
    <w:bookmarkEnd w:id="800"/>
    <w:p w14:paraId="524DAB88">
      <w:pPr>
        <w:spacing w:line="600" w:lineRule="exact"/>
        <w:ind w:firstLine="0" w:firstLineChars="0"/>
        <w:jc w:val="center"/>
        <w:outlineLvl w:val="2"/>
        <w:rPr>
          <w:rFonts w:hint="eastAsia" w:ascii="Times New Roman" w:hAnsi="Times New Roman" w:eastAsia="黑体" w:cs="Times New Roman"/>
          <w:color w:val="auto"/>
          <w:sz w:val="28"/>
          <w:szCs w:val="28"/>
          <w:highlight w:val="none"/>
          <w:lang w:eastAsia="zh-CN"/>
        </w:rPr>
      </w:pPr>
      <w:r>
        <w:rPr>
          <w:rFonts w:hint="eastAsia" w:ascii="宋体" w:hAnsi="宋体" w:cs="宋体"/>
          <w:color w:val="auto"/>
          <w:sz w:val="28"/>
          <w:szCs w:val="28"/>
          <w:highlight w:val="none"/>
        </w:rPr>
        <w:t>★</w:t>
      </w:r>
      <w:r>
        <w:rPr>
          <w:rFonts w:hint="eastAsia" w:ascii="Times New Roman" w:hAnsi="Times New Roman" w:eastAsia="黑体" w:cs="Times New Roman"/>
          <w:color w:val="auto"/>
          <w:sz w:val="28"/>
          <w:szCs w:val="28"/>
          <w:highlight w:val="none"/>
          <w:lang w:eastAsia="zh-CN"/>
        </w:rPr>
        <w:t>拟分包情况说明</w:t>
      </w:r>
    </w:p>
    <w:p w14:paraId="3C13A5D4">
      <w:pPr>
        <w:ind w:firstLine="0" w:firstLineChars="0"/>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b w:val="0"/>
          <w:bCs w:val="0"/>
          <w:color w:val="auto"/>
          <w:sz w:val="21"/>
          <w:szCs w:val="24"/>
          <w:highlight w:val="none"/>
          <w:lang w:eastAsia="zh-CN"/>
        </w:rPr>
        <w:t>（如有）</w:t>
      </w:r>
    </w:p>
    <w:p w14:paraId="30A9A68D">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致：</w:t>
      </w:r>
      <w:r>
        <w:rPr>
          <w:rFonts w:hint="eastAsia" w:ascii="宋体" w:hAnsi="宋体" w:eastAsia="宋体" w:cs="宋体"/>
          <w:color w:val="auto"/>
          <w:kern w:val="0"/>
          <w:sz w:val="21"/>
          <w:szCs w:val="21"/>
          <w:highlight w:val="none"/>
          <w:u w:val="single"/>
          <w:lang w:val="en-US" w:eastAsia="zh-CN" w:bidi="ar"/>
        </w:rPr>
        <w:t>（采购人）</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 xml:space="preserve"> </w:t>
      </w:r>
    </w:p>
    <w:p w14:paraId="0018290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我单位参加贵单位组织采购的项目编号为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的</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项目（填写采购项目名称）的投标。拟签订分包合同的单位情况如下表所示，我单位承诺一旦在该项目中获得采购合同将按下表所列情况进行分包，同时承诺分包承担主体不再次分包。 </w:t>
      </w:r>
    </w:p>
    <w:tbl>
      <w:tblPr>
        <w:tblStyle w:val="35"/>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1591"/>
        <w:gridCol w:w="1985"/>
        <w:gridCol w:w="1408"/>
        <w:gridCol w:w="1414"/>
        <w:gridCol w:w="1408"/>
        <w:gridCol w:w="1408"/>
      </w:tblGrid>
      <w:tr w14:paraId="0A0889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325" w:type="pct"/>
            <w:tcBorders>
              <w:tl2br w:val="nil"/>
              <w:tr2bl w:val="nil"/>
            </w:tcBorders>
            <w:noWrap w:val="0"/>
            <w:vAlign w:val="center"/>
          </w:tcPr>
          <w:p w14:paraId="3C73C3F1">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lang w:val="en-US" w:eastAsia="zh-CN" w:bidi="ar"/>
              </w:rPr>
              <w:t>序 号</w:t>
            </w:r>
          </w:p>
        </w:tc>
        <w:tc>
          <w:tcPr>
            <w:tcW w:w="807" w:type="pct"/>
            <w:tcBorders>
              <w:tl2br w:val="nil"/>
              <w:tr2bl w:val="nil"/>
            </w:tcBorders>
            <w:noWrap w:val="0"/>
            <w:vAlign w:val="center"/>
          </w:tcPr>
          <w:p w14:paraId="03446C65">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lang w:val="en-US" w:eastAsia="zh-CN" w:bidi="ar"/>
              </w:rPr>
              <w:t>分包承担主体名称</w:t>
            </w:r>
          </w:p>
        </w:tc>
        <w:tc>
          <w:tcPr>
            <w:tcW w:w="1007" w:type="pct"/>
            <w:tcBorders>
              <w:tl2br w:val="nil"/>
              <w:tr2bl w:val="nil"/>
            </w:tcBorders>
            <w:noWrap w:val="0"/>
            <w:vAlign w:val="center"/>
          </w:tcPr>
          <w:p w14:paraId="6D0D16CB">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lang w:val="en-US" w:eastAsia="zh-CN" w:bidi="ar"/>
              </w:rPr>
              <w:t>分包承担主体类型（选择）</w:t>
            </w:r>
          </w:p>
        </w:tc>
        <w:tc>
          <w:tcPr>
            <w:tcW w:w="714" w:type="pct"/>
            <w:tcBorders>
              <w:tl2br w:val="nil"/>
              <w:tr2bl w:val="nil"/>
            </w:tcBorders>
            <w:noWrap w:val="0"/>
            <w:vAlign w:val="center"/>
          </w:tcPr>
          <w:p w14:paraId="1BF480B8">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lang w:val="en-US" w:eastAsia="zh-CN" w:bidi="ar"/>
              </w:rPr>
              <w:t>资质等级</w:t>
            </w:r>
            <w:r>
              <w:rPr>
                <w:rFonts w:hint="eastAsia" w:ascii="宋体" w:hAnsi="宋体" w:cs="宋体"/>
                <w:color w:val="auto"/>
                <w:kern w:val="0"/>
                <w:sz w:val="21"/>
                <w:szCs w:val="21"/>
                <w:highlight w:val="none"/>
                <w:lang w:val="en-US" w:eastAsia="zh-CN" w:bidi="ar"/>
              </w:rPr>
              <w:t>（如有）</w:t>
            </w:r>
          </w:p>
        </w:tc>
        <w:tc>
          <w:tcPr>
            <w:tcW w:w="716" w:type="pct"/>
            <w:tcBorders>
              <w:tl2br w:val="nil"/>
              <w:tr2bl w:val="nil"/>
            </w:tcBorders>
            <w:noWrap w:val="0"/>
            <w:vAlign w:val="center"/>
          </w:tcPr>
          <w:p w14:paraId="478613F5">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lang w:val="en-US" w:eastAsia="zh-CN" w:bidi="ar"/>
              </w:rPr>
              <w:t>拟分包合同内容</w:t>
            </w:r>
          </w:p>
        </w:tc>
        <w:tc>
          <w:tcPr>
            <w:tcW w:w="714" w:type="pct"/>
            <w:tcBorders>
              <w:tl2br w:val="nil"/>
              <w:tr2bl w:val="nil"/>
            </w:tcBorders>
            <w:noWrap w:val="0"/>
            <w:vAlign w:val="center"/>
          </w:tcPr>
          <w:p w14:paraId="5EC0CAF7">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lang w:val="en-US" w:eastAsia="zh-CN" w:bidi="ar"/>
              </w:rPr>
              <w:t>拟分包合同金额（人民币元）</w:t>
            </w:r>
          </w:p>
        </w:tc>
        <w:tc>
          <w:tcPr>
            <w:tcW w:w="714" w:type="pct"/>
            <w:tcBorders>
              <w:tl2br w:val="nil"/>
              <w:tr2bl w:val="nil"/>
            </w:tcBorders>
            <w:noWrap w:val="0"/>
            <w:vAlign w:val="center"/>
          </w:tcPr>
          <w:p w14:paraId="0DDE1108">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b w:val="0"/>
                <w:bCs w:val="0"/>
                <w:color w:val="auto"/>
                <w:kern w:val="0"/>
                <w:sz w:val="21"/>
                <w:szCs w:val="21"/>
                <w:highlight w:val="none"/>
                <w:lang w:val="en-US" w:eastAsia="zh-CN" w:bidi="ar"/>
              </w:rPr>
              <w:t>占合同金额的比例（%）</w:t>
            </w:r>
          </w:p>
        </w:tc>
      </w:tr>
      <w:tr w14:paraId="50A3BA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25" w:type="pct"/>
            <w:tcBorders>
              <w:tl2br w:val="nil"/>
              <w:tr2bl w:val="nil"/>
            </w:tcBorders>
            <w:noWrap w:val="0"/>
            <w:vAlign w:val="center"/>
          </w:tcPr>
          <w:p w14:paraId="3B7FB3F5">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auto"/>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1</w:t>
            </w:r>
          </w:p>
        </w:tc>
        <w:tc>
          <w:tcPr>
            <w:tcW w:w="807" w:type="pct"/>
            <w:tcBorders>
              <w:tl2br w:val="nil"/>
              <w:tr2bl w:val="nil"/>
            </w:tcBorders>
            <w:noWrap w:val="0"/>
            <w:vAlign w:val="center"/>
          </w:tcPr>
          <w:p w14:paraId="7641AE82">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color w:val="auto"/>
                <w:kern w:val="0"/>
                <w:sz w:val="21"/>
                <w:szCs w:val="21"/>
                <w:highlight w:val="none"/>
                <w:vertAlign w:val="baseline"/>
                <w:lang w:val="en-US" w:eastAsia="zh-CN" w:bidi="ar"/>
              </w:rPr>
            </w:pPr>
          </w:p>
        </w:tc>
        <w:tc>
          <w:tcPr>
            <w:tcW w:w="1007" w:type="pct"/>
            <w:tcBorders>
              <w:tl2br w:val="nil"/>
              <w:tr2bl w:val="nil"/>
            </w:tcBorders>
            <w:noWrap w:val="0"/>
            <w:vAlign w:val="center"/>
          </w:tcPr>
          <w:p w14:paraId="4FE398CC">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□中型企业</w:t>
            </w:r>
          </w:p>
          <w:p w14:paraId="6D9F83A0">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□小微企业</w:t>
            </w:r>
          </w:p>
          <w:p w14:paraId="1AEED62B">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lang w:val="en-US" w:eastAsia="zh-CN" w:bidi="ar"/>
              </w:rPr>
              <w:t>□其他</w:t>
            </w:r>
          </w:p>
        </w:tc>
        <w:tc>
          <w:tcPr>
            <w:tcW w:w="714" w:type="pct"/>
            <w:tcBorders>
              <w:tl2br w:val="nil"/>
              <w:tr2bl w:val="nil"/>
            </w:tcBorders>
            <w:noWrap w:val="0"/>
            <w:vAlign w:val="center"/>
          </w:tcPr>
          <w:p w14:paraId="31269427">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color w:val="auto"/>
                <w:kern w:val="0"/>
                <w:sz w:val="21"/>
                <w:szCs w:val="21"/>
                <w:highlight w:val="none"/>
                <w:vertAlign w:val="baseline"/>
                <w:lang w:val="en-US" w:eastAsia="zh-CN" w:bidi="ar"/>
              </w:rPr>
            </w:pPr>
          </w:p>
        </w:tc>
        <w:tc>
          <w:tcPr>
            <w:tcW w:w="716" w:type="pct"/>
            <w:tcBorders>
              <w:tl2br w:val="nil"/>
              <w:tr2bl w:val="nil"/>
            </w:tcBorders>
            <w:noWrap w:val="0"/>
            <w:vAlign w:val="center"/>
          </w:tcPr>
          <w:p w14:paraId="0BDC3B50">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color w:val="auto"/>
                <w:kern w:val="0"/>
                <w:sz w:val="21"/>
                <w:szCs w:val="21"/>
                <w:highlight w:val="none"/>
                <w:vertAlign w:val="baseline"/>
                <w:lang w:val="en-US" w:eastAsia="zh-CN" w:bidi="ar"/>
              </w:rPr>
            </w:pPr>
          </w:p>
        </w:tc>
        <w:tc>
          <w:tcPr>
            <w:tcW w:w="714" w:type="pct"/>
            <w:tcBorders>
              <w:tl2br w:val="nil"/>
              <w:tr2bl w:val="nil"/>
            </w:tcBorders>
            <w:noWrap w:val="0"/>
            <w:vAlign w:val="center"/>
          </w:tcPr>
          <w:p w14:paraId="123410E8">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color w:val="auto"/>
                <w:kern w:val="0"/>
                <w:sz w:val="21"/>
                <w:szCs w:val="21"/>
                <w:highlight w:val="none"/>
                <w:vertAlign w:val="baseline"/>
                <w:lang w:val="en-US" w:eastAsia="zh-CN" w:bidi="ar"/>
              </w:rPr>
            </w:pPr>
          </w:p>
        </w:tc>
        <w:tc>
          <w:tcPr>
            <w:tcW w:w="714" w:type="pct"/>
            <w:tcBorders>
              <w:tl2br w:val="nil"/>
              <w:tr2bl w:val="nil"/>
            </w:tcBorders>
            <w:noWrap w:val="0"/>
            <w:vAlign w:val="center"/>
          </w:tcPr>
          <w:p w14:paraId="53554448">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color w:val="auto"/>
                <w:kern w:val="0"/>
                <w:sz w:val="21"/>
                <w:szCs w:val="21"/>
                <w:highlight w:val="none"/>
                <w:vertAlign w:val="baseline"/>
                <w:lang w:val="en-US" w:eastAsia="zh-CN" w:bidi="ar"/>
              </w:rPr>
            </w:pPr>
          </w:p>
        </w:tc>
      </w:tr>
      <w:tr w14:paraId="1E06E6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25" w:type="pct"/>
            <w:tcBorders>
              <w:tl2br w:val="nil"/>
              <w:tr2bl w:val="nil"/>
            </w:tcBorders>
            <w:noWrap w:val="0"/>
            <w:vAlign w:val="center"/>
          </w:tcPr>
          <w:p w14:paraId="778F153E">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auto"/>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2</w:t>
            </w:r>
          </w:p>
        </w:tc>
        <w:tc>
          <w:tcPr>
            <w:tcW w:w="807" w:type="pct"/>
            <w:tcBorders>
              <w:tl2br w:val="nil"/>
              <w:tr2bl w:val="nil"/>
            </w:tcBorders>
            <w:noWrap w:val="0"/>
            <w:vAlign w:val="center"/>
          </w:tcPr>
          <w:p w14:paraId="6E65CB89">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color w:val="auto"/>
                <w:kern w:val="0"/>
                <w:sz w:val="21"/>
                <w:szCs w:val="21"/>
                <w:highlight w:val="none"/>
                <w:vertAlign w:val="baseline"/>
                <w:lang w:val="en-US" w:eastAsia="zh-CN" w:bidi="ar"/>
              </w:rPr>
            </w:pPr>
          </w:p>
        </w:tc>
        <w:tc>
          <w:tcPr>
            <w:tcW w:w="1007" w:type="pct"/>
            <w:tcBorders>
              <w:tl2br w:val="nil"/>
              <w:tr2bl w:val="nil"/>
            </w:tcBorders>
            <w:noWrap w:val="0"/>
            <w:vAlign w:val="center"/>
          </w:tcPr>
          <w:p w14:paraId="66600774">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□中型企业</w:t>
            </w:r>
          </w:p>
          <w:p w14:paraId="19D9631A">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□小微企业</w:t>
            </w:r>
          </w:p>
          <w:p w14:paraId="2AEED1E7">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lang w:val="en-US" w:eastAsia="zh-CN" w:bidi="ar"/>
              </w:rPr>
              <w:t>□其他</w:t>
            </w:r>
          </w:p>
        </w:tc>
        <w:tc>
          <w:tcPr>
            <w:tcW w:w="714" w:type="pct"/>
            <w:tcBorders>
              <w:tl2br w:val="nil"/>
              <w:tr2bl w:val="nil"/>
            </w:tcBorders>
            <w:noWrap w:val="0"/>
            <w:vAlign w:val="center"/>
          </w:tcPr>
          <w:p w14:paraId="09DC6327">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color w:val="auto"/>
                <w:kern w:val="0"/>
                <w:sz w:val="21"/>
                <w:szCs w:val="21"/>
                <w:highlight w:val="none"/>
                <w:vertAlign w:val="baseline"/>
                <w:lang w:val="en-US" w:eastAsia="zh-CN" w:bidi="ar"/>
              </w:rPr>
            </w:pPr>
          </w:p>
        </w:tc>
        <w:tc>
          <w:tcPr>
            <w:tcW w:w="716" w:type="pct"/>
            <w:tcBorders>
              <w:tl2br w:val="nil"/>
              <w:tr2bl w:val="nil"/>
            </w:tcBorders>
            <w:noWrap w:val="0"/>
            <w:vAlign w:val="center"/>
          </w:tcPr>
          <w:p w14:paraId="119C8C04">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color w:val="auto"/>
                <w:kern w:val="0"/>
                <w:sz w:val="21"/>
                <w:szCs w:val="21"/>
                <w:highlight w:val="none"/>
                <w:vertAlign w:val="baseline"/>
                <w:lang w:val="en-US" w:eastAsia="zh-CN" w:bidi="ar"/>
              </w:rPr>
            </w:pPr>
          </w:p>
        </w:tc>
        <w:tc>
          <w:tcPr>
            <w:tcW w:w="714" w:type="pct"/>
            <w:tcBorders>
              <w:tl2br w:val="nil"/>
              <w:tr2bl w:val="nil"/>
            </w:tcBorders>
            <w:noWrap w:val="0"/>
            <w:vAlign w:val="center"/>
          </w:tcPr>
          <w:p w14:paraId="0176DDE7">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color w:val="auto"/>
                <w:kern w:val="0"/>
                <w:sz w:val="21"/>
                <w:szCs w:val="21"/>
                <w:highlight w:val="none"/>
                <w:vertAlign w:val="baseline"/>
                <w:lang w:val="en-US" w:eastAsia="zh-CN" w:bidi="ar"/>
              </w:rPr>
            </w:pPr>
          </w:p>
        </w:tc>
        <w:tc>
          <w:tcPr>
            <w:tcW w:w="714" w:type="pct"/>
            <w:tcBorders>
              <w:tl2br w:val="nil"/>
              <w:tr2bl w:val="nil"/>
            </w:tcBorders>
            <w:noWrap w:val="0"/>
            <w:vAlign w:val="center"/>
          </w:tcPr>
          <w:p w14:paraId="45EC8935">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color w:val="auto"/>
                <w:kern w:val="0"/>
                <w:sz w:val="21"/>
                <w:szCs w:val="21"/>
                <w:highlight w:val="none"/>
                <w:vertAlign w:val="baseline"/>
                <w:lang w:val="en-US" w:eastAsia="zh-CN" w:bidi="ar"/>
              </w:rPr>
            </w:pPr>
          </w:p>
        </w:tc>
      </w:tr>
      <w:tr w14:paraId="1A94C5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25" w:type="pct"/>
            <w:tcBorders>
              <w:tl2br w:val="nil"/>
              <w:tr2bl w:val="nil"/>
            </w:tcBorders>
            <w:noWrap w:val="0"/>
            <w:vAlign w:val="center"/>
          </w:tcPr>
          <w:p w14:paraId="2729D484">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auto"/>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w:t>
            </w:r>
          </w:p>
        </w:tc>
        <w:tc>
          <w:tcPr>
            <w:tcW w:w="807" w:type="pct"/>
            <w:tcBorders>
              <w:tl2br w:val="nil"/>
              <w:tr2bl w:val="nil"/>
            </w:tcBorders>
            <w:noWrap w:val="0"/>
            <w:vAlign w:val="center"/>
          </w:tcPr>
          <w:p w14:paraId="7BF95E31">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color w:val="auto"/>
                <w:kern w:val="0"/>
                <w:sz w:val="21"/>
                <w:szCs w:val="21"/>
                <w:highlight w:val="none"/>
                <w:vertAlign w:val="baseline"/>
                <w:lang w:val="en-US" w:eastAsia="zh-CN" w:bidi="ar"/>
              </w:rPr>
            </w:pPr>
          </w:p>
        </w:tc>
        <w:tc>
          <w:tcPr>
            <w:tcW w:w="1007" w:type="pct"/>
            <w:tcBorders>
              <w:tl2br w:val="nil"/>
              <w:tr2bl w:val="nil"/>
            </w:tcBorders>
            <w:noWrap w:val="0"/>
            <w:vAlign w:val="center"/>
          </w:tcPr>
          <w:p w14:paraId="0B0969D9">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color w:val="auto"/>
                <w:kern w:val="0"/>
                <w:sz w:val="21"/>
                <w:szCs w:val="21"/>
                <w:highlight w:val="none"/>
                <w:vertAlign w:val="baseline"/>
                <w:lang w:val="en-US" w:eastAsia="zh-CN" w:bidi="ar"/>
              </w:rPr>
            </w:pPr>
          </w:p>
        </w:tc>
        <w:tc>
          <w:tcPr>
            <w:tcW w:w="714" w:type="pct"/>
            <w:tcBorders>
              <w:tl2br w:val="nil"/>
              <w:tr2bl w:val="nil"/>
            </w:tcBorders>
            <w:noWrap w:val="0"/>
            <w:vAlign w:val="center"/>
          </w:tcPr>
          <w:p w14:paraId="352EC63D">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color w:val="auto"/>
                <w:kern w:val="0"/>
                <w:sz w:val="21"/>
                <w:szCs w:val="21"/>
                <w:highlight w:val="none"/>
                <w:vertAlign w:val="baseline"/>
                <w:lang w:val="en-US" w:eastAsia="zh-CN" w:bidi="ar"/>
              </w:rPr>
            </w:pPr>
          </w:p>
        </w:tc>
        <w:tc>
          <w:tcPr>
            <w:tcW w:w="716" w:type="pct"/>
            <w:tcBorders>
              <w:tl2br w:val="nil"/>
              <w:tr2bl w:val="nil"/>
            </w:tcBorders>
            <w:noWrap w:val="0"/>
            <w:vAlign w:val="center"/>
          </w:tcPr>
          <w:p w14:paraId="2D92EB91">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color w:val="auto"/>
                <w:kern w:val="0"/>
                <w:sz w:val="21"/>
                <w:szCs w:val="21"/>
                <w:highlight w:val="none"/>
                <w:vertAlign w:val="baseline"/>
                <w:lang w:val="en-US" w:eastAsia="zh-CN" w:bidi="ar"/>
              </w:rPr>
            </w:pPr>
          </w:p>
        </w:tc>
        <w:tc>
          <w:tcPr>
            <w:tcW w:w="714" w:type="pct"/>
            <w:tcBorders>
              <w:tl2br w:val="nil"/>
              <w:tr2bl w:val="nil"/>
            </w:tcBorders>
            <w:noWrap w:val="0"/>
            <w:vAlign w:val="center"/>
          </w:tcPr>
          <w:p w14:paraId="37BF3CD5">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color w:val="auto"/>
                <w:kern w:val="0"/>
                <w:sz w:val="21"/>
                <w:szCs w:val="21"/>
                <w:highlight w:val="none"/>
                <w:vertAlign w:val="baseline"/>
                <w:lang w:val="en-US" w:eastAsia="zh-CN" w:bidi="ar"/>
              </w:rPr>
            </w:pPr>
          </w:p>
        </w:tc>
        <w:tc>
          <w:tcPr>
            <w:tcW w:w="714" w:type="pct"/>
            <w:tcBorders>
              <w:tl2br w:val="nil"/>
              <w:tr2bl w:val="nil"/>
            </w:tcBorders>
            <w:noWrap w:val="0"/>
            <w:vAlign w:val="center"/>
          </w:tcPr>
          <w:p w14:paraId="398F9096">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color w:val="auto"/>
                <w:kern w:val="0"/>
                <w:sz w:val="21"/>
                <w:szCs w:val="21"/>
                <w:highlight w:val="none"/>
                <w:vertAlign w:val="baseline"/>
                <w:lang w:val="en-US" w:eastAsia="zh-CN" w:bidi="ar"/>
              </w:rPr>
            </w:pPr>
          </w:p>
        </w:tc>
      </w:tr>
      <w:tr w14:paraId="4DCA27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3570" w:type="pct"/>
            <w:gridSpan w:val="5"/>
            <w:tcBorders>
              <w:tl2br w:val="nil"/>
              <w:tr2bl w:val="nil"/>
            </w:tcBorders>
            <w:noWrap w:val="0"/>
            <w:vAlign w:val="center"/>
          </w:tcPr>
          <w:p w14:paraId="4D2DAC8A">
            <w:pPr>
              <w:keepNext w:val="0"/>
              <w:keepLines w:val="0"/>
              <w:pageBreakBefore w:val="0"/>
              <w:widowControl/>
              <w:suppressLineNumbers w:val="0"/>
              <w:kinsoku/>
              <w:wordWrap/>
              <w:overflowPunct/>
              <w:topLinePunct w:val="0"/>
              <w:autoSpaceDE/>
              <w:autoSpaceDN/>
              <w:bidi w:val="0"/>
              <w:adjustRightInd/>
              <w:snapToGrid/>
              <w:jc w:val="right"/>
              <w:textAlignment w:val="auto"/>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合计：</w:t>
            </w:r>
          </w:p>
        </w:tc>
        <w:tc>
          <w:tcPr>
            <w:tcW w:w="714" w:type="pct"/>
            <w:tcBorders>
              <w:tl2br w:val="nil"/>
              <w:tr2bl w:val="nil"/>
            </w:tcBorders>
            <w:noWrap w:val="0"/>
            <w:vAlign w:val="center"/>
          </w:tcPr>
          <w:p w14:paraId="6B539512">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color w:val="auto"/>
                <w:kern w:val="0"/>
                <w:sz w:val="21"/>
                <w:szCs w:val="21"/>
                <w:highlight w:val="none"/>
                <w:vertAlign w:val="baseline"/>
                <w:lang w:val="en-US" w:eastAsia="zh-CN" w:bidi="ar"/>
              </w:rPr>
            </w:pPr>
          </w:p>
        </w:tc>
        <w:tc>
          <w:tcPr>
            <w:tcW w:w="714" w:type="pct"/>
            <w:tcBorders>
              <w:tl2br w:val="nil"/>
              <w:tr2bl w:val="nil"/>
            </w:tcBorders>
            <w:noWrap w:val="0"/>
            <w:vAlign w:val="center"/>
          </w:tcPr>
          <w:p w14:paraId="240E4DDD">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color w:val="auto"/>
                <w:kern w:val="0"/>
                <w:sz w:val="21"/>
                <w:szCs w:val="21"/>
                <w:highlight w:val="none"/>
                <w:vertAlign w:val="baseline"/>
                <w:lang w:val="en-US" w:eastAsia="zh-CN" w:bidi="ar"/>
              </w:rPr>
            </w:pPr>
          </w:p>
        </w:tc>
      </w:tr>
    </w:tbl>
    <w:p w14:paraId="6261440B">
      <w:pPr>
        <w:keepNext w:val="0"/>
        <w:keepLines w:val="0"/>
        <w:pageBreakBefore w:val="0"/>
        <w:widowControl w:val="0"/>
        <w:kinsoku/>
        <w:wordWrap/>
        <w:overflowPunct/>
        <w:topLinePunct w:val="0"/>
        <w:autoSpaceDE/>
        <w:autoSpaceDN/>
        <w:bidi w:val="0"/>
        <w:adjustRightInd/>
        <w:snapToGrid/>
        <w:spacing w:before="167" w:beforeLines="50" w:line="360" w:lineRule="auto"/>
        <w:ind w:left="0" w:leftChars="0" w:firstLine="422" w:firstLineChars="200"/>
        <w:jc w:val="left"/>
        <w:textAlignment w:val="auto"/>
        <w:rPr>
          <w:rFonts w:hint="default" w:ascii="Times New Roman" w:hAnsi="Times New Roman" w:eastAsia="宋体" w:cs="Times New Roman"/>
          <w:b/>
          <w:bCs/>
          <w:color w:val="auto"/>
          <w:szCs w:val="21"/>
          <w:highlight w:val="none"/>
          <w:lang w:val="en-US" w:eastAsia="zh-CN"/>
        </w:rPr>
      </w:pPr>
      <w:r>
        <w:rPr>
          <w:rFonts w:ascii="Times New Roman" w:hAnsi="Times New Roman" w:cs="Times New Roman"/>
          <w:b/>
          <w:bCs/>
          <w:color w:val="auto"/>
          <w:szCs w:val="21"/>
          <w:highlight w:val="none"/>
        </w:rPr>
        <w:t>投标人：（</w:t>
      </w:r>
      <w:r>
        <w:rPr>
          <w:rFonts w:hint="eastAsia" w:ascii="宋体" w:hAnsi="宋体" w:cs="宋体"/>
          <w:b/>
          <w:bCs/>
          <w:color w:val="auto"/>
          <w:sz w:val="21"/>
          <w:szCs w:val="21"/>
          <w:highlight w:val="none"/>
          <w:lang w:val="en-US" w:eastAsia="zh-CN"/>
        </w:rPr>
        <w:t>盖章</w:t>
      </w:r>
      <w:r>
        <w:rPr>
          <w:rFonts w:ascii="Times New Roman" w:hAnsi="Times New Roman" w:cs="Times New Roman"/>
          <w:b/>
          <w:bCs/>
          <w:color w:val="auto"/>
          <w:szCs w:val="21"/>
          <w:highlight w:val="none"/>
        </w:rPr>
        <w:t>）</w:t>
      </w:r>
      <w:r>
        <w:rPr>
          <w:rFonts w:hint="eastAsia" w:ascii="Times New Roman" w:hAnsi="Times New Roman" w:cs="Times New Roman"/>
          <w:b/>
          <w:bCs/>
          <w:color w:val="auto"/>
          <w:szCs w:val="21"/>
          <w:highlight w:val="none"/>
          <w:lang w:val="en-US" w:eastAsia="zh-CN"/>
        </w:rPr>
        <w:t xml:space="preserve">             </w:t>
      </w:r>
    </w:p>
    <w:p w14:paraId="1AF8F5E4">
      <w:pPr>
        <w:keepNext w:val="0"/>
        <w:keepLines w:val="0"/>
        <w:pageBreakBefore w:val="0"/>
        <w:widowControl w:val="0"/>
        <w:tabs>
          <w:tab w:val="left" w:pos="4860"/>
        </w:tabs>
        <w:kinsoku/>
        <w:wordWrap/>
        <w:overflowPunct/>
        <w:topLinePunct w:val="0"/>
        <w:autoSpaceDE/>
        <w:autoSpaceDN/>
        <w:bidi w:val="0"/>
        <w:adjustRightInd/>
        <w:snapToGrid/>
        <w:spacing w:line="360" w:lineRule="auto"/>
        <w:ind w:left="0" w:leftChars="0" w:right="1560" w:firstLine="422" w:firstLineChars="200"/>
        <w:jc w:val="left"/>
        <w:textAlignment w:val="auto"/>
        <w:rPr>
          <w:rFonts w:hint="eastAsia" w:ascii="宋体" w:hAnsi="宋体" w:eastAsia="宋体" w:cs="宋体"/>
          <w:b w:val="0"/>
          <w:bCs w:val="0"/>
          <w:color w:val="auto"/>
          <w:kern w:val="0"/>
          <w:sz w:val="21"/>
          <w:szCs w:val="21"/>
          <w:highlight w:val="none"/>
          <w:lang w:val="en-US" w:eastAsia="zh-CN" w:bidi="ar"/>
        </w:rPr>
      </w:pPr>
      <w:r>
        <w:rPr>
          <w:rFonts w:ascii="Times New Roman" w:hAnsi="Times New Roman" w:cs="Times New Roman"/>
          <w:b/>
          <w:bCs/>
          <w:color w:val="auto"/>
          <w:szCs w:val="20"/>
          <w:highlight w:val="none"/>
        </w:rPr>
        <w:t>日期：</w:t>
      </w:r>
      <w:r>
        <w:rPr>
          <w:rFonts w:ascii="Times New Roman" w:hAnsi="Times New Roman" w:cs="Times New Roman"/>
          <w:b/>
          <w:bCs/>
          <w:color w:val="auto"/>
          <w:szCs w:val="20"/>
          <w:highlight w:val="none"/>
          <w:u w:val="single"/>
        </w:rPr>
        <w:t>　　　</w:t>
      </w:r>
      <w:r>
        <w:rPr>
          <w:rFonts w:ascii="Times New Roman" w:hAnsi="Times New Roman" w:cs="Times New Roman"/>
          <w:b/>
          <w:bCs/>
          <w:color w:val="auto"/>
          <w:szCs w:val="20"/>
          <w:highlight w:val="none"/>
        </w:rPr>
        <w:t>年</w:t>
      </w:r>
      <w:r>
        <w:rPr>
          <w:rFonts w:ascii="Times New Roman" w:hAnsi="Times New Roman" w:cs="Times New Roman"/>
          <w:b/>
          <w:bCs/>
          <w:color w:val="auto"/>
          <w:szCs w:val="20"/>
          <w:highlight w:val="none"/>
          <w:u w:val="single"/>
        </w:rPr>
        <w:t>　　</w:t>
      </w:r>
      <w:r>
        <w:rPr>
          <w:rFonts w:ascii="Times New Roman" w:hAnsi="Times New Roman" w:cs="Times New Roman"/>
          <w:b/>
          <w:bCs/>
          <w:color w:val="auto"/>
          <w:szCs w:val="20"/>
          <w:highlight w:val="none"/>
        </w:rPr>
        <w:t>月</w:t>
      </w:r>
      <w:r>
        <w:rPr>
          <w:rFonts w:ascii="Times New Roman" w:hAnsi="Times New Roman" w:cs="Times New Roman"/>
          <w:b/>
          <w:bCs/>
          <w:color w:val="auto"/>
          <w:szCs w:val="20"/>
          <w:highlight w:val="none"/>
          <w:u w:val="single"/>
        </w:rPr>
        <w:t>　　</w:t>
      </w:r>
      <w:r>
        <w:rPr>
          <w:rFonts w:ascii="Times New Roman" w:hAnsi="Times New Roman" w:cs="Times New Roman"/>
          <w:b/>
          <w:bCs/>
          <w:color w:val="auto"/>
          <w:szCs w:val="20"/>
          <w:highlight w:val="none"/>
        </w:rPr>
        <w:t>日</w:t>
      </w:r>
      <w:r>
        <w:rPr>
          <w:rFonts w:hint="eastAsia" w:ascii="宋体" w:hAnsi="宋体" w:eastAsia="宋体" w:cs="宋体"/>
          <w:b w:val="0"/>
          <w:bCs w:val="0"/>
          <w:color w:val="auto"/>
          <w:kern w:val="0"/>
          <w:sz w:val="21"/>
          <w:szCs w:val="21"/>
          <w:highlight w:val="none"/>
          <w:lang w:val="en-US" w:eastAsia="zh-CN" w:bidi="ar"/>
        </w:rPr>
        <w:t xml:space="preserve"> </w:t>
      </w:r>
    </w:p>
    <w:p w14:paraId="77818512">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kern w:val="0"/>
          <w:sz w:val="21"/>
          <w:szCs w:val="21"/>
          <w:highlight w:val="none"/>
          <w:lang w:val="en-US" w:eastAsia="zh-CN" w:bidi="ar"/>
        </w:rPr>
      </w:pPr>
    </w:p>
    <w:p w14:paraId="39C90387">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注：1、如本项目允许分包，且投标人拟进行分包时，必须提供。</w:t>
      </w:r>
    </w:p>
    <w:p w14:paraId="716784C8">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2、本招标文件《投标人须知前附表》载明本项目分包承担主体应具备的相应资质条件，则投标人须在本表中列明分包承担主体的资质等级，后附分包承担主体的资质证书等相关资料，否则投标无效。</w:t>
      </w:r>
    </w:p>
    <w:p w14:paraId="2A7DDB27">
      <w:pPr>
        <w:rPr>
          <w:rFonts w:hint="eastAsia" w:ascii="Times New Roman" w:hAnsi="Times New Roman" w:eastAsia="黑体" w:cs="Times New Roman"/>
          <w:b w:val="0"/>
          <w:bCs w:val="0"/>
          <w:color w:val="auto"/>
          <w:sz w:val="28"/>
          <w:szCs w:val="28"/>
          <w:highlight w:val="none"/>
          <w:lang w:eastAsia="zh-CN"/>
        </w:rPr>
      </w:pPr>
      <w:r>
        <w:rPr>
          <w:rFonts w:hint="eastAsia" w:ascii="Times New Roman" w:hAnsi="Times New Roman" w:eastAsia="黑体" w:cs="Times New Roman"/>
          <w:b w:val="0"/>
          <w:bCs w:val="0"/>
          <w:color w:val="auto"/>
          <w:sz w:val="28"/>
          <w:szCs w:val="28"/>
          <w:highlight w:val="none"/>
          <w:lang w:eastAsia="zh-CN"/>
        </w:rPr>
        <w:br w:type="page"/>
      </w:r>
    </w:p>
    <w:p w14:paraId="51060737">
      <w:pPr>
        <w:ind w:firstLine="0" w:firstLineChars="0"/>
        <w:jc w:val="center"/>
        <w:outlineLvl w:val="2"/>
        <w:rPr>
          <w:rFonts w:hint="eastAsia" w:ascii="Times New Roman" w:hAnsi="Times New Roman" w:eastAsia="黑体" w:cs="Times New Roman"/>
          <w:color w:val="auto"/>
          <w:sz w:val="28"/>
          <w:szCs w:val="28"/>
          <w:highlight w:val="none"/>
          <w:lang w:val="en-US" w:eastAsia="zh-CN"/>
        </w:rPr>
      </w:pPr>
      <w:r>
        <w:rPr>
          <w:rFonts w:hint="eastAsia" w:ascii="宋体" w:hAnsi="宋体" w:cs="宋体"/>
          <w:color w:val="auto"/>
          <w:sz w:val="28"/>
          <w:szCs w:val="28"/>
          <w:highlight w:val="none"/>
        </w:rPr>
        <w:t>★</w:t>
      </w:r>
      <w:r>
        <w:rPr>
          <w:rFonts w:hint="eastAsia" w:ascii="Times New Roman" w:hAnsi="Times New Roman" w:eastAsia="黑体" w:cs="Times New Roman"/>
          <w:color w:val="auto"/>
          <w:sz w:val="28"/>
          <w:szCs w:val="28"/>
          <w:highlight w:val="none"/>
          <w:lang w:val="en-US" w:eastAsia="zh-CN"/>
        </w:rPr>
        <w:t>分包意向协议</w:t>
      </w:r>
    </w:p>
    <w:p w14:paraId="559E2EC5">
      <w:pPr>
        <w:ind w:firstLine="0" w:firstLineChars="0"/>
        <w:jc w:val="center"/>
        <w:rPr>
          <w:rFonts w:hint="eastAsia" w:ascii="宋体" w:hAnsi="宋体" w:eastAsia="宋体" w:cs="宋体"/>
          <w:color w:val="auto"/>
          <w:kern w:val="0"/>
          <w:sz w:val="21"/>
          <w:szCs w:val="21"/>
          <w:highlight w:val="none"/>
          <w:lang w:val="en-US" w:eastAsia="zh-CN" w:bidi="ar"/>
        </w:rPr>
      </w:pPr>
      <w:r>
        <w:rPr>
          <w:rFonts w:hint="default" w:ascii="Times New Roman" w:hAnsi="Times New Roman" w:eastAsia="宋体" w:cs="Times New Roman"/>
          <w:b w:val="0"/>
          <w:bCs w:val="0"/>
          <w:color w:val="auto"/>
          <w:sz w:val="21"/>
          <w:szCs w:val="24"/>
          <w:highlight w:val="none"/>
          <w:lang w:eastAsia="zh-CN"/>
        </w:rPr>
        <w:t>（如有）</w:t>
      </w:r>
    </w:p>
    <w:p w14:paraId="26F4A8D4">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
        </w:rPr>
        <w:t>甲方（投标人）：</w:t>
      </w:r>
      <w:r>
        <w:rPr>
          <w:rFonts w:hint="eastAsia" w:ascii="宋体" w:hAnsi="宋体" w:eastAsia="宋体" w:cs="宋体"/>
          <w:color w:val="auto"/>
          <w:kern w:val="0"/>
          <w:sz w:val="21"/>
          <w:szCs w:val="21"/>
          <w:highlight w:val="none"/>
          <w:u w:val="single"/>
          <w:lang w:val="en-US" w:eastAsia="zh-CN" w:bidi="ar"/>
        </w:rPr>
        <w:t xml:space="preserve">            </w:t>
      </w:r>
    </w:p>
    <w:p w14:paraId="00EA9F21">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乙方（拟分包单位）：</w:t>
      </w:r>
      <w:r>
        <w:rPr>
          <w:rFonts w:hint="eastAsia" w:ascii="宋体" w:hAnsi="宋体" w:eastAsia="宋体" w:cs="宋体"/>
          <w:color w:val="auto"/>
          <w:kern w:val="0"/>
          <w:sz w:val="21"/>
          <w:szCs w:val="21"/>
          <w:highlight w:val="none"/>
          <w:u w:val="single"/>
          <w:lang w:val="en-US" w:eastAsia="zh-CN" w:bidi="ar"/>
        </w:rPr>
        <w:t xml:space="preserve">            </w:t>
      </w:r>
    </w:p>
    <w:p w14:paraId="472EA41B">
      <w:pPr>
        <w:keepNext w:val="0"/>
        <w:keepLines w:val="0"/>
        <w:pageBreakBefore w:val="0"/>
        <w:widowControl/>
        <w:suppressLineNumbers w:val="0"/>
        <w:kinsoku/>
        <w:wordWrap/>
        <w:overflowPunct/>
        <w:topLinePunct w:val="0"/>
        <w:autoSpaceDE/>
        <w:autoSpaceDN/>
        <w:bidi w:val="0"/>
        <w:adjustRightInd/>
        <w:snapToGrid/>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甲方承诺，一旦在</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（采购项目名称）（项目编号：</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）招标采购项目中获得采购合同，将按照下述约定将合同项下部分内容分包给乙方： </w:t>
      </w:r>
    </w:p>
    <w:p w14:paraId="1BCB3A56">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1.分包内容：</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w:t>
      </w:r>
    </w:p>
    <w:p w14:paraId="2A9C1CD1">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2.分包金额：</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，该金额占该采购包合同金额的比例为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w:t>
      </w:r>
    </w:p>
    <w:p w14:paraId="631DA9DE">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乙方承诺将在上述情况下与甲方签订分包合同。 </w:t>
      </w:r>
    </w:p>
    <w:p w14:paraId="05121581">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本协议自各方盖章之日起生效，如甲方未在该项目（采购包）中标，本协议自动终止。 </w:t>
      </w:r>
    </w:p>
    <w:p w14:paraId="69DF032D">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color w:val="auto"/>
          <w:kern w:val="0"/>
          <w:sz w:val="21"/>
          <w:szCs w:val="21"/>
          <w:highlight w:val="none"/>
          <w:lang w:val="en-US" w:eastAsia="zh-CN" w:bidi="ar"/>
        </w:rPr>
      </w:pPr>
    </w:p>
    <w:p w14:paraId="54CE1CD5">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color w:val="auto"/>
          <w:kern w:val="0"/>
          <w:sz w:val="21"/>
          <w:szCs w:val="21"/>
          <w:highlight w:val="none"/>
          <w:lang w:val="en-US" w:eastAsia="zh-CN" w:bidi="ar"/>
        </w:rPr>
      </w:pPr>
    </w:p>
    <w:p w14:paraId="1C6F879F">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甲方（盖章）：</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乙方（盖章）：</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cs="宋体"/>
          <w:color w:val="auto"/>
          <w:kern w:val="0"/>
          <w:sz w:val="21"/>
          <w:szCs w:val="21"/>
          <w:highlight w:val="none"/>
          <w:u w:val="single"/>
          <w:lang w:val="en-US" w:eastAsia="zh-CN" w:bidi="ar"/>
        </w:rPr>
        <w:t xml:space="preserve">   </w:t>
      </w:r>
    </w:p>
    <w:p w14:paraId="6AE37D24">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                                     日期：</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年</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月</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日 </w:t>
      </w:r>
    </w:p>
    <w:p w14:paraId="281B578C">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注： </w:t>
      </w:r>
    </w:p>
    <w:p w14:paraId="34E1DA1E">
      <w:pPr>
        <w:ind w:left="0" w:leftChars="0" w:firstLine="0" w:firstLineChars="0"/>
        <w:outlineLvl w:val="2"/>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本协议仅在投标人拟分包时必须提供，否则</w:t>
      </w:r>
      <w:r>
        <w:rPr>
          <w:rFonts w:hint="eastAsia" w:ascii="宋体" w:hAnsi="宋体" w:eastAsia="宋体" w:cs="宋体"/>
          <w:b/>
          <w:bCs/>
          <w:color w:val="auto"/>
          <w:kern w:val="0"/>
          <w:sz w:val="21"/>
          <w:szCs w:val="21"/>
          <w:highlight w:val="none"/>
          <w:lang w:val="en-US" w:eastAsia="zh-CN" w:bidi="ar"/>
        </w:rPr>
        <w:t>投标无效</w:t>
      </w:r>
      <w:r>
        <w:rPr>
          <w:rFonts w:hint="eastAsia" w:ascii="宋体" w:hAnsi="宋体" w:eastAsia="宋体" w:cs="宋体"/>
          <w:color w:val="auto"/>
          <w:kern w:val="0"/>
          <w:sz w:val="21"/>
          <w:szCs w:val="21"/>
          <w:highlight w:val="none"/>
          <w:lang w:val="en-US" w:eastAsia="zh-CN" w:bidi="ar"/>
        </w:rPr>
        <w:t>；且投标人须与所有拟分包单位分别签订《分包意向协议》，每单位签订一份，并在投标文件中提交全部协议，否则</w:t>
      </w:r>
      <w:r>
        <w:rPr>
          <w:rFonts w:hint="eastAsia" w:ascii="宋体" w:hAnsi="宋体" w:eastAsia="宋体" w:cs="宋体"/>
          <w:b/>
          <w:bCs/>
          <w:color w:val="auto"/>
          <w:kern w:val="0"/>
          <w:sz w:val="21"/>
          <w:szCs w:val="21"/>
          <w:highlight w:val="none"/>
          <w:lang w:val="en-US" w:eastAsia="zh-CN" w:bidi="ar"/>
        </w:rPr>
        <w:t>投标无效</w:t>
      </w:r>
      <w:r>
        <w:rPr>
          <w:rFonts w:hint="eastAsia" w:ascii="宋体" w:hAnsi="宋体" w:eastAsia="宋体" w:cs="宋体"/>
          <w:color w:val="auto"/>
          <w:kern w:val="0"/>
          <w:sz w:val="21"/>
          <w:szCs w:val="21"/>
          <w:highlight w:val="none"/>
          <w:lang w:val="en-US" w:eastAsia="zh-CN" w:bidi="ar"/>
        </w:rPr>
        <w:t>。</w:t>
      </w:r>
    </w:p>
    <w:p w14:paraId="6A9F0BAF">
      <w:pPr>
        <w:rPr>
          <w:rFonts w:hint="eastAsia" w:ascii="Times New Roman" w:hAnsi="Times New Roman" w:eastAsia="黑体" w:cs="Times New Roman"/>
          <w:color w:val="auto"/>
          <w:sz w:val="28"/>
          <w:szCs w:val="28"/>
          <w:highlight w:val="none"/>
        </w:rPr>
      </w:pPr>
      <w:r>
        <w:rPr>
          <w:rFonts w:hint="eastAsia" w:ascii="Times New Roman" w:hAnsi="Times New Roman" w:eastAsia="黑体" w:cs="Times New Roman"/>
          <w:color w:val="auto"/>
          <w:sz w:val="28"/>
          <w:szCs w:val="28"/>
          <w:highlight w:val="none"/>
        </w:rPr>
        <w:br w:type="page"/>
      </w:r>
    </w:p>
    <w:p w14:paraId="209981FB">
      <w:pPr>
        <w:ind w:firstLine="0" w:firstLineChars="0"/>
        <w:jc w:val="center"/>
        <w:outlineLvl w:val="2"/>
        <w:rPr>
          <w:rFonts w:ascii="Times New Roman" w:hAnsi="Times New Roman" w:eastAsia="黑体" w:cs="Times New Roman"/>
          <w:color w:val="auto"/>
          <w:sz w:val="28"/>
          <w:szCs w:val="28"/>
          <w:highlight w:val="none"/>
        </w:rPr>
      </w:pPr>
      <w:r>
        <w:rPr>
          <w:rFonts w:hint="eastAsia" w:ascii="Times New Roman" w:hAnsi="Times New Roman" w:eastAsia="黑体" w:cs="Times New Roman"/>
          <w:color w:val="auto"/>
          <w:sz w:val="28"/>
          <w:szCs w:val="28"/>
          <w:highlight w:val="none"/>
        </w:rPr>
        <w:t>★</w:t>
      </w:r>
      <w:r>
        <w:rPr>
          <w:rFonts w:ascii="Times New Roman" w:hAnsi="Times New Roman" w:eastAsia="黑体" w:cs="Times New Roman"/>
          <w:color w:val="auto"/>
          <w:sz w:val="28"/>
          <w:szCs w:val="28"/>
          <w:highlight w:val="none"/>
        </w:rPr>
        <w:t>技术规格偏离表</w:t>
      </w:r>
      <w:bookmarkEnd w:id="768"/>
      <w:bookmarkEnd w:id="769"/>
      <w:bookmarkEnd w:id="770"/>
      <w:bookmarkEnd w:id="771"/>
    </w:p>
    <w:p w14:paraId="324F8031">
      <w:pPr>
        <w:ind w:firstLine="420"/>
        <w:rPr>
          <w:rFonts w:ascii="宋体" w:hAnsi="宋体" w:cs="宋体"/>
          <w:color w:val="auto"/>
          <w:szCs w:val="21"/>
          <w:highlight w:val="none"/>
        </w:rPr>
      </w:pPr>
      <w:bookmarkStart w:id="801" w:name="OLE_LINK126"/>
      <w:bookmarkStart w:id="802" w:name="OLE_LINK62"/>
      <w:r>
        <w:rPr>
          <w:rFonts w:hint="eastAsia" w:ascii="宋体" w:hAnsi="宋体" w:cs="宋体"/>
          <w:color w:val="auto"/>
          <w:szCs w:val="21"/>
          <w:highlight w:val="none"/>
        </w:rPr>
        <w:t>请对应招标文件第五章“采购需求</w:t>
      </w:r>
      <w:bookmarkStart w:id="803" w:name="OLE_LINK197"/>
      <w:r>
        <w:rPr>
          <w:rFonts w:hint="eastAsia" w:ascii="宋体" w:hAnsi="宋体" w:cs="宋体"/>
          <w:color w:val="auto"/>
          <w:szCs w:val="21"/>
          <w:highlight w:val="none"/>
        </w:rPr>
        <w:t xml:space="preserve"> 二、采购需求一览表”中要求的内容认真填写该表。</w:t>
      </w:r>
    </w:p>
    <w:bookmarkEnd w:id="801"/>
    <w:tbl>
      <w:tblPr>
        <w:tblStyle w:val="34"/>
        <w:tblW w:w="4972"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02"/>
        <w:gridCol w:w="1347"/>
        <w:gridCol w:w="2668"/>
        <w:gridCol w:w="2171"/>
        <w:gridCol w:w="1142"/>
        <w:gridCol w:w="1769"/>
      </w:tblGrid>
      <w:tr w14:paraId="6C1298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3" w:hRule="atLeast"/>
        </w:trPr>
        <w:tc>
          <w:tcPr>
            <w:tcW w:w="358" w:type="pct"/>
            <w:vAlign w:val="center"/>
          </w:tcPr>
          <w:p w14:paraId="181E8EE7">
            <w:pPr>
              <w:ind w:firstLine="0" w:firstLineChars="0"/>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687" w:type="pct"/>
            <w:vAlign w:val="center"/>
          </w:tcPr>
          <w:p w14:paraId="04B6D49B">
            <w:pPr>
              <w:ind w:firstLine="0" w:firstLineChars="0"/>
              <w:jc w:val="center"/>
              <w:rPr>
                <w:rFonts w:ascii="宋体" w:hAnsi="宋体" w:cs="宋体"/>
                <w:b/>
                <w:color w:val="auto"/>
                <w:szCs w:val="21"/>
                <w:highlight w:val="none"/>
              </w:rPr>
            </w:pPr>
            <w:r>
              <w:rPr>
                <w:rFonts w:hint="eastAsia" w:ascii="宋体" w:hAnsi="宋体" w:cs="宋体"/>
                <w:b/>
                <w:color w:val="auto"/>
                <w:szCs w:val="21"/>
                <w:highlight w:val="none"/>
              </w:rPr>
              <w:t>标的名称</w:t>
            </w:r>
          </w:p>
        </w:tc>
        <w:tc>
          <w:tcPr>
            <w:tcW w:w="1360" w:type="pct"/>
            <w:vAlign w:val="center"/>
          </w:tcPr>
          <w:p w14:paraId="076D601C">
            <w:pPr>
              <w:ind w:firstLine="0" w:firstLineChars="0"/>
              <w:jc w:val="center"/>
              <w:rPr>
                <w:rFonts w:ascii="宋体" w:hAnsi="宋体" w:cs="宋体"/>
                <w:b/>
                <w:color w:val="auto"/>
                <w:szCs w:val="21"/>
                <w:highlight w:val="none"/>
              </w:rPr>
            </w:pPr>
            <w:r>
              <w:rPr>
                <w:rFonts w:hint="eastAsia" w:ascii="宋体" w:hAnsi="宋体" w:cs="宋体"/>
                <w:b/>
                <w:color w:val="auto"/>
                <w:szCs w:val="21"/>
                <w:highlight w:val="none"/>
              </w:rPr>
              <w:t>招标文件技术规范、要求</w:t>
            </w:r>
          </w:p>
        </w:tc>
        <w:tc>
          <w:tcPr>
            <w:tcW w:w="1107" w:type="pct"/>
            <w:vAlign w:val="center"/>
          </w:tcPr>
          <w:p w14:paraId="55DE8EB3">
            <w:pPr>
              <w:ind w:firstLine="0" w:firstLineChars="0"/>
              <w:jc w:val="center"/>
              <w:rPr>
                <w:rFonts w:ascii="宋体" w:hAnsi="宋体" w:cs="宋体"/>
                <w:b/>
                <w:color w:val="auto"/>
                <w:szCs w:val="21"/>
                <w:highlight w:val="none"/>
              </w:rPr>
            </w:pPr>
            <w:r>
              <w:rPr>
                <w:rFonts w:hint="eastAsia" w:ascii="宋体" w:hAnsi="宋体" w:cs="宋体"/>
                <w:b/>
                <w:color w:val="auto"/>
                <w:szCs w:val="21"/>
                <w:highlight w:val="none"/>
              </w:rPr>
              <w:t>投标文件应答情况</w:t>
            </w:r>
          </w:p>
        </w:tc>
        <w:tc>
          <w:tcPr>
            <w:tcW w:w="582" w:type="pct"/>
            <w:vAlign w:val="center"/>
          </w:tcPr>
          <w:p w14:paraId="56A7172C">
            <w:pPr>
              <w:ind w:firstLine="0" w:firstLineChars="0"/>
              <w:jc w:val="center"/>
              <w:rPr>
                <w:rFonts w:ascii="宋体" w:hAnsi="宋体" w:cs="宋体"/>
                <w:b/>
                <w:color w:val="auto"/>
                <w:szCs w:val="21"/>
                <w:highlight w:val="none"/>
              </w:rPr>
            </w:pPr>
            <w:r>
              <w:rPr>
                <w:rFonts w:hint="eastAsia" w:ascii="宋体" w:hAnsi="宋体" w:cs="宋体"/>
                <w:b/>
                <w:color w:val="auto"/>
                <w:szCs w:val="21"/>
                <w:highlight w:val="none"/>
              </w:rPr>
              <w:t>偏离</w:t>
            </w:r>
          </w:p>
        </w:tc>
        <w:tc>
          <w:tcPr>
            <w:tcW w:w="902" w:type="pct"/>
            <w:vAlign w:val="center"/>
          </w:tcPr>
          <w:p w14:paraId="35B86901">
            <w:pPr>
              <w:ind w:firstLine="0" w:firstLineChars="0"/>
              <w:jc w:val="center"/>
              <w:rPr>
                <w:rFonts w:ascii="宋体" w:hAnsi="宋体" w:cs="宋体"/>
                <w:b/>
                <w:color w:val="auto"/>
                <w:szCs w:val="21"/>
                <w:highlight w:val="none"/>
              </w:rPr>
            </w:pPr>
            <w:r>
              <w:rPr>
                <w:rFonts w:hint="eastAsia" w:ascii="宋体" w:hAnsi="宋体" w:cs="宋体"/>
                <w:b/>
                <w:color w:val="auto"/>
                <w:szCs w:val="21"/>
                <w:highlight w:val="none"/>
              </w:rPr>
              <w:t>技术支持资料索引（页码及条目号等）</w:t>
            </w:r>
          </w:p>
        </w:tc>
      </w:tr>
      <w:tr w14:paraId="1B0E9B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5" w:hRule="atLeast"/>
        </w:trPr>
        <w:tc>
          <w:tcPr>
            <w:tcW w:w="358" w:type="pct"/>
            <w:vAlign w:val="center"/>
          </w:tcPr>
          <w:p w14:paraId="32763FC6">
            <w:pPr>
              <w:ind w:firstLine="0" w:firstLineChars="0"/>
              <w:jc w:val="center"/>
              <w:rPr>
                <w:rFonts w:ascii="宋体" w:hAnsi="宋体" w:cs="宋体"/>
                <w:color w:val="auto"/>
                <w:szCs w:val="21"/>
                <w:highlight w:val="none"/>
              </w:rPr>
            </w:pPr>
          </w:p>
        </w:tc>
        <w:tc>
          <w:tcPr>
            <w:tcW w:w="687" w:type="pct"/>
            <w:vAlign w:val="center"/>
          </w:tcPr>
          <w:p w14:paraId="30615E24">
            <w:pPr>
              <w:ind w:firstLine="0" w:firstLineChars="0"/>
              <w:jc w:val="center"/>
              <w:rPr>
                <w:rFonts w:ascii="宋体" w:hAnsi="宋体" w:cs="宋体"/>
                <w:color w:val="auto"/>
                <w:szCs w:val="21"/>
                <w:highlight w:val="none"/>
              </w:rPr>
            </w:pPr>
          </w:p>
        </w:tc>
        <w:tc>
          <w:tcPr>
            <w:tcW w:w="1360" w:type="pct"/>
            <w:vAlign w:val="center"/>
          </w:tcPr>
          <w:p w14:paraId="214D48B1">
            <w:pPr>
              <w:ind w:firstLine="0" w:firstLineChars="0"/>
              <w:jc w:val="center"/>
              <w:rPr>
                <w:rFonts w:ascii="宋体" w:hAnsi="宋体" w:cs="宋体"/>
                <w:color w:val="auto"/>
                <w:szCs w:val="21"/>
                <w:highlight w:val="none"/>
              </w:rPr>
            </w:pPr>
          </w:p>
        </w:tc>
        <w:tc>
          <w:tcPr>
            <w:tcW w:w="1107" w:type="pct"/>
            <w:vAlign w:val="center"/>
          </w:tcPr>
          <w:p w14:paraId="15E657F9">
            <w:pPr>
              <w:ind w:firstLine="0" w:firstLineChars="0"/>
              <w:jc w:val="center"/>
              <w:rPr>
                <w:rFonts w:ascii="宋体" w:hAnsi="宋体" w:cs="宋体"/>
                <w:color w:val="auto"/>
                <w:szCs w:val="21"/>
                <w:highlight w:val="none"/>
              </w:rPr>
            </w:pPr>
          </w:p>
        </w:tc>
        <w:tc>
          <w:tcPr>
            <w:tcW w:w="582" w:type="pct"/>
          </w:tcPr>
          <w:p w14:paraId="0BAE64C0">
            <w:pPr>
              <w:ind w:firstLine="0" w:firstLineChars="0"/>
              <w:jc w:val="center"/>
              <w:rPr>
                <w:rFonts w:ascii="宋体" w:hAnsi="宋体" w:cs="宋体"/>
                <w:color w:val="auto"/>
                <w:szCs w:val="21"/>
                <w:highlight w:val="none"/>
              </w:rPr>
            </w:pPr>
          </w:p>
        </w:tc>
        <w:tc>
          <w:tcPr>
            <w:tcW w:w="902" w:type="pct"/>
            <w:vAlign w:val="center"/>
          </w:tcPr>
          <w:p w14:paraId="42FAA169">
            <w:pPr>
              <w:ind w:firstLine="0" w:firstLineChars="0"/>
              <w:jc w:val="center"/>
              <w:rPr>
                <w:rFonts w:ascii="宋体" w:hAnsi="宋体" w:cs="宋体"/>
                <w:color w:val="auto"/>
                <w:szCs w:val="21"/>
                <w:highlight w:val="none"/>
              </w:rPr>
            </w:pPr>
          </w:p>
        </w:tc>
      </w:tr>
      <w:tr w14:paraId="051121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7" w:hRule="atLeast"/>
        </w:trPr>
        <w:tc>
          <w:tcPr>
            <w:tcW w:w="358" w:type="pct"/>
            <w:vAlign w:val="center"/>
          </w:tcPr>
          <w:p w14:paraId="2EE03C0B">
            <w:pPr>
              <w:ind w:firstLine="0" w:firstLineChars="0"/>
              <w:jc w:val="center"/>
              <w:rPr>
                <w:rFonts w:ascii="宋体" w:hAnsi="宋体" w:cs="宋体"/>
                <w:color w:val="auto"/>
                <w:szCs w:val="21"/>
                <w:highlight w:val="none"/>
              </w:rPr>
            </w:pPr>
          </w:p>
        </w:tc>
        <w:tc>
          <w:tcPr>
            <w:tcW w:w="687" w:type="pct"/>
            <w:vAlign w:val="center"/>
          </w:tcPr>
          <w:p w14:paraId="7005BB25">
            <w:pPr>
              <w:ind w:firstLine="0" w:firstLineChars="0"/>
              <w:jc w:val="center"/>
              <w:rPr>
                <w:rFonts w:ascii="宋体" w:hAnsi="宋体" w:cs="宋体"/>
                <w:color w:val="auto"/>
                <w:szCs w:val="21"/>
                <w:highlight w:val="none"/>
              </w:rPr>
            </w:pPr>
          </w:p>
        </w:tc>
        <w:tc>
          <w:tcPr>
            <w:tcW w:w="1360" w:type="pct"/>
            <w:vAlign w:val="center"/>
          </w:tcPr>
          <w:p w14:paraId="32F6B8A7">
            <w:pPr>
              <w:ind w:firstLine="0" w:firstLineChars="0"/>
              <w:jc w:val="center"/>
              <w:rPr>
                <w:rFonts w:ascii="宋体" w:hAnsi="宋体" w:cs="宋体"/>
                <w:color w:val="auto"/>
                <w:szCs w:val="21"/>
                <w:highlight w:val="none"/>
              </w:rPr>
            </w:pPr>
          </w:p>
        </w:tc>
        <w:tc>
          <w:tcPr>
            <w:tcW w:w="1107" w:type="pct"/>
            <w:vAlign w:val="center"/>
          </w:tcPr>
          <w:p w14:paraId="584F26B1">
            <w:pPr>
              <w:ind w:firstLine="0" w:firstLineChars="0"/>
              <w:jc w:val="center"/>
              <w:rPr>
                <w:rFonts w:ascii="宋体" w:hAnsi="宋体" w:cs="宋体"/>
                <w:color w:val="auto"/>
                <w:szCs w:val="21"/>
                <w:highlight w:val="none"/>
              </w:rPr>
            </w:pPr>
          </w:p>
        </w:tc>
        <w:tc>
          <w:tcPr>
            <w:tcW w:w="582" w:type="pct"/>
          </w:tcPr>
          <w:p w14:paraId="70184153">
            <w:pPr>
              <w:ind w:firstLine="0" w:firstLineChars="0"/>
              <w:jc w:val="center"/>
              <w:rPr>
                <w:rFonts w:ascii="宋体" w:hAnsi="宋体" w:cs="宋体"/>
                <w:color w:val="auto"/>
                <w:szCs w:val="21"/>
                <w:highlight w:val="none"/>
              </w:rPr>
            </w:pPr>
          </w:p>
        </w:tc>
        <w:tc>
          <w:tcPr>
            <w:tcW w:w="902" w:type="pct"/>
            <w:vAlign w:val="center"/>
          </w:tcPr>
          <w:p w14:paraId="41A495E7">
            <w:pPr>
              <w:ind w:firstLine="0" w:firstLineChars="0"/>
              <w:jc w:val="center"/>
              <w:rPr>
                <w:rFonts w:ascii="宋体" w:hAnsi="宋体" w:cs="宋体"/>
                <w:color w:val="auto"/>
                <w:szCs w:val="21"/>
                <w:highlight w:val="none"/>
              </w:rPr>
            </w:pPr>
          </w:p>
        </w:tc>
      </w:tr>
      <w:tr w14:paraId="104D71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7" w:hRule="atLeast"/>
        </w:trPr>
        <w:tc>
          <w:tcPr>
            <w:tcW w:w="358" w:type="pct"/>
            <w:vAlign w:val="center"/>
          </w:tcPr>
          <w:p w14:paraId="36F85B00">
            <w:pPr>
              <w:ind w:firstLine="0" w:firstLineChars="0"/>
              <w:jc w:val="center"/>
              <w:rPr>
                <w:rFonts w:ascii="宋体" w:hAnsi="宋体" w:cs="宋体"/>
                <w:color w:val="auto"/>
                <w:szCs w:val="21"/>
                <w:highlight w:val="none"/>
              </w:rPr>
            </w:pPr>
          </w:p>
        </w:tc>
        <w:tc>
          <w:tcPr>
            <w:tcW w:w="687" w:type="pct"/>
            <w:vAlign w:val="center"/>
          </w:tcPr>
          <w:p w14:paraId="6D96B336">
            <w:pPr>
              <w:ind w:firstLine="0" w:firstLineChars="0"/>
              <w:jc w:val="center"/>
              <w:rPr>
                <w:rFonts w:ascii="宋体" w:hAnsi="宋体" w:cs="宋体"/>
                <w:color w:val="auto"/>
                <w:szCs w:val="21"/>
                <w:highlight w:val="none"/>
              </w:rPr>
            </w:pPr>
          </w:p>
        </w:tc>
        <w:tc>
          <w:tcPr>
            <w:tcW w:w="1360" w:type="pct"/>
            <w:vAlign w:val="center"/>
          </w:tcPr>
          <w:p w14:paraId="70B42F86">
            <w:pPr>
              <w:ind w:firstLine="0" w:firstLineChars="0"/>
              <w:jc w:val="center"/>
              <w:rPr>
                <w:rFonts w:ascii="宋体" w:hAnsi="宋体" w:cs="宋体"/>
                <w:color w:val="auto"/>
                <w:szCs w:val="21"/>
                <w:highlight w:val="none"/>
              </w:rPr>
            </w:pPr>
          </w:p>
        </w:tc>
        <w:tc>
          <w:tcPr>
            <w:tcW w:w="1107" w:type="pct"/>
            <w:vAlign w:val="center"/>
          </w:tcPr>
          <w:p w14:paraId="1EC94FCD">
            <w:pPr>
              <w:ind w:firstLine="0" w:firstLineChars="0"/>
              <w:jc w:val="center"/>
              <w:rPr>
                <w:rFonts w:ascii="宋体" w:hAnsi="宋体" w:cs="宋体"/>
                <w:color w:val="auto"/>
                <w:szCs w:val="21"/>
                <w:highlight w:val="none"/>
              </w:rPr>
            </w:pPr>
          </w:p>
        </w:tc>
        <w:tc>
          <w:tcPr>
            <w:tcW w:w="582" w:type="pct"/>
          </w:tcPr>
          <w:p w14:paraId="00007AB5">
            <w:pPr>
              <w:ind w:firstLine="0" w:firstLineChars="0"/>
              <w:jc w:val="center"/>
              <w:rPr>
                <w:rFonts w:ascii="宋体" w:hAnsi="宋体" w:cs="宋体"/>
                <w:color w:val="auto"/>
                <w:szCs w:val="21"/>
                <w:highlight w:val="none"/>
              </w:rPr>
            </w:pPr>
          </w:p>
        </w:tc>
        <w:tc>
          <w:tcPr>
            <w:tcW w:w="902" w:type="pct"/>
            <w:vAlign w:val="center"/>
          </w:tcPr>
          <w:p w14:paraId="323C532B">
            <w:pPr>
              <w:ind w:firstLine="0" w:firstLineChars="0"/>
              <w:jc w:val="center"/>
              <w:rPr>
                <w:rFonts w:ascii="宋体" w:hAnsi="宋体" w:cs="宋体"/>
                <w:color w:val="auto"/>
                <w:szCs w:val="21"/>
                <w:highlight w:val="none"/>
              </w:rPr>
            </w:pPr>
          </w:p>
        </w:tc>
      </w:tr>
      <w:tr w14:paraId="413A08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7" w:hRule="atLeast"/>
        </w:trPr>
        <w:tc>
          <w:tcPr>
            <w:tcW w:w="358" w:type="pct"/>
            <w:vAlign w:val="center"/>
          </w:tcPr>
          <w:p w14:paraId="2A58BB84">
            <w:pPr>
              <w:ind w:firstLine="0" w:firstLineChars="0"/>
              <w:jc w:val="center"/>
              <w:rPr>
                <w:rFonts w:ascii="宋体" w:hAnsi="宋体" w:cs="宋体"/>
                <w:color w:val="auto"/>
                <w:szCs w:val="21"/>
                <w:highlight w:val="none"/>
              </w:rPr>
            </w:pPr>
          </w:p>
        </w:tc>
        <w:tc>
          <w:tcPr>
            <w:tcW w:w="687" w:type="pct"/>
            <w:vAlign w:val="center"/>
          </w:tcPr>
          <w:p w14:paraId="592B1A7B">
            <w:pPr>
              <w:ind w:firstLine="0" w:firstLineChars="0"/>
              <w:jc w:val="center"/>
              <w:rPr>
                <w:rFonts w:ascii="宋体" w:hAnsi="宋体" w:cs="宋体"/>
                <w:color w:val="auto"/>
                <w:szCs w:val="21"/>
                <w:highlight w:val="none"/>
              </w:rPr>
            </w:pPr>
          </w:p>
        </w:tc>
        <w:tc>
          <w:tcPr>
            <w:tcW w:w="1360" w:type="pct"/>
            <w:vAlign w:val="center"/>
          </w:tcPr>
          <w:p w14:paraId="269EED85">
            <w:pPr>
              <w:ind w:firstLine="0" w:firstLineChars="0"/>
              <w:jc w:val="center"/>
              <w:rPr>
                <w:rFonts w:ascii="宋体" w:hAnsi="宋体" w:cs="宋体"/>
                <w:color w:val="auto"/>
                <w:szCs w:val="21"/>
                <w:highlight w:val="none"/>
              </w:rPr>
            </w:pPr>
          </w:p>
        </w:tc>
        <w:tc>
          <w:tcPr>
            <w:tcW w:w="1107" w:type="pct"/>
            <w:vAlign w:val="center"/>
          </w:tcPr>
          <w:p w14:paraId="25B4C9E2">
            <w:pPr>
              <w:ind w:firstLine="0" w:firstLineChars="0"/>
              <w:jc w:val="center"/>
              <w:rPr>
                <w:rFonts w:ascii="宋体" w:hAnsi="宋体" w:cs="宋体"/>
                <w:color w:val="auto"/>
                <w:szCs w:val="21"/>
                <w:highlight w:val="none"/>
              </w:rPr>
            </w:pPr>
          </w:p>
        </w:tc>
        <w:tc>
          <w:tcPr>
            <w:tcW w:w="582" w:type="pct"/>
          </w:tcPr>
          <w:p w14:paraId="24205E39">
            <w:pPr>
              <w:ind w:firstLine="0" w:firstLineChars="0"/>
              <w:jc w:val="center"/>
              <w:rPr>
                <w:rFonts w:ascii="宋体" w:hAnsi="宋体" w:cs="宋体"/>
                <w:color w:val="auto"/>
                <w:szCs w:val="21"/>
                <w:highlight w:val="none"/>
              </w:rPr>
            </w:pPr>
          </w:p>
        </w:tc>
        <w:tc>
          <w:tcPr>
            <w:tcW w:w="902" w:type="pct"/>
            <w:vAlign w:val="center"/>
          </w:tcPr>
          <w:p w14:paraId="51463281">
            <w:pPr>
              <w:ind w:firstLine="0" w:firstLineChars="0"/>
              <w:jc w:val="center"/>
              <w:rPr>
                <w:rFonts w:ascii="宋体" w:hAnsi="宋体" w:cs="宋体"/>
                <w:color w:val="auto"/>
                <w:szCs w:val="21"/>
                <w:highlight w:val="none"/>
              </w:rPr>
            </w:pPr>
          </w:p>
        </w:tc>
      </w:tr>
      <w:tr w14:paraId="17A9CC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7" w:hRule="atLeast"/>
        </w:trPr>
        <w:tc>
          <w:tcPr>
            <w:tcW w:w="358" w:type="pct"/>
            <w:vAlign w:val="center"/>
          </w:tcPr>
          <w:p w14:paraId="1C32778D">
            <w:pPr>
              <w:ind w:firstLine="0" w:firstLineChars="0"/>
              <w:jc w:val="center"/>
              <w:rPr>
                <w:rFonts w:ascii="宋体" w:hAnsi="宋体" w:cs="宋体"/>
                <w:color w:val="auto"/>
                <w:szCs w:val="21"/>
                <w:highlight w:val="none"/>
              </w:rPr>
            </w:pPr>
          </w:p>
        </w:tc>
        <w:tc>
          <w:tcPr>
            <w:tcW w:w="687" w:type="pct"/>
            <w:vAlign w:val="center"/>
          </w:tcPr>
          <w:p w14:paraId="7ED952CD">
            <w:pPr>
              <w:ind w:firstLine="0" w:firstLineChars="0"/>
              <w:jc w:val="center"/>
              <w:rPr>
                <w:rFonts w:ascii="宋体" w:hAnsi="宋体" w:cs="宋体"/>
                <w:color w:val="auto"/>
                <w:szCs w:val="21"/>
                <w:highlight w:val="none"/>
              </w:rPr>
            </w:pPr>
          </w:p>
        </w:tc>
        <w:tc>
          <w:tcPr>
            <w:tcW w:w="1360" w:type="pct"/>
            <w:vAlign w:val="center"/>
          </w:tcPr>
          <w:p w14:paraId="69E9D9EF">
            <w:pPr>
              <w:ind w:firstLine="0" w:firstLineChars="0"/>
              <w:jc w:val="center"/>
              <w:rPr>
                <w:rFonts w:ascii="宋体" w:hAnsi="宋体" w:cs="宋体"/>
                <w:color w:val="auto"/>
                <w:szCs w:val="21"/>
                <w:highlight w:val="none"/>
              </w:rPr>
            </w:pPr>
          </w:p>
        </w:tc>
        <w:tc>
          <w:tcPr>
            <w:tcW w:w="1107" w:type="pct"/>
            <w:vAlign w:val="center"/>
          </w:tcPr>
          <w:p w14:paraId="045875DF">
            <w:pPr>
              <w:ind w:firstLine="0" w:firstLineChars="0"/>
              <w:jc w:val="center"/>
              <w:rPr>
                <w:rFonts w:ascii="宋体" w:hAnsi="宋体" w:cs="宋体"/>
                <w:color w:val="auto"/>
                <w:szCs w:val="21"/>
                <w:highlight w:val="none"/>
              </w:rPr>
            </w:pPr>
          </w:p>
        </w:tc>
        <w:tc>
          <w:tcPr>
            <w:tcW w:w="582" w:type="pct"/>
          </w:tcPr>
          <w:p w14:paraId="28F259E0">
            <w:pPr>
              <w:ind w:firstLine="0" w:firstLineChars="0"/>
              <w:jc w:val="center"/>
              <w:rPr>
                <w:rFonts w:ascii="宋体" w:hAnsi="宋体" w:cs="宋体"/>
                <w:color w:val="auto"/>
                <w:szCs w:val="21"/>
                <w:highlight w:val="none"/>
              </w:rPr>
            </w:pPr>
          </w:p>
        </w:tc>
        <w:tc>
          <w:tcPr>
            <w:tcW w:w="902" w:type="pct"/>
            <w:vAlign w:val="center"/>
          </w:tcPr>
          <w:p w14:paraId="25D1582A">
            <w:pPr>
              <w:ind w:firstLine="0" w:firstLineChars="0"/>
              <w:jc w:val="center"/>
              <w:rPr>
                <w:rFonts w:ascii="宋体" w:hAnsi="宋体" w:cs="宋体"/>
                <w:color w:val="auto"/>
                <w:szCs w:val="21"/>
                <w:highlight w:val="none"/>
              </w:rPr>
            </w:pPr>
          </w:p>
        </w:tc>
      </w:tr>
      <w:tr w14:paraId="026076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7" w:hRule="atLeast"/>
        </w:trPr>
        <w:tc>
          <w:tcPr>
            <w:tcW w:w="358" w:type="pct"/>
            <w:vAlign w:val="center"/>
          </w:tcPr>
          <w:p w14:paraId="25282030">
            <w:pPr>
              <w:ind w:firstLine="0" w:firstLineChars="0"/>
              <w:jc w:val="center"/>
              <w:rPr>
                <w:rFonts w:ascii="宋体" w:hAnsi="宋体" w:cs="宋体"/>
                <w:color w:val="auto"/>
                <w:szCs w:val="21"/>
                <w:highlight w:val="none"/>
              </w:rPr>
            </w:pPr>
          </w:p>
        </w:tc>
        <w:tc>
          <w:tcPr>
            <w:tcW w:w="687" w:type="pct"/>
            <w:vAlign w:val="center"/>
          </w:tcPr>
          <w:p w14:paraId="181792FA">
            <w:pPr>
              <w:ind w:firstLine="0" w:firstLineChars="0"/>
              <w:jc w:val="center"/>
              <w:rPr>
                <w:rFonts w:ascii="宋体" w:hAnsi="宋体" w:cs="宋体"/>
                <w:color w:val="auto"/>
                <w:szCs w:val="21"/>
                <w:highlight w:val="none"/>
              </w:rPr>
            </w:pPr>
          </w:p>
        </w:tc>
        <w:tc>
          <w:tcPr>
            <w:tcW w:w="1360" w:type="pct"/>
            <w:vAlign w:val="center"/>
          </w:tcPr>
          <w:p w14:paraId="01FB479B">
            <w:pPr>
              <w:ind w:firstLine="0" w:firstLineChars="0"/>
              <w:jc w:val="center"/>
              <w:rPr>
                <w:rFonts w:ascii="宋体" w:hAnsi="宋体" w:cs="宋体"/>
                <w:color w:val="auto"/>
                <w:szCs w:val="21"/>
                <w:highlight w:val="none"/>
              </w:rPr>
            </w:pPr>
          </w:p>
        </w:tc>
        <w:tc>
          <w:tcPr>
            <w:tcW w:w="1107" w:type="pct"/>
            <w:vAlign w:val="center"/>
          </w:tcPr>
          <w:p w14:paraId="43AC783F">
            <w:pPr>
              <w:ind w:firstLine="0" w:firstLineChars="0"/>
              <w:jc w:val="center"/>
              <w:rPr>
                <w:rFonts w:ascii="宋体" w:hAnsi="宋体" w:cs="宋体"/>
                <w:color w:val="auto"/>
                <w:szCs w:val="21"/>
                <w:highlight w:val="none"/>
              </w:rPr>
            </w:pPr>
          </w:p>
        </w:tc>
        <w:tc>
          <w:tcPr>
            <w:tcW w:w="582" w:type="pct"/>
          </w:tcPr>
          <w:p w14:paraId="031D9B29">
            <w:pPr>
              <w:ind w:firstLine="0" w:firstLineChars="0"/>
              <w:jc w:val="center"/>
              <w:rPr>
                <w:rFonts w:ascii="宋体" w:hAnsi="宋体" w:cs="宋体"/>
                <w:color w:val="auto"/>
                <w:szCs w:val="21"/>
                <w:highlight w:val="none"/>
              </w:rPr>
            </w:pPr>
          </w:p>
        </w:tc>
        <w:tc>
          <w:tcPr>
            <w:tcW w:w="902" w:type="pct"/>
            <w:vAlign w:val="center"/>
          </w:tcPr>
          <w:p w14:paraId="07B4AAB0">
            <w:pPr>
              <w:ind w:firstLine="0" w:firstLineChars="0"/>
              <w:jc w:val="center"/>
              <w:rPr>
                <w:rFonts w:ascii="宋体" w:hAnsi="宋体" w:cs="宋体"/>
                <w:color w:val="auto"/>
                <w:szCs w:val="21"/>
                <w:highlight w:val="none"/>
              </w:rPr>
            </w:pPr>
          </w:p>
        </w:tc>
      </w:tr>
      <w:tr w14:paraId="775443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7" w:hRule="atLeast"/>
        </w:trPr>
        <w:tc>
          <w:tcPr>
            <w:tcW w:w="358" w:type="pct"/>
            <w:vAlign w:val="center"/>
          </w:tcPr>
          <w:p w14:paraId="647AF81B">
            <w:pPr>
              <w:ind w:firstLine="0" w:firstLineChars="0"/>
              <w:rPr>
                <w:rFonts w:ascii="宋体" w:hAnsi="宋体" w:cs="宋体"/>
                <w:color w:val="auto"/>
                <w:szCs w:val="21"/>
                <w:highlight w:val="none"/>
              </w:rPr>
            </w:pPr>
          </w:p>
        </w:tc>
        <w:tc>
          <w:tcPr>
            <w:tcW w:w="687" w:type="pct"/>
            <w:vAlign w:val="center"/>
          </w:tcPr>
          <w:p w14:paraId="6A579DFB">
            <w:pPr>
              <w:ind w:firstLine="0" w:firstLineChars="0"/>
              <w:jc w:val="center"/>
              <w:rPr>
                <w:rFonts w:ascii="宋体" w:hAnsi="宋体" w:cs="宋体"/>
                <w:color w:val="auto"/>
                <w:szCs w:val="21"/>
                <w:highlight w:val="none"/>
              </w:rPr>
            </w:pPr>
          </w:p>
        </w:tc>
        <w:tc>
          <w:tcPr>
            <w:tcW w:w="1360" w:type="pct"/>
            <w:vAlign w:val="center"/>
          </w:tcPr>
          <w:p w14:paraId="5685B16F">
            <w:pPr>
              <w:ind w:firstLine="0" w:firstLineChars="0"/>
              <w:jc w:val="center"/>
              <w:rPr>
                <w:rFonts w:ascii="宋体" w:hAnsi="宋体" w:cs="宋体"/>
                <w:color w:val="auto"/>
                <w:szCs w:val="21"/>
                <w:highlight w:val="none"/>
              </w:rPr>
            </w:pPr>
          </w:p>
        </w:tc>
        <w:tc>
          <w:tcPr>
            <w:tcW w:w="1107" w:type="pct"/>
            <w:vAlign w:val="center"/>
          </w:tcPr>
          <w:p w14:paraId="572ED968">
            <w:pPr>
              <w:ind w:firstLine="0" w:firstLineChars="0"/>
              <w:jc w:val="center"/>
              <w:rPr>
                <w:rFonts w:ascii="宋体" w:hAnsi="宋体" w:cs="宋体"/>
                <w:color w:val="auto"/>
                <w:szCs w:val="21"/>
                <w:highlight w:val="none"/>
              </w:rPr>
            </w:pPr>
          </w:p>
        </w:tc>
        <w:tc>
          <w:tcPr>
            <w:tcW w:w="582" w:type="pct"/>
          </w:tcPr>
          <w:p w14:paraId="0CC8A7B4">
            <w:pPr>
              <w:ind w:firstLine="0" w:firstLineChars="0"/>
              <w:jc w:val="center"/>
              <w:rPr>
                <w:rFonts w:ascii="宋体" w:hAnsi="宋体" w:cs="宋体"/>
                <w:color w:val="auto"/>
                <w:szCs w:val="21"/>
                <w:highlight w:val="none"/>
              </w:rPr>
            </w:pPr>
          </w:p>
        </w:tc>
        <w:tc>
          <w:tcPr>
            <w:tcW w:w="902" w:type="pct"/>
            <w:vAlign w:val="center"/>
          </w:tcPr>
          <w:p w14:paraId="4E8D924F">
            <w:pPr>
              <w:ind w:firstLine="0" w:firstLineChars="0"/>
              <w:jc w:val="center"/>
              <w:rPr>
                <w:rFonts w:ascii="宋体" w:hAnsi="宋体" w:cs="宋体"/>
                <w:color w:val="auto"/>
                <w:szCs w:val="21"/>
                <w:highlight w:val="none"/>
              </w:rPr>
            </w:pPr>
          </w:p>
        </w:tc>
      </w:tr>
      <w:tr w14:paraId="1335DE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7" w:hRule="atLeast"/>
        </w:trPr>
        <w:tc>
          <w:tcPr>
            <w:tcW w:w="358" w:type="pct"/>
            <w:vAlign w:val="center"/>
          </w:tcPr>
          <w:p w14:paraId="67E316E2">
            <w:pPr>
              <w:ind w:firstLine="0" w:firstLineChars="0"/>
              <w:jc w:val="center"/>
              <w:rPr>
                <w:rFonts w:ascii="宋体" w:hAnsi="宋体" w:cs="宋体"/>
                <w:color w:val="auto"/>
                <w:szCs w:val="21"/>
                <w:highlight w:val="none"/>
              </w:rPr>
            </w:pPr>
          </w:p>
        </w:tc>
        <w:tc>
          <w:tcPr>
            <w:tcW w:w="687" w:type="pct"/>
            <w:vAlign w:val="center"/>
          </w:tcPr>
          <w:p w14:paraId="4208EDF9">
            <w:pPr>
              <w:ind w:firstLine="0" w:firstLineChars="0"/>
              <w:jc w:val="center"/>
              <w:rPr>
                <w:rFonts w:ascii="宋体" w:hAnsi="宋体" w:cs="宋体"/>
                <w:color w:val="auto"/>
                <w:szCs w:val="21"/>
                <w:highlight w:val="none"/>
              </w:rPr>
            </w:pPr>
          </w:p>
        </w:tc>
        <w:tc>
          <w:tcPr>
            <w:tcW w:w="1360" w:type="pct"/>
            <w:vAlign w:val="center"/>
          </w:tcPr>
          <w:p w14:paraId="55A67C06">
            <w:pPr>
              <w:ind w:firstLine="0" w:firstLineChars="0"/>
              <w:jc w:val="center"/>
              <w:rPr>
                <w:rFonts w:ascii="宋体" w:hAnsi="宋体" w:cs="宋体"/>
                <w:color w:val="auto"/>
                <w:szCs w:val="21"/>
                <w:highlight w:val="none"/>
              </w:rPr>
            </w:pPr>
          </w:p>
        </w:tc>
        <w:tc>
          <w:tcPr>
            <w:tcW w:w="1107" w:type="pct"/>
            <w:vAlign w:val="center"/>
          </w:tcPr>
          <w:p w14:paraId="1D705718">
            <w:pPr>
              <w:ind w:firstLine="0" w:firstLineChars="0"/>
              <w:jc w:val="center"/>
              <w:rPr>
                <w:rFonts w:ascii="宋体" w:hAnsi="宋体" w:cs="宋体"/>
                <w:color w:val="auto"/>
                <w:szCs w:val="21"/>
                <w:highlight w:val="none"/>
              </w:rPr>
            </w:pPr>
          </w:p>
        </w:tc>
        <w:tc>
          <w:tcPr>
            <w:tcW w:w="582" w:type="pct"/>
          </w:tcPr>
          <w:p w14:paraId="14125DCF">
            <w:pPr>
              <w:ind w:firstLine="0" w:firstLineChars="0"/>
              <w:jc w:val="center"/>
              <w:rPr>
                <w:rFonts w:ascii="宋体" w:hAnsi="宋体" w:cs="宋体"/>
                <w:color w:val="auto"/>
                <w:szCs w:val="21"/>
                <w:highlight w:val="none"/>
              </w:rPr>
            </w:pPr>
          </w:p>
        </w:tc>
        <w:tc>
          <w:tcPr>
            <w:tcW w:w="902" w:type="pct"/>
            <w:vAlign w:val="center"/>
          </w:tcPr>
          <w:p w14:paraId="0773945D">
            <w:pPr>
              <w:ind w:firstLine="0" w:firstLineChars="0"/>
              <w:jc w:val="center"/>
              <w:rPr>
                <w:rFonts w:ascii="宋体" w:hAnsi="宋体" w:cs="宋体"/>
                <w:color w:val="auto"/>
                <w:szCs w:val="21"/>
                <w:highlight w:val="none"/>
              </w:rPr>
            </w:pPr>
          </w:p>
        </w:tc>
      </w:tr>
      <w:tr w14:paraId="6A2878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7" w:hRule="atLeast"/>
        </w:trPr>
        <w:tc>
          <w:tcPr>
            <w:tcW w:w="358" w:type="pct"/>
            <w:vAlign w:val="center"/>
          </w:tcPr>
          <w:p w14:paraId="35C7E058">
            <w:pPr>
              <w:ind w:firstLine="0" w:firstLineChars="0"/>
              <w:jc w:val="center"/>
              <w:rPr>
                <w:rFonts w:ascii="宋体" w:hAnsi="宋体" w:cs="宋体"/>
                <w:color w:val="auto"/>
                <w:szCs w:val="21"/>
                <w:highlight w:val="none"/>
              </w:rPr>
            </w:pPr>
          </w:p>
        </w:tc>
        <w:tc>
          <w:tcPr>
            <w:tcW w:w="687" w:type="pct"/>
            <w:vAlign w:val="center"/>
          </w:tcPr>
          <w:p w14:paraId="1C67E10C">
            <w:pPr>
              <w:ind w:firstLine="0" w:firstLineChars="0"/>
              <w:jc w:val="center"/>
              <w:rPr>
                <w:rFonts w:ascii="宋体" w:hAnsi="宋体" w:cs="宋体"/>
                <w:color w:val="auto"/>
                <w:szCs w:val="21"/>
                <w:highlight w:val="none"/>
              </w:rPr>
            </w:pPr>
          </w:p>
        </w:tc>
        <w:tc>
          <w:tcPr>
            <w:tcW w:w="1360" w:type="pct"/>
            <w:vAlign w:val="center"/>
          </w:tcPr>
          <w:p w14:paraId="2A4D762F">
            <w:pPr>
              <w:ind w:firstLine="0" w:firstLineChars="0"/>
              <w:jc w:val="center"/>
              <w:rPr>
                <w:rFonts w:ascii="宋体" w:hAnsi="宋体" w:cs="宋体"/>
                <w:color w:val="auto"/>
                <w:szCs w:val="21"/>
                <w:highlight w:val="none"/>
              </w:rPr>
            </w:pPr>
          </w:p>
        </w:tc>
        <w:tc>
          <w:tcPr>
            <w:tcW w:w="1107" w:type="pct"/>
            <w:vAlign w:val="center"/>
          </w:tcPr>
          <w:p w14:paraId="21DD6D70">
            <w:pPr>
              <w:ind w:firstLine="0" w:firstLineChars="0"/>
              <w:jc w:val="center"/>
              <w:rPr>
                <w:rFonts w:ascii="宋体" w:hAnsi="宋体" w:cs="宋体"/>
                <w:color w:val="auto"/>
                <w:szCs w:val="21"/>
                <w:highlight w:val="none"/>
              </w:rPr>
            </w:pPr>
          </w:p>
        </w:tc>
        <w:tc>
          <w:tcPr>
            <w:tcW w:w="582" w:type="pct"/>
          </w:tcPr>
          <w:p w14:paraId="3D8A2CAA">
            <w:pPr>
              <w:ind w:firstLine="0" w:firstLineChars="0"/>
              <w:jc w:val="center"/>
              <w:rPr>
                <w:rFonts w:ascii="宋体" w:hAnsi="宋体" w:cs="宋体"/>
                <w:color w:val="auto"/>
                <w:szCs w:val="21"/>
                <w:highlight w:val="none"/>
              </w:rPr>
            </w:pPr>
          </w:p>
        </w:tc>
        <w:tc>
          <w:tcPr>
            <w:tcW w:w="902" w:type="pct"/>
            <w:vAlign w:val="center"/>
          </w:tcPr>
          <w:p w14:paraId="4259F91C">
            <w:pPr>
              <w:ind w:firstLine="0" w:firstLineChars="0"/>
              <w:jc w:val="center"/>
              <w:rPr>
                <w:rFonts w:ascii="宋体" w:hAnsi="宋体" w:cs="宋体"/>
                <w:color w:val="auto"/>
                <w:szCs w:val="21"/>
                <w:highlight w:val="none"/>
              </w:rPr>
            </w:pPr>
          </w:p>
        </w:tc>
      </w:tr>
      <w:tr w14:paraId="41D244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7" w:hRule="atLeast"/>
        </w:trPr>
        <w:tc>
          <w:tcPr>
            <w:tcW w:w="358" w:type="pct"/>
            <w:vAlign w:val="center"/>
          </w:tcPr>
          <w:p w14:paraId="21CBC6C7">
            <w:pPr>
              <w:ind w:firstLine="0" w:firstLineChars="0"/>
              <w:jc w:val="center"/>
              <w:rPr>
                <w:rFonts w:ascii="宋体" w:hAnsi="宋体" w:cs="宋体"/>
                <w:color w:val="auto"/>
                <w:szCs w:val="21"/>
                <w:highlight w:val="none"/>
              </w:rPr>
            </w:pPr>
          </w:p>
        </w:tc>
        <w:tc>
          <w:tcPr>
            <w:tcW w:w="687" w:type="pct"/>
            <w:vAlign w:val="center"/>
          </w:tcPr>
          <w:p w14:paraId="0A33EFA1">
            <w:pPr>
              <w:ind w:firstLine="0" w:firstLineChars="0"/>
              <w:jc w:val="center"/>
              <w:rPr>
                <w:rFonts w:ascii="宋体" w:hAnsi="宋体" w:cs="宋体"/>
                <w:color w:val="auto"/>
                <w:szCs w:val="21"/>
                <w:highlight w:val="none"/>
              </w:rPr>
            </w:pPr>
          </w:p>
        </w:tc>
        <w:tc>
          <w:tcPr>
            <w:tcW w:w="1360" w:type="pct"/>
            <w:vAlign w:val="center"/>
          </w:tcPr>
          <w:p w14:paraId="179D8CA8">
            <w:pPr>
              <w:ind w:firstLine="0" w:firstLineChars="0"/>
              <w:jc w:val="center"/>
              <w:rPr>
                <w:rFonts w:ascii="宋体" w:hAnsi="宋体" w:cs="宋体"/>
                <w:color w:val="auto"/>
                <w:szCs w:val="21"/>
                <w:highlight w:val="none"/>
              </w:rPr>
            </w:pPr>
          </w:p>
        </w:tc>
        <w:tc>
          <w:tcPr>
            <w:tcW w:w="1107" w:type="pct"/>
            <w:vAlign w:val="center"/>
          </w:tcPr>
          <w:p w14:paraId="679FCD80">
            <w:pPr>
              <w:ind w:firstLine="0" w:firstLineChars="0"/>
              <w:jc w:val="center"/>
              <w:rPr>
                <w:rFonts w:ascii="宋体" w:hAnsi="宋体" w:cs="宋体"/>
                <w:color w:val="auto"/>
                <w:szCs w:val="21"/>
                <w:highlight w:val="none"/>
              </w:rPr>
            </w:pPr>
          </w:p>
        </w:tc>
        <w:tc>
          <w:tcPr>
            <w:tcW w:w="582" w:type="pct"/>
          </w:tcPr>
          <w:p w14:paraId="5628932D">
            <w:pPr>
              <w:ind w:firstLine="0" w:firstLineChars="0"/>
              <w:jc w:val="center"/>
              <w:rPr>
                <w:rFonts w:ascii="宋体" w:hAnsi="宋体" w:cs="宋体"/>
                <w:color w:val="auto"/>
                <w:szCs w:val="21"/>
                <w:highlight w:val="none"/>
              </w:rPr>
            </w:pPr>
          </w:p>
        </w:tc>
        <w:tc>
          <w:tcPr>
            <w:tcW w:w="902" w:type="pct"/>
            <w:vAlign w:val="center"/>
          </w:tcPr>
          <w:p w14:paraId="79A283CF">
            <w:pPr>
              <w:ind w:firstLine="0" w:firstLineChars="0"/>
              <w:jc w:val="center"/>
              <w:rPr>
                <w:rFonts w:ascii="宋体" w:hAnsi="宋体" w:cs="宋体"/>
                <w:color w:val="auto"/>
                <w:szCs w:val="21"/>
                <w:highlight w:val="none"/>
              </w:rPr>
            </w:pPr>
          </w:p>
        </w:tc>
      </w:tr>
    </w:tbl>
    <w:p w14:paraId="28A42DD0">
      <w:pPr>
        <w:ind w:firstLine="0" w:firstLineChars="0"/>
        <w:rPr>
          <w:rFonts w:ascii="宋体" w:hAnsi="宋体" w:cs="宋体"/>
          <w:b/>
          <w:color w:val="auto"/>
          <w:szCs w:val="21"/>
          <w:highlight w:val="none"/>
        </w:rPr>
      </w:pPr>
      <w:r>
        <w:rPr>
          <w:rFonts w:hint="eastAsia" w:ascii="宋体" w:hAnsi="宋体" w:cs="宋体"/>
          <w:b/>
          <w:color w:val="auto"/>
          <w:szCs w:val="21"/>
          <w:highlight w:val="none"/>
        </w:rPr>
        <w:t>表格填写说明：</w:t>
      </w:r>
    </w:p>
    <w:bookmarkEnd w:id="772"/>
    <w:p w14:paraId="6A11F04A">
      <w:pPr>
        <w:pStyle w:val="12"/>
        <w:rPr>
          <w:rFonts w:ascii="Times New Roman" w:hAnsi="Times New Roman" w:cs="Times New Roman"/>
          <w:color w:val="auto"/>
          <w:szCs w:val="21"/>
          <w:highlight w:val="none"/>
        </w:rPr>
      </w:pPr>
      <w:bookmarkStart w:id="804" w:name="OLE_LINK36"/>
      <w:r>
        <w:rPr>
          <w:rFonts w:hint="eastAsia" w:ascii="Times New Roman" w:hAnsi="Times New Roman" w:cs="Times New Roman"/>
          <w:color w:val="auto"/>
          <w:szCs w:val="21"/>
          <w:highlight w:val="none"/>
        </w:rPr>
        <w:t>1.</w:t>
      </w:r>
      <w:r>
        <w:rPr>
          <w:rFonts w:ascii="Times New Roman" w:hAnsi="Times New Roman" w:cs="Times New Roman"/>
          <w:color w:val="auto"/>
          <w:szCs w:val="21"/>
          <w:highlight w:val="none"/>
        </w:rPr>
        <w:t>投标人</w:t>
      </w:r>
      <w:r>
        <w:rPr>
          <w:rFonts w:hint="eastAsia" w:ascii="Times New Roman" w:hAnsi="Times New Roman" w:cs="Times New Roman"/>
          <w:color w:val="auto"/>
          <w:szCs w:val="21"/>
          <w:highlight w:val="none"/>
        </w:rPr>
        <w:t>应</w:t>
      </w:r>
      <w:r>
        <w:rPr>
          <w:rFonts w:ascii="Times New Roman" w:hAnsi="Times New Roman" w:cs="Times New Roman"/>
          <w:color w:val="auto"/>
          <w:szCs w:val="21"/>
          <w:highlight w:val="none"/>
        </w:rPr>
        <w:t>根据实际投标情况，填写本表格</w:t>
      </w:r>
      <w:r>
        <w:rPr>
          <w:rFonts w:hint="eastAsia" w:ascii="Times New Roman" w:hAnsi="Times New Roman" w:cs="Times New Roman"/>
          <w:color w:val="auto"/>
          <w:szCs w:val="21"/>
          <w:highlight w:val="none"/>
        </w:rPr>
        <w:t>。</w:t>
      </w:r>
    </w:p>
    <w:p w14:paraId="72789416">
      <w:pPr>
        <w:ind w:firstLine="420"/>
        <w:rPr>
          <w:rFonts w:ascii="Times New Roman" w:hAnsi="Times New Roman" w:cs="Times New Roman"/>
          <w:color w:val="auto"/>
          <w:szCs w:val="21"/>
          <w:highlight w:val="none"/>
        </w:rPr>
      </w:pPr>
      <w:bookmarkStart w:id="805" w:name="OLE_LINK33"/>
      <w:r>
        <w:rPr>
          <w:rFonts w:hint="eastAsia" w:ascii="Times New Roman" w:hAnsi="Times New Roman" w:cs="Times New Roman"/>
          <w:color w:val="auto"/>
          <w:szCs w:val="21"/>
          <w:highlight w:val="none"/>
        </w:rPr>
        <w:t>2.</w:t>
      </w:r>
      <w:bookmarkEnd w:id="805"/>
      <w:r>
        <w:rPr>
          <w:rFonts w:ascii="Times New Roman" w:hAnsi="Times New Roman" w:cs="Times New Roman"/>
          <w:color w:val="auto"/>
          <w:szCs w:val="21"/>
          <w:highlight w:val="none"/>
        </w:rPr>
        <w:t>“偏离”系指“正偏离”、“负偏离”或“无偏离”。</w:t>
      </w:r>
    </w:p>
    <w:p w14:paraId="2C9AAAF2">
      <w:pPr>
        <w:ind w:firstLine="422"/>
        <w:rPr>
          <w:rFonts w:ascii="宋体" w:hAnsi="宋体" w:cs="宋体"/>
          <w:b/>
          <w:bCs/>
          <w:color w:val="auto"/>
          <w:szCs w:val="21"/>
          <w:highlight w:val="none"/>
        </w:rPr>
      </w:pPr>
      <w:r>
        <w:rPr>
          <w:rFonts w:hint="eastAsia" w:ascii="宋体" w:hAnsi="宋体" w:cs="宋体"/>
          <w:b/>
          <w:bCs/>
          <w:color w:val="auto"/>
          <w:szCs w:val="21"/>
          <w:highlight w:val="none"/>
        </w:rPr>
        <w:br w:type="page"/>
      </w:r>
    </w:p>
    <w:bookmarkEnd w:id="802"/>
    <w:bookmarkEnd w:id="803"/>
    <w:bookmarkEnd w:id="804"/>
    <w:p w14:paraId="456586BE">
      <w:pPr>
        <w:ind w:firstLine="0" w:firstLineChars="0"/>
        <w:jc w:val="center"/>
        <w:outlineLvl w:val="2"/>
        <w:rPr>
          <w:rFonts w:ascii="Times New Roman" w:hAnsi="Times New Roman" w:eastAsia="黑体" w:cs="Times New Roman"/>
          <w:color w:val="auto"/>
          <w:sz w:val="28"/>
          <w:szCs w:val="28"/>
          <w:highlight w:val="none"/>
        </w:rPr>
      </w:pPr>
      <w:bookmarkStart w:id="806" w:name="_Toc26783978"/>
      <w:bookmarkStart w:id="807" w:name="_Toc49935378"/>
      <w:bookmarkStart w:id="808" w:name="_Toc68090099"/>
      <w:bookmarkStart w:id="809" w:name="_Toc9178"/>
      <w:bookmarkStart w:id="810" w:name="OLE_LINK157"/>
      <w:r>
        <w:rPr>
          <w:rFonts w:ascii="Times New Roman" w:hAnsi="Times New Roman" w:eastAsia="黑体" w:cs="Times New Roman"/>
          <w:color w:val="auto"/>
          <w:sz w:val="28"/>
          <w:szCs w:val="28"/>
          <w:highlight w:val="none"/>
        </w:rPr>
        <w:t>投标产品的技术支持资料</w:t>
      </w:r>
      <w:bookmarkEnd w:id="806"/>
      <w:bookmarkEnd w:id="807"/>
      <w:bookmarkEnd w:id="808"/>
      <w:bookmarkEnd w:id="809"/>
    </w:p>
    <w:p w14:paraId="4101FB44">
      <w:pPr>
        <w:ind w:firstLine="420"/>
        <w:rPr>
          <w:rFonts w:ascii="宋体" w:hAnsi="宋体" w:cs="宋体"/>
          <w:color w:val="auto"/>
          <w:szCs w:val="21"/>
          <w:highlight w:val="none"/>
        </w:rPr>
      </w:pPr>
      <w:bookmarkStart w:id="811" w:name="OLE_LINK340"/>
      <w:bookmarkStart w:id="812" w:name="_Hlk478971614"/>
      <w:r>
        <w:rPr>
          <w:rFonts w:hint="eastAsia" w:ascii="宋体" w:hAnsi="宋体" w:cs="宋体"/>
          <w:color w:val="auto"/>
          <w:szCs w:val="21"/>
          <w:highlight w:val="none"/>
        </w:rPr>
        <w:t>标注“▲”号的重要指标内容，投标人除如实填写《技术条款偏离表》外，还需按第五章 采购需求“二、采购需求一览表”中的要求提供技术支持资料，第五章 采购需求“二、采购需求一览表”未明确的可提供所投产品主要技术指标、参数及性能的公开印刷的详细说明书(非自行拟定)、软件截图或制造商公开发布的印刷资料(彩页或产品宣传册)或检测(检验)报告或官方网站发布的技术资料截图。不接受投标人自行印刷、打印或者手写的技术支持资料，若投标文件中技术支持资料参数与技术条款偏离表应答不符或无支持资料应答的，评标委员会在评审时可以视为不响应该条技术条款的规定。</w:t>
      </w:r>
    </w:p>
    <w:p w14:paraId="71C08E07">
      <w:pPr>
        <w:ind w:firstLine="420"/>
        <w:rPr>
          <w:rFonts w:ascii="宋体" w:hAnsi="宋体" w:cs="宋体"/>
          <w:color w:val="auto"/>
          <w:szCs w:val="21"/>
          <w:highlight w:val="none"/>
        </w:rPr>
      </w:pPr>
      <w:r>
        <w:rPr>
          <w:rFonts w:hint="eastAsia" w:ascii="宋体" w:hAnsi="宋体" w:cs="宋体"/>
          <w:color w:val="auto"/>
          <w:szCs w:val="21"/>
          <w:highlight w:val="none"/>
        </w:rPr>
        <w:t>未标注“▲”号的一般技术指标内容，投标人除如实填写《技术条款偏离表》外，还需按第五章 采购需求“二、采购需求一览表”中的要求提供技术支持资料，第五章 采购需求“二、采购需求一览表”中未要求的以偏离表为准。</w:t>
      </w:r>
    </w:p>
    <w:bookmarkEnd w:id="811"/>
    <w:p w14:paraId="028024F8">
      <w:pPr>
        <w:ind w:firstLine="420"/>
        <w:rPr>
          <w:color w:val="auto"/>
          <w:highlight w:val="none"/>
        </w:rPr>
      </w:pPr>
      <w:r>
        <w:rPr>
          <w:rFonts w:hint="eastAsia"/>
          <w:color w:val="auto"/>
          <w:highlight w:val="none"/>
        </w:rPr>
        <w:br w:type="page"/>
      </w:r>
    </w:p>
    <w:bookmarkEnd w:id="812"/>
    <w:p w14:paraId="0CBA3248">
      <w:pPr>
        <w:ind w:firstLine="0" w:firstLineChars="0"/>
        <w:jc w:val="center"/>
        <w:outlineLvl w:val="2"/>
        <w:rPr>
          <w:rFonts w:ascii="Times New Roman" w:hAnsi="Times New Roman" w:eastAsia="黑体" w:cs="Times New Roman"/>
          <w:color w:val="auto"/>
          <w:sz w:val="30"/>
          <w:szCs w:val="30"/>
          <w:highlight w:val="none"/>
        </w:rPr>
      </w:pPr>
      <w:bookmarkStart w:id="813" w:name="_Toc68090103"/>
      <w:bookmarkStart w:id="814" w:name="_Toc78985528"/>
      <w:bookmarkStart w:id="815" w:name="OLE_LINK198"/>
      <w:r>
        <w:rPr>
          <w:rFonts w:ascii="Times New Roman" w:hAnsi="Times New Roman" w:eastAsia="黑体" w:cs="Times New Roman"/>
          <w:color w:val="auto"/>
          <w:sz w:val="30"/>
          <w:szCs w:val="30"/>
          <w:highlight w:val="none"/>
        </w:rPr>
        <w:t>其</w:t>
      </w:r>
      <w:bookmarkStart w:id="816" w:name="OLE_LINK225"/>
      <w:r>
        <w:rPr>
          <w:rFonts w:ascii="Times New Roman" w:hAnsi="Times New Roman" w:eastAsia="黑体" w:cs="Times New Roman"/>
          <w:color w:val="auto"/>
          <w:sz w:val="30"/>
          <w:szCs w:val="30"/>
          <w:highlight w:val="none"/>
        </w:rPr>
        <w:t>它技术资</w:t>
      </w:r>
      <w:bookmarkEnd w:id="816"/>
      <w:r>
        <w:rPr>
          <w:rFonts w:ascii="Times New Roman" w:hAnsi="Times New Roman" w:eastAsia="黑体" w:cs="Times New Roman"/>
          <w:color w:val="auto"/>
          <w:sz w:val="30"/>
          <w:szCs w:val="30"/>
          <w:highlight w:val="none"/>
        </w:rPr>
        <w:t>料</w:t>
      </w:r>
      <w:bookmarkEnd w:id="813"/>
      <w:bookmarkEnd w:id="814"/>
    </w:p>
    <w:bookmarkEnd w:id="815"/>
    <w:p w14:paraId="3977729E">
      <w:pPr>
        <w:ind w:firstLine="422"/>
        <w:rPr>
          <w:rFonts w:ascii="宋体" w:hAnsi="宋体" w:cs="宋体"/>
          <w:b/>
          <w:bCs/>
          <w:color w:val="auto"/>
          <w:szCs w:val="21"/>
          <w:highlight w:val="none"/>
        </w:rPr>
      </w:pPr>
      <w:bookmarkStart w:id="817" w:name="_Hlk478978464"/>
      <w:bookmarkStart w:id="818" w:name="OLE_LINK205"/>
      <w:r>
        <w:rPr>
          <w:rFonts w:hint="eastAsia" w:ascii="宋体" w:hAnsi="宋体" w:cs="宋体"/>
          <w:b/>
          <w:bCs/>
          <w:color w:val="auto"/>
          <w:szCs w:val="21"/>
          <w:highlight w:val="none"/>
        </w:rPr>
        <w:t>以下内容根据项目技术部分评分内容进行编制：</w:t>
      </w:r>
    </w:p>
    <w:p w14:paraId="0D76660F">
      <w:pPr>
        <w:ind w:firstLine="422"/>
        <w:rPr>
          <w:rFonts w:ascii="宋体" w:hAnsi="宋体" w:cs="宋体"/>
          <w:b/>
          <w:bCs/>
          <w:color w:val="auto"/>
          <w:szCs w:val="21"/>
          <w:highlight w:val="none"/>
        </w:rPr>
      </w:pPr>
    </w:p>
    <w:p w14:paraId="65011516">
      <w:pPr>
        <w:ind w:firstLine="422"/>
        <w:rPr>
          <w:rFonts w:ascii="宋体" w:hAnsi="宋体" w:cs="宋体"/>
          <w:color w:val="auto"/>
          <w:szCs w:val="21"/>
          <w:highlight w:val="none"/>
        </w:rPr>
      </w:pPr>
      <w:r>
        <w:rPr>
          <w:rFonts w:hint="eastAsia" w:ascii="宋体" w:hAnsi="宋体" w:cs="宋体"/>
          <w:b/>
          <w:bCs/>
          <w:color w:val="auto"/>
          <w:szCs w:val="21"/>
          <w:highlight w:val="none"/>
        </w:rPr>
        <w:t>（1）</w:t>
      </w:r>
      <w:bookmarkStart w:id="819" w:name="OLE_LINK200"/>
      <w:r>
        <w:rPr>
          <w:rFonts w:hint="eastAsia" w:ascii="宋体" w:hAnsi="宋体" w:cs="宋体"/>
          <w:b/>
          <w:bCs/>
          <w:color w:val="auto"/>
          <w:szCs w:val="21"/>
          <w:highlight w:val="none"/>
        </w:rPr>
        <w:t>项目实施方案；（格式内容自拟）</w:t>
      </w:r>
      <w:bookmarkEnd w:id="819"/>
    </w:p>
    <w:p w14:paraId="6BE95631">
      <w:pPr>
        <w:ind w:firstLine="422"/>
        <w:rPr>
          <w:rFonts w:ascii="宋体" w:hAnsi="宋体" w:cs="宋体"/>
          <w:b/>
          <w:bCs/>
          <w:color w:val="auto"/>
          <w:highlight w:val="none"/>
        </w:rPr>
      </w:pPr>
      <w:r>
        <w:rPr>
          <w:rFonts w:hint="eastAsia" w:ascii="宋体" w:hAnsi="宋体" w:cs="宋体"/>
          <w:b/>
          <w:bCs/>
          <w:color w:val="auto"/>
          <w:szCs w:val="21"/>
          <w:highlight w:val="none"/>
        </w:rPr>
        <w:t>（2）招标文件要求及投标人认为有必要提供的其它技术资料（如有）。</w:t>
      </w:r>
      <w:bookmarkEnd w:id="817"/>
    </w:p>
    <w:bookmarkEnd w:id="818"/>
    <w:p w14:paraId="317FB9D0">
      <w:pPr>
        <w:ind w:firstLine="0" w:firstLineChars="0"/>
        <w:rPr>
          <w:rFonts w:ascii="Times New Roman" w:hAnsi="Times New Roman" w:cs="Times New Roman"/>
          <w:color w:val="auto"/>
          <w:szCs w:val="21"/>
          <w:highlight w:val="none"/>
        </w:rPr>
      </w:pPr>
    </w:p>
    <w:p w14:paraId="095828AE">
      <w:pPr>
        <w:ind w:firstLine="0" w:firstLineChars="0"/>
        <w:rPr>
          <w:rFonts w:ascii="Times New Roman" w:hAnsi="Times New Roman" w:eastAsia="黑体" w:cs="Times New Roman"/>
          <w:color w:val="auto"/>
          <w:sz w:val="30"/>
          <w:szCs w:val="30"/>
          <w:highlight w:val="none"/>
        </w:rPr>
      </w:pPr>
      <w:bookmarkStart w:id="820" w:name="_Toc49935380"/>
      <w:bookmarkStart w:id="821" w:name="_Toc26783980"/>
    </w:p>
    <w:bookmarkEnd w:id="810"/>
    <w:bookmarkEnd w:id="820"/>
    <w:bookmarkEnd w:id="821"/>
    <w:p w14:paraId="7F78C148">
      <w:pPr>
        <w:ind w:firstLine="420"/>
        <w:rPr>
          <w:rFonts w:ascii="Times New Roman" w:hAnsi="Times New Roman" w:cs="Times New Roman"/>
          <w:color w:val="auto"/>
          <w:highlight w:val="none"/>
        </w:rPr>
      </w:pPr>
      <w:r>
        <w:rPr>
          <w:rFonts w:ascii="Times New Roman" w:hAnsi="Times New Roman" w:cs="Times New Roman"/>
          <w:color w:val="auto"/>
          <w:highlight w:val="none"/>
        </w:rPr>
        <w:br w:type="page"/>
      </w:r>
    </w:p>
    <w:bookmarkEnd w:id="773"/>
    <w:bookmarkEnd w:id="774"/>
    <w:bookmarkEnd w:id="775"/>
    <w:bookmarkEnd w:id="776"/>
    <w:bookmarkEnd w:id="777"/>
    <w:bookmarkEnd w:id="778"/>
    <w:bookmarkEnd w:id="779"/>
    <w:bookmarkEnd w:id="780"/>
    <w:p w14:paraId="05F42CB4">
      <w:pPr>
        <w:spacing w:line="240" w:lineRule="auto"/>
        <w:ind w:firstLine="0" w:firstLineChars="0"/>
        <w:jc w:val="center"/>
        <w:outlineLvl w:val="2"/>
        <w:rPr>
          <w:rFonts w:ascii="Times New Roman" w:hAnsi="Times New Roman" w:cs="Times New Roman"/>
          <w:color w:val="auto"/>
          <w:szCs w:val="24"/>
          <w:highlight w:val="none"/>
        </w:rPr>
      </w:pPr>
      <w:bookmarkStart w:id="822" w:name="_Toc68090095"/>
      <w:bookmarkStart w:id="823" w:name="_Toc49935374"/>
      <w:bookmarkStart w:id="824" w:name="_Toc26783973"/>
      <w:bookmarkStart w:id="825" w:name="_Toc24923"/>
      <w:bookmarkStart w:id="826" w:name="_Toc12956"/>
      <w:bookmarkStart w:id="827" w:name="_Toc68090085"/>
      <w:bookmarkStart w:id="828" w:name="_Toc49935364"/>
      <w:bookmarkStart w:id="829" w:name="_Toc26783963"/>
      <w:bookmarkStart w:id="830" w:name="OLE_LINK150"/>
      <w:r>
        <w:rPr>
          <w:rFonts w:hint="eastAsia" w:ascii="Times New Roman" w:hAnsi="Times New Roman" w:eastAsia="黑体" w:cs="Times New Roman"/>
          <w:color w:val="auto"/>
          <w:sz w:val="28"/>
          <w:szCs w:val="28"/>
          <w:highlight w:val="none"/>
        </w:rPr>
        <w:t>★</w:t>
      </w:r>
      <w:r>
        <w:rPr>
          <w:rFonts w:ascii="Times New Roman" w:hAnsi="Times New Roman" w:eastAsia="黑体" w:cs="Times New Roman"/>
          <w:color w:val="auto"/>
          <w:sz w:val="28"/>
          <w:szCs w:val="28"/>
          <w:highlight w:val="none"/>
        </w:rPr>
        <w:t>商务条款偏离表</w:t>
      </w:r>
      <w:bookmarkEnd w:id="822"/>
      <w:bookmarkEnd w:id="823"/>
      <w:bookmarkEnd w:id="824"/>
      <w:bookmarkEnd w:id="825"/>
    </w:p>
    <w:p w14:paraId="14DB2E48">
      <w:pPr>
        <w:ind w:firstLine="420"/>
        <w:rPr>
          <w:rFonts w:ascii="宋体" w:hAnsi="宋体" w:cs="宋体"/>
          <w:color w:val="auto"/>
          <w:szCs w:val="21"/>
          <w:highlight w:val="none"/>
        </w:rPr>
      </w:pPr>
      <w:bookmarkStart w:id="831" w:name="OLE_LINK31"/>
      <w:bookmarkStart w:id="832" w:name="_Hlk478972650"/>
      <w:bookmarkStart w:id="833" w:name="OLE_LINK37"/>
      <w:r>
        <w:rPr>
          <w:rFonts w:hint="eastAsia" w:ascii="宋体" w:hAnsi="宋体" w:cs="宋体"/>
          <w:color w:val="auto"/>
          <w:szCs w:val="21"/>
          <w:highlight w:val="none"/>
        </w:rPr>
        <w:t>请对应招标文件中</w:t>
      </w:r>
      <w:r>
        <w:rPr>
          <w:rFonts w:hint="eastAsia" w:ascii="宋体" w:hAnsi="宋体" w:cs="宋体"/>
          <w:b/>
          <w:color w:val="auto"/>
          <w:szCs w:val="21"/>
          <w:highlight w:val="none"/>
        </w:rPr>
        <w:t>“</w:t>
      </w:r>
      <w:bookmarkStart w:id="834" w:name="OLE_LINK120"/>
      <w:r>
        <w:rPr>
          <w:rFonts w:hint="eastAsia" w:ascii="宋体" w:hAnsi="宋体" w:cs="宋体"/>
          <w:b/>
          <w:color w:val="auto"/>
          <w:szCs w:val="21"/>
          <w:highlight w:val="none"/>
        </w:rPr>
        <w:t>合同条款前附表”</w:t>
      </w:r>
      <w:r>
        <w:rPr>
          <w:rFonts w:hint="eastAsia" w:ascii="宋体" w:hAnsi="宋体" w:cs="宋体"/>
          <w:color w:val="auto"/>
          <w:szCs w:val="21"/>
          <w:highlight w:val="none"/>
        </w:rPr>
        <w:t>的条款内容认真填写该表</w:t>
      </w:r>
      <w:bookmarkEnd w:id="831"/>
      <w:bookmarkEnd w:id="832"/>
      <w:bookmarkEnd w:id="834"/>
      <w:r>
        <w:rPr>
          <w:rFonts w:hint="eastAsia" w:ascii="宋体" w:hAnsi="宋体" w:cs="宋体"/>
          <w:color w:val="auto"/>
          <w:szCs w:val="21"/>
          <w:highlight w:val="none"/>
        </w:rPr>
        <w:t>。</w:t>
      </w:r>
    </w:p>
    <w:p w14:paraId="0DDE7000">
      <w:pPr>
        <w:ind w:firstLine="422"/>
        <w:rPr>
          <w:rFonts w:ascii="宋体" w:hAnsi="宋体" w:cs="宋体"/>
          <w:b/>
          <w:bCs/>
          <w:color w:val="auto"/>
          <w:szCs w:val="21"/>
          <w:highlight w:val="none"/>
        </w:rPr>
      </w:pPr>
      <w:r>
        <w:rPr>
          <w:rFonts w:hint="eastAsia" w:ascii="宋体" w:hAnsi="宋体" w:cs="宋体"/>
          <w:b/>
          <w:bCs/>
          <w:color w:val="auto"/>
          <w:szCs w:val="21"/>
          <w:highlight w:val="none"/>
        </w:rPr>
        <w:t>A.□我公司已详细阅读招标文件中商务要求，所有商务要求均无偏离，中标后我公司将严格遵照执行。</w:t>
      </w:r>
    </w:p>
    <w:p w14:paraId="336A4C30">
      <w:pPr>
        <w:pStyle w:val="12"/>
        <w:ind w:firstLine="422"/>
        <w:rPr>
          <w:rFonts w:ascii="宋体" w:hAnsi="宋体" w:cs="宋体"/>
          <w:b/>
          <w:bCs/>
          <w:color w:val="auto"/>
          <w:szCs w:val="21"/>
          <w:highlight w:val="none"/>
        </w:rPr>
      </w:pPr>
      <w:r>
        <w:rPr>
          <w:rFonts w:hint="eastAsia" w:ascii="宋体" w:hAnsi="宋体" w:cs="宋体"/>
          <w:b/>
          <w:bCs/>
          <w:color w:val="auto"/>
          <w:szCs w:val="21"/>
          <w:highlight w:val="none"/>
        </w:rPr>
        <w:t>B.□我公司已详细阅读招标文件中商务要求，除下述条款有偏离外，其余条款我公司均予以认可，中标后将严格遵照执行。</w:t>
      </w:r>
    </w:p>
    <w:tbl>
      <w:tblPr>
        <w:tblStyle w:val="34"/>
        <w:tblW w:w="9194" w:type="dxa"/>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08"/>
        <w:gridCol w:w="1856"/>
        <w:gridCol w:w="2400"/>
        <w:gridCol w:w="2288"/>
        <w:gridCol w:w="1642"/>
      </w:tblGrid>
      <w:tr w14:paraId="40C5D6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6" w:hRule="atLeast"/>
        </w:trPr>
        <w:tc>
          <w:tcPr>
            <w:tcW w:w="1008" w:type="dxa"/>
            <w:vAlign w:val="center"/>
          </w:tcPr>
          <w:p w14:paraId="732D8216">
            <w:pPr>
              <w:spacing w:line="600" w:lineRule="exact"/>
              <w:ind w:firstLine="0" w:firstLineChars="0"/>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856" w:type="dxa"/>
            <w:vAlign w:val="center"/>
          </w:tcPr>
          <w:p w14:paraId="1C129CFC">
            <w:pPr>
              <w:spacing w:line="600" w:lineRule="exact"/>
              <w:ind w:firstLine="0" w:firstLineChars="0"/>
              <w:jc w:val="center"/>
              <w:rPr>
                <w:rFonts w:ascii="宋体" w:hAnsi="宋体" w:cs="宋体"/>
                <w:b/>
                <w:color w:val="auto"/>
                <w:szCs w:val="21"/>
                <w:highlight w:val="none"/>
              </w:rPr>
            </w:pPr>
            <w:bookmarkStart w:id="835" w:name="OLE_LINK121"/>
            <w:r>
              <w:rPr>
                <w:rFonts w:hint="eastAsia" w:ascii="宋体" w:hAnsi="宋体" w:cs="宋体"/>
                <w:b/>
                <w:color w:val="auto"/>
                <w:szCs w:val="21"/>
                <w:highlight w:val="none"/>
              </w:rPr>
              <w:t>招标文件条目号</w:t>
            </w:r>
            <w:bookmarkEnd w:id="835"/>
          </w:p>
        </w:tc>
        <w:tc>
          <w:tcPr>
            <w:tcW w:w="2400" w:type="dxa"/>
            <w:vAlign w:val="center"/>
          </w:tcPr>
          <w:p w14:paraId="164C430A">
            <w:pPr>
              <w:spacing w:line="600" w:lineRule="exact"/>
              <w:ind w:firstLine="0" w:firstLineChars="0"/>
              <w:jc w:val="center"/>
              <w:rPr>
                <w:rFonts w:ascii="宋体" w:hAnsi="宋体" w:cs="宋体"/>
                <w:b/>
                <w:color w:val="auto"/>
                <w:szCs w:val="21"/>
                <w:highlight w:val="none"/>
              </w:rPr>
            </w:pPr>
            <w:r>
              <w:rPr>
                <w:rFonts w:hint="eastAsia" w:ascii="宋体" w:hAnsi="宋体" w:cs="宋体"/>
                <w:b/>
                <w:color w:val="auto"/>
                <w:szCs w:val="21"/>
                <w:highlight w:val="none"/>
              </w:rPr>
              <w:t>招标文件的商务条款</w:t>
            </w:r>
          </w:p>
        </w:tc>
        <w:tc>
          <w:tcPr>
            <w:tcW w:w="2288" w:type="dxa"/>
            <w:vAlign w:val="center"/>
          </w:tcPr>
          <w:p w14:paraId="16F880E3">
            <w:pPr>
              <w:spacing w:line="600" w:lineRule="exact"/>
              <w:ind w:firstLine="0" w:firstLineChars="0"/>
              <w:jc w:val="center"/>
              <w:rPr>
                <w:rFonts w:ascii="宋体" w:hAnsi="宋体" w:cs="宋体"/>
                <w:b/>
                <w:color w:val="auto"/>
                <w:szCs w:val="21"/>
                <w:highlight w:val="none"/>
              </w:rPr>
            </w:pPr>
            <w:r>
              <w:rPr>
                <w:rFonts w:hint="eastAsia" w:ascii="宋体" w:hAnsi="宋体" w:cs="宋体"/>
                <w:b/>
                <w:color w:val="auto"/>
                <w:szCs w:val="21"/>
                <w:highlight w:val="none"/>
              </w:rPr>
              <w:t>投标文件的商务条款</w:t>
            </w:r>
          </w:p>
        </w:tc>
        <w:tc>
          <w:tcPr>
            <w:tcW w:w="1642" w:type="dxa"/>
            <w:vAlign w:val="center"/>
          </w:tcPr>
          <w:p w14:paraId="69AC18FF">
            <w:pPr>
              <w:spacing w:line="600" w:lineRule="exact"/>
              <w:ind w:firstLine="0" w:firstLineChars="0"/>
              <w:jc w:val="center"/>
              <w:rPr>
                <w:rFonts w:ascii="宋体" w:hAnsi="宋体" w:cs="宋体"/>
                <w:b/>
                <w:color w:val="auto"/>
                <w:szCs w:val="21"/>
                <w:highlight w:val="none"/>
              </w:rPr>
            </w:pPr>
            <w:r>
              <w:rPr>
                <w:rFonts w:hint="eastAsia" w:ascii="宋体" w:hAnsi="宋体" w:cs="宋体"/>
                <w:b/>
                <w:color w:val="auto"/>
                <w:szCs w:val="21"/>
                <w:highlight w:val="none"/>
              </w:rPr>
              <w:t>偏离说明</w:t>
            </w:r>
          </w:p>
        </w:tc>
      </w:tr>
      <w:tr w14:paraId="282C64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tcPr>
          <w:p w14:paraId="7265EEE4">
            <w:pPr>
              <w:spacing w:line="600" w:lineRule="exact"/>
              <w:ind w:firstLine="0" w:firstLineChars="0"/>
              <w:rPr>
                <w:rFonts w:ascii="宋体" w:hAnsi="宋体" w:cs="宋体"/>
                <w:color w:val="auto"/>
                <w:szCs w:val="21"/>
                <w:highlight w:val="none"/>
              </w:rPr>
            </w:pPr>
          </w:p>
        </w:tc>
        <w:tc>
          <w:tcPr>
            <w:tcW w:w="1856" w:type="dxa"/>
          </w:tcPr>
          <w:p w14:paraId="38154017">
            <w:pPr>
              <w:spacing w:line="600" w:lineRule="exact"/>
              <w:ind w:firstLine="0" w:firstLineChars="0"/>
              <w:rPr>
                <w:rFonts w:ascii="宋体" w:hAnsi="宋体" w:cs="宋体"/>
                <w:color w:val="auto"/>
                <w:szCs w:val="21"/>
                <w:highlight w:val="none"/>
              </w:rPr>
            </w:pPr>
          </w:p>
        </w:tc>
        <w:tc>
          <w:tcPr>
            <w:tcW w:w="2400" w:type="dxa"/>
          </w:tcPr>
          <w:p w14:paraId="22803601">
            <w:pPr>
              <w:spacing w:line="600" w:lineRule="exact"/>
              <w:ind w:firstLine="0" w:firstLineChars="0"/>
              <w:rPr>
                <w:rFonts w:ascii="宋体" w:hAnsi="宋体" w:cs="宋体"/>
                <w:color w:val="auto"/>
                <w:szCs w:val="21"/>
                <w:highlight w:val="none"/>
              </w:rPr>
            </w:pPr>
          </w:p>
        </w:tc>
        <w:tc>
          <w:tcPr>
            <w:tcW w:w="2288" w:type="dxa"/>
          </w:tcPr>
          <w:p w14:paraId="54EE1146">
            <w:pPr>
              <w:spacing w:line="600" w:lineRule="exact"/>
              <w:ind w:firstLine="0" w:firstLineChars="0"/>
              <w:rPr>
                <w:rFonts w:ascii="宋体" w:hAnsi="宋体" w:cs="宋体"/>
                <w:color w:val="auto"/>
                <w:szCs w:val="21"/>
                <w:highlight w:val="none"/>
              </w:rPr>
            </w:pPr>
          </w:p>
        </w:tc>
        <w:tc>
          <w:tcPr>
            <w:tcW w:w="1642" w:type="dxa"/>
          </w:tcPr>
          <w:p w14:paraId="32A3999A">
            <w:pPr>
              <w:spacing w:line="600" w:lineRule="exact"/>
              <w:ind w:firstLine="0" w:firstLineChars="0"/>
              <w:rPr>
                <w:rFonts w:ascii="宋体" w:hAnsi="宋体" w:cs="宋体"/>
                <w:color w:val="auto"/>
                <w:szCs w:val="21"/>
                <w:highlight w:val="none"/>
              </w:rPr>
            </w:pPr>
          </w:p>
        </w:tc>
      </w:tr>
      <w:tr w14:paraId="44C365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tcPr>
          <w:p w14:paraId="125CE529">
            <w:pPr>
              <w:spacing w:line="600" w:lineRule="exact"/>
              <w:ind w:firstLine="0" w:firstLineChars="0"/>
              <w:rPr>
                <w:rFonts w:ascii="宋体" w:hAnsi="宋体" w:cs="宋体"/>
                <w:color w:val="auto"/>
                <w:szCs w:val="21"/>
                <w:highlight w:val="none"/>
              </w:rPr>
            </w:pPr>
          </w:p>
        </w:tc>
        <w:tc>
          <w:tcPr>
            <w:tcW w:w="1856" w:type="dxa"/>
          </w:tcPr>
          <w:p w14:paraId="0B1829CE">
            <w:pPr>
              <w:spacing w:line="600" w:lineRule="exact"/>
              <w:ind w:firstLine="0" w:firstLineChars="0"/>
              <w:rPr>
                <w:rFonts w:ascii="宋体" w:hAnsi="宋体" w:cs="宋体"/>
                <w:color w:val="auto"/>
                <w:szCs w:val="21"/>
                <w:highlight w:val="none"/>
              </w:rPr>
            </w:pPr>
          </w:p>
        </w:tc>
        <w:tc>
          <w:tcPr>
            <w:tcW w:w="2400" w:type="dxa"/>
          </w:tcPr>
          <w:p w14:paraId="1DF01147">
            <w:pPr>
              <w:spacing w:line="600" w:lineRule="exact"/>
              <w:ind w:firstLine="0" w:firstLineChars="0"/>
              <w:rPr>
                <w:rFonts w:ascii="宋体" w:hAnsi="宋体" w:cs="宋体"/>
                <w:color w:val="auto"/>
                <w:szCs w:val="21"/>
                <w:highlight w:val="none"/>
              </w:rPr>
            </w:pPr>
          </w:p>
        </w:tc>
        <w:tc>
          <w:tcPr>
            <w:tcW w:w="2288" w:type="dxa"/>
          </w:tcPr>
          <w:p w14:paraId="44E92260">
            <w:pPr>
              <w:spacing w:line="600" w:lineRule="exact"/>
              <w:ind w:firstLine="0" w:firstLineChars="0"/>
              <w:rPr>
                <w:rFonts w:ascii="宋体" w:hAnsi="宋体" w:cs="宋体"/>
                <w:color w:val="auto"/>
                <w:szCs w:val="21"/>
                <w:highlight w:val="none"/>
              </w:rPr>
            </w:pPr>
          </w:p>
        </w:tc>
        <w:tc>
          <w:tcPr>
            <w:tcW w:w="1642" w:type="dxa"/>
          </w:tcPr>
          <w:p w14:paraId="0E9FC881">
            <w:pPr>
              <w:spacing w:line="600" w:lineRule="exact"/>
              <w:ind w:firstLine="0" w:firstLineChars="0"/>
              <w:rPr>
                <w:rFonts w:ascii="宋体" w:hAnsi="宋体" w:cs="宋体"/>
                <w:color w:val="auto"/>
                <w:szCs w:val="21"/>
                <w:highlight w:val="none"/>
              </w:rPr>
            </w:pPr>
          </w:p>
        </w:tc>
      </w:tr>
      <w:tr w14:paraId="5ADC72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tcPr>
          <w:p w14:paraId="647EAB64">
            <w:pPr>
              <w:spacing w:line="600" w:lineRule="exact"/>
              <w:ind w:firstLine="0" w:firstLineChars="0"/>
              <w:rPr>
                <w:rFonts w:ascii="宋体" w:hAnsi="宋体" w:cs="宋体"/>
                <w:color w:val="auto"/>
                <w:szCs w:val="21"/>
                <w:highlight w:val="none"/>
              </w:rPr>
            </w:pPr>
          </w:p>
        </w:tc>
        <w:tc>
          <w:tcPr>
            <w:tcW w:w="1856" w:type="dxa"/>
          </w:tcPr>
          <w:p w14:paraId="0698833D">
            <w:pPr>
              <w:spacing w:line="600" w:lineRule="exact"/>
              <w:ind w:firstLine="0" w:firstLineChars="0"/>
              <w:rPr>
                <w:rFonts w:ascii="宋体" w:hAnsi="宋体" w:cs="宋体"/>
                <w:color w:val="auto"/>
                <w:szCs w:val="21"/>
                <w:highlight w:val="none"/>
              </w:rPr>
            </w:pPr>
          </w:p>
        </w:tc>
        <w:tc>
          <w:tcPr>
            <w:tcW w:w="2400" w:type="dxa"/>
          </w:tcPr>
          <w:p w14:paraId="33C41346">
            <w:pPr>
              <w:spacing w:line="600" w:lineRule="exact"/>
              <w:ind w:firstLine="0" w:firstLineChars="0"/>
              <w:rPr>
                <w:rFonts w:ascii="宋体" w:hAnsi="宋体" w:cs="宋体"/>
                <w:color w:val="auto"/>
                <w:szCs w:val="21"/>
                <w:highlight w:val="none"/>
              </w:rPr>
            </w:pPr>
          </w:p>
        </w:tc>
        <w:tc>
          <w:tcPr>
            <w:tcW w:w="2288" w:type="dxa"/>
          </w:tcPr>
          <w:p w14:paraId="7FFB60E3">
            <w:pPr>
              <w:spacing w:line="600" w:lineRule="exact"/>
              <w:ind w:firstLine="0" w:firstLineChars="0"/>
              <w:rPr>
                <w:rFonts w:ascii="宋体" w:hAnsi="宋体" w:cs="宋体"/>
                <w:color w:val="auto"/>
                <w:szCs w:val="21"/>
                <w:highlight w:val="none"/>
              </w:rPr>
            </w:pPr>
          </w:p>
        </w:tc>
        <w:tc>
          <w:tcPr>
            <w:tcW w:w="1642" w:type="dxa"/>
          </w:tcPr>
          <w:p w14:paraId="765F91B6">
            <w:pPr>
              <w:spacing w:line="600" w:lineRule="exact"/>
              <w:ind w:firstLine="0" w:firstLineChars="0"/>
              <w:rPr>
                <w:rFonts w:ascii="宋体" w:hAnsi="宋体" w:cs="宋体"/>
                <w:color w:val="auto"/>
                <w:szCs w:val="21"/>
                <w:highlight w:val="none"/>
              </w:rPr>
            </w:pPr>
          </w:p>
        </w:tc>
      </w:tr>
      <w:tr w14:paraId="05B718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tcPr>
          <w:p w14:paraId="1BCF270C">
            <w:pPr>
              <w:spacing w:line="600" w:lineRule="exact"/>
              <w:ind w:firstLine="0" w:firstLineChars="0"/>
              <w:rPr>
                <w:rFonts w:ascii="宋体" w:hAnsi="宋体" w:cs="宋体"/>
                <w:color w:val="auto"/>
                <w:szCs w:val="21"/>
                <w:highlight w:val="none"/>
              </w:rPr>
            </w:pPr>
          </w:p>
        </w:tc>
        <w:tc>
          <w:tcPr>
            <w:tcW w:w="1856" w:type="dxa"/>
          </w:tcPr>
          <w:p w14:paraId="44FD4EAC">
            <w:pPr>
              <w:spacing w:line="600" w:lineRule="exact"/>
              <w:ind w:firstLine="0" w:firstLineChars="0"/>
              <w:rPr>
                <w:rFonts w:ascii="宋体" w:hAnsi="宋体" w:cs="宋体"/>
                <w:color w:val="auto"/>
                <w:szCs w:val="21"/>
                <w:highlight w:val="none"/>
              </w:rPr>
            </w:pPr>
          </w:p>
        </w:tc>
        <w:tc>
          <w:tcPr>
            <w:tcW w:w="2400" w:type="dxa"/>
          </w:tcPr>
          <w:p w14:paraId="5F5E1068">
            <w:pPr>
              <w:spacing w:line="600" w:lineRule="exact"/>
              <w:ind w:firstLine="0" w:firstLineChars="0"/>
              <w:rPr>
                <w:rFonts w:ascii="宋体" w:hAnsi="宋体" w:cs="宋体"/>
                <w:color w:val="auto"/>
                <w:szCs w:val="21"/>
                <w:highlight w:val="none"/>
              </w:rPr>
            </w:pPr>
          </w:p>
        </w:tc>
        <w:tc>
          <w:tcPr>
            <w:tcW w:w="2288" w:type="dxa"/>
          </w:tcPr>
          <w:p w14:paraId="0705DECD">
            <w:pPr>
              <w:spacing w:line="600" w:lineRule="exact"/>
              <w:ind w:firstLine="0" w:firstLineChars="0"/>
              <w:rPr>
                <w:rFonts w:ascii="宋体" w:hAnsi="宋体" w:cs="宋体"/>
                <w:color w:val="auto"/>
                <w:szCs w:val="21"/>
                <w:highlight w:val="none"/>
              </w:rPr>
            </w:pPr>
          </w:p>
        </w:tc>
        <w:tc>
          <w:tcPr>
            <w:tcW w:w="1642" w:type="dxa"/>
          </w:tcPr>
          <w:p w14:paraId="34BC4CF6">
            <w:pPr>
              <w:spacing w:line="600" w:lineRule="exact"/>
              <w:ind w:firstLine="0" w:firstLineChars="0"/>
              <w:rPr>
                <w:rFonts w:ascii="宋体" w:hAnsi="宋体" w:cs="宋体"/>
                <w:color w:val="auto"/>
                <w:szCs w:val="21"/>
                <w:highlight w:val="none"/>
              </w:rPr>
            </w:pPr>
          </w:p>
        </w:tc>
      </w:tr>
      <w:tr w14:paraId="4D91F3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tcPr>
          <w:p w14:paraId="19342E49">
            <w:pPr>
              <w:spacing w:line="600" w:lineRule="exact"/>
              <w:ind w:firstLine="0" w:firstLineChars="0"/>
              <w:rPr>
                <w:rFonts w:ascii="宋体" w:hAnsi="宋体" w:cs="宋体"/>
                <w:color w:val="auto"/>
                <w:szCs w:val="21"/>
                <w:highlight w:val="none"/>
              </w:rPr>
            </w:pPr>
          </w:p>
        </w:tc>
        <w:tc>
          <w:tcPr>
            <w:tcW w:w="1856" w:type="dxa"/>
          </w:tcPr>
          <w:p w14:paraId="2CE20C91">
            <w:pPr>
              <w:spacing w:line="600" w:lineRule="exact"/>
              <w:ind w:firstLine="0" w:firstLineChars="0"/>
              <w:rPr>
                <w:rFonts w:ascii="宋体" w:hAnsi="宋体" w:cs="宋体"/>
                <w:color w:val="auto"/>
                <w:szCs w:val="21"/>
                <w:highlight w:val="none"/>
              </w:rPr>
            </w:pPr>
          </w:p>
        </w:tc>
        <w:tc>
          <w:tcPr>
            <w:tcW w:w="2400" w:type="dxa"/>
          </w:tcPr>
          <w:p w14:paraId="7C7EAC15">
            <w:pPr>
              <w:spacing w:line="600" w:lineRule="exact"/>
              <w:ind w:firstLine="0" w:firstLineChars="0"/>
              <w:rPr>
                <w:rFonts w:ascii="宋体" w:hAnsi="宋体" w:cs="宋体"/>
                <w:color w:val="auto"/>
                <w:szCs w:val="21"/>
                <w:highlight w:val="none"/>
              </w:rPr>
            </w:pPr>
          </w:p>
        </w:tc>
        <w:tc>
          <w:tcPr>
            <w:tcW w:w="2288" w:type="dxa"/>
          </w:tcPr>
          <w:p w14:paraId="194EBDE3">
            <w:pPr>
              <w:spacing w:line="600" w:lineRule="exact"/>
              <w:ind w:firstLine="0" w:firstLineChars="0"/>
              <w:rPr>
                <w:rFonts w:ascii="宋体" w:hAnsi="宋体" w:cs="宋体"/>
                <w:color w:val="auto"/>
                <w:szCs w:val="21"/>
                <w:highlight w:val="none"/>
              </w:rPr>
            </w:pPr>
          </w:p>
        </w:tc>
        <w:tc>
          <w:tcPr>
            <w:tcW w:w="1642" w:type="dxa"/>
          </w:tcPr>
          <w:p w14:paraId="31664B5D">
            <w:pPr>
              <w:spacing w:line="600" w:lineRule="exact"/>
              <w:ind w:firstLine="0" w:firstLineChars="0"/>
              <w:rPr>
                <w:rFonts w:ascii="宋体" w:hAnsi="宋体" w:cs="宋体"/>
                <w:color w:val="auto"/>
                <w:szCs w:val="21"/>
                <w:highlight w:val="none"/>
              </w:rPr>
            </w:pPr>
          </w:p>
        </w:tc>
      </w:tr>
      <w:tr w14:paraId="46AAD6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tcPr>
          <w:p w14:paraId="5673E370">
            <w:pPr>
              <w:spacing w:line="600" w:lineRule="exact"/>
              <w:ind w:firstLine="0" w:firstLineChars="0"/>
              <w:rPr>
                <w:rFonts w:ascii="宋体" w:hAnsi="宋体" w:cs="宋体"/>
                <w:color w:val="auto"/>
                <w:szCs w:val="21"/>
                <w:highlight w:val="none"/>
              </w:rPr>
            </w:pPr>
          </w:p>
        </w:tc>
        <w:tc>
          <w:tcPr>
            <w:tcW w:w="1856" w:type="dxa"/>
          </w:tcPr>
          <w:p w14:paraId="48A1D91F">
            <w:pPr>
              <w:spacing w:line="600" w:lineRule="exact"/>
              <w:ind w:firstLine="0" w:firstLineChars="0"/>
              <w:rPr>
                <w:rFonts w:ascii="宋体" w:hAnsi="宋体" w:cs="宋体"/>
                <w:color w:val="auto"/>
                <w:szCs w:val="21"/>
                <w:highlight w:val="none"/>
              </w:rPr>
            </w:pPr>
          </w:p>
        </w:tc>
        <w:tc>
          <w:tcPr>
            <w:tcW w:w="2400" w:type="dxa"/>
          </w:tcPr>
          <w:p w14:paraId="3BC57C9C">
            <w:pPr>
              <w:spacing w:line="600" w:lineRule="exact"/>
              <w:ind w:firstLine="0" w:firstLineChars="0"/>
              <w:rPr>
                <w:rFonts w:ascii="宋体" w:hAnsi="宋体" w:cs="宋体"/>
                <w:color w:val="auto"/>
                <w:szCs w:val="21"/>
                <w:highlight w:val="none"/>
              </w:rPr>
            </w:pPr>
          </w:p>
        </w:tc>
        <w:tc>
          <w:tcPr>
            <w:tcW w:w="2288" w:type="dxa"/>
          </w:tcPr>
          <w:p w14:paraId="7BBD2C1E">
            <w:pPr>
              <w:spacing w:line="600" w:lineRule="exact"/>
              <w:ind w:firstLine="0" w:firstLineChars="0"/>
              <w:rPr>
                <w:rFonts w:ascii="宋体" w:hAnsi="宋体" w:cs="宋体"/>
                <w:color w:val="auto"/>
                <w:szCs w:val="21"/>
                <w:highlight w:val="none"/>
              </w:rPr>
            </w:pPr>
          </w:p>
        </w:tc>
        <w:tc>
          <w:tcPr>
            <w:tcW w:w="1642" w:type="dxa"/>
          </w:tcPr>
          <w:p w14:paraId="272DA45D">
            <w:pPr>
              <w:spacing w:line="600" w:lineRule="exact"/>
              <w:ind w:firstLine="0" w:firstLineChars="0"/>
              <w:rPr>
                <w:rFonts w:ascii="宋体" w:hAnsi="宋体" w:cs="宋体"/>
                <w:color w:val="auto"/>
                <w:szCs w:val="21"/>
                <w:highlight w:val="none"/>
              </w:rPr>
            </w:pPr>
          </w:p>
        </w:tc>
      </w:tr>
      <w:tr w14:paraId="73EF35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1008" w:type="dxa"/>
          </w:tcPr>
          <w:p w14:paraId="79DAE7AB">
            <w:pPr>
              <w:spacing w:line="600" w:lineRule="exact"/>
              <w:ind w:firstLine="0" w:firstLineChars="0"/>
              <w:rPr>
                <w:rFonts w:ascii="宋体" w:hAnsi="宋体" w:cs="宋体"/>
                <w:color w:val="auto"/>
                <w:szCs w:val="21"/>
                <w:highlight w:val="none"/>
              </w:rPr>
            </w:pPr>
          </w:p>
        </w:tc>
        <w:tc>
          <w:tcPr>
            <w:tcW w:w="1856" w:type="dxa"/>
          </w:tcPr>
          <w:p w14:paraId="24790CC1">
            <w:pPr>
              <w:spacing w:line="600" w:lineRule="exact"/>
              <w:ind w:firstLine="0" w:firstLineChars="0"/>
              <w:rPr>
                <w:rFonts w:ascii="宋体" w:hAnsi="宋体" w:cs="宋体"/>
                <w:color w:val="auto"/>
                <w:szCs w:val="21"/>
                <w:highlight w:val="none"/>
              </w:rPr>
            </w:pPr>
          </w:p>
        </w:tc>
        <w:tc>
          <w:tcPr>
            <w:tcW w:w="2400" w:type="dxa"/>
          </w:tcPr>
          <w:p w14:paraId="55DE743A">
            <w:pPr>
              <w:spacing w:line="600" w:lineRule="exact"/>
              <w:ind w:firstLine="0" w:firstLineChars="0"/>
              <w:rPr>
                <w:rFonts w:ascii="宋体" w:hAnsi="宋体" w:cs="宋体"/>
                <w:color w:val="auto"/>
                <w:szCs w:val="21"/>
                <w:highlight w:val="none"/>
              </w:rPr>
            </w:pPr>
          </w:p>
        </w:tc>
        <w:tc>
          <w:tcPr>
            <w:tcW w:w="2288" w:type="dxa"/>
          </w:tcPr>
          <w:p w14:paraId="062AAFDC">
            <w:pPr>
              <w:spacing w:line="600" w:lineRule="exact"/>
              <w:ind w:firstLine="0" w:firstLineChars="0"/>
              <w:rPr>
                <w:rFonts w:ascii="宋体" w:hAnsi="宋体" w:cs="宋体"/>
                <w:color w:val="auto"/>
                <w:szCs w:val="21"/>
                <w:highlight w:val="none"/>
              </w:rPr>
            </w:pPr>
          </w:p>
        </w:tc>
        <w:tc>
          <w:tcPr>
            <w:tcW w:w="1642" w:type="dxa"/>
          </w:tcPr>
          <w:p w14:paraId="3245B821">
            <w:pPr>
              <w:spacing w:line="600" w:lineRule="exact"/>
              <w:ind w:firstLine="0" w:firstLineChars="0"/>
              <w:rPr>
                <w:rFonts w:ascii="宋体" w:hAnsi="宋体" w:cs="宋体"/>
                <w:color w:val="auto"/>
                <w:szCs w:val="21"/>
                <w:highlight w:val="none"/>
              </w:rPr>
            </w:pPr>
          </w:p>
        </w:tc>
      </w:tr>
      <w:tr w14:paraId="7EFE5F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tcPr>
          <w:p w14:paraId="31FF4830">
            <w:pPr>
              <w:spacing w:line="600" w:lineRule="exact"/>
              <w:ind w:firstLine="0" w:firstLineChars="0"/>
              <w:rPr>
                <w:rFonts w:ascii="宋体" w:hAnsi="宋体" w:cs="宋体"/>
                <w:color w:val="auto"/>
                <w:szCs w:val="21"/>
                <w:highlight w:val="none"/>
              </w:rPr>
            </w:pPr>
          </w:p>
        </w:tc>
        <w:tc>
          <w:tcPr>
            <w:tcW w:w="1856" w:type="dxa"/>
          </w:tcPr>
          <w:p w14:paraId="4552D6A2">
            <w:pPr>
              <w:spacing w:line="600" w:lineRule="exact"/>
              <w:ind w:firstLine="0" w:firstLineChars="0"/>
              <w:rPr>
                <w:rFonts w:ascii="宋体" w:hAnsi="宋体" w:cs="宋体"/>
                <w:color w:val="auto"/>
                <w:szCs w:val="21"/>
                <w:highlight w:val="none"/>
              </w:rPr>
            </w:pPr>
          </w:p>
        </w:tc>
        <w:tc>
          <w:tcPr>
            <w:tcW w:w="2400" w:type="dxa"/>
          </w:tcPr>
          <w:p w14:paraId="77A4EA21">
            <w:pPr>
              <w:spacing w:line="600" w:lineRule="exact"/>
              <w:ind w:firstLine="0" w:firstLineChars="0"/>
              <w:rPr>
                <w:rFonts w:ascii="宋体" w:hAnsi="宋体" w:cs="宋体"/>
                <w:color w:val="auto"/>
                <w:szCs w:val="21"/>
                <w:highlight w:val="none"/>
              </w:rPr>
            </w:pPr>
          </w:p>
        </w:tc>
        <w:tc>
          <w:tcPr>
            <w:tcW w:w="2288" w:type="dxa"/>
          </w:tcPr>
          <w:p w14:paraId="0F375ECD">
            <w:pPr>
              <w:spacing w:line="600" w:lineRule="exact"/>
              <w:ind w:firstLine="0" w:firstLineChars="0"/>
              <w:rPr>
                <w:rFonts w:ascii="宋体" w:hAnsi="宋体" w:cs="宋体"/>
                <w:color w:val="auto"/>
                <w:szCs w:val="21"/>
                <w:highlight w:val="none"/>
              </w:rPr>
            </w:pPr>
          </w:p>
        </w:tc>
        <w:tc>
          <w:tcPr>
            <w:tcW w:w="1642" w:type="dxa"/>
          </w:tcPr>
          <w:p w14:paraId="05B33C0F">
            <w:pPr>
              <w:spacing w:line="600" w:lineRule="exact"/>
              <w:ind w:firstLine="0" w:firstLineChars="0"/>
              <w:rPr>
                <w:rFonts w:ascii="宋体" w:hAnsi="宋体" w:cs="宋体"/>
                <w:color w:val="auto"/>
                <w:szCs w:val="21"/>
                <w:highlight w:val="none"/>
              </w:rPr>
            </w:pPr>
          </w:p>
        </w:tc>
      </w:tr>
    </w:tbl>
    <w:p w14:paraId="1C2F9D0A">
      <w:pPr>
        <w:ind w:firstLine="0" w:firstLineChars="0"/>
        <w:rPr>
          <w:rFonts w:ascii="宋体" w:hAnsi="宋体" w:cs="宋体"/>
          <w:b/>
          <w:color w:val="auto"/>
          <w:szCs w:val="21"/>
          <w:highlight w:val="none"/>
        </w:rPr>
      </w:pPr>
      <w:bookmarkStart w:id="836" w:name="OLE_LINK196"/>
      <w:r>
        <w:rPr>
          <w:rFonts w:hint="eastAsia" w:ascii="宋体" w:hAnsi="宋体" w:cs="宋体"/>
          <w:b/>
          <w:color w:val="auto"/>
          <w:szCs w:val="21"/>
          <w:highlight w:val="none"/>
        </w:rPr>
        <w:t>表格填写说明：</w:t>
      </w:r>
    </w:p>
    <w:p w14:paraId="4C2EEB53">
      <w:pPr>
        <w:pStyle w:val="12"/>
        <w:rPr>
          <w:rFonts w:ascii="宋体" w:hAnsi="宋体" w:cs="宋体"/>
          <w:color w:val="auto"/>
          <w:szCs w:val="21"/>
          <w:highlight w:val="none"/>
        </w:rPr>
      </w:pPr>
      <w:r>
        <w:rPr>
          <w:rFonts w:hint="eastAsia" w:ascii="宋体" w:hAnsi="宋体" w:cs="宋体"/>
          <w:color w:val="auto"/>
          <w:szCs w:val="21"/>
          <w:highlight w:val="none"/>
        </w:rPr>
        <w:t>1.投标人应根据实际投标情况，填写本表格，若无偏离，则</w:t>
      </w:r>
      <w:r>
        <w:rPr>
          <w:rFonts w:hint="eastAsia" w:ascii="宋体" w:hAnsi="宋体" w:cs="宋体"/>
          <w:b/>
          <w:bCs/>
          <w:color w:val="auto"/>
          <w:szCs w:val="21"/>
          <w:highlight w:val="none"/>
        </w:rPr>
        <w:t>勾选A项</w:t>
      </w:r>
      <w:r>
        <w:rPr>
          <w:rFonts w:hint="eastAsia" w:ascii="宋体" w:hAnsi="宋体" w:cs="宋体"/>
          <w:color w:val="auto"/>
          <w:szCs w:val="21"/>
          <w:highlight w:val="none"/>
        </w:rPr>
        <w:t>。若有偏离，则</w:t>
      </w:r>
      <w:r>
        <w:rPr>
          <w:rFonts w:hint="eastAsia" w:ascii="宋体" w:hAnsi="宋体" w:cs="宋体"/>
          <w:b/>
          <w:bCs/>
          <w:color w:val="auto"/>
          <w:szCs w:val="21"/>
          <w:highlight w:val="none"/>
        </w:rPr>
        <w:t>勾选B项</w:t>
      </w:r>
      <w:r>
        <w:rPr>
          <w:rFonts w:hint="eastAsia" w:ascii="宋体" w:hAnsi="宋体" w:cs="宋体"/>
          <w:color w:val="auto"/>
          <w:szCs w:val="21"/>
          <w:highlight w:val="none"/>
        </w:rPr>
        <w:t>，按表格要求及实际情况填写。表格中只需填写有“偏离”部分，“无偏离”部分不用填写。</w:t>
      </w:r>
    </w:p>
    <w:p w14:paraId="16BAD2C1">
      <w:pPr>
        <w:ind w:firstLine="420"/>
        <w:rPr>
          <w:rFonts w:ascii="宋体" w:hAnsi="宋体" w:cs="宋体"/>
          <w:color w:val="auto"/>
          <w:szCs w:val="21"/>
          <w:highlight w:val="none"/>
        </w:rPr>
      </w:pPr>
      <w:r>
        <w:rPr>
          <w:rFonts w:hint="eastAsia" w:ascii="宋体" w:hAnsi="宋体" w:cs="宋体"/>
          <w:color w:val="auto"/>
          <w:szCs w:val="21"/>
          <w:highlight w:val="none"/>
        </w:rPr>
        <w:t>2.“偏离”系指“正偏离”、“负偏离”或“无偏离”。</w:t>
      </w:r>
    </w:p>
    <w:p w14:paraId="4DC65634">
      <w:pPr>
        <w:pStyle w:val="12"/>
        <w:rPr>
          <w:rFonts w:ascii="宋体" w:hAnsi="宋体" w:cs="宋体"/>
          <w:color w:val="auto"/>
          <w:szCs w:val="21"/>
          <w:highlight w:val="none"/>
        </w:rPr>
      </w:pPr>
      <w:r>
        <w:rPr>
          <w:rFonts w:hint="eastAsia" w:ascii="宋体" w:hAnsi="宋体" w:cs="宋体"/>
          <w:color w:val="auto"/>
          <w:szCs w:val="21"/>
          <w:highlight w:val="none"/>
        </w:rPr>
        <w:t>3.勾选示例：</w:t>
      </w:r>
      <w:r>
        <w:rPr>
          <w:rFonts w:hint="eastAsia" w:ascii="宋体" w:hAnsi="宋体" w:cs="宋体"/>
          <w:b/>
          <w:bCs/>
          <w:color w:val="auto"/>
          <w:szCs w:val="21"/>
          <w:highlight w:val="none"/>
        </w:rPr>
        <w:sym w:font="Wingdings 2" w:char="0052"/>
      </w:r>
    </w:p>
    <w:bookmarkEnd w:id="833"/>
    <w:bookmarkEnd w:id="836"/>
    <w:p w14:paraId="4F343B0C">
      <w:pPr>
        <w:ind w:firstLine="562"/>
        <w:rPr>
          <w:rFonts w:ascii="Times New Roman" w:hAnsi="Times New Roman" w:cs="Times New Roman"/>
          <w:b/>
          <w:color w:val="auto"/>
          <w:sz w:val="28"/>
          <w:szCs w:val="28"/>
          <w:highlight w:val="none"/>
        </w:rPr>
      </w:pPr>
      <w:r>
        <w:rPr>
          <w:rFonts w:ascii="Times New Roman" w:hAnsi="Times New Roman" w:cs="Times New Roman"/>
          <w:b/>
          <w:color w:val="auto"/>
          <w:sz w:val="28"/>
          <w:szCs w:val="28"/>
          <w:highlight w:val="none"/>
        </w:rPr>
        <w:br w:type="page"/>
      </w:r>
    </w:p>
    <w:p w14:paraId="34DCEB20">
      <w:pPr>
        <w:spacing w:line="240" w:lineRule="auto"/>
        <w:ind w:firstLine="0" w:firstLineChars="0"/>
        <w:jc w:val="center"/>
        <w:outlineLvl w:val="2"/>
        <w:rPr>
          <w:rFonts w:ascii="Times New Roman" w:hAnsi="Times New Roman" w:cs="Times New Roman"/>
          <w:color w:val="auto"/>
          <w:szCs w:val="21"/>
          <w:highlight w:val="none"/>
        </w:rPr>
      </w:pPr>
      <w:bookmarkStart w:id="837" w:name="_Toc49935376"/>
      <w:bookmarkStart w:id="838" w:name="_Toc10"/>
      <w:bookmarkStart w:id="839" w:name="_Toc26783975"/>
      <w:bookmarkStart w:id="840" w:name="_Toc68090096"/>
      <w:bookmarkStart w:id="841" w:name="OLE_LINK155"/>
      <w:r>
        <w:rPr>
          <w:rFonts w:ascii="Times New Roman" w:hAnsi="Times New Roman" w:eastAsia="黑体" w:cs="Times New Roman"/>
          <w:color w:val="auto"/>
          <w:sz w:val="28"/>
          <w:szCs w:val="28"/>
          <w:highlight w:val="none"/>
        </w:rPr>
        <w:t>其它</w:t>
      </w:r>
      <w:r>
        <w:rPr>
          <w:rFonts w:hint="eastAsia" w:ascii="Times New Roman" w:hAnsi="Times New Roman" w:eastAsia="黑体" w:cs="Times New Roman"/>
          <w:color w:val="auto"/>
          <w:sz w:val="28"/>
          <w:szCs w:val="28"/>
          <w:highlight w:val="none"/>
        </w:rPr>
        <w:t>商务</w:t>
      </w:r>
      <w:r>
        <w:rPr>
          <w:rFonts w:ascii="Times New Roman" w:hAnsi="Times New Roman" w:eastAsia="黑体" w:cs="Times New Roman"/>
          <w:color w:val="auto"/>
          <w:sz w:val="28"/>
          <w:szCs w:val="28"/>
          <w:highlight w:val="none"/>
        </w:rPr>
        <w:t>资料</w:t>
      </w:r>
      <w:bookmarkEnd w:id="837"/>
      <w:bookmarkEnd w:id="838"/>
      <w:bookmarkEnd w:id="839"/>
      <w:bookmarkEnd w:id="840"/>
    </w:p>
    <w:p w14:paraId="2E8B9D1E">
      <w:pPr>
        <w:ind w:firstLine="422"/>
        <w:rPr>
          <w:rFonts w:ascii="宋体" w:hAnsi="宋体" w:cs="宋体"/>
          <w:b/>
          <w:bCs/>
          <w:color w:val="auto"/>
          <w:szCs w:val="21"/>
          <w:highlight w:val="none"/>
        </w:rPr>
      </w:pPr>
      <w:r>
        <w:rPr>
          <w:rFonts w:hint="eastAsia" w:ascii="宋体" w:hAnsi="宋体" w:cs="宋体"/>
          <w:b/>
          <w:bCs/>
          <w:color w:val="auto"/>
          <w:szCs w:val="21"/>
          <w:highlight w:val="none"/>
        </w:rPr>
        <w:t>以下内容根据项目商务部分评分内容进行编制：</w:t>
      </w:r>
    </w:p>
    <w:p w14:paraId="78A1C995">
      <w:pPr>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1</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售后服务承诺及保障措施</w:t>
      </w:r>
      <w:r>
        <w:rPr>
          <w:rFonts w:ascii="Times New Roman" w:hAnsi="Times New Roman" w:cs="Times New Roman"/>
          <w:color w:val="auto"/>
          <w:szCs w:val="21"/>
          <w:highlight w:val="none"/>
        </w:rPr>
        <w:t>；</w:t>
      </w:r>
      <w:bookmarkStart w:id="842" w:name="OLE_LINK199"/>
      <w:r>
        <w:rPr>
          <w:rFonts w:ascii="Times New Roman" w:hAnsi="Times New Roman" w:cs="Times New Roman"/>
          <w:color w:val="auto"/>
          <w:szCs w:val="21"/>
          <w:highlight w:val="none"/>
        </w:rPr>
        <w:t>（</w:t>
      </w:r>
      <w:r>
        <w:rPr>
          <w:rFonts w:hint="eastAsia" w:ascii="宋体" w:hAnsi="宋体" w:cs="宋体"/>
          <w:color w:val="auto"/>
          <w:szCs w:val="21"/>
          <w:highlight w:val="none"/>
        </w:rPr>
        <w:t>格式内容自拟</w:t>
      </w:r>
      <w:r>
        <w:rPr>
          <w:rFonts w:ascii="Times New Roman" w:hAnsi="Times New Roman" w:cs="Times New Roman"/>
          <w:color w:val="auto"/>
          <w:szCs w:val="21"/>
          <w:highlight w:val="none"/>
        </w:rPr>
        <w:t>）</w:t>
      </w:r>
      <w:bookmarkEnd w:id="842"/>
    </w:p>
    <w:p w14:paraId="6FCB5BA0">
      <w:pPr>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类似项目业绩一览表及业绩证明材料</w:t>
      </w:r>
      <w:r>
        <w:rPr>
          <w:rFonts w:ascii="Times New Roman" w:hAnsi="Times New Roman" w:cs="Times New Roman"/>
          <w:color w:val="auto"/>
          <w:szCs w:val="21"/>
          <w:highlight w:val="none"/>
        </w:rPr>
        <w:t>；（</w:t>
      </w:r>
      <w:r>
        <w:rPr>
          <w:rFonts w:hint="eastAsia" w:ascii="宋体" w:hAnsi="宋体" w:cs="宋体"/>
          <w:color w:val="auto"/>
          <w:szCs w:val="21"/>
          <w:highlight w:val="none"/>
        </w:rPr>
        <w:t>格式附后</w:t>
      </w:r>
      <w:r>
        <w:rPr>
          <w:rFonts w:ascii="Times New Roman" w:hAnsi="Times New Roman" w:cs="Times New Roman"/>
          <w:color w:val="auto"/>
          <w:szCs w:val="21"/>
          <w:highlight w:val="none"/>
        </w:rPr>
        <w:t>）</w:t>
      </w:r>
    </w:p>
    <w:p w14:paraId="07B19180">
      <w:pPr>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3</w:t>
      </w:r>
      <w:r>
        <w:rPr>
          <w:rFonts w:ascii="Times New Roman" w:hAnsi="Times New Roman" w:cs="Times New Roman"/>
          <w:color w:val="auto"/>
          <w:szCs w:val="21"/>
          <w:highlight w:val="none"/>
        </w:rPr>
        <w:t>）招标文件要求及投标人认为有必要提供的其它</w:t>
      </w:r>
      <w:r>
        <w:rPr>
          <w:rFonts w:hint="eastAsia" w:ascii="Times New Roman" w:hAnsi="Times New Roman" w:cs="Times New Roman"/>
          <w:color w:val="auto"/>
          <w:szCs w:val="21"/>
          <w:highlight w:val="none"/>
        </w:rPr>
        <w:t>商务</w:t>
      </w:r>
      <w:r>
        <w:rPr>
          <w:rFonts w:ascii="Times New Roman" w:hAnsi="Times New Roman" w:cs="Times New Roman"/>
          <w:color w:val="auto"/>
          <w:szCs w:val="21"/>
          <w:highlight w:val="none"/>
        </w:rPr>
        <w:t>资料</w:t>
      </w:r>
      <w:r>
        <w:rPr>
          <w:rFonts w:hint="eastAsia" w:ascii="Times New Roman" w:hAnsi="Times New Roman" w:cs="Times New Roman"/>
          <w:color w:val="auto"/>
          <w:szCs w:val="21"/>
          <w:highlight w:val="none"/>
        </w:rPr>
        <w:t>（如有）</w:t>
      </w:r>
      <w:r>
        <w:rPr>
          <w:rFonts w:ascii="Times New Roman" w:hAnsi="Times New Roman" w:cs="Times New Roman"/>
          <w:color w:val="auto"/>
          <w:szCs w:val="21"/>
          <w:highlight w:val="none"/>
        </w:rPr>
        <w:t>。</w:t>
      </w:r>
    </w:p>
    <w:bookmarkEnd w:id="826"/>
    <w:bookmarkEnd w:id="827"/>
    <w:bookmarkEnd w:id="828"/>
    <w:bookmarkEnd w:id="829"/>
    <w:bookmarkEnd w:id="830"/>
    <w:bookmarkEnd w:id="841"/>
    <w:p w14:paraId="6799A260">
      <w:pPr>
        <w:spacing w:line="240" w:lineRule="auto"/>
        <w:ind w:firstLine="0" w:firstLineChars="0"/>
        <w:jc w:val="left"/>
        <w:rPr>
          <w:rFonts w:ascii="Times New Roman" w:hAnsi="Times New Roman" w:eastAsia="黑体" w:cs="Times New Roman"/>
          <w:color w:val="auto"/>
          <w:sz w:val="28"/>
          <w:szCs w:val="28"/>
          <w:highlight w:val="none"/>
        </w:rPr>
      </w:pPr>
      <w:bookmarkStart w:id="843" w:name="_Toc49935368"/>
      <w:bookmarkStart w:id="844" w:name="_Toc928"/>
      <w:bookmarkStart w:id="845" w:name="_Toc26783967"/>
      <w:bookmarkStart w:id="846" w:name="_Toc469035632"/>
      <w:bookmarkStart w:id="847" w:name="_Toc68090089"/>
      <w:bookmarkStart w:id="848" w:name="OLE_LINK127"/>
      <w:r>
        <w:rPr>
          <w:rFonts w:ascii="Times New Roman" w:hAnsi="Times New Roman" w:eastAsia="黑体" w:cs="Times New Roman"/>
          <w:color w:val="auto"/>
          <w:sz w:val="28"/>
          <w:szCs w:val="28"/>
          <w:highlight w:val="none"/>
        </w:rPr>
        <w:br w:type="page"/>
      </w:r>
    </w:p>
    <w:p w14:paraId="59D6EE3E">
      <w:pPr>
        <w:ind w:firstLine="0" w:firstLineChars="0"/>
        <w:jc w:val="center"/>
        <w:outlineLvl w:val="2"/>
        <w:rPr>
          <w:rFonts w:ascii="Times New Roman" w:hAnsi="Times New Roman" w:eastAsia="黑体" w:cs="Times New Roman"/>
          <w:color w:val="auto"/>
          <w:szCs w:val="21"/>
          <w:highlight w:val="none"/>
        </w:rPr>
      </w:pPr>
      <w:bookmarkStart w:id="849" w:name="OLE_LINK381"/>
      <w:r>
        <w:rPr>
          <w:rFonts w:hint="eastAsia" w:ascii="Times New Roman" w:hAnsi="Times New Roman" w:eastAsia="黑体" w:cs="Times New Roman"/>
          <w:color w:val="auto"/>
          <w:sz w:val="28"/>
          <w:szCs w:val="28"/>
          <w:highlight w:val="none"/>
        </w:rPr>
        <w:t>类似项目业绩一览表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2143"/>
        <w:gridCol w:w="1082"/>
        <w:gridCol w:w="1189"/>
        <w:gridCol w:w="1243"/>
        <w:gridCol w:w="1232"/>
        <w:gridCol w:w="1511"/>
      </w:tblGrid>
      <w:tr w14:paraId="1E02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27" w:type="dxa"/>
            <w:vAlign w:val="center"/>
          </w:tcPr>
          <w:p w14:paraId="2AEF92A9">
            <w:pPr>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143" w:type="dxa"/>
            <w:vAlign w:val="center"/>
          </w:tcPr>
          <w:p w14:paraId="09567347">
            <w:pPr>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1082" w:type="dxa"/>
            <w:vAlign w:val="center"/>
          </w:tcPr>
          <w:p w14:paraId="5630BB5E">
            <w:pPr>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采购单位</w:t>
            </w:r>
          </w:p>
        </w:tc>
        <w:tc>
          <w:tcPr>
            <w:tcW w:w="1189" w:type="dxa"/>
            <w:vAlign w:val="center"/>
          </w:tcPr>
          <w:p w14:paraId="120E7FB3">
            <w:pPr>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采购单位联系人</w:t>
            </w:r>
          </w:p>
        </w:tc>
        <w:tc>
          <w:tcPr>
            <w:tcW w:w="1243" w:type="dxa"/>
            <w:vAlign w:val="center"/>
          </w:tcPr>
          <w:p w14:paraId="040B7E92">
            <w:pPr>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采购单位联系电话</w:t>
            </w:r>
          </w:p>
        </w:tc>
        <w:tc>
          <w:tcPr>
            <w:tcW w:w="1232" w:type="dxa"/>
            <w:vAlign w:val="center"/>
          </w:tcPr>
          <w:p w14:paraId="2537A70D">
            <w:pPr>
              <w:ind w:firstLine="0" w:firstLineChars="0"/>
              <w:jc w:val="center"/>
              <w:rPr>
                <w:rFonts w:ascii="宋体" w:hAnsi="宋体" w:cs="宋体"/>
                <w:color w:val="auto"/>
                <w:szCs w:val="21"/>
                <w:highlight w:val="none"/>
              </w:rPr>
            </w:pPr>
            <w:r>
              <w:rPr>
                <w:rFonts w:hint="eastAsia" w:ascii="宋体" w:hAnsi="宋体" w:cs="宋体"/>
                <w:color w:val="auto"/>
                <w:szCs w:val="32"/>
                <w:highlight w:val="none"/>
              </w:rPr>
              <w:t>合同金额（万元）</w:t>
            </w:r>
          </w:p>
        </w:tc>
        <w:tc>
          <w:tcPr>
            <w:tcW w:w="1511" w:type="dxa"/>
            <w:vAlign w:val="center"/>
          </w:tcPr>
          <w:p w14:paraId="75C3F0FA">
            <w:pPr>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合同签订时间</w:t>
            </w:r>
          </w:p>
        </w:tc>
      </w:tr>
      <w:tr w14:paraId="18C08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27" w:type="dxa"/>
          </w:tcPr>
          <w:p w14:paraId="15409D39">
            <w:pPr>
              <w:ind w:firstLine="420"/>
              <w:jc w:val="center"/>
              <w:rPr>
                <w:rFonts w:ascii="宋体" w:hAnsi="宋体" w:cs="宋体"/>
                <w:color w:val="auto"/>
                <w:szCs w:val="21"/>
                <w:highlight w:val="none"/>
              </w:rPr>
            </w:pPr>
          </w:p>
        </w:tc>
        <w:tc>
          <w:tcPr>
            <w:tcW w:w="2143" w:type="dxa"/>
          </w:tcPr>
          <w:p w14:paraId="63FA81CB">
            <w:pPr>
              <w:ind w:firstLine="420"/>
              <w:jc w:val="center"/>
              <w:rPr>
                <w:rFonts w:ascii="宋体" w:hAnsi="宋体" w:cs="宋体"/>
                <w:color w:val="auto"/>
                <w:szCs w:val="21"/>
                <w:highlight w:val="none"/>
              </w:rPr>
            </w:pPr>
          </w:p>
        </w:tc>
        <w:tc>
          <w:tcPr>
            <w:tcW w:w="1082" w:type="dxa"/>
          </w:tcPr>
          <w:p w14:paraId="554E69B7">
            <w:pPr>
              <w:ind w:firstLine="420"/>
              <w:jc w:val="center"/>
              <w:rPr>
                <w:rFonts w:ascii="宋体" w:hAnsi="宋体" w:cs="宋体"/>
                <w:color w:val="auto"/>
                <w:szCs w:val="21"/>
                <w:highlight w:val="none"/>
              </w:rPr>
            </w:pPr>
          </w:p>
        </w:tc>
        <w:tc>
          <w:tcPr>
            <w:tcW w:w="1189" w:type="dxa"/>
          </w:tcPr>
          <w:p w14:paraId="57F292A2">
            <w:pPr>
              <w:ind w:firstLine="420"/>
              <w:jc w:val="center"/>
              <w:rPr>
                <w:rFonts w:ascii="宋体" w:hAnsi="宋体" w:cs="宋体"/>
                <w:color w:val="auto"/>
                <w:szCs w:val="21"/>
                <w:highlight w:val="none"/>
              </w:rPr>
            </w:pPr>
          </w:p>
        </w:tc>
        <w:tc>
          <w:tcPr>
            <w:tcW w:w="1243" w:type="dxa"/>
          </w:tcPr>
          <w:p w14:paraId="3F9F73AA">
            <w:pPr>
              <w:ind w:firstLine="420"/>
              <w:jc w:val="center"/>
              <w:rPr>
                <w:rFonts w:ascii="宋体" w:hAnsi="宋体" w:cs="宋体"/>
                <w:color w:val="auto"/>
                <w:szCs w:val="21"/>
                <w:highlight w:val="none"/>
              </w:rPr>
            </w:pPr>
          </w:p>
        </w:tc>
        <w:tc>
          <w:tcPr>
            <w:tcW w:w="1232" w:type="dxa"/>
          </w:tcPr>
          <w:p w14:paraId="0D5E4C4E">
            <w:pPr>
              <w:ind w:firstLine="420"/>
              <w:jc w:val="center"/>
              <w:rPr>
                <w:rFonts w:ascii="宋体" w:hAnsi="宋体" w:cs="宋体"/>
                <w:color w:val="auto"/>
                <w:szCs w:val="21"/>
                <w:highlight w:val="none"/>
              </w:rPr>
            </w:pPr>
          </w:p>
        </w:tc>
        <w:tc>
          <w:tcPr>
            <w:tcW w:w="1511" w:type="dxa"/>
          </w:tcPr>
          <w:p w14:paraId="2411C192">
            <w:pPr>
              <w:ind w:firstLine="420"/>
              <w:jc w:val="center"/>
              <w:rPr>
                <w:rFonts w:ascii="宋体" w:hAnsi="宋体" w:cs="宋体"/>
                <w:color w:val="auto"/>
                <w:szCs w:val="21"/>
                <w:highlight w:val="none"/>
              </w:rPr>
            </w:pPr>
          </w:p>
        </w:tc>
      </w:tr>
      <w:tr w14:paraId="6F357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27" w:type="dxa"/>
          </w:tcPr>
          <w:p w14:paraId="54117748">
            <w:pPr>
              <w:ind w:firstLine="420"/>
              <w:jc w:val="center"/>
              <w:rPr>
                <w:rFonts w:ascii="宋体" w:hAnsi="宋体" w:cs="宋体"/>
                <w:color w:val="auto"/>
                <w:szCs w:val="21"/>
                <w:highlight w:val="none"/>
              </w:rPr>
            </w:pPr>
          </w:p>
        </w:tc>
        <w:tc>
          <w:tcPr>
            <w:tcW w:w="2143" w:type="dxa"/>
          </w:tcPr>
          <w:p w14:paraId="32EDE8BC">
            <w:pPr>
              <w:ind w:firstLine="420"/>
              <w:jc w:val="center"/>
              <w:rPr>
                <w:rFonts w:ascii="宋体" w:hAnsi="宋体" w:cs="宋体"/>
                <w:color w:val="auto"/>
                <w:szCs w:val="21"/>
                <w:highlight w:val="none"/>
              </w:rPr>
            </w:pPr>
          </w:p>
        </w:tc>
        <w:tc>
          <w:tcPr>
            <w:tcW w:w="1082" w:type="dxa"/>
          </w:tcPr>
          <w:p w14:paraId="61B6DEFB">
            <w:pPr>
              <w:ind w:firstLine="420"/>
              <w:jc w:val="center"/>
              <w:rPr>
                <w:rFonts w:ascii="宋体" w:hAnsi="宋体" w:cs="宋体"/>
                <w:color w:val="auto"/>
                <w:szCs w:val="21"/>
                <w:highlight w:val="none"/>
              </w:rPr>
            </w:pPr>
          </w:p>
        </w:tc>
        <w:tc>
          <w:tcPr>
            <w:tcW w:w="1189" w:type="dxa"/>
          </w:tcPr>
          <w:p w14:paraId="24275BD8">
            <w:pPr>
              <w:ind w:firstLine="420"/>
              <w:jc w:val="center"/>
              <w:rPr>
                <w:rFonts w:ascii="宋体" w:hAnsi="宋体" w:cs="宋体"/>
                <w:color w:val="auto"/>
                <w:szCs w:val="21"/>
                <w:highlight w:val="none"/>
              </w:rPr>
            </w:pPr>
          </w:p>
        </w:tc>
        <w:tc>
          <w:tcPr>
            <w:tcW w:w="1243" w:type="dxa"/>
          </w:tcPr>
          <w:p w14:paraId="4C8C0F21">
            <w:pPr>
              <w:ind w:firstLine="420"/>
              <w:jc w:val="center"/>
              <w:rPr>
                <w:rFonts w:ascii="宋体" w:hAnsi="宋体" w:cs="宋体"/>
                <w:color w:val="auto"/>
                <w:szCs w:val="21"/>
                <w:highlight w:val="none"/>
              </w:rPr>
            </w:pPr>
          </w:p>
        </w:tc>
        <w:tc>
          <w:tcPr>
            <w:tcW w:w="1232" w:type="dxa"/>
          </w:tcPr>
          <w:p w14:paraId="35042B1D">
            <w:pPr>
              <w:ind w:firstLine="420"/>
              <w:jc w:val="center"/>
              <w:rPr>
                <w:rFonts w:ascii="宋体" w:hAnsi="宋体" w:cs="宋体"/>
                <w:color w:val="auto"/>
                <w:szCs w:val="21"/>
                <w:highlight w:val="none"/>
              </w:rPr>
            </w:pPr>
          </w:p>
        </w:tc>
        <w:tc>
          <w:tcPr>
            <w:tcW w:w="1511" w:type="dxa"/>
          </w:tcPr>
          <w:p w14:paraId="65F2F04C">
            <w:pPr>
              <w:ind w:firstLine="420"/>
              <w:jc w:val="center"/>
              <w:rPr>
                <w:rFonts w:ascii="宋体" w:hAnsi="宋体" w:cs="宋体"/>
                <w:color w:val="auto"/>
                <w:szCs w:val="21"/>
                <w:highlight w:val="none"/>
              </w:rPr>
            </w:pPr>
          </w:p>
        </w:tc>
      </w:tr>
      <w:tr w14:paraId="6465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27" w:type="dxa"/>
          </w:tcPr>
          <w:p w14:paraId="791407EA">
            <w:pPr>
              <w:ind w:firstLine="420"/>
              <w:jc w:val="center"/>
              <w:rPr>
                <w:rFonts w:ascii="宋体" w:hAnsi="宋体" w:cs="宋体"/>
                <w:color w:val="auto"/>
                <w:szCs w:val="21"/>
                <w:highlight w:val="none"/>
              </w:rPr>
            </w:pPr>
          </w:p>
        </w:tc>
        <w:tc>
          <w:tcPr>
            <w:tcW w:w="2143" w:type="dxa"/>
          </w:tcPr>
          <w:p w14:paraId="1E74A271">
            <w:pPr>
              <w:ind w:firstLine="420"/>
              <w:jc w:val="center"/>
              <w:rPr>
                <w:rFonts w:ascii="宋体" w:hAnsi="宋体" w:cs="宋体"/>
                <w:color w:val="auto"/>
                <w:szCs w:val="21"/>
                <w:highlight w:val="none"/>
              </w:rPr>
            </w:pPr>
          </w:p>
        </w:tc>
        <w:tc>
          <w:tcPr>
            <w:tcW w:w="1082" w:type="dxa"/>
          </w:tcPr>
          <w:p w14:paraId="5CE693CC">
            <w:pPr>
              <w:ind w:firstLine="420"/>
              <w:jc w:val="center"/>
              <w:rPr>
                <w:rFonts w:ascii="宋体" w:hAnsi="宋体" w:cs="宋体"/>
                <w:color w:val="auto"/>
                <w:szCs w:val="21"/>
                <w:highlight w:val="none"/>
              </w:rPr>
            </w:pPr>
          </w:p>
        </w:tc>
        <w:tc>
          <w:tcPr>
            <w:tcW w:w="1189" w:type="dxa"/>
          </w:tcPr>
          <w:p w14:paraId="63749614">
            <w:pPr>
              <w:ind w:firstLine="420"/>
              <w:jc w:val="center"/>
              <w:rPr>
                <w:rFonts w:ascii="宋体" w:hAnsi="宋体" w:cs="宋体"/>
                <w:color w:val="auto"/>
                <w:szCs w:val="21"/>
                <w:highlight w:val="none"/>
              </w:rPr>
            </w:pPr>
          </w:p>
        </w:tc>
        <w:tc>
          <w:tcPr>
            <w:tcW w:w="1243" w:type="dxa"/>
          </w:tcPr>
          <w:p w14:paraId="0118D203">
            <w:pPr>
              <w:ind w:firstLine="420"/>
              <w:jc w:val="center"/>
              <w:rPr>
                <w:rFonts w:ascii="宋体" w:hAnsi="宋体" w:cs="宋体"/>
                <w:color w:val="auto"/>
                <w:szCs w:val="21"/>
                <w:highlight w:val="none"/>
              </w:rPr>
            </w:pPr>
          </w:p>
        </w:tc>
        <w:tc>
          <w:tcPr>
            <w:tcW w:w="1232" w:type="dxa"/>
          </w:tcPr>
          <w:p w14:paraId="6136FEBE">
            <w:pPr>
              <w:ind w:firstLine="420"/>
              <w:jc w:val="center"/>
              <w:rPr>
                <w:rFonts w:ascii="宋体" w:hAnsi="宋体" w:cs="宋体"/>
                <w:color w:val="auto"/>
                <w:szCs w:val="21"/>
                <w:highlight w:val="none"/>
              </w:rPr>
            </w:pPr>
          </w:p>
        </w:tc>
        <w:tc>
          <w:tcPr>
            <w:tcW w:w="1511" w:type="dxa"/>
          </w:tcPr>
          <w:p w14:paraId="623B1973">
            <w:pPr>
              <w:ind w:firstLine="420"/>
              <w:jc w:val="center"/>
              <w:rPr>
                <w:rFonts w:ascii="宋体" w:hAnsi="宋体" w:cs="宋体"/>
                <w:color w:val="auto"/>
                <w:szCs w:val="21"/>
                <w:highlight w:val="none"/>
              </w:rPr>
            </w:pPr>
          </w:p>
        </w:tc>
      </w:tr>
    </w:tbl>
    <w:p w14:paraId="21744CC7">
      <w:pPr>
        <w:ind w:firstLine="420"/>
        <w:rPr>
          <w:rFonts w:ascii="宋体" w:hAnsi="宋体" w:cs="宋体"/>
          <w:color w:val="auto"/>
          <w:szCs w:val="21"/>
          <w:highlight w:val="none"/>
        </w:rPr>
      </w:pPr>
      <w:r>
        <w:rPr>
          <w:rFonts w:hint="eastAsia" w:ascii="宋体" w:hAnsi="宋体" w:cs="宋体"/>
          <w:color w:val="auto"/>
          <w:szCs w:val="21"/>
          <w:highlight w:val="none"/>
        </w:rPr>
        <w:t>注：</w:t>
      </w:r>
    </w:p>
    <w:p w14:paraId="585BF34E">
      <w:pPr>
        <w:ind w:firstLine="420"/>
        <w:rPr>
          <w:rFonts w:ascii="宋体" w:hAnsi="宋体" w:cs="宋体"/>
          <w:bCs/>
          <w:color w:val="auto"/>
          <w:szCs w:val="21"/>
          <w:highlight w:val="none"/>
        </w:rPr>
      </w:pPr>
      <w:r>
        <w:rPr>
          <w:rFonts w:hint="eastAsia" w:ascii="宋体" w:hAnsi="宋体" w:cs="宋体"/>
          <w:bCs/>
          <w:color w:val="auto"/>
          <w:szCs w:val="21"/>
          <w:highlight w:val="none"/>
        </w:rPr>
        <w:t>1.需附与《类似项目业绩一览表》填列内容相对应的业绩证明材料。无证明材料或未按要求提供证明材料或证明材料不明确、无法体现业绩内容的，不予认可。</w:t>
      </w:r>
    </w:p>
    <w:p w14:paraId="38598646">
      <w:pPr>
        <w:ind w:firstLine="420"/>
        <w:rPr>
          <w:rFonts w:ascii="宋体" w:hAnsi="宋体" w:cs="宋体"/>
          <w:bCs/>
          <w:color w:val="auto"/>
          <w:szCs w:val="21"/>
          <w:highlight w:val="none"/>
        </w:rPr>
      </w:pPr>
      <w:r>
        <w:rPr>
          <w:rFonts w:hint="eastAsia" w:ascii="宋体" w:hAnsi="宋体" w:cs="宋体"/>
          <w:bCs/>
          <w:color w:val="auto"/>
          <w:szCs w:val="21"/>
          <w:highlight w:val="none"/>
        </w:rPr>
        <w:t>2.投标人可根据实际情况拓展本表。</w:t>
      </w:r>
    </w:p>
    <w:p w14:paraId="6F54C927">
      <w:pPr>
        <w:ind w:firstLine="420"/>
        <w:rPr>
          <w:rFonts w:ascii="宋体" w:hAnsi="宋体" w:cs="宋体"/>
          <w:bCs/>
          <w:color w:val="auto"/>
          <w:szCs w:val="21"/>
          <w:highlight w:val="none"/>
        </w:rPr>
      </w:pPr>
    </w:p>
    <w:p w14:paraId="1D1F0586">
      <w:pPr>
        <w:ind w:firstLine="0" w:firstLineChars="0"/>
        <w:jc w:val="center"/>
        <w:rPr>
          <w:rFonts w:ascii="Times New Roman" w:hAnsi="Times New Roman" w:cs="Times New Roman"/>
          <w:color w:val="auto"/>
          <w:szCs w:val="21"/>
          <w:highlight w:val="none"/>
        </w:rPr>
      </w:pPr>
    </w:p>
    <w:p w14:paraId="47D6203A">
      <w:pPr>
        <w:spacing w:line="240" w:lineRule="auto"/>
        <w:ind w:firstLine="0" w:firstLineChars="0"/>
        <w:rPr>
          <w:rFonts w:ascii="Times New Roman" w:hAnsi="Times New Roman" w:cs="Times New Roman"/>
          <w:b/>
          <w:color w:val="auto"/>
          <w:szCs w:val="21"/>
          <w:highlight w:val="none"/>
        </w:rPr>
      </w:pPr>
    </w:p>
    <w:p w14:paraId="256008A0">
      <w:pPr>
        <w:ind w:firstLine="560"/>
        <w:rPr>
          <w:rFonts w:ascii="Times New Roman" w:hAnsi="Times New Roman" w:eastAsia="黑体" w:cs="Times New Roman"/>
          <w:color w:val="auto"/>
          <w:sz w:val="28"/>
          <w:szCs w:val="28"/>
          <w:highlight w:val="none"/>
        </w:rPr>
      </w:pPr>
      <w:r>
        <w:rPr>
          <w:rFonts w:hint="eastAsia" w:ascii="Times New Roman" w:hAnsi="Times New Roman" w:eastAsia="黑体" w:cs="Times New Roman"/>
          <w:color w:val="auto"/>
          <w:sz w:val="28"/>
          <w:szCs w:val="28"/>
          <w:highlight w:val="none"/>
        </w:rPr>
        <w:br w:type="page"/>
      </w:r>
    </w:p>
    <w:p w14:paraId="7CE07B23">
      <w:pPr>
        <w:ind w:firstLine="0" w:firstLineChars="0"/>
        <w:jc w:val="center"/>
        <w:outlineLvl w:val="2"/>
        <w:rPr>
          <w:rFonts w:ascii="Times New Roman" w:hAnsi="Times New Roman" w:eastAsia="黑体" w:cs="Times New Roman"/>
          <w:color w:val="auto"/>
          <w:sz w:val="28"/>
          <w:szCs w:val="28"/>
          <w:highlight w:val="none"/>
        </w:rPr>
      </w:pPr>
      <w:r>
        <w:rPr>
          <w:rFonts w:hint="eastAsia" w:ascii="Times New Roman" w:hAnsi="Times New Roman" w:eastAsia="黑体" w:cs="Times New Roman"/>
          <w:color w:val="auto"/>
          <w:sz w:val="28"/>
          <w:szCs w:val="28"/>
          <w:highlight w:val="none"/>
        </w:rPr>
        <w:t>关于符合本国产品标准的声明函</w:t>
      </w:r>
    </w:p>
    <w:p w14:paraId="60526B52">
      <w:pPr>
        <w:pStyle w:val="15"/>
        <w:spacing w:before="91"/>
        <w:ind w:firstLine="464"/>
        <w:rPr>
          <w:rFonts w:ascii="宋体" w:hAnsi="宋体" w:cs="宋体"/>
          <w:color w:val="auto"/>
          <w:szCs w:val="21"/>
          <w:highlight w:val="none"/>
        </w:rPr>
      </w:pPr>
      <w:r>
        <w:rPr>
          <w:rFonts w:hint="eastAsia" w:ascii="宋体" w:hAnsi="宋体" w:cs="宋体"/>
          <w:color w:val="auto"/>
          <w:spacing w:val="11"/>
          <w:szCs w:val="21"/>
          <w:highlight w:val="none"/>
        </w:rPr>
        <w:t>本公司（单位）郑重声明，根据《国务院办公厅关于在政府采</w:t>
      </w:r>
      <w:r>
        <w:rPr>
          <w:rFonts w:hint="eastAsia" w:ascii="宋体" w:hAnsi="宋体" w:cs="宋体"/>
          <w:color w:val="auto"/>
          <w:spacing w:val="18"/>
          <w:szCs w:val="21"/>
          <w:highlight w:val="none"/>
        </w:rPr>
        <w:t>购中实施本国产品标准及相关政策的通知》（国办发〔2025〕34</w:t>
      </w:r>
      <w:r>
        <w:rPr>
          <w:rFonts w:hint="eastAsia" w:ascii="宋体" w:hAnsi="宋体" w:cs="宋体"/>
          <w:color w:val="auto"/>
          <w:spacing w:val="11"/>
          <w:szCs w:val="21"/>
          <w:highlight w:val="none"/>
        </w:rPr>
        <w:t>号）的规定，本公司（单位）提供的以下产品属于本国产品。具体</w:t>
      </w:r>
      <w:r>
        <w:rPr>
          <w:rFonts w:hint="eastAsia" w:ascii="宋体" w:hAnsi="宋体" w:cs="宋体"/>
          <w:color w:val="auto"/>
          <w:spacing w:val="4"/>
          <w:szCs w:val="21"/>
          <w:highlight w:val="none"/>
        </w:rPr>
        <w:t>情况如下：</w:t>
      </w:r>
    </w:p>
    <w:p w14:paraId="019629FF">
      <w:pPr>
        <w:pStyle w:val="15"/>
        <w:spacing w:before="31"/>
        <w:ind w:left="2" w:firstLine="500"/>
        <w:rPr>
          <w:rFonts w:ascii="宋体" w:hAnsi="宋体" w:cs="宋体"/>
          <w:color w:val="auto"/>
          <w:szCs w:val="21"/>
          <w:highlight w:val="none"/>
        </w:rPr>
      </w:pPr>
      <w:r>
        <w:rPr>
          <w:rFonts w:hint="eastAsia" w:ascii="宋体" w:hAnsi="宋体" w:cs="宋体"/>
          <w:color w:val="auto"/>
          <w:spacing w:val="20"/>
          <w:szCs w:val="21"/>
          <w:highlight w:val="none"/>
        </w:rPr>
        <w:t>1.</w:t>
      </w:r>
      <w:r>
        <w:rPr>
          <w:rFonts w:hint="eastAsia" w:ascii="宋体" w:hAnsi="宋体" w:cs="宋体"/>
          <w:color w:val="auto"/>
          <w:spacing w:val="20"/>
          <w:szCs w:val="21"/>
          <w:highlight w:val="none"/>
          <w:u w:val="single"/>
        </w:rPr>
        <w:t>（产品名称1）</w:t>
      </w:r>
      <w:r>
        <w:rPr>
          <w:rFonts w:hint="eastAsia" w:ascii="宋体" w:hAnsi="宋体" w:cs="宋体"/>
          <w:color w:val="auto"/>
          <w:spacing w:val="20"/>
          <w:position w:val="9"/>
          <w:szCs w:val="21"/>
          <w:highlight w:val="none"/>
        </w:rPr>
        <w:t>1</w:t>
      </w:r>
      <w:r>
        <w:rPr>
          <w:rFonts w:hint="eastAsia" w:ascii="宋体" w:hAnsi="宋体" w:cs="宋体"/>
          <w:color w:val="auto"/>
          <w:spacing w:val="20"/>
          <w:szCs w:val="21"/>
          <w:highlight w:val="none"/>
        </w:rPr>
        <w:t>，生产厂为</w:t>
      </w:r>
      <w:r>
        <w:rPr>
          <w:rFonts w:hint="eastAsia" w:ascii="宋体" w:hAnsi="宋体" w:cs="宋体"/>
          <w:color w:val="auto"/>
          <w:spacing w:val="20"/>
          <w:szCs w:val="21"/>
          <w:highlight w:val="none"/>
          <w:u w:val="single"/>
        </w:rPr>
        <w:t>（厂名）</w:t>
      </w:r>
      <w:r>
        <w:rPr>
          <w:rFonts w:hint="eastAsia" w:ascii="宋体" w:hAnsi="宋体" w:cs="宋体"/>
          <w:color w:val="auto"/>
          <w:spacing w:val="20"/>
          <w:position w:val="9"/>
          <w:szCs w:val="21"/>
          <w:highlight w:val="none"/>
        </w:rPr>
        <w:t>2</w:t>
      </w:r>
      <w:r>
        <w:rPr>
          <w:rFonts w:hint="eastAsia" w:ascii="宋体" w:hAnsi="宋体" w:cs="宋体"/>
          <w:color w:val="auto"/>
          <w:spacing w:val="20"/>
          <w:szCs w:val="21"/>
          <w:highlight w:val="none"/>
        </w:rPr>
        <w:t>，厂址为</w:t>
      </w:r>
      <w:r>
        <w:rPr>
          <w:rFonts w:hint="eastAsia" w:ascii="宋体" w:hAnsi="宋体" w:cs="宋体"/>
          <w:color w:val="auto"/>
          <w:spacing w:val="20"/>
          <w:szCs w:val="21"/>
          <w:highlight w:val="none"/>
          <w:u w:val="single"/>
        </w:rPr>
        <w:t>（生产厂</w:t>
      </w:r>
      <w:r>
        <w:rPr>
          <w:rFonts w:hint="eastAsia" w:ascii="宋体" w:hAnsi="宋体" w:cs="宋体"/>
          <w:color w:val="auto"/>
          <w:spacing w:val="12"/>
          <w:szCs w:val="21"/>
          <w:highlight w:val="none"/>
          <w:u w:val="single"/>
        </w:rPr>
        <w:t>址）</w:t>
      </w:r>
      <w:r>
        <w:rPr>
          <w:rFonts w:hint="eastAsia" w:ascii="宋体" w:hAnsi="宋体" w:cs="宋体"/>
          <w:color w:val="auto"/>
          <w:spacing w:val="12"/>
          <w:szCs w:val="21"/>
          <w:highlight w:val="none"/>
        </w:rPr>
        <w:t>。</w:t>
      </w:r>
      <w:r>
        <w:rPr>
          <w:rFonts w:hint="eastAsia" w:ascii="宋体" w:hAnsi="宋体" w:cs="宋体"/>
          <w:color w:val="auto"/>
          <w:spacing w:val="12"/>
          <w:szCs w:val="21"/>
          <w:highlight w:val="none"/>
          <w:u w:val="single"/>
        </w:rPr>
        <w:t>（产品名称1）</w:t>
      </w:r>
      <w:r>
        <w:rPr>
          <w:rFonts w:hint="eastAsia" w:ascii="宋体" w:hAnsi="宋体" w:cs="宋体"/>
          <w:color w:val="auto"/>
          <w:spacing w:val="12"/>
          <w:szCs w:val="21"/>
          <w:highlight w:val="none"/>
        </w:rPr>
        <w:t>的中国境内生产的组件成本</w:t>
      </w:r>
      <w:r>
        <w:rPr>
          <w:rFonts w:hint="eastAsia" w:ascii="宋体" w:hAnsi="宋体" w:cs="宋体"/>
          <w:color w:val="auto"/>
          <w:spacing w:val="11"/>
          <w:szCs w:val="21"/>
          <w:highlight w:val="none"/>
        </w:rPr>
        <w:t>占比≥</w:t>
      </w:r>
      <w:r>
        <w:rPr>
          <w:rFonts w:hint="eastAsia" w:ascii="宋体" w:hAnsi="宋体" w:cs="宋体"/>
          <w:color w:val="auto"/>
          <w:spacing w:val="11"/>
          <w:szCs w:val="21"/>
          <w:highlight w:val="none"/>
          <w:u w:val="single"/>
        </w:rPr>
        <w:t>（规定比</w:t>
      </w:r>
      <w:r>
        <w:rPr>
          <w:rFonts w:hint="eastAsia" w:ascii="宋体" w:hAnsi="宋体" w:cs="宋体"/>
          <w:color w:val="auto"/>
          <w:spacing w:val="13"/>
          <w:szCs w:val="21"/>
          <w:highlight w:val="none"/>
          <w:u w:val="single"/>
        </w:rPr>
        <w:t>例）</w:t>
      </w:r>
      <w:r>
        <w:rPr>
          <w:rFonts w:hint="eastAsia" w:ascii="宋体" w:hAnsi="宋体" w:cs="宋体"/>
          <w:color w:val="auto"/>
          <w:spacing w:val="13"/>
          <w:position w:val="9"/>
          <w:szCs w:val="21"/>
          <w:highlight w:val="none"/>
        </w:rPr>
        <w:t>3</w:t>
      </w:r>
      <w:r>
        <w:rPr>
          <w:rFonts w:hint="eastAsia" w:ascii="宋体" w:hAnsi="宋体" w:cs="宋体"/>
          <w:color w:val="auto"/>
          <w:spacing w:val="13"/>
          <w:szCs w:val="21"/>
          <w:highlight w:val="none"/>
        </w:rPr>
        <w:t>。</w:t>
      </w:r>
      <w:r>
        <w:rPr>
          <w:rFonts w:hint="eastAsia" w:ascii="宋体" w:hAnsi="宋体" w:cs="宋体"/>
          <w:color w:val="auto"/>
          <w:spacing w:val="13"/>
          <w:szCs w:val="21"/>
          <w:highlight w:val="none"/>
          <w:u w:val="single"/>
        </w:rPr>
        <w:t>（产品名称1）</w:t>
      </w:r>
      <w:r>
        <w:rPr>
          <w:rFonts w:hint="eastAsia" w:ascii="宋体" w:hAnsi="宋体" w:cs="宋体"/>
          <w:color w:val="auto"/>
          <w:spacing w:val="13"/>
          <w:szCs w:val="21"/>
          <w:highlight w:val="none"/>
        </w:rPr>
        <w:t>的</w:t>
      </w:r>
      <w:r>
        <w:rPr>
          <w:rFonts w:hint="eastAsia" w:ascii="宋体" w:hAnsi="宋体" w:cs="宋体"/>
          <w:color w:val="auto"/>
          <w:spacing w:val="13"/>
          <w:szCs w:val="21"/>
          <w:highlight w:val="none"/>
          <w:u w:val="single"/>
        </w:rPr>
        <w:t>（关键组件）</w:t>
      </w:r>
      <w:r>
        <w:rPr>
          <w:rFonts w:hint="eastAsia" w:ascii="宋体" w:hAnsi="宋体" w:cs="宋体"/>
          <w:color w:val="auto"/>
          <w:spacing w:val="13"/>
          <w:szCs w:val="21"/>
          <w:highlight w:val="none"/>
        </w:rPr>
        <w:t>4在中国境内生产。</w:t>
      </w:r>
      <w:r>
        <w:rPr>
          <w:rFonts w:hint="eastAsia" w:ascii="宋体" w:hAnsi="宋体" w:cs="宋体"/>
          <w:color w:val="auto"/>
          <w:spacing w:val="13"/>
          <w:szCs w:val="21"/>
          <w:highlight w:val="none"/>
          <w:u w:val="single"/>
        </w:rPr>
        <w:t>（产品</w:t>
      </w:r>
      <w:r>
        <w:rPr>
          <w:rFonts w:hint="eastAsia" w:ascii="宋体" w:hAnsi="宋体" w:cs="宋体"/>
          <w:color w:val="auto"/>
          <w:spacing w:val="6"/>
          <w:szCs w:val="21"/>
          <w:highlight w:val="none"/>
          <w:u w:val="single"/>
        </w:rPr>
        <w:t>名称1）</w:t>
      </w:r>
      <w:r>
        <w:rPr>
          <w:rFonts w:hint="eastAsia" w:ascii="宋体" w:hAnsi="宋体" w:cs="宋体"/>
          <w:color w:val="auto"/>
          <w:spacing w:val="6"/>
          <w:szCs w:val="21"/>
          <w:highlight w:val="none"/>
        </w:rPr>
        <w:t>的</w:t>
      </w:r>
      <w:r>
        <w:rPr>
          <w:rFonts w:hint="eastAsia" w:ascii="宋体" w:hAnsi="宋体" w:cs="宋体"/>
          <w:color w:val="auto"/>
          <w:spacing w:val="6"/>
          <w:szCs w:val="21"/>
          <w:highlight w:val="none"/>
          <w:u w:val="single"/>
        </w:rPr>
        <w:t>（关键工序）</w:t>
      </w:r>
      <w:r>
        <w:rPr>
          <w:rFonts w:hint="eastAsia" w:ascii="宋体" w:hAnsi="宋体" w:cs="宋体"/>
          <w:color w:val="auto"/>
          <w:spacing w:val="6"/>
          <w:szCs w:val="21"/>
          <w:highlight w:val="none"/>
        </w:rPr>
        <w:t>5在中国境内完成。</w:t>
      </w:r>
    </w:p>
    <w:p w14:paraId="276182B9">
      <w:pPr>
        <w:pStyle w:val="15"/>
        <w:spacing w:before="275"/>
        <w:ind w:left="1" w:firstLine="552"/>
        <w:rPr>
          <w:rFonts w:ascii="宋体" w:hAnsi="宋体" w:cs="宋体"/>
          <w:color w:val="auto"/>
          <w:szCs w:val="21"/>
          <w:highlight w:val="none"/>
        </w:rPr>
      </w:pPr>
      <w:r>
        <w:rPr>
          <w:rFonts w:hint="eastAsia" w:ascii="宋体" w:hAnsi="宋体" w:cs="宋体"/>
          <w:color w:val="auto"/>
          <w:spacing w:val="33"/>
          <w:szCs w:val="21"/>
          <w:highlight w:val="none"/>
        </w:rPr>
        <w:t>2.</w:t>
      </w:r>
      <w:r>
        <w:rPr>
          <w:rFonts w:hint="eastAsia" w:ascii="宋体" w:hAnsi="宋体" w:cs="宋体"/>
          <w:color w:val="auto"/>
          <w:spacing w:val="33"/>
          <w:szCs w:val="21"/>
          <w:highlight w:val="none"/>
          <w:u w:val="single"/>
        </w:rPr>
        <w:t>（产品名称2</w:t>
      </w:r>
      <w:r>
        <w:rPr>
          <w:rFonts w:hint="eastAsia" w:ascii="宋体" w:hAnsi="宋体" w:cs="宋体"/>
          <w:color w:val="auto"/>
          <w:spacing w:val="14"/>
          <w:szCs w:val="21"/>
          <w:highlight w:val="none"/>
          <w:u w:val="single"/>
        </w:rPr>
        <w:t>）</w:t>
      </w:r>
      <w:r>
        <w:rPr>
          <w:rFonts w:hint="eastAsia" w:ascii="宋体" w:hAnsi="宋体" w:cs="宋体"/>
          <w:color w:val="auto"/>
          <w:spacing w:val="14"/>
          <w:szCs w:val="21"/>
          <w:highlight w:val="none"/>
        </w:rPr>
        <w:t>，</w:t>
      </w:r>
      <w:r>
        <w:rPr>
          <w:rFonts w:hint="eastAsia" w:ascii="宋体" w:hAnsi="宋体" w:cs="宋体"/>
          <w:color w:val="auto"/>
          <w:spacing w:val="33"/>
          <w:szCs w:val="21"/>
          <w:highlight w:val="none"/>
        </w:rPr>
        <w:t>生产厂为</w:t>
      </w:r>
      <w:r>
        <w:rPr>
          <w:rFonts w:hint="eastAsia" w:ascii="宋体" w:hAnsi="宋体" w:cs="宋体"/>
          <w:color w:val="auto"/>
          <w:spacing w:val="33"/>
          <w:szCs w:val="21"/>
          <w:highlight w:val="none"/>
          <w:u w:val="single"/>
        </w:rPr>
        <w:t>（厂名</w:t>
      </w:r>
      <w:r>
        <w:rPr>
          <w:rFonts w:hint="eastAsia" w:ascii="宋体" w:hAnsi="宋体" w:cs="宋体"/>
          <w:color w:val="auto"/>
          <w:spacing w:val="14"/>
          <w:szCs w:val="21"/>
          <w:highlight w:val="none"/>
          <w:u w:val="single"/>
        </w:rPr>
        <w:t>）</w:t>
      </w:r>
      <w:r>
        <w:rPr>
          <w:rFonts w:hint="eastAsia" w:ascii="宋体" w:hAnsi="宋体" w:cs="宋体"/>
          <w:color w:val="auto"/>
          <w:spacing w:val="14"/>
          <w:szCs w:val="21"/>
          <w:highlight w:val="none"/>
        </w:rPr>
        <w:t>，</w:t>
      </w:r>
      <w:r>
        <w:rPr>
          <w:rFonts w:hint="eastAsia" w:ascii="宋体" w:hAnsi="宋体" w:cs="宋体"/>
          <w:color w:val="auto"/>
          <w:spacing w:val="33"/>
          <w:szCs w:val="21"/>
          <w:highlight w:val="none"/>
        </w:rPr>
        <w:t>厂址为</w:t>
      </w:r>
      <w:r>
        <w:rPr>
          <w:rFonts w:hint="eastAsia" w:ascii="宋体" w:hAnsi="宋体" w:cs="宋体"/>
          <w:color w:val="auto"/>
          <w:spacing w:val="33"/>
          <w:szCs w:val="21"/>
          <w:highlight w:val="none"/>
          <w:u w:val="single"/>
        </w:rPr>
        <w:t>（生产厂</w:t>
      </w:r>
      <w:r>
        <w:rPr>
          <w:rFonts w:hint="eastAsia" w:ascii="宋体" w:hAnsi="宋体" w:cs="宋体"/>
          <w:color w:val="auto"/>
          <w:spacing w:val="12"/>
          <w:szCs w:val="21"/>
          <w:highlight w:val="none"/>
          <w:u w:val="single"/>
        </w:rPr>
        <w:t>址）</w:t>
      </w:r>
      <w:r>
        <w:rPr>
          <w:rFonts w:hint="eastAsia" w:ascii="宋体" w:hAnsi="宋体" w:cs="宋体"/>
          <w:color w:val="auto"/>
          <w:spacing w:val="12"/>
          <w:szCs w:val="21"/>
          <w:highlight w:val="none"/>
        </w:rPr>
        <w:t>。</w:t>
      </w:r>
      <w:r>
        <w:rPr>
          <w:rFonts w:hint="eastAsia" w:ascii="宋体" w:hAnsi="宋体" w:cs="宋体"/>
          <w:color w:val="auto"/>
          <w:spacing w:val="12"/>
          <w:szCs w:val="21"/>
          <w:highlight w:val="none"/>
          <w:u w:val="single"/>
        </w:rPr>
        <w:t>（产品名称2）</w:t>
      </w:r>
      <w:r>
        <w:rPr>
          <w:rFonts w:hint="eastAsia" w:ascii="宋体" w:hAnsi="宋体" w:cs="宋体"/>
          <w:color w:val="auto"/>
          <w:spacing w:val="12"/>
          <w:szCs w:val="21"/>
          <w:highlight w:val="none"/>
        </w:rPr>
        <w:t>的中国境内生产的组件成本占</w:t>
      </w:r>
      <w:r>
        <w:rPr>
          <w:rFonts w:hint="eastAsia" w:ascii="宋体" w:hAnsi="宋体" w:cs="宋体"/>
          <w:color w:val="auto"/>
          <w:spacing w:val="11"/>
          <w:szCs w:val="21"/>
          <w:highlight w:val="none"/>
        </w:rPr>
        <w:t>比≥</w:t>
      </w:r>
      <w:r>
        <w:rPr>
          <w:rFonts w:hint="eastAsia" w:ascii="宋体" w:hAnsi="宋体" w:cs="宋体"/>
          <w:color w:val="auto"/>
          <w:spacing w:val="11"/>
          <w:szCs w:val="21"/>
          <w:highlight w:val="none"/>
          <w:u w:val="single"/>
        </w:rPr>
        <w:t>（规定比</w:t>
      </w:r>
      <w:r>
        <w:rPr>
          <w:rFonts w:hint="eastAsia" w:ascii="宋体" w:hAnsi="宋体" w:cs="宋体"/>
          <w:color w:val="auto"/>
          <w:spacing w:val="12"/>
          <w:szCs w:val="21"/>
          <w:highlight w:val="none"/>
          <w:u w:val="single"/>
        </w:rPr>
        <w:t>例）</w:t>
      </w:r>
      <w:r>
        <w:rPr>
          <w:rFonts w:hint="eastAsia" w:ascii="宋体" w:hAnsi="宋体" w:cs="宋体"/>
          <w:color w:val="auto"/>
          <w:spacing w:val="12"/>
          <w:szCs w:val="21"/>
          <w:highlight w:val="none"/>
        </w:rPr>
        <w:t>。</w:t>
      </w:r>
      <w:r>
        <w:rPr>
          <w:rFonts w:hint="eastAsia" w:ascii="宋体" w:hAnsi="宋体" w:cs="宋体"/>
          <w:color w:val="auto"/>
          <w:spacing w:val="12"/>
          <w:szCs w:val="21"/>
          <w:highlight w:val="none"/>
          <w:u w:val="single"/>
        </w:rPr>
        <w:t>（产品名称2）</w:t>
      </w:r>
      <w:r>
        <w:rPr>
          <w:rFonts w:hint="eastAsia" w:ascii="宋体" w:hAnsi="宋体" w:cs="宋体"/>
          <w:color w:val="auto"/>
          <w:spacing w:val="12"/>
          <w:szCs w:val="21"/>
          <w:highlight w:val="none"/>
        </w:rPr>
        <w:t>的</w:t>
      </w:r>
      <w:r>
        <w:rPr>
          <w:rFonts w:hint="eastAsia" w:ascii="宋体" w:hAnsi="宋体" w:cs="宋体"/>
          <w:color w:val="auto"/>
          <w:spacing w:val="12"/>
          <w:szCs w:val="21"/>
          <w:highlight w:val="none"/>
          <w:u w:val="single"/>
        </w:rPr>
        <w:t>（关键组件）</w:t>
      </w:r>
      <w:r>
        <w:rPr>
          <w:rFonts w:hint="eastAsia" w:ascii="宋体" w:hAnsi="宋体" w:cs="宋体"/>
          <w:color w:val="auto"/>
          <w:spacing w:val="12"/>
          <w:szCs w:val="21"/>
          <w:highlight w:val="none"/>
        </w:rPr>
        <w:t>在中国境内生</w:t>
      </w:r>
      <w:r>
        <w:rPr>
          <w:rFonts w:hint="eastAsia" w:ascii="宋体" w:hAnsi="宋体" w:cs="宋体"/>
          <w:color w:val="auto"/>
          <w:spacing w:val="11"/>
          <w:szCs w:val="21"/>
          <w:highlight w:val="none"/>
        </w:rPr>
        <w:t>产。</w:t>
      </w:r>
      <w:r>
        <w:rPr>
          <w:rFonts w:hint="eastAsia" w:ascii="宋体" w:hAnsi="宋体" w:cs="宋体"/>
          <w:color w:val="auto"/>
          <w:spacing w:val="11"/>
          <w:szCs w:val="21"/>
          <w:highlight w:val="none"/>
          <w:u w:val="single"/>
        </w:rPr>
        <w:t>（产品名</w:t>
      </w:r>
      <w:r>
        <w:rPr>
          <w:rFonts w:hint="eastAsia" w:ascii="宋体" w:hAnsi="宋体" w:cs="宋体"/>
          <w:color w:val="auto"/>
          <w:spacing w:val="6"/>
          <w:szCs w:val="21"/>
          <w:highlight w:val="none"/>
          <w:u w:val="single"/>
        </w:rPr>
        <w:t>称2）</w:t>
      </w:r>
      <w:r>
        <w:rPr>
          <w:rFonts w:hint="eastAsia" w:ascii="宋体" w:hAnsi="宋体" w:cs="宋体"/>
          <w:color w:val="auto"/>
          <w:spacing w:val="6"/>
          <w:szCs w:val="21"/>
          <w:highlight w:val="none"/>
        </w:rPr>
        <w:t>的</w:t>
      </w:r>
      <w:r>
        <w:rPr>
          <w:rFonts w:hint="eastAsia" w:ascii="宋体" w:hAnsi="宋体" w:cs="宋体"/>
          <w:color w:val="auto"/>
          <w:spacing w:val="6"/>
          <w:szCs w:val="21"/>
          <w:highlight w:val="none"/>
          <w:u w:val="single"/>
        </w:rPr>
        <w:t>（关键工序）</w:t>
      </w:r>
      <w:r>
        <w:rPr>
          <w:rFonts w:hint="eastAsia" w:ascii="宋体" w:hAnsi="宋体" w:cs="宋体"/>
          <w:color w:val="auto"/>
          <w:spacing w:val="6"/>
          <w:szCs w:val="21"/>
          <w:highlight w:val="none"/>
        </w:rPr>
        <w:t>在中国境内完成。</w:t>
      </w:r>
    </w:p>
    <w:p w14:paraId="020ABCD3">
      <w:pPr>
        <w:pStyle w:val="15"/>
        <w:spacing w:before="270"/>
        <w:ind w:left="596" w:firstLine="392"/>
        <w:rPr>
          <w:rFonts w:ascii="宋体" w:hAnsi="宋体" w:cs="宋体"/>
          <w:color w:val="auto"/>
          <w:szCs w:val="21"/>
          <w:highlight w:val="none"/>
        </w:rPr>
      </w:pPr>
      <w:r>
        <w:rPr>
          <w:rFonts w:hint="eastAsia" w:ascii="宋体" w:hAnsi="宋体" w:cs="宋体"/>
          <w:color w:val="auto"/>
          <w:spacing w:val="-7"/>
          <w:position w:val="3"/>
          <w:szCs w:val="21"/>
          <w:highlight w:val="none"/>
        </w:rPr>
        <w:t>……</w:t>
      </w:r>
    </w:p>
    <w:p w14:paraId="13D10C41">
      <w:pPr>
        <w:pStyle w:val="15"/>
        <w:spacing w:before="161"/>
        <w:ind w:firstLine="464"/>
        <w:rPr>
          <w:rFonts w:ascii="宋体" w:hAnsi="宋体" w:cs="宋体"/>
          <w:color w:val="auto"/>
          <w:spacing w:val="5"/>
          <w:szCs w:val="21"/>
          <w:highlight w:val="none"/>
        </w:rPr>
      </w:pPr>
      <w:r>
        <w:rPr>
          <w:rFonts w:hint="eastAsia" w:ascii="宋体" w:hAnsi="宋体" w:cs="宋体"/>
          <w:color w:val="auto"/>
          <w:spacing w:val="11"/>
          <w:szCs w:val="21"/>
          <w:highlight w:val="none"/>
        </w:rPr>
        <w:t>本公司（单位）对上述声明内容的真实性负责。如有虚假，愿</w:t>
      </w:r>
      <w:r>
        <w:rPr>
          <w:rFonts w:hint="eastAsia" w:ascii="宋体" w:hAnsi="宋体" w:cs="宋体"/>
          <w:color w:val="auto"/>
          <w:spacing w:val="5"/>
          <w:szCs w:val="21"/>
          <w:highlight w:val="none"/>
        </w:rPr>
        <w:t>承担相应法律责任。</w:t>
      </w:r>
    </w:p>
    <w:p w14:paraId="49008199">
      <w:pPr>
        <w:pStyle w:val="15"/>
        <w:spacing w:before="91" w:line="400" w:lineRule="exact"/>
        <w:ind w:firstLine="3996" w:firstLineChars="1800"/>
        <w:rPr>
          <w:rFonts w:ascii="宋体" w:hAnsi="宋体" w:cs="宋体"/>
          <w:color w:val="auto"/>
          <w:spacing w:val="6"/>
          <w:szCs w:val="21"/>
          <w:highlight w:val="none"/>
        </w:rPr>
      </w:pPr>
    </w:p>
    <w:p w14:paraId="414AB4AD">
      <w:pPr>
        <w:pStyle w:val="15"/>
        <w:spacing w:before="91" w:line="400" w:lineRule="exact"/>
        <w:ind w:firstLine="3996" w:firstLineChars="1800"/>
        <w:rPr>
          <w:rFonts w:ascii="宋体" w:hAnsi="宋体" w:cs="宋体"/>
          <w:color w:val="auto"/>
          <w:szCs w:val="21"/>
          <w:highlight w:val="none"/>
        </w:rPr>
      </w:pPr>
      <w:r>
        <w:rPr>
          <w:rFonts w:hint="eastAsia" w:ascii="宋体" w:hAnsi="宋体" w:cs="宋体"/>
          <w:color w:val="auto"/>
          <w:spacing w:val="6"/>
          <w:szCs w:val="21"/>
          <w:highlight w:val="none"/>
        </w:rPr>
        <w:t>公司（单位）名称（盖章</w:t>
      </w:r>
      <w:r>
        <w:rPr>
          <w:rFonts w:hint="eastAsia" w:ascii="宋体" w:hAnsi="宋体" w:cs="宋体"/>
          <w:color w:val="auto"/>
          <w:szCs w:val="21"/>
          <w:highlight w:val="none"/>
        </w:rPr>
        <w:t>）：</w:t>
      </w:r>
    </w:p>
    <w:p w14:paraId="7B5F1AC7">
      <w:pPr>
        <w:pStyle w:val="15"/>
        <w:spacing w:before="269" w:line="400" w:lineRule="exact"/>
        <w:ind w:firstLine="3990" w:firstLineChars="2100"/>
        <w:rPr>
          <w:rFonts w:ascii="宋体" w:hAnsi="宋体" w:cs="宋体"/>
          <w:color w:val="auto"/>
          <w:szCs w:val="21"/>
          <w:highlight w:val="none"/>
        </w:rPr>
      </w:pPr>
      <w:r>
        <w:rPr>
          <w:rFonts w:hint="eastAsia" w:ascii="宋体" w:hAnsi="宋体" w:cs="宋体"/>
          <w:color w:val="auto"/>
          <w:spacing w:val="-10"/>
          <w:szCs w:val="21"/>
          <w:highlight w:val="none"/>
        </w:rPr>
        <w:t>日期：年月日</w:t>
      </w:r>
    </w:p>
    <w:p w14:paraId="42053ADA">
      <w:pPr>
        <w:spacing w:line="40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drawing>
          <wp:anchor distT="0" distB="0" distL="0" distR="0" simplePos="0" relativeHeight="251661312" behindDoc="0" locked="0" layoutInCell="1" allowOverlap="1">
            <wp:simplePos x="0" y="0"/>
            <wp:positionH relativeFrom="column">
              <wp:posOffset>0</wp:posOffset>
            </wp:positionH>
            <wp:positionV relativeFrom="paragraph">
              <wp:posOffset>13970</wp:posOffset>
            </wp:positionV>
            <wp:extent cx="1645920" cy="6350"/>
            <wp:effectExtent l="0" t="0" r="0" b="0"/>
            <wp:wrapNone/>
            <wp:docPr id="10" name="IM 6"/>
            <wp:cNvGraphicFramePr/>
            <a:graphic xmlns:a="http://schemas.openxmlformats.org/drawingml/2006/main">
              <a:graphicData uri="http://schemas.openxmlformats.org/drawingml/2006/picture">
                <pic:pic xmlns:pic="http://schemas.openxmlformats.org/drawingml/2006/picture">
                  <pic:nvPicPr>
                    <pic:cNvPr id="10" name="IM 6"/>
                    <pic:cNvPicPr/>
                  </pic:nvPicPr>
                  <pic:blipFill>
                    <a:blip r:embed="rId20"/>
                    <a:stretch>
                      <a:fillRect/>
                    </a:stretch>
                  </pic:blipFill>
                  <pic:spPr>
                    <a:xfrm>
                      <a:off x="0" y="0"/>
                      <a:ext cx="1645919" cy="6350"/>
                    </a:xfrm>
                    <a:prstGeom prst="rect">
                      <a:avLst/>
                    </a:prstGeom>
                  </pic:spPr>
                </pic:pic>
              </a:graphicData>
            </a:graphic>
          </wp:anchor>
        </w:drawing>
      </w:r>
    </w:p>
    <w:p w14:paraId="066BEC5F">
      <w:pPr>
        <w:pStyle w:val="15"/>
        <w:spacing w:after="0" w:line="400" w:lineRule="exact"/>
        <w:ind w:firstLine="0" w:firstLineChars="0"/>
        <w:rPr>
          <w:rFonts w:ascii="宋体" w:hAnsi="宋体" w:cs="宋体"/>
          <w:color w:val="auto"/>
          <w:spacing w:val="-1"/>
          <w:szCs w:val="21"/>
          <w:highlight w:val="none"/>
        </w:rPr>
      </w:pPr>
      <w:r>
        <w:rPr>
          <w:rFonts w:hint="eastAsia" w:ascii="宋体" w:hAnsi="宋体" w:cs="宋体"/>
          <w:color w:val="auto"/>
          <w:spacing w:val="-1"/>
          <w:szCs w:val="21"/>
          <w:highlight w:val="none"/>
        </w:rPr>
        <w:t>1.产品如有型号，请在“产品名称 ”栏一并填写。</w:t>
      </w:r>
    </w:p>
    <w:p w14:paraId="7585C5DD">
      <w:pPr>
        <w:pStyle w:val="15"/>
        <w:spacing w:after="0" w:line="400" w:lineRule="exact"/>
        <w:ind w:firstLine="0" w:firstLineChars="0"/>
        <w:rPr>
          <w:rFonts w:ascii="宋体" w:hAnsi="宋体" w:cs="宋体"/>
          <w:color w:val="auto"/>
          <w:spacing w:val="-1"/>
          <w:szCs w:val="21"/>
          <w:highlight w:val="none"/>
        </w:rPr>
      </w:pPr>
      <w:r>
        <w:rPr>
          <w:rFonts w:hint="eastAsia" w:ascii="宋体" w:hAnsi="宋体" w:cs="宋体"/>
          <w:color w:val="auto"/>
          <w:spacing w:val="-1"/>
          <w:szCs w:val="21"/>
          <w:highlight w:val="none"/>
        </w:rPr>
        <w:t>2.生产厂名与厂址应与生产厂营业执照载明的相关信息保持一致。</w:t>
      </w:r>
    </w:p>
    <w:p w14:paraId="36EF5E68">
      <w:pPr>
        <w:pStyle w:val="15"/>
        <w:spacing w:after="0" w:line="400" w:lineRule="exact"/>
        <w:ind w:firstLine="0" w:firstLineChars="0"/>
        <w:rPr>
          <w:rFonts w:ascii="宋体" w:hAnsi="宋体" w:cs="宋体"/>
          <w:color w:val="auto"/>
          <w:spacing w:val="-1"/>
          <w:szCs w:val="21"/>
          <w:highlight w:val="none"/>
        </w:rPr>
      </w:pPr>
      <w:r>
        <w:rPr>
          <w:rFonts w:hint="eastAsia" w:ascii="宋体" w:hAnsi="宋体" w:cs="宋体"/>
          <w:color w:val="auto"/>
          <w:spacing w:val="-1"/>
          <w:szCs w:val="21"/>
          <w:highlight w:val="none"/>
        </w:rPr>
        <w:t>3.该产品的中国境内生产的组件成本占比相关要求实施前，“规定比例 ”栏可不填，下同。</w:t>
      </w:r>
    </w:p>
    <w:p w14:paraId="548CB887">
      <w:pPr>
        <w:pStyle w:val="15"/>
        <w:spacing w:after="0" w:line="400" w:lineRule="exact"/>
        <w:ind w:firstLine="0" w:firstLineChars="0"/>
        <w:rPr>
          <w:rFonts w:ascii="宋体" w:hAnsi="宋体" w:cs="宋体"/>
          <w:color w:val="auto"/>
          <w:spacing w:val="-1"/>
          <w:szCs w:val="21"/>
          <w:highlight w:val="none"/>
        </w:rPr>
      </w:pPr>
      <w:r>
        <w:rPr>
          <w:rFonts w:hint="eastAsia" w:ascii="宋体" w:hAnsi="宋体" w:cs="宋体"/>
          <w:color w:val="auto"/>
          <w:spacing w:val="-1"/>
          <w:szCs w:val="21"/>
          <w:highlight w:val="none"/>
        </w:rPr>
        <w:t>4.该产品的关键组件要求实施前，“关键组件 ”栏可不填，下同。</w:t>
      </w:r>
    </w:p>
    <w:p w14:paraId="20B51183">
      <w:pPr>
        <w:widowControl/>
        <w:spacing w:line="400" w:lineRule="exact"/>
        <w:ind w:firstLine="0" w:firstLineChars="0"/>
        <w:jc w:val="left"/>
        <w:rPr>
          <w:rFonts w:ascii="Times New Roman" w:hAnsi="Times New Roman" w:cs="Times New Roman"/>
          <w:b/>
          <w:color w:val="auto"/>
          <w:sz w:val="20"/>
          <w:szCs w:val="20"/>
          <w:highlight w:val="none"/>
        </w:rPr>
      </w:pPr>
      <w:r>
        <w:rPr>
          <w:rFonts w:hint="eastAsia" w:ascii="宋体" w:hAnsi="宋体" w:cs="宋体"/>
          <w:color w:val="auto"/>
          <w:spacing w:val="-1"/>
          <w:szCs w:val="21"/>
          <w:highlight w:val="none"/>
        </w:rPr>
        <w:t>5.该产品的关键工序要求实施前，“关键工序 ”栏可不填，下同。</w:t>
      </w:r>
    </w:p>
    <w:p w14:paraId="4BC3835F">
      <w:pPr>
        <w:spacing w:line="400" w:lineRule="exact"/>
        <w:ind w:firstLine="0" w:firstLineChars="0"/>
        <w:rPr>
          <w:rFonts w:ascii="Times New Roman" w:hAnsi="Times New Roman" w:cs="Times New Roman"/>
          <w:b/>
          <w:color w:val="auto"/>
          <w:sz w:val="20"/>
          <w:szCs w:val="20"/>
          <w:highlight w:val="none"/>
        </w:rPr>
      </w:pPr>
      <w:r>
        <w:rPr>
          <w:rFonts w:hint="eastAsia" w:ascii="Times New Roman" w:hAnsi="Times New Roman" w:cs="Times New Roman"/>
          <w:b/>
          <w:color w:val="auto"/>
          <w:sz w:val="20"/>
          <w:szCs w:val="20"/>
          <w:highlight w:val="none"/>
        </w:rPr>
        <w:t>注：投标人提供的投标产品不符合本国产品标准及相关政策的，可不填写本声明函。</w:t>
      </w:r>
    </w:p>
    <w:p w14:paraId="55637C99">
      <w:pPr>
        <w:spacing w:line="400" w:lineRule="exact"/>
        <w:ind w:firstLine="0" w:firstLineChars="0"/>
        <w:jc w:val="left"/>
        <w:rPr>
          <w:rFonts w:ascii="Times New Roman" w:hAnsi="Times New Roman" w:eastAsia="黑体" w:cs="Times New Roman"/>
          <w:color w:val="auto"/>
          <w:sz w:val="28"/>
          <w:szCs w:val="28"/>
          <w:highlight w:val="none"/>
        </w:rPr>
        <w:sectPr>
          <w:footerReference r:id="rId17" w:type="default"/>
          <w:pgSz w:w="11906" w:h="16838"/>
          <w:pgMar w:top="1417" w:right="1134" w:bottom="1417" w:left="1134" w:header="851" w:footer="850" w:gutter="0"/>
          <w:cols w:space="425" w:num="1"/>
          <w:docGrid w:type="lines" w:linePitch="312" w:charSpace="0"/>
        </w:sectPr>
      </w:pPr>
      <w:r>
        <w:rPr>
          <w:rFonts w:ascii="Times New Roman" w:hAnsi="Times New Roman" w:eastAsia="黑体" w:cs="Times New Roman"/>
          <w:color w:val="auto"/>
          <w:sz w:val="28"/>
          <w:szCs w:val="28"/>
          <w:highlight w:val="none"/>
        </w:rPr>
        <w:br w:type="page"/>
      </w:r>
    </w:p>
    <w:p w14:paraId="7FBF459A">
      <w:pPr>
        <w:ind w:firstLine="0" w:firstLineChars="0"/>
        <w:jc w:val="center"/>
        <w:outlineLvl w:val="2"/>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rPr>
        <w:t>中</w:t>
      </w:r>
      <w:bookmarkStart w:id="850" w:name="OLE_LINK384"/>
      <w:r>
        <w:rPr>
          <w:rFonts w:ascii="Times New Roman" w:hAnsi="Times New Roman" w:eastAsia="黑体" w:cs="Times New Roman"/>
          <w:color w:val="auto"/>
          <w:sz w:val="28"/>
          <w:szCs w:val="28"/>
          <w:highlight w:val="none"/>
        </w:rPr>
        <w:t>小企业</w:t>
      </w:r>
      <w:bookmarkStart w:id="851" w:name="OLE_LINK28"/>
      <w:r>
        <w:rPr>
          <w:rFonts w:ascii="Times New Roman" w:hAnsi="Times New Roman" w:eastAsia="黑体" w:cs="Times New Roman"/>
          <w:color w:val="auto"/>
          <w:sz w:val="28"/>
          <w:szCs w:val="28"/>
          <w:highlight w:val="none"/>
        </w:rPr>
        <w:t>声明函</w:t>
      </w:r>
      <w:bookmarkEnd w:id="843"/>
      <w:bookmarkEnd w:id="844"/>
      <w:bookmarkEnd w:id="845"/>
      <w:bookmarkEnd w:id="846"/>
      <w:bookmarkEnd w:id="847"/>
      <w:bookmarkEnd w:id="849"/>
      <w:bookmarkEnd w:id="851"/>
      <w:r>
        <w:rPr>
          <w:rFonts w:hint="eastAsia" w:ascii="Times New Roman" w:hAnsi="Times New Roman" w:eastAsia="黑体" w:cs="Times New Roman"/>
          <w:color w:val="auto"/>
          <w:sz w:val="28"/>
          <w:szCs w:val="28"/>
          <w:highlight w:val="none"/>
        </w:rPr>
        <w:t>（货物）</w:t>
      </w:r>
    </w:p>
    <w:bookmarkEnd w:id="848"/>
    <w:bookmarkEnd w:id="850"/>
    <w:p w14:paraId="5C257641">
      <w:pPr>
        <w:ind w:right="415" w:firstLine="0" w:firstLineChars="0"/>
        <w:jc w:val="center"/>
        <w:rPr>
          <w:rFonts w:ascii="Times New Roman" w:hAnsi="Times New Roman" w:cs="Times New Roman"/>
          <w:color w:val="auto"/>
          <w:spacing w:val="-2"/>
          <w:sz w:val="18"/>
          <w:szCs w:val="18"/>
          <w:highlight w:val="none"/>
        </w:rPr>
      </w:pPr>
      <w:bookmarkStart w:id="852" w:name="OLE_LINK113"/>
      <w:r>
        <w:rPr>
          <w:rFonts w:hint="eastAsia" w:ascii="Times New Roman" w:hAnsi="Times New Roman" w:cs="Times New Roman"/>
          <w:color w:val="auto"/>
          <w:spacing w:val="-2"/>
          <w:sz w:val="18"/>
          <w:szCs w:val="18"/>
          <w:highlight w:val="none"/>
        </w:rPr>
        <w:t>（投标人参与本项目不符合或不享受财库〔2020〕46号规定的中小企业扶持政策的，</w:t>
      </w:r>
      <w:r>
        <w:rPr>
          <w:rFonts w:ascii="Times New Roman" w:hAnsi="Times New Roman" w:cs="Times New Roman"/>
          <w:color w:val="auto"/>
          <w:sz w:val="18"/>
          <w:szCs w:val="18"/>
          <w:highlight w:val="none"/>
        </w:rPr>
        <w:t>无需</w:t>
      </w:r>
      <w:r>
        <w:rPr>
          <w:rFonts w:hint="eastAsia" w:ascii="Times New Roman" w:hAnsi="Times New Roman" w:cs="Times New Roman"/>
          <w:color w:val="auto"/>
          <w:sz w:val="18"/>
          <w:szCs w:val="18"/>
          <w:highlight w:val="none"/>
        </w:rPr>
        <w:t>填写和提供</w:t>
      </w:r>
      <w:r>
        <w:rPr>
          <w:rFonts w:hint="eastAsia" w:ascii="Times New Roman" w:hAnsi="Times New Roman" w:cs="Times New Roman"/>
          <w:color w:val="auto"/>
          <w:spacing w:val="-2"/>
          <w:sz w:val="18"/>
          <w:szCs w:val="18"/>
          <w:highlight w:val="none"/>
        </w:rPr>
        <w:t>）</w:t>
      </w:r>
    </w:p>
    <w:bookmarkEnd w:id="852"/>
    <w:p w14:paraId="6CBC1E7C">
      <w:pPr>
        <w:ind w:right="415" w:firstLine="412"/>
        <w:rPr>
          <w:rFonts w:ascii="Times New Roman" w:hAnsi="Times New Roman" w:cs="Times New Roman"/>
          <w:color w:val="auto"/>
          <w:szCs w:val="21"/>
          <w:highlight w:val="none"/>
        </w:rPr>
      </w:pPr>
      <w:r>
        <w:rPr>
          <w:rFonts w:ascii="Times New Roman" w:hAnsi="Times New Roman" w:cs="Times New Roman"/>
          <w:color w:val="auto"/>
          <w:spacing w:val="-2"/>
          <w:szCs w:val="21"/>
          <w:highlight w:val="none"/>
        </w:rPr>
        <w:t>本公司</w:t>
      </w:r>
      <w:r>
        <w:rPr>
          <w:rFonts w:hint="eastAsia" w:ascii="Times New Roman" w:hAnsi="Times New Roman" w:cs="Times New Roman"/>
          <w:color w:val="auto"/>
          <w:spacing w:val="-2"/>
          <w:szCs w:val="21"/>
          <w:highlight w:val="none"/>
        </w:rPr>
        <w:t>（联合体）</w:t>
      </w:r>
      <w:r>
        <w:rPr>
          <w:rFonts w:ascii="Times New Roman" w:hAnsi="Times New Roman" w:cs="Times New Roman"/>
          <w:color w:val="auto"/>
          <w:spacing w:val="-2"/>
          <w:szCs w:val="21"/>
          <w:highlight w:val="none"/>
        </w:rPr>
        <w:t>郑重声明，根据《政府采购促进中小企业发展管理办法</w:t>
      </w:r>
      <w:r>
        <w:rPr>
          <w:rFonts w:ascii="Times New Roman" w:hAnsi="Times New Roman" w:cs="Times New Roman"/>
          <w:color w:val="auto"/>
          <w:spacing w:val="-18"/>
          <w:szCs w:val="21"/>
          <w:highlight w:val="none"/>
        </w:rPr>
        <w:t>》</w:t>
      </w:r>
      <w:r>
        <w:rPr>
          <w:rFonts w:ascii="Times New Roman" w:hAnsi="Times New Roman" w:cs="Times New Roman"/>
          <w:color w:val="auto"/>
          <w:szCs w:val="21"/>
          <w:highlight w:val="none"/>
        </w:rPr>
        <w:t>（</w:t>
      </w:r>
      <w:r>
        <w:rPr>
          <w:rFonts w:ascii="Times New Roman" w:hAnsi="Times New Roman" w:cs="Times New Roman"/>
          <w:color w:val="auto"/>
          <w:spacing w:val="5"/>
          <w:szCs w:val="21"/>
          <w:highlight w:val="none"/>
        </w:rPr>
        <w:t>财库</w:t>
      </w:r>
      <w:r>
        <w:rPr>
          <w:rFonts w:ascii="Times New Roman" w:hAnsi="Times New Roman" w:cs="Times New Roman"/>
          <w:color w:val="auto"/>
          <w:szCs w:val="21"/>
          <w:highlight w:val="none"/>
        </w:rPr>
        <w:t>﹝2020﹞46</w:t>
      </w:r>
      <w:r>
        <w:rPr>
          <w:rFonts w:ascii="Times New Roman" w:hAnsi="Times New Roman" w:cs="Times New Roman"/>
          <w:color w:val="auto"/>
          <w:spacing w:val="-38"/>
          <w:szCs w:val="21"/>
          <w:highlight w:val="none"/>
        </w:rPr>
        <w:t xml:space="preserve"> 号</w:t>
      </w:r>
      <w:r>
        <w:rPr>
          <w:rFonts w:ascii="Times New Roman" w:hAnsi="Times New Roman" w:cs="Times New Roman"/>
          <w:color w:val="auto"/>
          <w:spacing w:val="5"/>
          <w:szCs w:val="21"/>
          <w:highlight w:val="none"/>
        </w:rPr>
        <w:t>）</w:t>
      </w:r>
      <w:r>
        <w:rPr>
          <w:rFonts w:ascii="Times New Roman" w:hAnsi="Times New Roman" w:cs="Times New Roman"/>
          <w:color w:val="auto"/>
          <w:szCs w:val="21"/>
          <w:highlight w:val="none"/>
        </w:rPr>
        <w:t>的规定，本公司</w:t>
      </w:r>
      <w:r>
        <w:rPr>
          <w:rFonts w:hint="eastAsia" w:ascii="Times New Roman" w:hAnsi="Times New Roman" w:cs="Times New Roman"/>
          <w:color w:val="auto"/>
          <w:szCs w:val="21"/>
          <w:highlight w:val="none"/>
        </w:rPr>
        <w:t>（联合体）</w:t>
      </w:r>
      <w:r>
        <w:rPr>
          <w:rFonts w:ascii="Times New Roman" w:hAnsi="Times New Roman" w:cs="Times New Roman"/>
          <w:color w:val="auto"/>
          <w:spacing w:val="-2"/>
          <w:szCs w:val="21"/>
          <w:highlight w:val="none"/>
        </w:rPr>
        <w:t>参加</w:t>
      </w:r>
      <w:r>
        <w:rPr>
          <w:rFonts w:ascii="Times New Roman" w:hAnsi="Times New Roman" w:cs="Times New Roman"/>
          <w:b/>
          <w:color w:val="auto"/>
          <w:spacing w:val="-2"/>
          <w:szCs w:val="21"/>
          <w:highlight w:val="none"/>
          <w:u w:val="single"/>
        </w:rPr>
        <w:t>（单位名称）</w:t>
      </w:r>
      <w:r>
        <w:rPr>
          <w:rFonts w:ascii="Times New Roman" w:hAnsi="Times New Roman" w:cs="Times New Roman"/>
          <w:color w:val="auto"/>
          <w:spacing w:val="-2"/>
          <w:szCs w:val="21"/>
          <w:highlight w:val="none"/>
        </w:rPr>
        <w:t>的</w:t>
      </w:r>
      <w:r>
        <w:rPr>
          <w:rFonts w:ascii="Times New Roman" w:hAnsi="Times New Roman" w:cs="Times New Roman"/>
          <w:b/>
          <w:color w:val="auto"/>
          <w:spacing w:val="-2"/>
          <w:szCs w:val="21"/>
          <w:highlight w:val="none"/>
          <w:u w:val="single"/>
        </w:rPr>
        <w:t>（项目名称）</w:t>
      </w:r>
      <w:r>
        <w:rPr>
          <w:rFonts w:ascii="Times New Roman" w:hAnsi="Times New Roman" w:cs="Times New Roman"/>
          <w:color w:val="auto"/>
          <w:spacing w:val="-2"/>
          <w:szCs w:val="21"/>
          <w:highlight w:val="none"/>
        </w:rPr>
        <w:t>采购活动，提供的货物全部由符合政策要求的中小企业</w:t>
      </w:r>
      <w:r>
        <w:rPr>
          <w:rFonts w:hint="eastAsia" w:ascii="Times New Roman" w:hAnsi="Times New Roman" w:cs="Times New Roman"/>
          <w:color w:val="auto"/>
          <w:spacing w:val="-2"/>
          <w:szCs w:val="21"/>
          <w:highlight w:val="none"/>
        </w:rPr>
        <w:t>制造</w:t>
      </w:r>
      <w:r>
        <w:rPr>
          <w:rFonts w:ascii="Times New Roman" w:hAnsi="Times New Roman" w:cs="Times New Roman"/>
          <w:color w:val="auto"/>
          <w:spacing w:val="-2"/>
          <w:szCs w:val="21"/>
          <w:highlight w:val="none"/>
        </w:rPr>
        <w:t>。相关企业</w:t>
      </w:r>
      <w:r>
        <w:rPr>
          <w:rFonts w:hint="eastAsia" w:ascii="Times New Roman" w:hAnsi="Times New Roman" w:cs="Times New Roman"/>
          <w:color w:val="auto"/>
          <w:spacing w:val="-2"/>
          <w:szCs w:val="21"/>
          <w:highlight w:val="none"/>
        </w:rPr>
        <w:t>（含联合体中的中小企业、签订分包意向协议的中小企业）</w:t>
      </w:r>
      <w:r>
        <w:rPr>
          <w:rFonts w:ascii="Times New Roman" w:hAnsi="Times New Roman" w:cs="Times New Roman"/>
          <w:color w:val="auto"/>
          <w:spacing w:val="-2"/>
          <w:szCs w:val="21"/>
          <w:highlight w:val="none"/>
        </w:rPr>
        <w:t>的具体情况如下：</w:t>
      </w:r>
    </w:p>
    <w:p w14:paraId="0422936C">
      <w:pPr>
        <w:ind w:right="415" w:firstLine="412"/>
        <w:rPr>
          <w:rFonts w:ascii="Times New Roman" w:hAnsi="Times New Roman" w:cs="Times New Roman"/>
          <w:color w:val="auto"/>
          <w:spacing w:val="5"/>
          <w:szCs w:val="21"/>
          <w:highlight w:val="none"/>
        </w:rPr>
      </w:pPr>
      <w:r>
        <w:rPr>
          <w:rFonts w:ascii="Times New Roman" w:hAnsi="Times New Roman" w:cs="Times New Roman"/>
          <w:color w:val="auto"/>
          <w:spacing w:val="-2"/>
          <w:szCs w:val="21"/>
          <w:highlight w:val="none"/>
        </w:rPr>
        <w:t>1.</w:t>
      </w:r>
      <w:r>
        <w:rPr>
          <w:rFonts w:ascii="Times New Roman" w:hAnsi="Times New Roman" w:cs="Times New Roman"/>
          <w:b/>
          <w:color w:val="auto"/>
          <w:spacing w:val="-2"/>
          <w:szCs w:val="21"/>
          <w:highlight w:val="none"/>
          <w:u w:val="single"/>
        </w:rPr>
        <w:t>（标的名称）</w:t>
      </w:r>
      <w:r>
        <w:rPr>
          <w:rFonts w:ascii="Times New Roman" w:hAnsi="Times New Roman" w:cs="Times New Roman"/>
          <w:color w:val="auto"/>
          <w:spacing w:val="-2"/>
          <w:szCs w:val="21"/>
          <w:highlight w:val="none"/>
        </w:rPr>
        <w:t>，属于</w:t>
      </w:r>
      <w:r>
        <w:rPr>
          <w:rFonts w:ascii="Times New Roman" w:hAnsi="Times New Roman" w:cs="Times New Roman"/>
          <w:b/>
          <w:color w:val="auto"/>
          <w:spacing w:val="-2"/>
          <w:szCs w:val="21"/>
          <w:highlight w:val="none"/>
          <w:u w:val="single"/>
        </w:rPr>
        <w:t>（采购文件中明确的所属行业）</w:t>
      </w:r>
      <w:r>
        <w:rPr>
          <w:rFonts w:ascii="Times New Roman" w:hAnsi="Times New Roman" w:cs="Times New Roman"/>
          <w:color w:val="auto"/>
          <w:spacing w:val="-2"/>
          <w:szCs w:val="21"/>
          <w:highlight w:val="none"/>
        </w:rPr>
        <w:t>；</w:t>
      </w:r>
      <w:r>
        <w:rPr>
          <w:rFonts w:ascii="Times New Roman" w:hAnsi="Times New Roman" w:cs="Times New Roman"/>
          <w:color w:val="auto"/>
          <w:spacing w:val="5"/>
          <w:szCs w:val="21"/>
          <w:highlight w:val="none"/>
        </w:rPr>
        <w:t>制造商为</w:t>
      </w:r>
      <w:r>
        <w:rPr>
          <w:rFonts w:ascii="Times New Roman" w:hAnsi="Times New Roman" w:cs="Times New Roman"/>
          <w:b/>
          <w:color w:val="auto"/>
          <w:spacing w:val="5"/>
          <w:szCs w:val="21"/>
          <w:highlight w:val="none"/>
          <w:u w:val="single"/>
        </w:rPr>
        <w:t>（企业名称）</w:t>
      </w:r>
      <w:r>
        <w:rPr>
          <w:rFonts w:ascii="Times New Roman" w:hAnsi="Times New Roman" w:cs="Times New Roman"/>
          <w:color w:val="auto"/>
          <w:spacing w:val="5"/>
          <w:szCs w:val="21"/>
          <w:highlight w:val="none"/>
        </w:rPr>
        <w:t>，从业人员人，营业收入为万元，资产总额为万元，属于</w:t>
      </w:r>
      <w:r>
        <w:rPr>
          <w:rFonts w:ascii="Times New Roman" w:hAnsi="Times New Roman" w:cs="Times New Roman"/>
          <w:b/>
          <w:color w:val="auto"/>
          <w:spacing w:val="5"/>
          <w:szCs w:val="21"/>
          <w:highlight w:val="none"/>
          <w:u w:val="single"/>
        </w:rPr>
        <w:t>（中型企业、小型企业、微型企业）</w:t>
      </w:r>
      <w:r>
        <w:rPr>
          <w:rFonts w:ascii="Times New Roman" w:hAnsi="Times New Roman" w:cs="Times New Roman"/>
          <w:color w:val="auto"/>
          <w:spacing w:val="5"/>
          <w:szCs w:val="21"/>
          <w:highlight w:val="none"/>
        </w:rPr>
        <w:t>；</w:t>
      </w:r>
    </w:p>
    <w:p w14:paraId="2F14174A">
      <w:pPr>
        <w:ind w:right="415" w:firstLine="440"/>
        <w:rPr>
          <w:rFonts w:ascii="Times New Roman" w:hAnsi="Times New Roman" w:cs="Times New Roman"/>
          <w:color w:val="auto"/>
          <w:spacing w:val="5"/>
          <w:szCs w:val="21"/>
          <w:highlight w:val="none"/>
        </w:rPr>
      </w:pPr>
      <w:r>
        <w:rPr>
          <w:rFonts w:ascii="Times New Roman" w:hAnsi="Times New Roman" w:cs="Times New Roman"/>
          <w:color w:val="auto"/>
          <w:spacing w:val="5"/>
          <w:szCs w:val="21"/>
          <w:highlight w:val="none"/>
        </w:rPr>
        <w:t>2.</w:t>
      </w:r>
      <w:r>
        <w:rPr>
          <w:rFonts w:ascii="Times New Roman" w:hAnsi="Times New Roman" w:cs="Times New Roman"/>
          <w:b/>
          <w:color w:val="auto"/>
          <w:spacing w:val="-2"/>
          <w:szCs w:val="21"/>
          <w:highlight w:val="none"/>
          <w:u w:val="single"/>
        </w:rPr>
        <w:t xml:space="preserve"> （标的名称）</w:t>
      </w:r>
      <w:r>
        <w:rPr>
          <w:rFonts w:ascii="Times New Roman" w:hAnsi="Times New Roman" w:cs="Times New Roman"/>
          <w:color w:val="auto"/>
          <w:spacing w:val="-2"/>
          <w:szCs w:val="21"/>
          <w:highlight w:val="none"/>
        </w:rPr>
        <w:t>，属于</w:t>
      </w:r>
      <w:r>
        <w:rPr>
          <w:rFonts w:ascii="Times New Roman" w:hAnsi="Times New Roman" w:cs="Times New Roman"/>
          <w:b/>
          <w:color w:val="auto"/>
          <w:spacing w:val="-2"/>
          <w:szCs w:val="21"/>
          <w:highlight w:val="none"/>
          <w:u w:val="single"/>
        </w:rPr>
        <w:t>（采购文件中明确的所属行业）</w:t>
      </w:r>
      <w:r>
        <w:rPr>
          <w:rFonts w:ascii="Times New Roman" w:hAnsi="Times New Roman" w:cs="Times New Roman"/>
          <w:color w:val="auto"/>
          <w:spacing w:val="-2"/>
          <w:szCs w:val="21"/>
          <w:highlight w:val="none"/>
        </w:rPr>
        <w:t>；</w:t>
      </w:r>
      <w:r>
        <w:rPr>
          <w:rFonts w:ascii="Times New Roman" w:hAnsi="Times New Roman" w:cs="Times New Roman"/>
          <w:color w:val="auto"/>
          <w:spacing w:val="5"/>
          <w:szCs w:val="21"/>
          <w:highlight w:val="none"/>
        </w:rPr>
        <w:t>制造商为</w:t>
      </w:r>
      <w:r>
        <w:rPr>
          <w:rFonts w:ascii="Times New Roman" w:hAnsi="Times New Roman" w:cs="Times New Roman"/>
          <w:b/>
          <w:color w:val="auto"/>
          <w:spacing w:val="5"/>
          <w:szCs w:val="21"/>
          <w:highlight w:val="none"/>
          <w:u w:val="single"/>
        </w:rPr>
        <w:t>（企业名称）</w:t>
      </w:r>
      <w:r>
        <w:rPr>
          <w:rFonts w:ascii="Times New Roman" w:hAnsi="Times New Roman" w:cs="Times New Roman"/>
          <w:color w:val="auto"/>
          <w:spacing w:val="5"/>
          <w:szCs w:val="21"/>
          <w:highlight w:val="none"/>
        </w:rPr>
        <w:t>，从业人员人，营业收入为</w:t>
      </w:r>
      <w:r>
        <w:rPr>
          <w:rFonts w:ascii="Times New Roman" w:hAnsi="Times New Roman" w:cs="Times New Roman"/>
          <w:color w:val="auto"/>
          <w:spacing w:val="5"/>
          <w:szCs w:val="21"/>
          <w:highlight w:val="none"/>
          <w:u w:val="single"/>
        </w:rPr>
        <w:tab/>
      </w:r>
      <w:r>
        <w:rPr>
          <w:rFonts w:ascii="Times New Roman" w:hAnsi="Times New Roman" w:cs="Times New Roman"/>
          <w:color w:val="auto"/>
          <w:spacing w:val="5"/>
          <w:szCs w:val="21"/>
          <w:highlight w:val="none"/>
        </w:rPr>
        <w:t>万元，资产总额为万元，属于</w:t>
      </w:r>
      <w:r>
        <w:rPr>
          <w:rFonts w:ascii="Times New Roman" w:hAnsi="Times New Roman" w:cs="Times New Roman"/>
          <w:b/>
          <w:color w:val="auto"/>
          <w:spacing w:val="5"/>
          <w:szCs w:val="21"/>
          <w:highlight w:val="none"/>
          <w:u w:val="single"/>
        </w:rPr>
        <w:t>（中型企业、小型企业、微型企业）</w:t>
      </w:r>
      <w:r>
        <w:rPr>
          <w:rFonts w:ascii="Times New Roman" w:hAnsi="Times New Roman" w:cs="Times New Roman"/>
          <w:color w:val="auto"/>
          <w:spacing w:val="5"/>
          <w:szCs w:val="21"/>
          <w:highlight w:val="none"/>
        </w:rPr>
        <w:t>；</w:t>
      </w:r>
    </w:p>
    <w:p w14:paraId="6A29AB7F">
      <w:pPr>
        <w:tabs>
          <w:tab w:val="left" w:pos="1806"/>
          <w:tab w:val="left" w:pos="5005"/>
          <w:tab w:val="left" w:pos="7227"/>
        </w:tabs>
        <w:ind w:left="205" w:right="236" w:firstLine="440"/>
        <w:rPr>
          <w:rFonts w:ascii="Times New Roman" w:hAnsi="Times New Roman" w:cs="Times New Roman"/>
          <w:color w:val="auto"/>
          <w:spacing w:val="5"/>
          <w:szCs w:val="21"/>
          <w:highlight w:val="none"/>
        </w:rPr>
      </w:pPr>
      <w:r>
        <w:rPr>
          <w:rFonts w:ascii="Times New Roman" w:hAnsi="Times New Roman" w:cs="Times New Roman"/>
          <w:color w:val="auto"/>
          <w:spacing w:val="5"/>
          <w:szCs w:val="21"/>
          <w:highlight w:val="none"/>
        </w:rPr>
        <w:t>……</w:t>
      </w:r>
    </w:p>
    <w:p w14:paraId="6E35A441">
      <w:pPr>
        <w:ind w:right="417" w:firstLine="408"/>
        <w:rPr>
          <w:rFonts w:ascii="Times New Roman" w:hAnsi="Times New Roman" w:cs="Times New Roman"/>
          <w:color w:val="auto"/>
          <w:szCs w:val="21"/>
          <w:highlight w:val="none"/>
        </w:rPr>
      </w:pPr>
      <w:r>
        <w:rPr>
          <w:rFonts w:ascii="Times New Roman" w:hAnsi="Times New Roman" w:cs="Times New Roman"/>
          <w:color w:val="auto"/>
          <w:spacing w:val="-3"/>
          <w:szCs w:val="21"/>
          <w:highlight w:val="none"/>
        </w:rPr>
        <w:t>以上企业，不属于大企业的分支机构，不存在控股股东</w:t>
      </w:r>
      <w:r>
        <w:rPr>
          <w:rFonts w:ascii="Times New Roman" w:hAnsi="Times New Roman" w:cs="Times New Roman"/>
          <w:color w:val="auto"/>
          <w:spacing w:val="-5"/>
          <w:szCs w:val="21"/>
          <w:highlight w:val="none"/>
        </w:rPr>
        <w:t>为大企业的情形，也不存在与大企业的负责人为同一人的情形。</w:t>
      </w:r>
    </w:p>
    <w:p w14:paraId="129B72FC">
      <w:pPr>
        <w:widowControl/>
        <w:ind w:firstLine="420"/>
        <w:rPr>
          <w:rFonts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t>本企业对上述声明内容的真实性负责。如有虚假，将依法承担相应责任。</w:t>
      </w:r>
    </w:p>
    <w:p w14:paraId="1D2A2E07">
      <w:pPr>
        <w:ind w:firstLine="420"/>
        <w:rPr>
          <w:rFonts w:ascii="Times New Roman" w:hAnsi="Times New Roman" w:cs="Times New Roman"/>
          <w:bCs/>
          <w:color w:val="auto"/>
          <w:szCs w:val="21"/>
          <w:highlight w:val="none"/>
        </w:rPr>
      </w:pPr>
      <w:bookmarkStart w:id="853" w:name="OLE_LINK345"/>
      <w:bookmarkStart w:id="854" w:name="OLE_LINK115"/>
    </w:p>
    <w:p w14:paraId="4649D2D5">
      <w:pPr>
        <w:ind w:firstLine="422"/>
        <w:rPr>
          <w:rFonts w:ascii="Times New Roman" w:hAnsi="Times New Roman" w:cs="Times New Roman"/>
          <w:b/>
          <w:color w:val="auto"/>
          <w:szCs w:val="21"/>
          <w:highlight w:val="none"/>
        </w:rPr>
      </w:pPr>
      <w:r>
        <w:rPr>
          <w:rFonts w:hint="eastAsia" w:ascii="Times New Roman" w:hAnsi="Times New Roman" w:cs="Times New Roman"/>
          <w:b/>
          <w:color w:val="auto"/>
          <w:szCs w:val="21"/>
          <w:highlight w:val="none"/>
        </w:rPr>
        <w:t>企业名称</w:t>
      </w:r>
      <w:bookmarkEnd w:id="853"/>
      <w:bookmarkStart w:id="855" w:name="OLE_LINK114"/>
      <w:r>
        <w:rPr>
          <w:rFonts w:ascii="Times New Roman" w:hAnsi="Times New Roman" w:cs="Times New Roman"/>
          <w:b/>
          <w:color w:val="auto"/>
          <w:szCs w:val="21"/>
          <w:highlight w:val="none"/>
        </w:rPr>
        <w:t>（</w:t>
      </w:r>
      <w:r>
        <w:rPr>
          <w:rFonts w:hint="eastAsia" w:ascii="Times New Roman" w:hAnsi="Times New Roman" w:cs="Times New Roman"/>
          <w:b/>
          <w:color w:val="auto"/>
          <w:szCs w:val="21"/>
          <w:highlight w:val="none"/>
        </w:rPr>
        <w:t>盖章</w:t>
      </w:r>
      <w:r>
        <w:rPr>
          <w:rFonts w:ascii="Times New Roman" w:hAnsi="Times New Roman" w:cs="Times New Roman"/>
          <w:b/>
          <w:color w:val="auto"/>
          <w:szCs w:val="21"/>
          <w:highlight w:val="none"/>
        </w:rPr>
        <w:t>）</w:t>
      </w:r>
      <w:bookmarkEnd w:id="855"/>
      <w:r>
        <w:rPr>
          <w:rFonts w:ascii="Times New Roman" w:hAnsi="Times New Roman" w:cs="Times New Roman"/>
          <w:b/>
          <w:color w:val="auto"/>
          <w:szCs w:val="21"/>
          <w:highlight w:val="none"/>
        </w:rPr>
        <w:t>：</w:t>
      </w:r>
    </w:p>
    <w:p w14:paraId="695FB62E">
      <w:pPr>
        <w:ind w:firstLine="422"/>
        <w:rPr>
          <w:rFonts w:ascii="Times New Roman" w:hAnsi="Times New Roman" w:cs="Times New Roman"/>
          <w:b/>
          <w:color w:val="auto"/>
          <w:szCs w:val="21"/>
          <w:highlight w:val="none"/>
          <w:u w:val="single"/>
        </w:rPr>
      </w:pPr>
      <w:r>
        <w:rPr>
          <w:rFonts w:ascii="Times New Roman" w:hAnsi="Times New Roman" w:cs="Times New Roman"/>
          <w:b/>
          <w:color w:val="auto"/>
          <w:szCs w:val="21"/>
          <w:highlight w:val="none"/>
        </w:rPr>
        <w:t>日期：</w:t>
      </w:r>
    </w:p>
    <w:bookmarkEnd w:id="854"/>
    <w:p w14:paraId="6915CFF3">
      <w:pPr>
        <w:ind w:firstLine="402"/>
        <w:rPr>
          <w:rFonts w:ascii="Times New Roman" w:hAnsi="Times New Roman" w:cs="Times New Roman"/>
          <w:b/>
          <w:color w:val="auto"/>
          <w:sz w:val="20"/>
          <w:szCs w:val="20"/>
          <w:highlight w:val="none"/>
        </w:rPr>
      </w:pPr>
      <w:bookmarkStart w:id="856" w:name="OLE_LINK34"/>
      <w:bookmarkStart w:id="857" w:name="_Hlk478972813"/>
    </w:p>
    <w:p w14:paraId="7E22AF00">
      <w:pPr>
        <w:ind w:firstLine="402"/>
        <w:rPr>
          <w:rFonts w:ascii="Times New Roman" w:hAnsi="Times New Roman" w:cs="Times New Roman"/>
          <w:b/>
          <w:color w:val="auto"/>
          <w:sz w:val="20"/>
          <w:szCs w:val="20"/>
          <w:highlight w:val="none"/>
        </w:rPr>
      </w:pPr>
      <w:r>
        <w:rPr>
          <w:rFonts w:ascii="Times New Roman" w:hAnsi="Times New Roman" w:cs="Times New Roman"/>
          <w:b/>
          <w:color w:val="auto"/>
          <w:sz w:val="20"/>
          <w:szCs w:val="20"/>
          <w:highlight w:val="none"/>
        </w:rPr>
        <w:t>注</w:t>
      </w:r>
      <w:r>
        <w:rPr>
          <w:rFonts w:hint="eastAsia" w:ascii="Times New Roman" w:hAnsi="Times New Roman" w:cs="Times New Roman"/>
          <w:b/>
          <w:color w:val="auto"/>
          <w:sz w:val="20"/>
          <w:szCs w:val="20"/>
          <w:highlight w:val="none"/>
        </w:rPr>
        <w:t>：</w:t>
      </w:r>
    </w:p>
    <w:bookmarkEnd w:id="856"/>
    <w:p w14:paraId="397642CF">
      <w:pPr>
        <w:ind w:firstLine="402"/>
        <w:rPr>
          <w:rFonts w:ascii="宋体" w:hAnsi="宋体" w:cs="宋体"/>
          <w:b/>
          <w:color w:val="auto"/>
          <w:sz w:val="20"/>
          <w:szCs w:val="20"/>
          <w:highlight w:val="none"/>
        </w:rPr>
      </w:pPr>
      <w:bookmarkStart w:id="858" w:name="OLE_LINK41"/>
      <w:bookmarkStart w:id="859" w:name="OLE_LINK55"/>
      <w:bookmarkStart w:id="860" w:name="OLE_LINK56"/>
      <w:r>
        <w:rPr>
          <w:rFonts w:hint="eastAsia" w:ascii="宋体" w:hAnsi="宋体" w:cs="宋体"/>
          <w:b/>
          <w:color w:val="auto"/>
          <w:sz w:val="20"/>
          <w:szCs w:val="20"/>
          <w:highlight w:val="none"/>
        </w:rPr>
        <w:t>①</w:t>
      </w:r>
      <w:bookmarkStart w:id="861" w:name="OLE_LINK60"/>
      <w:r>
        <w:rPr>
          <w:rFonts w:hint="eastAsia" w:ascii="Times New Roman" w:hAnsi="Times New Roman" w:cs="Times New Roman"/>
          <w:b/>
          <w:color w:val="auto"/>
          <w:sz w:val="20"/>
          <w:szCs w:val="20"/>
          <w:highlight w:val="none"/>
        </w:rPr>
        <w:t>从业人员、营业收入、资产总</w:t>
      </w:r>
      <w:bookmarkStart w:id="862" w:name="OLE_LINK383"/>
      <w:r>
        <w:rPr>
          <w:rFonts w:hint="eastAsia" w:ascii="Times New Roman" w:hAnsi="Times New Roman" w:cs="Times New Roman"/>
          <w:b/>
          <w:color w:val="auto"/>
          <w:sz w:val="20"/>
          <w:szCs w:val="20"/>
          <w:highlight w:val="none"/>
        </w:rPr>
        <w:t>额填报上一年度数据</w:t>
      </w:r>
      <w:bookmarkEnd w:id="862"/>
      <w:r>
        <w:rPr>
          <w:rFonts w:hint="eastAsia" w:ascii="Times New Roman" w:hAnsi="Times New Roman" w:cs="Times New Roman"/>
          <w:b/>
          <w:color w:val="auto"/>
          <w:sz w:val="20"/>
          <w:szCs w:val="20"/>
          <w:highlight w:val="none"/>
        </w:rPr>
        <w:t>，无上一年度数据的新成立企业可不填报</w:t>
      </w:r>
      <w:bookmarkEnd w:id="861"/>
      <w:r>
        <w:rPr>
          <w:rFonts w:hint="eastAsia" w:ascii="Times New Roman" w:hAnsi="Times New Roman" w:cs="Times New Roman"/>
          <w:b/>
          <w:color w:val="auto"/>
          <w:sz w:val="20"/>
          <w:szCs w:val="20"/>
          <w:highlight w:val="none"/>
        </w:rPr>
        <w:t>；</w:t>
      </w:r>
      <w:bookmarkEnd w:id="858"/>
    </w:p>
    <w:p w14:paraId="575C5D8E">
      <w:pPr>
        <w:ind w:firstLine="402"/>
        <w:rPr>
          <w:rFonts w:ascii="Times New Roman" w:hAnsi="Times New Roman" w:cs="Times New Roman"/>
          <w:b/>
          <w:color w:val="auto"/>
          <w:sz w:val="20"/>
          <w:szCs w:val="20"/>
          <w:highlight w:val="none"/>
        </w:rPr>
      </w:pPr>
      <w:bookmarkStart w:id="863" w:name="OLE_LINK380"/>
      <w:r>
        <w:rPr>
          <w:rFonts w:hint="eastAsia" w:ascii="Times New Roman" w:hAnsi="Times New Roman" w:cs="Times New Roman"/>
          <w:b/>
          <w:color w:val="auto"/>
          <w:sz w:val="20"/>
          <w:szCs w:val="20"/>
          <w:highlight w:val="none"/>
        </w:rPr>
        <w:t>②</w:t>
      </w:r>
      <w:r>
        <w:rPr>
          <w:rFonts w:ascii="Times New Roman" w:hAnsi="Times New Roman" w:cs="Times New Roman"/>
          <w:b/>
          <w:color w:val="auto"/>
          <w:sz w:val="20"/>
          <w:szCs w:val="20"/>
          <w:highlight w:val="none"/>
        </w:rPr>
        <w:t>“</w:t>
      </w:r>
      <w:bookmarkEnd w:id="863"/>
      <w:r>
        <w:rPr>
          <w:rFonts w:ascii="Times New Roman" w:hAnsi="Times New Roman" w:cs="Times New Roman"/>
          <w:b/>
          <w:color w:val="auto"/>
          <w:sz w:val="20"/>
          <w:szCs w:val="20"/>
          <w:highlight w:val="none"/>
        </w:rPr>
        <w:t>标的名称”、“采购文件中明确的所属行业”依据招标文件第</w:t>
      </w:r>
      <w:r>
        <w:rPr>
          <w:rFonts w:hint="eastAsia" w:ascii="Times New Roman" w:hAnsi="Times New Roman" w:cs="Times New Roman"/>
          <w:b/>
          <w:color w:val="auto"/>
          <w:sz w:val="20"/>
          <w:szCs w:val="20"/>
          <w:highlight w:val="none"/>
        </w:rPr>
        <w:t>五章采购需求中明确的“标的名称及所属行业”逐一填写，不得缺漏；</w:t>
      </w:r>
      <w:bookmarkEnd w:id="857"/>
      <w:bookmarkEnd w:id="859"/>
      <w:bookmarkEnd w:id="860"/>
      <w:bookmarkStart w:id="864" w:name="_Toc66970810"/>
      <w:bookmarkStart w:id="865" w:name="_Toc502909064"/>
      <w:bookmarkStart w:id="866" w:name="_Toc34335344"/>
    </w:p>
    <w:p w14:paraId="5E06844D">
      <w:pPr>
        <w:ind w:firstLine="402"/>
        <w:rPr>
          <w:rFonts w:ascii="Times New Roman" w:hAnsi="Times New Roman" w:cs="Times New Roman"/>
          <w:b/>
          <w:color w:val="auto"/>
          <w:sz w:val="20"/>
          <w:szCs w:val="20"/>
          <w:highlight w:val="none"/>
        </w:rPr>
      </w:pPr>
      <w:r>
        <w:rPr>
          <w:rFonts w:hint="eastAsia" w:ascii="Times New Roman" w:hAnsi="Times New Roman" w:cs="Times New Roman"/>
          <w:b/>
          <w:color w:val="auto"/>
          <w:sz w:val="20"/>
          <w:szCs w:val="20"/>
          <w:highlight w:val="none"/>
        </w:rPr>
        <w:t>③联合体投标的，《中小企业声明函》可由牵头人出具。</w:t>
      </w:r>
    </w:p>
    <w:p w14:paraId="051D72DA">
      <w:pPr>
        <w:widowControl/>
        <w:ind w:firstLine="402"/>
        <w:jc w:val="left"/>
        <w:rPr>
          <w:rFonts w:ascii="Times New Roman" w:hAnsi="Times New Roman" w:cs="Times New Roman"/>
          <w:b/>
          <w:color w:val="auto"/>
          <w:sz w:val="20"/>
          <w:szCs w:val="20"/>
          <w:highlight w:val="none"/>
        </w:rPr>
      </w:pPr>
      <w:r>
        <w:rPr>
          <w:rFonts w:hint="eastAsia" w:ascii="Times New Roman" w:hAnsi="Times New Roman" w:cs="Times New Roman"/>
          <w:b/>
          <w:color w:val="auto"/>
          <w:sz w:val="20"/>
          <w:szCs w:val="20"/>
          <w:highlight w:val="none"/>
        </w:rPr>
        <w:t>④温馨提示：投标人应充分、准确地了解所提供货物的制造企业信息。对相关情况了解不清楚的，不建议填报本声明函。</w:t>
      </w:r>
    </w:p>
    <w:p w14:paraId="08916666">
      <w:pPr>
        <w:widowControl/>
        <w:ind w:firstLine="422"/>
        <w:jc w:val="left"/>
        <w:rPr>
          <w:rFonts w:ascii="Times New Roman" w:hAnsi="Times New Roman" w:cs="Times New Roman"/>
          <w:b/>
          <w:color w:val="auto"/>
          <w:szCs w:val="21"/>
          <w:highlight w:val="none"/>
        </w:rPr>
      </w:pPr>
      <w:r>
        <w:rPr>
          <w:rFonts w:hint="eastAsia" w:ascii="Times New Roman" w:hAnsi="Times New Roman" w:cs="Times New Roman"/>
          <w:b/>
          <w:color w:val="auto"/>
          <w:szCs w:val="21"/>
          <w:highlight w:val="none"/>
        </w:rPr>
        <w:br w:type="page"/>
      </w:r>
    </w:p>
    <w:bookmarkEnd w:id="864"/>
    <w:bookmarkEnd w:id="865"/>
    <w:bookmarkEnd w:id="866"/>
    <w:p w14:paraId="29B63596">
      <w:pPr>
        <w:ind w:firstLine="0" w:firstLineChars="0"/>
        <w:jc w:val="center"/>
        <w:outlineLvl w:val="2"/>
        <w:rPr>
          <w:rFonts w:ascii="Times New Roman" w:hAnsi="Times New Roman" w:eastAsia="黑体" w:cs="Times New Roman"/>
          <w:color w:val="auto"/>
          <w:sz w:val="28"/>
          <w:szCs w:val="28"/>
          <w:highlight w:val="none"/>
        </w:rPr>
      </w:pPr>
      <w:bookmarkStart w:id="867" w:name="_Toc1857"/>
      <w:bookmarkStart w:id="868" w:name="_Toc26783968"/>
      <w:bookmarkStart w:id="869" w:name="OLE_LINK348"/>
      <w:bookmarkStart w:id="870" w:name="_Toc49935369"/>
      <w:bookmarkStart w:id="871" w:name="_Toc68090090"/>
      <w:r>
        <w:rPr>
          <w:rFonts w:ascii="Times New Roman" w:hAnsi="Times New Roman" w:eastAsia="黑体" w:cs="Times New Roman"/>
          <w:color w:val="auto"/>
          <w:sz w:val="28"/>
          <w:szCs w:val="28"/>
          <w:highlight w:val="none"/>
        </w:rPr>
        <w:t>监狱</w:t>
      </w:r>
      <w:bookmarkStart w:id="872" w:name="OLE_LINK116"/>
      <w:r>
        <w:rPr>
          <w:rFonts w:ascii="Times New Roman" w:hAnsi="Times New Roman" w:eastAsia="黑体" w:cs="Times New Roman"/>
          <w:color w:val="auto"/>
          <w:sz w:val="28"/>
          <w:szCs w:val="28"/>
          <w:highlight w:val="none"/>
        </w:rPr>
        <w:t>企业证明文</w:t>
      </w:r>
      <w:bookmarkEnd w:id="872"/>
      <w:r>
        <w:rPr>
          <w:rFonts w:ascii="Times New Roman" w:hAnsi="Times New Roman" w:eastAsia="黑体" w:cs="Times New Roman"/>
          <w:color w:val="auto"/>
          <w:sz w:val="28"/>
          <w:szCs w:val="28"/>
          <w:highlight w:val="none"/>
        </w:rPr>
        <w:t>件</w:t>
      </w:r>
    </w:p>
    <w:p w14:paraId="06D2F591">
      <w:pPr>
        <w:ind w:firstLine="0" w:firstLineChars="0"/>
        <w:jc w:val="center"/>
        <w:rPr>
          <w:rFonts w:ascii="Times New Roman" w:hAnsi="Times New Roman" w:cs="Times New Roman"/>
          <w:color w:val="auto"/>
          <w:sz w:val="18"/>
          <w:szCs w:val="18"/>
          <w:highlight w:val="none"/>
        </w:rPr>
      </w:pPr>
      <w:r>
        <w:rPr>
          <w:rFonts w:ascii="Times New Roman" w:hAnsi="Times New Roman" w:cs="Times New Roman"/>
          <w:color w:val="auto"/>
          <w:sz w:val="18"/>
          <w:szCs w:val="21"/>
          <w:highlight w:val="none"/>
        </w:rPr>
        <w:t>（不属于监狱企业的无需提供）</w:t>
      </w:r>
    </w:p>
    <w:p w14:paraId="6AE7A739">
      <w:pPr>
        <w:ind w:firstLine="420"/>
        <w:jc w:val="left"/>
        <w:rPr>
          <w:rFonts w:ascii="Times New Roman" w:hAnsi="Times New Roman" w:cs="Times New Roman"/>
          <w:color w:val="auto"/>
          <w:szCs w:val="21"/>
          <w:highlight w:val="none"/>
        </w:rPr>
      </w:pPr>
      <w:r>
        <w:rPr>
          <w:rFonts w:ascii="Times New Roman" w:hAnsi="Times New Roman" w:cs="Times New Roman"/>
          <w:color w:val="auto"/>
          <w:szCs w:val="21"/>
          <w:highlight w:val="none"/>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1A30AE9">
      <w:pPr>
        <w:ind w:firstLine="420"/>
        <w:rPr>
          <w:rFonts w:ascii="Times New Roman" w:hAnsi="Times New Roman" w:cs="Times New Roman"/>
          <w:color w:val="auto"/>
          <w:sz w:val="24"/>
          <w:szCs w:val="24"/>
          <w:highlight w:val="none"/>
        </w:rPr>
      </w:pPr>
      <w:r>
        <w:rPr>
          <w:rFonts w:ascii="Times New Roman" w:hAnsi="Times New Roman" w:cs="Times New Roman"/>
          <w:color w:val="auto"/>
          <w:szCs w:val="21"/>
          <w:highlight w:val="none"/>
        </w:rPr>
        <w:t>监狱企业参加政府采购活动时，应当提供由省级以上监狱管理局、戒毒管理局（含新疆生产建设兵团）出具的属于监狱企业的证明文件。</w:t>
      </w:r>
    </w:p>
    <w:p w14:paraId="5E33DAD1">
      <w:pPr>
        <w:tabs>
          <w:tab w:val="left" w:pos="4860"/>
        </w:tabs>
        <w:ind w:right="1560" w:firstLine="420"/>
        <w:jc w:val="left"/>
        <w:rPr>
          <w:rFonts w:ascii="Times New Roman" w:hAnsi="Times New Roman" w:cs="Times New Roman"/>
          <w:color w:val="auto"/>
          <w:szCs w:val="20"/>
          <w:highlight w:val="none"/>
        </w:rPr>
      </w:pPr>
    </w:p>
    <w:p w14:paraId="5D1113B0">
      <w:pPr>
        <w:ind w:firstLine="0" w:firstLineChars="0"/>
        <w:rPr>
          <w:rFonts w:ascii="Times New Roman" w:hAnsi="Times New Roman" w:cs="Times New Roman"/>
          <w:color w:val="auto"/>
          <w:sz w:val="24"/>
          <w:szCs w:val="24"/>
          <w:highlight w:val="none"/>
        </w:rPr>
      </w:pPr>
    </w:p>
    <w:p w14:paraId="51A6749D">
      <w:pPr>
        <w:ind w:firstLine="420"/>
        <w:rPr>
          <w:rFonts w:ascii="Times New Roman" w:hAnsi="Times New Roman" w:cs="Times New Roman"/>
          <w:color w:val="auto"/>
          <w:szCs w:val="21"/>
          <w:highlight w:val="none"/>
          <w:u w:val="single"/>
        </w:rPr>
      </w:pPr>
    </w:p>
    <w:p w14:paraId="494420DC">
      <w:pPr>
        <w:ind w:firstLine="361"/>
        <w:rPr>
          <w:rFonts w:ascii="Times New Roman" w:hAnsi="Times New Roman" w:eastAsia="等线" w:cs="Times New Roman"/>
          <w:color w:val="auto"/>
          <w:sz w:val="18"/>
          <w:szCs w:val="18"/>
          <w:highlight w:val="none"/>
        </w:rPr>
      </w:pPr>
      <w:bookmarkStart w:id="873" w:name="OLE_LINK117"/>
      <w:r>
        <w:rPr>
          <w:rFonts w:ascii="Times New Roman" w:hAnsi="Times New Roman" w:cs="Times New Roman"/>
          <w:b/>
          <w:color w:val="auto"/>
          <w:sz w:val="18"/>
          <w:szCs w:val="18"/>
          <w:highlight w:val="none"/>
        </w:rPr>
        <w:t>注：符合条件的监狱企业在参加政府采购活动时，应当按《财政部 司法部关于政府采购支持监狱企业发展有关问题的通知》（财库</w:t>
      </w:r>
      <w:r>
        <w:rPr>
          <w:rFonts w:hint="eastAsia" w:ascii="Times New Roman" w:hAnsi="Times New Roman" w:cs="Times New Roman"/>
          <w:b/>
          <w:color w:val="auto"/>
          <w:sz w:val="18"/>
          <w:szCs w:val="18"/>
          <w:highlight w:val="none"/>
        </w:rPr>
        <w:t>〔2014〕68号</w:t>
      </w:r>
      <w:r>
        <w:rPr>
          <w:rFonts w:ascii="Times New Roman" w:hAnsi="Times New Roman" w:cs="Times New Roman"/>
          <w:b/>
          <w:color w:val="auto"/>
          <w:sz w:val="18"/>
          <w:szCs w:val="18"/>
          <w:highlight w:val="none"/>
        </w:rPr>
        <w:t>）提供规定的《监狱企业证明文件》，并对提供的证明文件真实性负责。</w:t>
      </w:r>
    </w:p>
    <w:bookmarkEnd w:id="873"/>
    <w:p w14:paraId="4249CCFE">
      <w:pPr>
        <w:ind w:firstLine="0" w:firstLineChars="0"/>
        <w:rPr>
          <w:rFonts w:ascii="Times New Roman" w:hAnsi="Times New Roman" w:cs="Times New Roman"/>
          <w:color w:val="auto"/>
          <w:szCs w:val="21"/>
          <w:highlight w:val="none"/>
        </w:rPr>
      </w:pPr>
      <w:r>
        <w:rPr>
          <w:rFonts w:ascii="Times New Roman" w:hAnsi="Times New Roman" w:cs="Times New Roman"/>
          <w:color w:val="auto"/>
          <w:szCs w:val="21"/>
          <w:highlight w:val="none"/>
        </w:rPr>
        <w:br w:type="page"/>
      </w:r>
    </w:p>
    <w:p w14:paraId="37A414B6">
      <w:pPr>
        <w:ind w:firstLine="0" w:firstLineChars="0"/>
        <w:jc w:val="center"/>
        <w:outlineLvl w:val="2"/>
        <w:rPr>
          <w:rFonts w:ascii="Times New Roman" w:hAnsi="Times New Roman" w:eastAsia="黑体" w:cs="Times New Roman"/>
          <w:color w:val="auto"/>
          <w:sz w:val="28"/>
          <w:szCs w:val="28"/>
          <w:highlight w:val="none"/>
        </w:rPr>
      </w:pPr>
      <w:bookmarkStart w:id="874" w:name="_Toc26783969"/>
      <w:bookmarkStart w:id="875" w:name="_Toc17807"/>
      <w:bookmarkStart w:id="876" w:name="_Toc68090091"/>
      <w:bookmarkStart w:id="877" w:name="_Toc49935370"/>
      <w:bookmarkStart w:id="878" w:name="OLE_LINK14"/>
      <w:bookmarkStart w:id="879" w:name="OLE_LINK13"/>
      <w:r>
        <w:rPr>
          <w:rFonts w:ascii="Times New Roman" w:hAnsi="Times New Roman" w:eastAsia="黑体" w:cs="Times New Roman"/>
          <w:color w:val="auto"/>
          <w:sz w:val="28"/>
          <w:szCs w:val="28"/>
          <w:highlight w:val="none"/>
        </w:rPr>
        <w:t>残疾人福利性单位声明函</w:t>
      </w:r>
      <w:bookmarkEnd w:id="874"/>
      <w:bookmarkEnd w:id="875"/>
      <w:bookmarkEnd w:id="876"/>
      <w:bookmarkEnd w:id="877"/>
    </w:p>
    <w:bookmarkEnd w:id="878"/>
    <w:bookmarkEnd w:id="879"/>
    <w:p w14:paraId="52FA250F">
      <w:pPr>
        <w:ind w:firstLine="0" w:firstLineChars="0"/>
        <w:jc w:val="center"/>
        <w:rPr>
          <w:rFonts w:ascii="Times New Roman" w:hAnsi="Times New Roman" w:eastAsia="仿宋_GB2312" w:cs="Times New Roman"/>
          <w:b/>
          <w:color w:val="auto"/>
          <w:spacing w:val="6"/>
          <w:sz w:val="18"/>
          <w:szCs w:val="18"/>
          <w:highlight w:val="none"/>
        </w:rPr>
      </w:pPr>
      <w:r>
        <w:rPr>
          <w:rFonts w:ascii="Times New Roman" w:hAnsi="Times New Roman" w:cs="Times New Roman"/>
          <w:color w:val="auto"/>
          <w:sz w:val="18"/>
          <w:szCs w:val="18"/>
          <w:highlight w:val="none"/>
        </w:rPr>
        <w:t>（</w:t>
      </w:r>
      <w:bookmarkStart w:id="880" w:name="OLE_LINK118"/>
      <w:r>
        <w:rPr>
          <w:rFonts w:ascii="Times New Roman" w:hAnsi="Times New Roman" w:cs="Times New Roman"/>
          <w:color w:val="auto"/>
          <w:sz w:val="18"/>
          <w:szCs w:val="18"/>
          <w:highlight w:val="none"/>
        </w:rPr>
        <w:t>不属于残疾人福利性单位的无需</w:t>
      </w:r>
      <w:r>
        <w:rPr>
          <w:rFonts w:hint="eastAsia" w:ascii="Times New Roman" w:hAnsi="Times New Roman" w:cs="Times New Roman"/>
          <w:color w:val="auto"/>
          <w:sz w:val="18"/>
          <w:szCs w:val="18"/>
          <w:highlight w:val="none"/>
        </w:rPr>
        <w:t>填写及提供</w:t>
      </w:r>
      <w:bookmarkEnd w:id="880"/>
      <w:r>
        <w:rPr>
          <w:rFonts w:ascii="Times New Roman" w:hAnsi="Times New Roman" w:cs="Times New Roman"/>
          <w:color w:val="auto"/>
          <w:sz w:val="18"/>
          <w:szCs w:val="18"/>
          <w:highlight w:val="none"/>
        </w:rPr>
        <w:t>）</w:t>
      </w:r>
    </w:p>
    <w:p w14:paraId="76A3B92B">
      <w:pPr>
        <w:ind w:firstLine="444"/>
        <w:rPr>
          <w:rFonts w:ascii="Times New Roman" w:hAnsi="Times New Roman" w:cs="Times New Roman"/>
          <w:color w:val="auto"/>
          <w:spacing w:val="6"/>
          <w:szCs w:val="21"/>
          <w:highlight w:val="none"/>
        </w:rPr>
      </w:pPr>
      <w:r>
        <w:rPr>
          <w:rFonts w:ascii="Times New Roman" w:hAnsi="Times New Roman" w:cs="Times New Roman"/>
          <w:color w:val="auto"/>
          <w:spacing w:val="6"/>
          <w:szCs w:val="21"/>
          <w:highlight w:val="none"/>
        </w:rPr>
        <w:t>本单位郑重声明，根据《财政部 民政部 中国残疾人联合会关于促进残疾人就业政府采购政策的通知》（财库</w:t>
      </w:r>
      <w:r>
        <w:rPr>
          <w:rFonts w:hint="eastAsia" w:ascii="Times New Roman" w:hAnsi="Times New Roman" w:cs="Times New Roman"/>
          <w:color w:val="auto"/>
          <w:spacing w:val="6"/>
          <w:szCs w:val="21"/>
          <w:highlight w:val="none"/>
        </w:rPr>
        <w:t>〔2017〕141号</w:t>
      </w:r>
      <w:r>
        <w:rPr>
          <w:rFonts w:ascii="Times New Roman" w:hAnsi="Times New Roman" w:cs="Times New Roman"/>
          <w:color w:val="auto"/>
          <w:spacing w:val="6"/>
          <w:szCs w:val="21"/>
          <w:highlight w:val="none"/>
        </w:rPr>
        <w:t>）的规定，本单位为符合条件的残疾人福利性单位，且本单位参加_____单位的_____项目采购活动提供本单位制造的货物（由本单位承担工程/提供服务），或者提供其他残疾人福利性单位制造的货物（不包括使用非残疾人福利性单位注册商标的货物）。</w:t>
      </w:r>
    </w:p>
    <w:p w14:paraId="7BFE4EB8">
      <w:pPr>
        <w:ind w:firstLine="444"/>
        <w:rPr>
          <w:rFonts w:ascii="Times New Roman" w:hAnsi="Times New Roman" w:cs="Times New Roman"/>
          <w:color w:val="auto"/>
          <w:spacing w:val="6"/>
          <w:szCs w:val="21"/>
          <w:highlight w:val="none"/>
        </w:rPr>
      </w:pPr>
      <w:r>
        <w:rPr>
          <w:rFonts w:ascii="Times New Roman" w:hAnsi="Times New Roman" w:cs="Times New Roman"/>
          <w:color w:val="auto"/>
          <w:spacing w:val="6"/>
          <w:szCs w:val="21"/>
          <w:highlight w:val="none"/>
        </w:rPr>
        <w:t>本单位对上述声明的真实性负责。如有虚假，将依法承担相应责任。</w:t>
      </w:r>
    </w:p>
    <w:p w14:paraId="0D86CB80">
      <w:pPr>
        <w:ind w:firstLine="444"/>
        <w:rPr>
          <w:rFonts w:ascii="Times New Roman" w:hAnsi="Times New Roman" w:cs="Times New Roman"/>
          <w:color w:val="auto"/>
          <w:spacing w:val="6"/>
          <w:szCs w:val="21"/>
          <w:highlight w:val="none"/>
        </w:rPr>
      </w:pPr>
    </w:p>
    <w:p w14:paraId="3EB09613">
      <w:pPr>
        <w:tabs>
          <w:tab w:val="left" w:pos="4860"/>
        </w:tabs>
        <w:ind w:right="1560" w:firstLine="422"/>
        <w:jc w:val="left"/>
        <w:rPr>
          <w:rFonts w:ascii="Times New Roman" w:hAnsi="Times New Roman" w:cs="Times New Roman"/>
          <w:b/>
          <w:bCs/>
          <w:color w:val="auto"/>
          <w:szCs w:val="20"/>
          <w:highlight w:val="none"/>
        </w:rPr>
      </w:pPr>
      <w:bookmarkStart w:id="881" w:name="OLE_LINK346"/>
      <w:bookmarkStart w:id="882" w:name="OLE_LINK119"/>
      <w:r>
        <w:rPr>
          <w:rFonts w:hint="eastAsia" w:ascii="Times New Roman" w:hAnsi="Times New Roman" w:cs="Times New Roman"/>
          <w:b/>
          <w:bCs/>
          <w:color w:val="auto"/>
          <w:szCs w:val="20"/>
          <w:highlight w:val="none"/>
        </w:rPr>
        <w:t>单位名称</w:t>
      </w:r>
      <w:bookmarkEnd w:id="881"/>
      <w:r>
        <w:rPr>
          <w:rFonts w:ascii="Times New Roman" w:hAnsi="Times New Roman" w:cs="Times New Roman"/>
          <w:b/>
          <w:bCs/>
          <w:color w:val="auto"/>
          <w:szCs w:val="20"/>
          <w:highlight w:val="none"/>
        </w:rPr>
        <w:t>（</w:t>
      </w:r>
      <w:r>
        <w:rPr>
          <w:rFonts w:hint="eastAsia" w:ascii="Times New Roman" w:hAnsi="Times New Roman" w:cs="Times New Roman"/>
          <w:b/>
          <w:bCs/>
          <w:color w:val="auto"/>
          <w:szCs w:val="20"/>
          <w:highlight w:val="none"/>
        </w:rPr>
        <w:t>盖章</w:t>
      </w:r>
      <w:r>
        <w:rPr>
          <w:rFonts w:ascii="Times New Roman" w:hAnsi="Times New Roman" w:cs="Times New Roman"/>
          <w:b/>
          <w:bCs/>
          <w:color w:val="auto"/>
          <w:szCs w:val="20"/>
          <w:highlight w:val="none"/>
        </w:rPr>
        <w:t>）：</w:t>
      </w:r>
    </w:p>
    <w:p w14:paraId="4E2A5725">
      <w:pPr>
        <w:tabs>
          <w:tab w:val="left" w:pos="4860"/>
        </w:tabs>
        <w:ind w:right="1560" w:firstLine="422"/>
        <w:jc w:val="left"/>
        <w:rPr>
          <w:rFonts w:ascii="Times New Roman" w:hAnsi="Times New Roman" w:cs="Times New Roman"/>
          <w:b/>
          <w:bCs/>
          <w:color w:val="auto"/>
          <w:szCs w:val="21"/>
          <w:highlight w:val="none"/>
          <w:u w:val="single"/>
        </w:rPr>
      </w:pPr>
      <w:r>
        <w:rPr>
          <w:rFonts w:ascii="Times New Roman" w:hAnsi="Times New Roman" w:cs="Times New Roman"/>
          <w:b/>
          <w:bCs/>
          <w:color w:val="auto"/>
          <w:szCs w:val="20"/>
          <w:highlight w:val="none"/>
        </w:rPr>
        <w:t>日期：</w:t>
      </w:r>
    </w:p>
    <w:bookmarkEnd w:id="882"/>
    <w:p w14:paraId="10E934AA">
      <w:pPr>
        <w:tabs>
          <w:tab w:val="left" w:pos="4860"/>
        </w:tabs>
        <w:ind w:right="1560" w:firstLine="444"/>
        <w:jc w:val="left"/>
        <w:rPr>
          <w:rFonts w:ascii="Times New Roman" w:hAnsi="Times New Roman" w:cs="Times New Roman"/>
          <w:color w:val="auto"/>
          <w:spacing w:val="6"/>
          <w:szCs w:val="21"/>
          <w:highlight w:val="none"/>
        </w:rPr>
      </w:pPr>
    </w:p>
    <w:p w14:paraId="2EF191FD">
      <w:pPr>
        <w:tabs>
          <w:tab w:val="left" w:pos="4860"/>
        </w:tabs>
        <w:ind w:right="-2" w:firstLine="446"/>
        <w:jc w:val="left"/>
        <w:rPr>
          <w:rFonts w:ascii="Times New Roman" w:hAnsi="Times New Roman" w:cs="Times New Roman"/>
          <w:color w:val="auto"/>
          <w:spacing w:val="6"/>
          <w:szCs w:val="21"/>
          <w:highlight w:val="none"/>
        </w:rPr>
      </w:pPr>
      <w:r>
        <w:rPr>
          <w:rFonts w:ascii="Times New Roman" w:hAnsi="Times New Roman" w:cs="Times New Roman"/>
          <w:b/>
          <w:color w:val="auto"/>
          <w:spacing w:val="6"/>
          <w:szCs w:val="21"/>
          <w:highlight w:val="none"/>
        </w:rPr>
        <w:t>注：符合条件的残疾人福利性单位在参加政府采购活动时，应当</w:t>
      </w:r>
      <w:r>
        <w:rPr>
          <w:rFonts w:ascii="Times New Roman" w:hAnsi="Times New Roman" w:cs="Times New Roman"/>
          <w:b/>
          <w:color w:val="auto"/>
          <w:szCs w:val="21"/>
          <w:highlight w:val="none"/>
        </w:rPr>
        <w:t>按《三部门联合发布关于促进残疾人就业政府采购政策的通知》（财库〔2017〕141号）</w:t>
      </w:r>
      <w:r>
        <w:rPr>
          <w:rFonts w:ascii="Times New Roman" w:hAnsi="Times New Roman" w:cs="Times New Roman"/>
          <w:b/>
          <w:color w:val="auto"/>
          <w:spacing w:val="6"/>
          <w:szCs w:val="21"/>
          <w:highlight w:val="none"/>
        </w:rPr>
        <w:t>提供规定的《残疾人福利性单位声明函》，并对声明的真实性负责。采购代理机构在随中标结果同时公告其《残疾人福利性单位声明函》，接受社会监督。投标人提供的《残疾人福利性单位声明函》与事实不符的，依照《</w:t>
      </w:r>
      <w:r>
        <w:rPr>
          <w:rFonts w:hint="eastAsia" w:ascii="Times New Roman" w:hAnsi="Times New Roman" w:cs="Times New Roman"/>
          <w:b/>
          <w:color w:val="auto"/>
          <w:spacing w:val="6"/>
          <w:szCs w:val="21"/>
          <w:highlight w:val="none"/>
        </w:rPr>
        <w:t>中华人民共和国政府采购法</w:t>
      </w:r>
      <w:r>
        <w:rPr>
          <w:rFonts w:ascii="Times New Roman" w:hAnsi="Times New Roman" w:cs="Times New Roman"/>
          <w:b/>
          <w:color w:val="auto"/>
          <w:spacing w:val="6"/>
          <w:szCs w:val="21"/>
          <w:highlight w:val="none"/>
        </w:rPr>
        <w:t>》第七十七条第一款的规定追究法律责任。</w:t>
      </w:r>
      <w:r>
        <w:rPr>
          <w:rFonts w:ascii="Times New Roman" w:hAnsi="Times New Roman" w:cs="Times New Roman"/>
          <w:color w:val="auto"/>
          <w:spacing w:val="6"/>
          <w:szCs w:val="21"/>
          <w:highlight w:val="none"/>
        </w:rPr>
        <w:br w:type="page"/>
      </w:r>
    </w:p>
    <w:p w14:paraId="36B508F7">
      <w:pPr>
        <w:ind w:firstLine="0" w:firstLineChars="0"/>
        <w:jc w:val="center"/>
        <w:outlineLvl w:val="2"/>
        <w:rPr>
          <w:rFonts w:ascii="Times New Roman" w:hAnsi="Times New Roman" w:eastAsia="黑体" w:cs="Times New Roman"/>
          <w:color w:val="auto"/>
          <w:sz w:val="30"/>
          <w:szCs w:val="30"/>
          <w:highlight w:val="none"/>
        </w:rPr>
      </w:pPr>
      <w:bookmarkStart w:id="883" w:name="OLE_LINK238"/>
      <w:bookmarkStart w:id="884" w:name="_Toc49935373"/>
      <w:bookmarkStart w:id="885" w:name="_Toc68090094"/>
      <w:bookmarkStart w:id="886" w:name="_Toc78985522"/>
      <w:r>
        <w:rPr>
          <w:rFonts w:ascii="Times New Roman" w:hAnsi="Times New Roman" w:eastAsia="黑体" w:cs="Times New Roman"/>
          <w:color w:val="auto"/>
          <w:sz w:val="30"/>
          <w:szCs w:val="30"/>
          <w:highlight w:val="none"/>
        </w:rPr>
        <w:t>政府优先采购的节能、环保产品</w:t>
      </w:r>
      <w:bookmarkEnd w:id="883"/>
      <w:r>
        <w:rPr>
          <w:rFonts w:ascii="Times New Roman" w:hAnsi="Times New Roman" w:eastAsia="黑体" w:cs="Times New Roman"/>
          <w:color w:val="auto"/>
          <w:sz w:val="30"/>
          <w:szCs w:val="30"/>
          <w:highlight w:val="none"/>
        </w:rPr>
        <w:t>汇总表</w:t>
      </w:r>
      <w:bookmarkEnd w:id="884"/>
      <w:bookmarkEnd w:id="885"/>
      <w:bookmarkEnd w:id="886"/>
    </w:p>
    <w:tbl>
      <w:tblPr>
        <w:tblStyle w:val="34"/>
        <w:tblW w:w="49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1328"/>
        <w:gridCol w:w="2753"/>
        <w:gridCol w:w="2492"/>
        <w:gridCol w:w="1911"/>
      </w:tblGrid>
      <w:tr w14:paraId="077090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797" w:type="dxa"/>
            <w:tcBorders>
              <w:tl2br w:val="nil"/>
              <w:tr2bl w:val="nil"/>
            </w:tcBorders>
            <w:vAlign w:val="center"/>
          </w:tcPr>
          <w:p w14:paraId="0D843906">
            <w:pPr>
              <w:ind w:firstLine="0" w:firstLineChars="0"/>
              <w:jc w:val="center"/>
              <w:rPr>
                <w:rFonts w:ascii="宋体" w:hAnsi="宋体" w:cs="宋体"/>
                <w:color w:val="auto"/>
                <w:szCs w:val="21"/>
                <w:highlight w:val="none"/>
              </w:rPr>
            </w:pPr>
            <w:bookmarkStart w:id="887" w:name="OLE_LINK235" w:colFirst="0" w:colLast="3"/>
            <w:bookmarkStart w:id="888" w:name="OLE_LINK229" w:colFirst="3" w:colLast="6"/>
            <w:bookmarkStart w:id="889" w:name="OLE_LINK227" w:colFirst="4" w:colLast="5"/>
            <w:bookmarkStart w:id="890" w:name="OLE_LINK228" w:colFirst="3" w:colLast="3"/>
            <w:r>
              <w:rPr>
                <w:rFonts w:hint="eastAsia" w:ascii="宋体" w:hAnsi="宋体" w:cs="宋体"/>
                <w:color w:val="auto"/>
                <w:sz w:val="24"/>
                <w:szCs w:val="24"/>
                <w:highlight w:val="none"/>
              </w:rPr>
              <w:t>序号</w:t>
            </w:r>
          </w:p>
        </w:tc>
        <w:tc>
          <w:tcPr>
            <w:tcW w:w="1328" w:type="dxa"/>
            <w:tcBorders>
              <w:tl2br w:val="nil"/>
              <w:tr2bl w:val="nil"/>
            </w:tcBorders>
            <w:vAlign w:val="center"/>
          </w:tcPr>
          <w:p w14:paraId="2A3474C2">
            <w:pPr>
              <w:ind w:firstLine="0" w:firstLineChars="0"/>
              <w:jc w:val="center"/>
              <w:rPr>
                <w:rFonts w:ascii="宋体" w:hAnsi="宋体" w:cs="宋体"/>
                <w:color w:val="auto"/>
                <w:szCs w:val="21"/>
                <w:highlight w:val="none"/>
              </w:rPr>
            </w:pPr>
            <w:r>
              <w:rPr>
                <w:rFonts w:hint="eastAsia" w:ascii="宋体" w:hAnsi="宋体" w:cs="宋体"/>
                <w:color w:val="auto"/>
                <w:sz w:val="24"/>
                <w:szCs w:val="24"/>
                <w:highlight w:val="none"/>
              </w:rPr>
              <w:t>产品名称</w:t>
            </w:r>
          </w:p>
        </w:tc>
        <w:tc>
          <w:tcPr>
            <w:tcW w:w="2753" w:type="dxa"/>
            <w:tcBorders>
              <w:tl2br w:val="nil"/>
              <w:tr2bl w:val="nil"/>
            </w:tcBorders>
            <w:vAlign w:val="center"/>
          </w:tcPr>
          <w:p w14:paraId="3920BB11">
            <w:pPr>
              <w:ind w:firstLine="0" w:firstLineChars="0"/>
              <w:jc w:val="center"/>
              <w:rPr>
                <w:rFonts w:ascii="宋体" w:hAnsi="宋体" w:cs="宋体"/>
                <w:color w:val="auto"/>
                <w:szCs w:val="21"/>
                <w:highlight w:val="none"/>
              </w:rPr>
            </w:pPr>
            <w:r>
              <w:rPr>
                <w:rFonts w:hint="eastAsia" w:ascii="宋体" w:hAnsi="宋体" w:cs="宋体"/>
                <w:color w:val="auto"/>
                <w:sz w:val="24"/>
                <w:szCs w:val="24"/>
                <w:highlight w:val="none"/>
              </w:rPr>
              <w:t>生产者 （制造商）</w:t>
            </w:r>
          </w:p>
        </w:tc>
        <w:tc>
          <w:tcPr>
            <w:tcW w:w="2492" w:type="dxa"/>
            <w:tcBorders>
              <w:tl2br w:val="nil"/>
              <w:tr2bl w:val="nil"/>
            </w:tcBorders>
            <w:vAlign w:val="center"/>
          </w:tcPr>
          <w:p w14:paraId="0F7EBCE1">
            <w:pPr>
              <w:ind w:firstLine="0" w:firstLineChars="0"/>
              <w:jc w:val="center"/>
              <w:rPr>
                <w:rFonts w:ascii="宋体" w:hAnsi="宋体" w:cs="宋体"/>
                <w:color w:val="auto"/>
                <w:szCs w:val="21"/>
                <w:highlight w:val="none"/>
              </w:rPr>
            </w:pPr>
            <w:r>
              <w:rPr>
                <w:rFonts w:ascii="宋体" w:hAnsi="宋体" w:cs="宋体"/>
                <w:color w:val="auto"/>
                <w:sz w:val="24"/>
                <w:szCs w:val="24"/>
                <w:highlight w:val="none"/>
              </w:rPr>
              <w:t>规格型号</w:t>
            </w:r>
          </w:p>
        </w:tc>
        <w:tc>
          <w:tcPr>
            <w:tcW w:w="1910" w:type="dxa"/>
            <w:tcBorders>
              <w:tl2br w:val="nil"/>
              <w:tr2bl w:val="nil"/>
            </w:tcBorders>
            <w:vAlign w:val="center"/>
          </w:tcPr>
          <w:p w14:paraId="6810E6DB">
            <w:pPr>
              <w:ind w:firstLine="0" w:firstLineChars="0"/>
              <w:jc w:val="center"/>
              <w:rPr>
                <w:rFonts w:ascii="宋体" w:hAnsi="宋体" w:cs="宋体"/>
                <w:color w:val="auto"/>
                <w:szCs w:val="21"/>
                <w:highlight w:val="none"/>
              </w:rPr>
            </w:pPr>
            <w:r>
              <w:rPr>
                <w:rFonts w:ascii="宋体" w:hAnsi="宋体" w:cs="宋体"/>
                <w:color w:val="auto"/>
                <w:sz w:val="24"/>
                <w:szCs w:val="24"/>
                <w:highlight w:val="none"/>
              </w:rPr>
              <w:t>证书编号</w:t>
            </w:r>
          </w:p>
        </w:tc>
      </w:tr>
      <w:bookmarkEnd w:id="887"/>
      <w:bookmarkEnd w:id="888"/>
      <w:tr w14:paraId="268F57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97" w:type="dxa"/>
            <w:tcBorders>
              <w:tl2br w:val="nil"/>
              <w:tr2bl w:val="nil"/>
            </w:tcBorders>
          </w:tcPr>
          <w:p w14:paraId="5D93242A">
            <w:pPr>
              <w:ind w:firstLine="0" w:firstLineChars="0"/>
              <w:jc w:val="center"/>
              <w:rPr>
                <w:rFonts w:ascii="Times New Roman" w:hAnsi="Times New Roman" w:eastAsia="黑体" w:cs="Times New Roman"/>
                <w:color w:val="auto"/>
                <w:sz w:val="30"/>
                <w:szCs w:val="30"/>
                <w:highlight w:val="none"/>
              </w:rPr>
            </w:pPr>
            <w:bookmarkStart w:id="891" w:name="OLE_LINK230" w:colFirst="3" w:colLast="6"/>
          </w:p>
        </w:tc>
        <w:tc>
          <w:tcPr>
            <w:tcW w:w="1328" w:type="dxa"/>
            <w:tcBorders>
              <w:tl2br w:val="nil"/>
              <w:tr2bl w:val="nil"/>
            </w:tcBorders>
          </w:tcPr>
          <w:p w14:paraId="63363329">
            <w:pPr>
              <w:ind w:firstLine="0" w:firstLineChars="0"/>
              <w:jc w:val="center"/>
              <w:rPr>
                <w:rFonts w:ascii="Times New Roman" w:hAnsi="Times New Roman" w:eastAsia="黑体" w:cs="Times New Roman"/>
                <w:color w:val="auto"/>
                <w:sz w:val="30"/>
                <w:szCs w:val="30"/>
                <w:highlight w:val="none"/>
              </w:rPr>
            </w:pPr>
          </w:p>
        </w:tc>
        <w:tc>
          <w:tcPr>
            <w:tcW w:w="2753" w:type="dxa"/>
            <w:tcBorders>
              <w:tl2br w:val="nil"/>
              <w:tr2bl w:val="nil"/>
            </w:tcBorders>
          </w:tcPr>
          <w:p w14:paraId="020357F9">
            <w:pPr>
              <w:ind w:firstLine="0" w:firstLineChars="0"/>
              <w:jc w:val="center"/>
              <w:rPr>
                <w:rFonts w:ascii="Times New Roman" w:hAnsi="Times New Roman" w:eastAsia="黑体" w:cs="Times New Roman"/>
                <w:color w:val="auto"/>
                <w:sz w:val="30"/>
                <w:szCs w:val="30"/>
                <w:highlight w:val="none"/>
              </w:rPr>
            </w:pPr>
          </w:p>
        </w:tc>
        <w:tc>
          <w:tcPr>
            <w:tcW w:w="2492" w:type="dxa"/>
            <w:tcBorders>
              <w:tl2br w:val="nil"/>
              <w:tr2bl w:val="nil"/>
            </w:tcBorders>
          </w:tcPr>
          <w:p w14:paraId="75432759">
            <w:pPr>
              <w:ind w:firstLine="0" w:firstLineChars="0"/>
              <w:jc w:val="center"/>
              <w:rPr>
                <w:rFonts w:ascii="Times New Roman" w:hAnsi="Times New Roman" w:eastAsia="黑体" w:cs="Times New Roman"/>
                <w:color w:val="auto"/>
                <w:sz w:val="30"/>
                <w:szCs w:val="30"/>
                <w:highlight w:val="none"/>
              </w:rPr>
            </w:pPr>
          </w:p>
        </w:tc>
        <w:tc>
          <w:tcPr>
            <w:tcW w:w="1910" w:type="dxa"/>
            <w:tcBorders>
              <w:tl2br w:val="nil"/>
              <w:tr2bl w:val="nil"/>
            </w:tcBorders>
          </w:tcPr>
          <w:p w14:paraId="4BBA4FB5">
            <w:pPr>
              <w:ind w:firstLine="0" w:firstLineChars="0"/>
              <w:jc w:val="center"/>
              <w:rPr>
                <w:rFonts w:ascii="Times New Roman" w:hAnsi="Times New Roman" w:eastAsia="黑体" w:cs="Times New Roman"/>
                <w:color w:val="auto"/>
                <w:sz w:val="30"/>
                <w:szCs w:val="30"/>
                <w:highlight w:val="none"/>
              </w:rPr>
            </w:pPr>
          </w:p>
        </w:tc>
      </w:tr>
      <w:bookmarkEnd w:id="891"/>
      <w:tr w14:paraId="46750B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97" w:type="dxa"/>
            <w:tcBorders>
              <w:tl2br w:val="nil"/>
              <w:tr2bl w:val="nil"/>
            </w:tcBorders>
          </w:tcPr>
          <w:p w14:paraId="4EDFC6D2">
            <w:pPr>
              <w:ind w:firstLine="0" w:firstLineChars="0"/>
              <w:jc w:val="center"/>
              <w:rPr>
                <w:rFonts w:ascii="Times New Roman" w:hAnsi="Times New Roman" w:eastAsia="黑体" w:cs="Times New Roman"/>
                <w:color w:val="auto"/>
                <w:sz w:val="30"/>
                <w:szCs w:val="30"/>
                <w:highlight w:val="none"/>
              </w:rPr>
            </w:pPr>
            <w:bookmarkStart w:id="892" w:name="OLE_LINK231" w:colFirst="3" w:colLast="6"/>
          </w:p>
        </w:tc>
        <w:tc>
          <w:tcPr>
            <w:tcW w:w="1328" w:type="dxa"/>
            <w:tcBorders>
              <w:tl2br w:val="nil"/>
              <w:tr2bl w:val="nil"/>
            </w:tcBorders>
          </w:tcPr>
          <w:p w14:paraId="1B9F6515">
            <w:pPr>
              <w:ind w:firstLine="0" w:firstLineChars="0"/>
              <w:jc w:val="center"/>
              <w:rPr>
                <w:rFonts w:ascii="Times New Roman" w:hAnsi="Times New Roman" w:eastAsia="黑体" w:cs="Times New Roman"/>
                <w:color w:val="auto"/>
                <w:sz w:val="30"/>
                <w:szCs w:val="30"/>
                <w:highlight w:val="none"/>
              </w:rPr>
            </w:pPr>
          </w:p>
        </w:tc>
        <w:tc>
          <w:tcPr>
            <w:tcW w:w="2753" w:type="dxa"/>
            <w:tcBorders>
              <w:tl2br w:val="nil"/>
              <w:tr2bl w:val="nil"/>
            </w:tcBorders>
          </w:tcPr>
          <w:p w14:paraId="0DFE82F9">
            <w:pPr>
              <w:ind w:firstLine="0" w:firstLineChars="0"/>
              <w:jc w:val="center"/>
              <w:rPr>
                <w:rFonts w:ascii="Times New Roman" w:hAnsi="Times New Roman" w:eastAsia="黑体" w:cs="Times New Roman"/>
                <w:color w:val="auto"/>
                <w:sz w:val="30"/>
                <w:szCs w:val="30"/>
                <w:highlight w:val="none"/>
              </w:rPr>
            </w:pPr>
          </w:p>
        </w:tc>
        <w:tc>
          <w:tcPr>
            <w:tcW w:w="2492" w:type="dxa"/>
            <w:tcBorders>
              <w:tl2br w:val="nil"/>
              <w:tr2bl w:val="nil"/>
            </w:tcBorders>
          </w:tcPr>
          <w:p w14:paraId="3830A046">
            <w:pPr>
              <w:ind w:firstLine="0" w:firstLineChars="0"/>
              <w:jc w:val="center"/>
              <w:rPr>
                <w:rFonts w:ascii="Times New Roman" w:hAnsi="Times New Roman" w:eastAsia="黑体" w:cs="Times New Roman"/>
                <w:color w:val="auto"/>
                <w:sz w:val="30"/>
                <w:szCs w:val="30"/>
                <w:highlight w:val="none"/>
              </w:rPr>
            </w:pPr>
          </w:p>
        </w:tc>
        <w:tc>
          <w:tcPr>
            <w:tcW w:w="1910" w:type="dxa"/>
            <w:tcBorders>
              <w:tl2br w:val="nil"/>
              <w:tr2bl w:val="nil"/>
            </w:tcBorders>
          </w:tcPr>
          <w:p w14:paraId="780C6030">
            <w:pPr>
              <w:ind w:firstLine="0" w:firstLineChars="0"/>
              <w:jc w:val="center"/>
              <w:rPr>
                <w:rFonts w:ascii="Times New Roman" w:hAnsi="Times New Roman" w:eastAsia="黑体" w:cs="Times New Roman"/>
                <w:color w:val="auto"/>
                <w:sz w:val="30"/>
                <w:szCs w:val="30"/>
                <w:highlight w:val="none"/>
              </w:rPr>
            </w:pPr>
          </w:p>
        </w:tc>
      </w:tr>
      <w:bookmarkEnd w:id="892"/>
      <w:tr w14:paraId="5D70ED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97" w:type="dxa"/>
            <w:tcBorders>
              <w:tl2br w:val="nil"/>
              <w:tr2bl w:val="nil"/>
            </w:tcBorders>
          </w:tcPr>
          <w:p w14:paraId="09499F05">
            <w:pPr>
              <w:ind w:firstLine="0" w:firstLineChars="0"/>
              <w:jc w:val="center"/>
              <w:rPr>
                <w:rFonts w:ascii="Times New Roman" w:hAnsi="Times New Roman" w:eastAsia="黑体" w:cs="Times New Roman"/>
                <w:color w:val="auto"/>
                <w:sz w:val="30"/>
                <w:szCs w:val="30"/>
                <w:highlight w:val="none"/>
              </w:rPr>
            </w:pPr>
            <w:bookmarkStart w:id="893" w:name="OLE_LINK232" w:colFirst="3" w:colLast="6"/>
          </w:p>
        </w:tc>
        <w:tc>
          <w:tcPr>
            <w:tcW w:w="1328" w:type="dxa"/>
            <w:tcBorders>
              <w:tl2br w:val="nil"/>
              <w:tr2bl w:val="nil"/>
            </w:tcBorders>
          </w:tcPr>
          <w:p w14:paraId="0FDFC02C">
            <w:pPr>
              <w:ind w:firstLine="0" w:firstLineChars="0"/>
              <w:jc w:val="center"/>
              <w:rPr>
                <w:rFonts w:ascii="Times New Roman" w:hAnsi="Times New Roman" w:eastAsia="黑体" w:cs="Times New Roman"/>
                <w:color w:val="auto"/>
                <w:sz w:val="30"/>
                <w:szCs w:val="30"/>
                <w:highlight w:val="none"/>
              </w:rPr>
            </w:pPr>
          </w:p>
        </w:tc>
        <w:tc>
          <w:tcPr>
            <w:tcW w:w="2753" w:type="dxa"/>
            <w:tcBorders>
              <w:tl2br w:val="nil"/>
              <w:tr2bl w:val="nil"/>
            </w:tcBorders>
          </w:tcPr>
          <w:p w14:paraId="6CC400D4">
            <w:pPr>
              <w:ind w:firstLine="0" w:firstLineChars="0"/>
              <w:jc w:val="center"/>
              <w:rPr>
                <w:rFonts w:ascii="Times New Roman" w:hAnsi="Times New Roman" w:eastAsia="黑体" w:cs="Times New Roman"/>
                <w:color w:val="auto"/>
                <w:sz w:val="30"/>
                <w:szCs w:val="30"/>
                <w:highlight w:val="none"/>
              </w:rPr>
            </w:pPr>
          </w:p>
        </w:tc>
        <w:tc>
          <w:tcPr>
            <w:tcW w:w="2492" w:type="dxa"/>
            <w:tcBorders>
              <w:tl2br w:val="nil"/>
              <w:tr2bl w:val="nil"/>
            </w:tcBorders>
          </w:tcPr>
          <w:p w14:paraId="7F73EAFB">
            <w:pPr>
              <w:ind w:firstLine="0" w:firstLineChars="0"/>
              <w:jc w:val="center"/>
              <w:rPr>
                <w:rFonts w:ascii="Times New Roman" w:hAnsi="Times New Roman" w:eastAsia="黑体" w:cs="Times New Roman"/>
                <w:color w:val="auto"/>
                <w:sz w:val="30"/>
                <w:szCs w:val="30"/>
                <w:highlight w:val="none"/>
              </w:rPr>
            </w:pPr>
          </w:p>
        </w:tc>
        <w:tc>
          <w:tcPr>
            <w:tcW w:w="1910" w:type="dxa"/>
            <w:tcBorders>
              <w:tl2br w:val="nil"/>
              <w:tr2bl w:val="nil"/>
            </w:tcBorders>
          </w:tcPr>
          <w:p w14:paraId="14CFC9F1">
            <w:pPr>
              <w:ind w:firstLine="0" w:firstLineChars="0"/>
              <w:jc w:val="center"/>
              <w:rPr>
                <w:rFonts w:ascii="Times New Roman" w:hAnsi="Times New Roman" w:eastAsia="黑体" w:cs="Times New Roman"/>
                <w:color w:val="auto"/>
                <w:sz w:val="30"/>
                <w:szCs w:val="30"/>
                <w:highlight w:val="none"/>
              </w:rPr>
            </w:pPr>
          </w:p>
        </w:tc>
      </w:tr>
      <w:bookmarkEnd w:id="893"/>
      <w:tr w14:paraId="3A35E5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97" w:type="dxa"/>
            <w:tcBorders>
              <w:tl2br w:val="nil"/>
              <w:tr2bl w:val="nil"/>
            </w:tcBorders>
          </w:tcPr>
          <w:p w14:paraId="3D90B5B5">
            <w:pPr>
              <w:ind w:firstLine="0" w:firstLineChars="0"/>
              <w:jc w:val="center"/>
              <w:rPr>
                <w:rFonts w:ascii="Times New Roman" w:hAnsi="Times New Roman" w:eastAsia="黑体" w:cs="Times New Roman"/>
                <w:color w:val="auto"/>
                <w:sz w:val="30"/>
                <w:szCs w:val="30"/>
                <w:highlight w:val="none"/>
              </w:rPr>
            </w:pPr>
            <w:bookmarkStart w:id="894" w:name="OLE_LINK233" w:colFirst="3" w:colLast="6"/>
          </w:p>
        </w:tc>
        <w:tc>
          <w:tcPr>
            <w:tcW w:w="1328" w:type="dxa"/>
            <w:tcBorders>
              <w:tl2br w:val="nil"/>
              <w:tr2bl w:val="nil"/>
            </w:tcBorders>
          </w:tcPr>
          <w:p w14:paraId="4D1A3A56">
            <w:pPr>
              <w:ind w:firstLine="0" w:firstLineChars="0"/>
              <w:jc w:val="center"/>
              <w:rPr>
                <w:rFonts w:ascii="Times New Roman" w:hAnsi="Times New Roman" w:eastAsia="黑体" w:cs="Times New Roman"/>
                <w:color w:val="auto"/>
                <w:sz w:val="30"/>
                <w:szCs w:val="30"/>
                <w:highlight w:val="none"/>
              </w:rPr>
            </w:pPr>
          </w:p>
        </w:tc>
        <w:tc>
          <w:tcPr>
            <w:tcW w:w="2753" w:type="dxa"/>
            <w:tcBorders>
              <w:tl2br w:val="nil"/>
              <w:tr2bl w:val="nil"/>
            </w:tcBorders>
          </w:tcPr>
          <w:p w14:paraId="2E09FA52">
            <w:pPr>
              <w:ind w:firstLine="0" w:firstLineChars="0"/>
              <w:jc w:val="center"/>
              <w:rPr>
                <w:rFonts w:ascii="Times New Roman" w:hAnsi="Times New Roman" w:eastAsia="黑体" w:cs="Times New Roman"/>
                <w:color w:val="auto"/>
                <w:sz w:val="30"/>
                <w:szCs w:val="30"/>
                <w:highlight w:val="none"/>
              </w:rPr>
            </w:pPr>
          </w:p>
        </w:tc>
        <w:tc>
          <w:tcPr>
            <w:tcW w:w="2492" w:type="dxa"/>
            <w:tcBorders>
              <w:tl2br w:val="nil"/>
              <w:tr2bl w:val="nil"/>
            </w:tcBorders>
          </w:tcPr>
          <w:p w14:paraId="1A5FAEC9">
            <w:pPr>
              <w:ind w:firstLine="0" w:firstLineChars="0"/>
              <w:jc w:val="center"/>
              <w:rPr>
                <w:rFonts w:ascii="Times New Roman" w:hAnsi="Times New Roman" w:eastAsia="黑体" w:cs="Times New Roman"/>
                <w:color w:val="auto"/>
                <w:sz w:val="30"/>
                <w:szCs w:val="30"/>
                <w:highlight w:val="none"/>
              </w:rPr>
            </w:pPr>
          </w:p>
        </w:tc>
        <w:tc>
          <w:tcPr>
            <w:tcW w:w="1910" w:type="dxa"/>
            <w:tcBorders>
              <w:tl2br w:val="nil"/>
              <w:tr2bl w:val="nil"/>
            </w:tcBorders>
          </w:tcPr>
          <w:p w14:paraId="549A2820">
            <w:pPr>
              <w:ind w:firstLine="0" w:firstLineChars="0"/>
              <w:jc w:val="center"/>
              <w:rPr>
                <w:rFonts w:ascii="Times New Roman" w:hAnsi="Times New Roman" w:eastAsia="黑体" w:cs="Times New Roman"/>
                <w:color w:val="auto"/>
                <w:sz w:val="30"/>
                <w:szCs w:val="30"/>
                <w:highlight w:val="none"/>
              </w:rPr>
            </w:pPr>
          </w:p>
        </w:tc>
      </w:tr>
      <w:bookmarkEnd w:id="894"/>
      <w:tr w14:paraId="073E41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97" w:type="dxa"/>
            <w:tcBorders>
              <w:tl2br w:val="nil"/>
              <w:tr2bl w:val="nil"/>
            </w:tcBorders>
          </w:tcPr>
          <w:p w14:paraId="0A972B62">
            <w:pPr>
              <w:ind w:firstLine="0" w:firstLineChars="0"/>
              <w:jc w:val="center"/>
              <w:rPr>
                <w:rFonts w:ascii="Times New Roman" w:hAnsi="Times New Roman" w:eastAsia="黑体" w:cs="Times New Roman"/>
                <w:color w:val="auto"/>
                <w:sz w:val="30"/>
                <w:szCs w:val="30"/>
                <w:highlight w:val="none"/>
              </w:rPr>
            </w:pPr>
            <w:bookmarkStart w:id="895" w:name="OLE_LINK234" w:colFirst="3" w:colLast="6"/>
          </w:p>
        </w:tc>
        <w:tc>
          <w:tcPr>
            <w:tcW w:w="1328" w:type="dxa"/>
            <w:tcBorders>
              <w:tl2br w:val="nil"/>
              <w:tr2bl w:val="nil"/>
            </w:tcBorders>
          </w:tcPr>
          <w:p w14:paraId="3E621DCF">
            <w:pPr>
              <w:ind w:firstLine="0" w:firstLineChars="0"/>
              <w:jc w:val="center"/>
              <w:rPr>
                <w:rFonts w:ascii="Times New Roman" w:hAnsi="Times New Roman" w:eastAsia="黑体" w:cs="Times New Roman"/>
                <w:color w:val="auto"/>
                <w:sz w:val="30"/>
                <w:szCs w:val="30"/>
                <w:highlight w:val="none"/>
              </w:rPr>
            </w:pPr>
          </w:p>
        </w:tc>
        <w:tc>
          <w:tcPr>
            <w:tcW w:w="2753" w:type="dxa"/>
            <w:tcBorders>
              <w:tl2br w:val="nil"/>
              <w:tr2bl w:val="nil"/>
            </w:tcBorders>
          </w:tcPr>
          <w:p w14:paraId="38218071">
            <w:pPr>
              <w:ind w:firstLine="0" w:firstLineChars="0"/>
              <w:jc w:val="center"/>
              <w:rPr>
                <w:rFonts w:ascii="Times New Roman" w:hAnsi="Times New Roman" w:eastAsia="黑体" w:cs="Times New Roman"/>
                <w:color w:val="auto"/>
                <w:sz w:val="30"/>
                <w:szCs w:val="30"/>
                <w:highlight w:val="none"/>
              </w:rPr>
            </w:pPr>
          </w:p>
        </w:tc>
        <w:tc>
          <w:tcPr>
            <w:tcW w:w="2492" w:type="dxa"/>
            <w:tcBorders>
              <w:tl2br w:val="nil"/>
              <w:tr2bl w:val="nil"/>
            </w:tcBorders>
          </w:tcPr>
          <w:p w14:paraId="70667FD0">
            <w:pPr>
              <w:ind w:firstLine="0" w:firstLineChars="0"/>
              <w:jc w:val="center"/>
              <w:rPr>
                <w:rFonts w:ascii="Times New Roman" w:hAnsi="Times New Roman" w:eastAsia="黑体" w:cs="Times New Roman"/>
                <w:color w:val="auto"/>
                <w:sz w:val="30"/>
                <w:szCs w:val="30"/>
                <w:highlight w:val="none"/>
              </w:rPr>
            </w:pPr>
          </w:p>
        </w:tc>
        <w:tc>
          <w:tcPr>
            <w:tcW w:w="1910" w:type="dxa"/>
            <w:tcBorders>
              <w:tl2br w:val="nil"/>
              <w:tr2bl w:val="nil"/>
            </w:tcBorders>
          </w:tcPr>
          <w:p w14:paraId="3198FCAB">
            <w:pPr>
              <w:ind w:firstLine="0" w:firstLineChars="0"/>
              <w:jc w:val="center"/>
              <w:rPr>
                <w:rFonts w:ascii="Times New Roman" w:hAnsi="Times New Roman" w:eastAsia="黑体" w:cs="Times New Roman"/>
                <w:color w:val="auto"/>
                <w:sz w:val="30"/>
                <w:szCs w:val="30"/>
                <w:highlight w:val="none"/>
              </w:rPr>
            </w:pPr>
          </w:p>
        </w:tc>
      </w:tr>
      <w:bookmarkEnd w:id="889"/>
      <w:bookmarkEnd w:id="890"/>
      <w:bookmarkEnd w:id="895"/>
    </w:tbl>
    <w:p w14:paraId="3496415A">
      <w:pPr>
        <w:ind w:firstLine="420"/>
        <w:jc w:val="left"/>
        <w:rPr>
          <w:rFonts w:ascii="Times New Roman" w:hAnsi="Times New Roman" w:cs="Times New Roman"/>
          <w:color w:val="auto"/>
          <w:szCs w:val="21"/>
          <w:highlight w:val="none"/>
        </w:rPr>
      </w:pPr>
      <w:r>
        <w:rPr>
          <w:rFonts w:ascii="Times New Roman" w:hAnsi="Times New Roman" w:cs="Times New Roman"/>
          <w:color w:val="auto"/>
          <w:kern w:val="0"/>
          <w:szCs w:val="21"/>
          <w:highlight w:val="none"/>
        </w:rPr>
        <w:t>注：</w:t>
      </w:r>
      <w:r>
        <w:rPr>
          <w:rFonts w:hint="eastAsia" w:ascii="Times New Roman" w:hAnsi="Times New Roman" w:cs="Times New Roman"/>
          <w:color w:val="auto"/>
          <w:kern w:val="0"/>
          <w:szCs w:val="21"/>
          <w:highlight w:val="none"/>
        </w:rPr>
        <w:t>1、</w:t>
      </w:r>
      <w:r>
        <w:rPr>
          <w:rFonts w:ascii="Times New Roman" w:hAnsi="Times New Roman" w:cs="Times New Roman"/>
          <w:color w:val="auto"/>
          <w:szCs w:val="21"/>
          <w:highlight w:val="none"/>
        </w:rPr>
        <w:t>若</w:t>
      </w:r>
      <w:r>
        <w:rPr>
          <w:rFonts w:hint="eastAsia" w:ascii="Times New Roman" w:hAnsi="Times New Roman" w:cs="Times New Roman"/>
          <w:color w:val="auto"/>
          <w:szCs w:val="21"/>
          <w:highlight w:val="none"/>
        </w:rPr>
        <w:t>所</w:t>
      </w:r>
      <w:bookmarkStart w:id="896" w:name="OLE_LINK236"/>
      <w:r>
        <w:rPr>
          <w:rFonts w:hint="eastAsia" w:ascii="Times New Roman" w:hAnsi="Times New Roman" w:cs="Times New Roman"/>
          <w:color w:val="auto"/>
          <w:szCs w:val="21"/>
          <w:highlight w:val="none"/>
        </w:rPr>
        <w:t>投</w:t>
      </w:r>
      <w:r>
        <w:rPr>
          <w:rFonts w:ascii="Times New Roman" w:hAnsi="Times New Roman" w:cs="Times New Roman"/>
          <w:color w:val="auto"/>
          <w:szCs w:val="21"/>
          <w:highlight w:val="none"/>
        </w:rPr>
        <w:t>产品为</w:t>
      </w:r>
      <w:r>
        <w:rPr>
          <w:rFonts w:ascii="Times New Roman" w:hAnsi="Times New Roman" w:cs="Times New Roman"/>
          <w:b/>
          <w:bCs/>
          <w:color w:val="auto"/>
          <w:szCs w:val="21"/>
          <w:highlight w:val="none"/>
        </w:rPr>
        <w:t>政府采购品目清单</w:t>
      </w:r>
      <w:r>
        <w:rPr>
          <w:rFonts w:ascii="Times New Roman" w:hAnsi="Times New Roman" w:cs="Times New Roman"/>
          <w:color w:val="auto"/>
          <w:szCs w:val="21"/>
          <w:highlight w:val="none"/>
        </w:rPr>
        <w:t>内的节能、环保产品，</w:t>
      </w:r>
      <w:r>
        <w:rPr>
          <w:rFonts w:hint="eastAsia" w:ascii="Times New Roman" w:hAnsi="Times New Roman" w:cs="Times New Roman"/>
          <w:color w:val="auto"/>
          <w:szCs w:val="21"/>
          <w:highlight w:val="none"/>
        </w:rPr>
        <w:t>应</w:t>
      </w:r>
      <w:r>
        <w:rPr>
          <w:rFonts w:hint="eastAsia" w:ascii="Times New Roman" w:hAnsi="Times New Roman" w:cs="Times New Roman"/>
          <w:b/>
          <w:color w:val="auto"/>
          <w:kern w:val="0"/>
          <w:szCs w:val="21"/>
          <w:highlight w:val="none"/>
        </w:rPr>
        <w:t>提供</w:t>
      </w:r>
      <w:r>
        <w:rPr>
          <w:rFonts w:hint="eastAsia" w:ascii="宋体" w:hAnsi="宋体" w:cs="宋体"/>
          <w:b/>
          <w:bCs/>
          <w:color w:val="auto"/>
          <w:szCs w:val="21"/>
          <w:highlight w:val="none"/>
        </w:rPr>
        <w:t>处于有效期之内的节能产品、环境标志产品认证证书</w:t>
      </w:r>
      <w:r>
        <w:rPr>
          <w:rFonts w:hint="eastAsia" w:ascii="宋体" w:hAnsi="宋体" w:cs="宋体"/>
          <w:color w:val="auto"/>
          <w:szCs w:val="21"/>
          <w:highlight w:val="none"/>
        </w:rPr>
        <w:t>（认证机构须为国家相关部门公布的认证机构名录内单位）</w:t>
      </w:r>
      <w:r>
        <w:rPr>
          <w:rFonts w:hint="eastAsia" w:ascii="宋体" w:hAnsi="宋体" w:cs="宋体"/>
          <w:bCs/>
          <w:color w:val="auto"/>
          <w:szCs w:val="21"/>
          <w:highlight w:val="none"/>
        </w:rPr>
        <w:t>（</w:t>
      </w:r>
      <w:r>
        <w:rPr>
          <w:rFonts w:hint="eastAsia" w:ascii="宋体" w:hAnsi="宋体" w:cs="宋体"/>
          <w:b/>
          <w:bCs/>
          <w:color w:val="auto"/>
          <w:szCs w:val="21"/>
          <w:highlight w:val="none"/>
        </w:rPr>
        <w:t>提供</w:t>
      </w:r>
      <w:r>
        <w:rPr>
          <w:rFonts w:hint="eastAsia" w:ascii="宋体" w:hAnsi="宋体" w:cs="宋体"/>
          <w:b/>
          <w:color w:val="auto"/>
          <w:szCs w:val="21"/>
          <w:highlight w:val="none"/>
        </w:rPr>
        <w:t>扫描件或照片等形式的电子文件</w:t>
      </w:r>
      <w:r>
        <w:rPr>
          <w:rFonts w:hint="eastAsia" w:ascii="宋体" w:hAnsi="宋体" w:cs="宋体"/>
          <w:bCs/>
          <w:color w:val="auto"/>
          <w:szCs w:val="21"/>
          <w:highlight w:val="none"/>
        </w:rPr>
        <w:t>）</w:t>
      </w:r>
      <w:r>
        <w:rPr>
          <w:rFonts w:hint="eastAsia" w:ascii="Times New Roman" w:hAnsi="Times New Roman" w:cs="Times New Roman"/>
          <w:color w:val="auto"/>
          <w:szCs w:val="21"/>
          <w:highlight w:val="none"/>
        </w:rPr>
        <w:t>。</w:t>
      </w:r>
      <w:bookmarkEnd w:id="896"/>
    </w:p>
    <w:p w14:paraId="11BF7040">
      <w:pPr>
        <w:ind w:firstLine="420"/>
        <w:jc w:val="left"/>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2、</w:t>
      </w:r>
      <w:bookmarkStart w:id="897" w:name="OLE_LINK289"/>
      <w:r>
        <w:rPr>
          <w:rFonts w:ascii="Times New Roman" w:hAnsi="Times New Roman" w:cs="Times New Roman"/>
          <w:color w:val="auto"/>
          <w:szCs w:val="24"/>
          <w:highlight w:val="none"/>
        </w:rPr>
        <w:t>此表由投标人按实际情况编制，若无政府优先采购的节能、环保产品则此表可不提供</w:t>
      </w:r>
      <w:bookmarkEnd w:id="897"/>
      <w:r>
        <w:rPr>
          <w:rFonts w:ascii="Times New Roman" w:hAnsi="Times New Roman" w:cs="Times New Roman"/>
          <w:color w:val="auto"/>
          <w:szCs w:val="24"/>
          <w:highlight w:val="none"/>
        </w:rPr>
        <w:t>。</w:t>
      </w:r>
    </w:p>
    <w:p w14:paraId="7A654A24">
      <w:pPr>
        <w:ind w:firstLine="0" w:firstLineChars="0"/>
        <w:rPr>
          <w:color w:val="auto"/>
          <w:highlight w:val="none"/>
        </w:rPr>
      </w:pPr>
    </w:p>
    <w:p w14:paraId="053E4101">
      <w:pPr>
        <w:ind w:firstLine="420"/>
        <w:rPr>
          <w:color w:val="auto"/>
          <w:highlight w:val="none"/>
        </w:rPr>
      </w:pPr>
      <w:r>
        <w:rPr>
          <w:color w:val="auto"/>
          <w:highlight w:val="none"/>
        </w:rPr>
        <w:br w:type="page"/>
      </w:r>
    </w:p>
    <w:bookmarkEnd w:id="753"/>
    <w:bookmarkEnd w:id="867"/>
    <w:bookmarkEnd w:id="868"/>
    <w:bookmarkEnd w:id="869"/>
    <w:bookmarkEnd w:id="870"/>
    <w:bookmarkEnd w:id="871"/>
    <w:p w14:paraId="6E827FA1">
      <w:pPr>
        <w:pStyle w:val="2"/>
        <w:spacing w:before="156"/>
        <w:rPr>
          <w:rFonts w:ascii="Times New Roman" w:hAnsi="Times New Roman" w:cs="Times New Roman"/>
          <w:color w:val="auto"/>
          <w:highlight w:val="none"/>
        </w:rPr>
      </w:pPr>
      <w:bookmarkStart w:id="898" w:name="_Toc489145771"/>
      <w:bookmarkStart w:id="899" w:name="_Toc38338338"/>
      <w:bookmarkStart w:id="900" w:name="_Toc16410"/>
      <w:r>
        <w:rPr>
          <w:rFonts w:ascii="Times New Roman" w:hAnsi="Times New Roman" w:cs="Times New Roman"/>
          <w:color w:val="auto"/>
          <w:highlight w:val="none"/>
        </w:rPr>
        <w:t>第五章 采购需求</w:t>
      </w:r>
      <w:bookmarkEnd w:id="898"/>
      <w:bookmarkEnd w:id="899"/>
      <w:bookmarkEnd w:id="900"/>
    </w:p>
    <w:p w14:paraId="2CF2AD68">
      <w:pPr>
        <w:ind w:firstLine="422"/>
        <w:rPr>
          <w:rFonts w:ascii="宋体" w:hAnsi="宋体" w:cs="宋体"/>
          <w:b/>
          <w:bCs/>
          <w:color w:val="auto"/>
          <w:szCs w:val="21"/>
          <w:highlight w:val="none"/>
        </w:rPr>
      </w:pPr>
      <w:bookmarkStart w:id="901" w:name="OLE_LINK158"/>
      <w:r>
        <w:rPr>
          <w:rFonts w:hint="eastAsia" w:ascii="宋体" w:hAnsi="宋体" w:cs="宋体"/>
          <w:b/>
          <w:bCs/>
          <w:color w:val="auto"/>
          <w:szCs w:val="21"/>
          <w:highlight w:val="none"/>
        </w:rPr>
        <w:t>说明：</w:t>
      </w:r>
    </w:p>
    <w:p w14:paraId="62147237">
      <w:pPr>
        <w:ind w:firstLine="420"/>
        <w:rPr>
          <w:rFonts w:ascii="宋体" w:hAnsi="宋体" w:cs="宋体"/>
          <w:color w:val="auto"/>
          <w:szCs w:val="21"/>
          <w:highlight w:val="none"/>
        </w:rPr>
      </w:pPr>
      <w:r>
        <w:rPr>
          <w:rFonts w:hint="eastAsia" w:ascii="宋体" w:hAnsi="宋体" w:cs="宋体"/>
          <w:color w:val="auto"/>
          <w:szCs w:val="21"/>
          <w:highlight w:val="none"/>
        </w:rPr>
        <w:t>1.各投标人必须对招标文件第五章《采购需求》中的规格、技术条款和性能要求作出全面、真实的反映，若投标文件中未对招标文件第五章《采购需求》中的规格、技术条款和性能要求作出全面、真实的反映，而投标人又未在投标文件中作出说明和解释的，评标委员会在评审时可以视为不响应该条规格、技术条款和性能要求。</w:t>
      </w:r>
    </w:p>
    <w:p w14:paraId="5246FA64">
      <w:pPr>
        <w:ind w:firstLine="420"/>
        <w:rPr>
          <w:rFonts w:ascii="宋体" w:hAnsi="宋体" w:cs="宋体"/>
          <w:color w:val="auto"/>
          <w:szCs w:val="21"/>
          <w:highlight w:val="none"/>
        </w:rPr>
      </w:pPr>
      <w:r>
        <w:rPr>
          <w:rFonts w:hint="eastAsia" w:ascii="宋体" w:hAnsi="宋体" w:cs="宋体"/>
          <w:color w:val="auto"/>
          <w:szCs w:val="21"/>
          <w:highlight w:val="none"/>
        </w:rPr>
        <w:t>2.本章各项规格、技术条款和性能要求如出现引用某一特定的专利技术、商标、名称、设计、原产地或供应者等情况，则仅起参考作用。投标人可选用实质上“相当于”或“优于”该参考规格、技术条款和性能要求的产品（服务）投标。</w:t>
      </w:r>
    </w:p>
    <w:p w14:paraId="7F656C6E">
      <w:pPr>
        <w:ind w:firstLine="420"/>
        <w:rPr>
          <w:rFonts w:ascii="宋体" w:hAnsi="宋体" w:cs="宋体"/>
          <w:color w:val="auto"/>
          <w:szCs w:val="21"/>
          <w:highlight w:val="none"/>
        </w:rPr>
      </w:pPr>
      <w:r>
        <w:rPr>
          <w:rFonts w:hint="eastAsia" w:ascii="宋体" w:hAnsi="宋体" w:cs="宋体"/>
          <w:color w:val="auto"/>
          <w:szCs w:val="21"/>
          <w:highlight w:val="none"/>
        </w:rPr>
        <w:t>3.投标人应保证其提供的货物或者服务在采购人使用期间不受第三方可能提出的侵犯其所有权、知识产权、商标权、专利权、著作权等相关权利的起诉。</w:t>
      </w:r>
      <w:bookmarkStart w:id="902" w:name="_Toc491307394"/>
      <w:bookmarkStart w:id="903" w:name="_Toc491307332"/>
    </w:p>
    <w:p w14:paraId="2E2EEBE7">
      <w:pPr>
        <w:ind w:firstLine="420"/>
        <w:rPr>
          <w:rFonts w:ascii="宋体" w:hAnsi="宋体" w:cs="宋体"/>
          <w:color w:val="auto"/>
          <w:szCs w:val="21"/>
          <w:highlight w:val="none"/>
        </w:rPr>
      </w:pPr>
      <w:r>
        <w:rPr>
          <w:rFonts w:hint="eastAsia" w:ascii="宋体" w:hAnsi="宋体" w:cs="宋体"/>
          <w:color w:val="auto"/>
          <w:szCs w:val="21"/>
          <w:highlight w:val="none"/>
        </w:rPr>
        <w:t>4.投标人应对在合同履行的过程中，涉及到采购人的工作信息等秘密内容进行保密。双方应共同对采购过程中涉及的技术情报和资料进行保密。</w:t>
      </w:r>
      <w:bookmarkEnd w:id="902"/>
      <w:bookmarkEnd w:id="903"/>
    </w:p>
    <w:p w14:paraId="1AFB72F2">
      <w:pPr>
        <w:ind w:firstLine="420"/>
        <w:rPr>
          <w:rFonts w:ascii="宋体" w:hAnsi="宋体" w:cs="宋体"/>
          <w:color w:val="auto"/>
          <w:szCs w:val="21"/>
          <w:highlight w:val="none"/>
        </w:rPr>
      </w:pPr>
      <w:r>
        <w:rPr>
          <w:rFonts w:hint="eastAsia" w:ascii="宋体" w:hAnsi="宋体" w:cs="宋体"/>
          <w:color w:val="auto"/>
          <w:szCs w:val="21"/>
          <w:highlight w:val="none"/>
        </w:rPr>
        <w:t>5.投标人应严格按照《中华人民共和国政府采购法》《中华人民共和国政府采购法实施条例》《政府采购货物和服务招标投标管理办法》（财政部令第87号）等有关法律、法规的规定进行投标，合同签订后采购人将按照中标人投标文件中所投货物或者服务进行验收，一旦发现虚假应标行为，取消该中标人的中标资格，并保留追究其法律责任的权利。</w:t>
      </w:r>
    </w:p>
    <w:p w14:paraId="44542316">
      <w:pPr>
        <w:ind w:firstLine="420"/>
        <w:rPr>
          <w:rFonts w:ascii="宋体" w:hAnsi="宋体" w:cs="宋体"/>
          <w:color w:val="auto"/>
          <w:szCs w:val="21"/>
          <w:highlight w:val="none"/>
        </w:rPr>
      </w:pPr>
      <w:r>
        <w:rPr>
          <w:rFonts w:hint="eastAsia" w:ascii="宋体" w:hAnsi="宋体" w:cs="宋体"/>
          <w:color w:val="auto"/>
          <w:szCs w:val="21"/>
          <w:highlight w:val="none"/>
        </w:rPr>
        <w:t>6.本文件的解释权属于采购人、采购代理机构。</w:t>
      </w:r>
    </w:p>
    <w:p w14:paraId="4E10F860">
      <w:pPr>
        <w:ind w:firstLine="420"/>
        <w:rPr>
          <w:rFonts w:ascii="宋体" w:hAnsi="宋体" w:cs="宋体"/>
          <w:color w:val="auto"/>
          <w:szCs w:val="21"/>
          <w:highlight w:val="none"/>
        </w:rPr>
      </w:pPr>
      <w:r>
        <w:rPr>
          <w:rFonts w:hint="eastAsia" w:ascii="宋体" w:hAnsi="宋体" w:cs="宋体"/>
          <w:color w:val="auto"/>
          <w:szCs w:val="21"/>
          <w:highlight w:val="none"/>
        </w:rPr>
        <w:br w:type="page"/>
      </w:r>
    </w:p>
    <w:p w14:paraId="4E2E6DD2">
      <w:pPr>
        <w:spacing w:line="400" w:lineRule="exact"/>
        <w:ind w:firstLine="0" w:firstLineChars="0"/>
        <w:outlineLvl w:val="1"/>
        <w:rPr>
          <w:rFonts w:ascii="宋体" w:hAnsi="宋体" w:cs="宋体"/>
          <w:b/>
          <w:bCs/>
          <w:color w:val="auto"/>
          <w:sz w:val="24"/>
          <w:szCs w:val="24"/>
          <w:highlight w:val="none"/>
        </w:rPr>
      </w:pPr>
      <w:bookmarkStart w:id="904" w:name="OLE_LINK171"/>
      <w:bookmarkStart w:id="905" w:name="OLE_LINK166"/>
      <w:bookmarkStart w:id="906" w:name="OLE_LINK167"/>
      <w:r>
        <w:rPr>
          <w:rFonts w:hint="eastAsia" w:ascii="宋体" w:hAnsi="宋体" w:cs="宋体"/>
          <w:b/>
          <w:bCs/>
          <w:color w:val="auto"/>
          <w:sz w:val="24"/>
          <w:szCs w:val="24"/>
          <w:highlight w:val="none"/>
        </w:rPr>
        <w:t>一、总体要求</w:t>
      </w:r>
    </w:p>
    <w:p w14:paraId="1912FD75">
      <w:pPr>
        <w:spacing w:line="420" w:lineRule="exact"/>
        <w:ind w:firstLine="420"/>
        <w:rPr>
          <w:rFonts w:ascii="宋体" w:hAnsi="宋体" w:cs="宋体"/>
          <w:color w:val="auto"/>
          <w:szCs w:val="21"/>
          <w:highlight w:val="none"/>
        </w:rPr>
      </w:pPr>
      <w:r>
        <w:rPr>
          <w:rFonts w:hint="eastAsia" w:ascii="宋体" w:hAnsi="宋体" w:cs="宋体"/>
          <w:color w:val="auto"/>
          <w:szCs w:val="21"/>
          <w:highlight w:val="none"/>
        </w:rPr>
        <w:t>（一）</w:t>
      </w:r>
      <w:r>
        <w:rPr>
          <w:rFonts w:hint="eastAsia"/>
          <w:color w:val="auto"/>
          <w:highlight w:val="none"/>
        </w:rPr>
        <w:t>本项目采购1批</w:t>
      </w:r>
      <w:r>
        <w:rPr>
          <w:rFonts w:hint="eastAsia" w:ascii="宋体" w:hAnsi="宋体" w:cs="宋体"/>
          <w:color w:val="auto"/>
          <w:szCs w:val="21"/>
          <w:highlight w:val="none"/>
        </w:rPr>
        <w:t>医疗设备</w:t>
      </w:r>
      <w:r>
        <w:rPr>
          <w:rFonts w:hint="eastAsia"/>
          <w:color w:val="auto"/>
          <w:highlight w:val="none"/>
        </w:rPr>
        <w:t>，用于</w:t>
      </w:r>
      <w:r>
        <w:rPr>
          <w:rFonts w:hint="eastAsia" w:ascii="宋体" w:hAnsi="宋体" w:cs="宋体"/>
          <w:color w:val="auto"/>
          <w:szCs w:val="21"/>
          <w:highlight w:val="none"/>
        </w:rPr>
        <w:t>昆明市盘龙区滇源街道中心卫生院重点中心乡镇卫生院提质建设。</w:t>
      </w:r>
    </w:p>
    <w:p w14:paraId="22F7C6EE">
      <w:pPr>
        <w:spacing w:line="420" w:lineRule="exact"/>
        <w:ind w:firstLine="420"/>
        <w:rPr>
          <w:rFonts w:ascii="宋体" w:hAnsi="宋体" w:cs="宋体"/>
          <w:color w:val="auto"/>
          <w:szCs w:val="21"/>
          <w:highlight w:val="none"/>
        </w:rPr>
      </w:pPr>
      <w:r>
        <w:rPr>
          <w:rFonts w:hint="eastAsia" w:ascii="宋体" w:hAnsi="宋体" w:cs="宋体"/>
          <w:color w:val="auto"/>
          <w:szCs w:val="21"/>
          <w:highlight w:val="none"/>
        </w:rPr>
        <w:t>（二）投标人提供的货物应是原装的、全新的、具有生产厂家质量合格证明的产品，并保证使用方在使用期间不受第三方提出侵犯其专利权、商标权和工业设计权的起诉。</w:t>
      </w:r>
    </w:p>
    <w:p w14:paraId="28A30C5B">
      <w:pPr>
        <w:spacing w:line="400" w:lineRule="exact"/>
        <w:ind w:firstLine="0" w:firstLineChars="0"/>
        <w:outlineLvl w:val="1"/>
        <w:rPr>
          <w:rFonts w:ascii="宋体" w:hAnsi="宋体" w:cs="宋体"/>
          <w:color w:val="auto"/>
          <w:szCs w:val="21"/>
          <w:highlight w:val="none"/>
        </w:rPr>
      </w:pPr>
      <w:r>
        <w:rPr>
          <w:rFonts w:hint="eastAsia" w:ascii="宋体" w:hAnsi="宋体" w:cs="宋体"/>
          <w:color w:val="auto"/>
          <w:szCs w:val="21"/>
          <w:highlight w:val="none"/>
        </w:rPr>
        <w:t>（三）投标人应详细描述其货物的各项性能指标和本项目采购范围内的设备供货、安装调试等过程的组织和管理；在服务承诺中对用户的使用及日常维护、使用</w:t>
      </w:r>
      <w:r>
        <w:rPr>
          <w:rFonts w:hint="eastAsia" w:ascii="宋体" w:hAnsi="宋体" w:cs="宋体"/>
          <w:color w:val="auto"/>
          <w:kern w:val="0"/>
          <w:szCs w:val="21"/>
          <w:highlight w:val="none"/>
          <w:lang w:val="zh-CN"/>
        </w:rPr>
        <w:t>技术</w:t>
      </w:r>
      <w:r>
        <w:rPr>
          <w:rFonts w:hint="eastAsia" w:ascii="宋体" w:hAnsi="宋体" w:cs="宋体"/>
          <w:color w:val="auto"/>
          <w:szCs w:val="21"/>
          <w:highlight w:val="none"/>
        </w:rPr>
        <w:t>培训计划等作出切实可行的安排。</w:t>
      </w:r>
    </w:p>
    <w:p w14:paraId="62809AE6">
      <w:pPr>
        <w:spacing w:line="400" w:lineRule="exact"/>
        <w:ind w:firstLine="0" w:firstLineChars="0"/>
        <w:outlineLvl w:val="1"/>
        <w:rPr>
          <w:rFonts w:ascii="宋体" w:hAnsi="宋体" w:cs="宋体"/>
          <w:b/>
          <w:bCs/>
          <w:color w:val="auto"/>
          <w:sz w:val="24"/>
          <w:szCs w:val="24"/>
          <w:highlight w:val="none"/>
        </w:rPr>
      </w:pPr>
      <w:r>
        <w:rPr>
          <w:rFonts w:hint="eastAsia" w:ascii="宋体" w:hAnsi="宋体" w:cs="宋体"/>
          <w:b/>
          <w:bCs/>
          <w:color w:val="auto"/>
          <w:sz w:val="24"/>
          <w:szCs w:val="24"/>
          <w:highlight w:val="none"/>
        </w:rPr>
        <w:t>二、采购需求一览表</w:t>
      </w:r>
    </w:p>
    <w:tbl>
      <w:tblPr>
        <w:tblStyle w:val="34"/>
        <w:tblW w:w="91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17"/>
        <w:gridCol w:w="1309"/>
        <w:gridCol w:w="4260"/>
        <w:gridCol w:w="630"/>
        <w:gridCol w:w="581"/>
        <w:gridCol w:w="887"/>
        <w:gridCol w:w="900"/>
      </w:tblGrid>
      <w:tr w14:paraId="50A2E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617" w:type="dxa"/>
            <w:tcBorders>
              <w:top w:val="single" w:color="000000" w:sz="6" w:space="0"/>
              <w:left w:val="single" w:color="000000" w:sz="6" w:space="0"/>
              <w:bottom w:val="single" w:color="000000" w:sz="6" w:space="0"/>
              <w:right w:val="single" w:color="000000" w:sz="6" w:space="0"/>
            </w:tcBorders>
            <w:shd w:val="clear" w:color="auto" w:fill="auto"/>
            <w:tcMar>
              <w:top w:w="10" w:type="dxa"/>
              <w:left w:w="10" w:type="dxa"/>
              <w:bottom w:w="0" w:type="dxa"/>
              <w:right w:w="10" w:type="dxa"/>
            </w:tcMar>
            <w:vAlign w:val="center"/>
          </w:tcPr>
          <w:p w14:paraId="71474C1B">
            <w:pPr>
              <w:widowControl/>
              <w:autoSpaceDE w:val="0"/>
              <w:adjustRightInd w:val="0"/>
              <w:snapToGrid w:val="0"/>
              <w:spacing w:line="240" w:lineRule="auto"/>
              <w:ind w:firstLine="0" w:firstLineChars="0"/>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309" w:type="dxa"/>
            <w:tcBorders>
              <w:top w:val="single" w:color="000000" w:sz="6" w:space="0"/>
              <w:left w:val="single" w:color="000000" w:sz="6" w:space="0"/>
              <w:bottom w:val="single" w:color="000000" w:sz="6" w:space="0"/>
              <w:right w:val="single" w:color="000000" w:sz="6" w:space="0"/>
            </w:tcBorders>
            <w:shd w:val="clear" w:color="auto" w:fill="auto"/>
            <w:tcMar>
              <w:top w:w="10" w:type="dxa"/>
              <w:left w:w="10" w:type="dxa"/>
              <w:bottom w:w="0" w:type="dxa"/>
              <w:right w:w="10" w:type="dxa"/>
            </w:tcMar>
            <w:vAlign w:val="center"/>
          </w:tcPr>
          <w:p w14:paraId="1A17D040">
            <w:pPr>
              <w:widowControl/>
              <w:autoSpaceDE w:val="0"/>
              <w:adjustRightInd w:val="0"/>
              <w:snapToGrid w:val="0"/>
              <w:spacing w:line="240" w:lineRule="auto"/>
              <w:ind w:firstLine="0" w:firstLineChars="0"/>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产品名称</w:t>
            </w:r>
          </w:p>
        </w:tc>
        <w:tc>
          <w:tcPr>
            <w:tcW w:w="4260" w:type="dxa"/>
            <w:tcBorders>
              <w:top w:val="single" w:color="000000" w:sz="6" w:space="0"/>
              <w:left w:val="single" w:color="000000" w:sz="6" w:space="0"/>
              <w:bottom w:val="single" w:color="000000" w:sz="6" w:space="0"/>
              <w:right w:val="single" w:color="000000" w:sz="6" w:space="0"/>
            </w:tcBorders>
            <w:shd w:val="clear" w:color="auto" w:fill="auto"/>
            <w:tcMar>
              <w:top w:w="10" w:type="dxa"/>
              <w:left w:w="10" w:type="dxa"/>
              <w:bottom w:w="0" w:type="dxa"/>
              <w:right w:w="10" w:type="dxa"/>
            </w:tcMar>
            <w:vAlign w:val="center"/>
          </w:tcPr>
          <w:p w14:paraId="7D05EB85">
            <w:pPr>
              <w:widowControl/>
              <w:autoSpaceDE w:val="0"/>
              <w:adjustRightInd w:val="0"/>
              <w:snapToGrid w:val="0"/>
              <w:spacing w:line="240" w:lineRule="auto"/>
              <w:ind w:firstLine="0" w:firstLineChars="0"/>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规格、技术参数、性能要求</w:t>
            </w:r>
          </w:p>
        </w:tc>
        <w:tc>
          <w:tcPr>
            <w:tcW w:w="630" w:type="dxa"/>
            <w:tcBorders>
              <w:top w:val="single" w:color="000000" w:sz="6" w:space="0"/>
              <w:left w:val="single" w:color="000000" w:sz="6" w:space="0"/>
              <w:bottom w:val="single" w:color="000000" w:sz="6" w:space="0"/>
              <w:right w:val="single" w:color="000000" w:sz="6" w:space="0"/>
            </w:tcBorders>
            <w:shd w:val="clear" w:color="auto" w:fill="auto"/>
            <w:tcMar>
              <w:top w:w="10" w:type="dxa"/>
              <w:left w:w="10" w:type="dxa"/>
              <w:bottom w:w="0" w:type="dxa"/>
              <w:right w:w="10" w:type="dxa"/>
            </w:tcMar>
            <w:vAlign w:val="center"/>
          </w:tcPr>
          <w:p w14:paraId="63D4C9B5">
            <w:pPr>
              <w:widowControl/>
              <w:autoSpaceDE w:val="0"/>
              <w:adjustRightInd w:val="0"/>
              <w:snapToGrid w:val="0"/>
              <w:spacing w:line="240" w:lineRule="auto"/>
              <w:ind w:firstLine="0" w:firstLineChars="0"/>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581" w:type="dxa"/>
            <w:tcBorders>
              <w:top w:val="single" w:color="000000" w:sz="6" w:space="0"/>
              <w:left w:val="single" w:color="000000" w:sz="6" w:space="0"/>
              <w:bottom w:val="single" w:color="000000" w:sz="6" w:space="0"/>
              <w:right w:val="single" w:color="000000" w:sz="6" w:space="0"/>
            </w:tcBorders>
            <w:shd w:val="clear" w:color="auto" w:fill="auto"/>
            <w:tcMar>
              <w:top w:w="10" w:type="dxa"/>
              <w:left w:w="10" w:type="dxa"/>
              <w:bottom w:w="0" w:type="dxa"/>
              <w:right w:w="10" w:type="dxa"/>
            </w:tcMar>
            <w:vAlign w:val="center"/>
          </w:tcPr>
          <w:p w14:paraId="4AC9B84A">
            <w:pPr>
              <w:widowControl/>
              <w:autoSpaceDE w:val="0"/>
              <w:adjustRightInd w:val="0"/>
              <w:snapToGrid w:val="0"/>
              <w:spacing w:line="240" w:lineRule="auto"/>
              <w:ind w:firstLine="0" w:firstLineChars="0"/>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计量单位</w:t>
            </w:r>
          </w:p>
        </w:tc>
        <w:tc>
          <w:tcPr>
            <w:tcW w:w="887" w:type="dxa"/>
            <w:tcBorders>
              <w:top w:val="single" w:color="000000" w:sz="6" w:space="0"/>
              <w:left w:val="single" w:color="000000" w:sz="6" w:space="0"/>
              <w:bottom w:val="single" w:color="000000" w:sz="6" w:space="0"/>
              <w:right w:val="single" w:color="000000" w:sz="6" w:space="0"/>
            </w:tcBorders>
            <w:shd w:val="clear" w:color="auto" w:fill="auto"/>
            <w:tcMar>
              <w:top w:w="10" w:type="dxa"/>
              <w:left w:w="10" w:type="dxa"/>
              <w:bottom w:w="0" w:type="dxa"/>
              <w:right w:w="10" w:type="dxa"/>
            </w:tcMar>
            <w:vAlign w:val="center"/>
          </w:tcPr>
          <w:p w14:paraId="1EACC791">
            <w:pPr>
              <w:widowControl/>
              <w:autoSpaceDE w:val="0"/>
              <w:adjustRightInd w:val="0"/>
              <w:snapToGrid w:val="0"/>
              <w:spacing w:line="240" w:lineRule="auto"/>
              <w:ind w:firstLine="0" w:firstLineChars="0"/>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bCs/>
                <w:color w:val="auto"/>
                <w:kern w:val="0"/>
                <w:sz w:val="21"/>
                <w:szCs w:val="21"/>
                <w:highlight w:val="none"/>
              </w:rPr>
              <w:t>★是否接受进口</w:t>
            </w:r>
          </w:p>
        </w:tc>
        <w:tc>
          <w:tcPr>
            <w:tcW w:w="900" w:type="dxa"/>
            <w:tcBorders>
              <w:top w:val="single" w:color="000000" w:sz="6" w:space="0"/>
              <w:left w:val="single" w:color="000000" w:sz="6" w:space="0"/>
              <w:bottom w:val="single" w:color="000000" w:sz="6" w:space="0"/>
              <w:right w:val="single" w:color="000000" w:sz="6" w:space="0"/>
            </w:tcBorders>
            <w:shd w:val="clear" w:color="auto" w:fill="auto"/>
            <w:tcMar>
              <w:top w:w="10" w:type="dxa"/>
              <w:left w:w="10" w:type="dxa"/>
              <w:bottom w:w="0" w:type="dxa"/>
              <w:right w:w="10" w:type="dxa"/>
            </w:tcMar>
            <w:vAlign w:val="center"/>
          </w:tcPr>
          <w:p w14:paraId="537C831B">
            <w:pPr>
              <w:widowControl/>
              <w:ind w:firstLine="0" w:firstLineChars="0"/>
              <w:jc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bCs/>
                <w:color w:val="auto"/>
                <w:kern w:val="0"/>
                <w:sz w:val="21"/>
                <w:szCs w:val="21"/>
                <w:highlight w:val="none"/>
              </w:rPr>
              <w:t>单价限价（万元）</w:t>
            </w:r>
          </w:p>
        </w:tc>
      </w:tr>
      <w:tr w14:paraId="06CEA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617" w:type="dxa"/>
            <w:tcBorders>
              <w:top w:val="single" w:color="000000" w:sz="6" w:space="0"/>
              <w:left w:val="single" w:color="000000" w:sz="6" w:space="0"/>
              <w:bottom w:val="single" w:color="000000" w:sz="6" w:space="0"/>
              <w:right w:val="single" w:color="000000" w:sz="6" w:space="0"/>
            </w:tcBorders>
            <w:shd w:val="clear" w:color="auto" w:fill="auto"/>
            <w:tcMar>
              <w:top w:w="10" w:type="dxa"/>
              <w:left w:w="10" w:type="dxa"/>
              <w:bottom w:w="0" w:type="dxa"/>
              <w:right w:w="10" w:type="dxa"/>
            </w:tcMar>
            <w:vAlign w:val="center"/>
          </w:tcPr>
          <w:p w14:paraId="6D23C4DB">
            <w:pPr>
              <w:adjustRightInd w:val="0"/>
              <w:snapToGrid w:val="0"/>
              <w:spacing w:line="240" w:lineRule="auto"/>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p>
        </w:tc>
        <w:tc>
          <w:tcPr>
            <w:tcW w:w="1309" w:type="dxa"/>
            <w:tcBorders>
              <w:top w:val="single" w:color="000000" w:sz="6" w:space="0"/>
              <w:left w:val="single" w:color="000000" w:sz="6" w:space="0"/>
              <w:bottom w:val="single" w:color="000000" w:sz="6" w:space="0"/>
              <w:right w:val="single" w:color="000000" w:sz="6" w:space="0"/>
            </w:tcBorders>
            <w:shd w:val="clear" w:color="auto" w:fill="auto"/>
            <w:tcMar>
              <w:top w:w="10" w:type="dxa"/>
              <w:left w:w="10" w:type="dxa"/>
              <w:bottom w:w="0" w:type="dxa"/>
              <w:right w:w="10" w:type="dxa"/>
            </w:tcMar>
            <w:vAlign w:val="center"/>
          </w:tcPr>
          <w:p w14:paraId="6B9A3252">
            <w:pPr>
              <w:widowControl/>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X射线计算机断层摄影设备（CT ）</w:t>
            </w:r>
          </w:p>
        </w:tc>
        <w:tc>
          <w:tcPr>
            <w:tcW w:w="4260" w:type="dxa"/>
            <w:tcBorders>
              <w:top w:val="single" w:color="000000" w:sz="6" w:space="0"/>
              <w:left w:val="single" w:color="000000" w:sz="6" w:space="0"/>
              <w:bottom w:val="single" w:color="000000" w:sz="6" w:space="0"/>
              <w:right w:val="single" w:color="000000" w:sz="6" w:space="0"/>
            </w:tcBorders>
            <w:shd w:val="clear" w:color="auto" w:fill="auto"/>
            <w:tcMar>
              <w:top w:w="10" w:type="dxa"/>
              <w:left w:w="10" w:type="dxa"/>
              <w:bottom w:w="0" w:type="dxa"/>
              <w:right w:w="10" w:type="dxa"/>
            </w:tcMar>
            <w:vAlign w:val="center"/>
          </w:tcPr>
          <w:p w14:paraId="40775238">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一、机架系统</w:t>
            </w:r>
          </w:p>
          <w:p w14:paraId="52EB17F6">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1.1滑环类型：低压滑环</w:t>
            </w:r>
          </w:p>
          <w:p w14:paraId="4C056C13">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1.2扫描架孔径：≤70cm</w:t>
            </w:r>
          </w:p>
          <w:p w14:paraId="18EFA58A">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▲1.3扫描架物理倾角：≥±30°</w:t>
            </w:r>
          </w:p>
          <w:p w14:paraId="70269594">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1.4探测器类型：集成一体化探测器</w:t>
            </w:r>
          </w:p>
          <w:p w14:paraId="0230E599">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1.5机架系统可遥控：具备</w:t>
            </w:r>
          </w:p>
          <w:p w14:paraId="6E59EE43">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▲1.6探测器排列数：≥32排</w:t>
            </w:r>
          </w:p>
          <w:p w14:paraId="1D42593D">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1.7探测器单元Z轴最小尺寸：≤0.6mm</w:t>
            </w:r>
          </w:p>
          <w:p w14:paraId="73585A7A">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▲1.8探测器Z轴总宽度 ：＞20mm</w:t>
            </w:r>
          </w:p>
          <w:p w14:paraId="6CA883BA">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▲1.9每排探测器单元数：≥860个</w:t>
            </w:r>
          </w:p>
          <w:p w14:paraId="2CF66413">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▲1.10探测器物理单元总数：≥34000个</w:t>
            </w:r>
          </w:p>
          <w:p w14:paraId="4A6FABA2">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▲1.11探测器最高采样率：≥4700views/圈</w:t>
            </w:r>
          </w:p>
          <w:p w14:paraId="34BE09B0">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1.12三维激光定位系统：具备</w:t>
            </w:r>
          </w:p>
          <w:p w14:paraId="31E1059E">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1.13机架冷却方式：风冷</w:t>
            </w:r>
          </w:p>
          <w:p w14:paraId="60634FD1">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二、扫描参数</w:t>
            </w:r>
          </w:p>
          <w:p w14:paraId="4DDC417F">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2.1机架最快扫描时间/360°：≤0.75s</w:t>
            </w:r>
          </w:p>
          <w:p w14:paraId="0E804347">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▲2.2每圈扫描层数：≥64层</w:t>
            </w:r>
          </w:p>
          <w:p w14:paraId="5F0678CF">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2.3轴向扫描单圈最大覆盖范围：＞20mm</w:t>
            </w:r>
          </w:p>
          <w:p w14:paraId="0E422E5B">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▲2.4螺旋扫描单圈最大覆盖范围：＞20mm</w:t>
            </w:r>
          </w:p>
          <w:p w14:paraId="7DF0585B">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▲2.5最薄物理扫描层厚：≤0.6mm</w:t>
            </w:r>
          </w:p>
          <w:p w14:paraId="23369307">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2.6最薄图像重建层厚：≤0.6mm</w:t>
            </w:r>
          </w:p>
          <w:p w14:paraId="0927E6FF">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2.7扫描视野：≥50cm</w:t>
            </w:r>
          </w:p>
          <w:p w14:paraId="4514E6F9">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2.8图像显示矩阵：≥512×512</w:t>
            </w:r>
          </w:p>
          <w:p w14:paraId="7E4A9156">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2.9单次螺旋扫描最长扫描时间：≥100s</w:t>
            </w:r>
          </w:p>
          <w:p w14:paraId="70AF50BB">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2.10单次螺旋扫描最大范围：≥160cm</w:t>
            </w:r>
          </w:p>
          <w:p w14:paraId="26CE5877">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r>
              <w:rPr>
                <w:rFonts w:hint="eastAsia"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3D锥形束重建：具有</w:t>
            </w:r>
          </w:p>
          <w:p w14:paraId="6C101EDD">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2.12定位像扫描长度：≥160cm</w:t>
            </w:r>
          </w:p>
          <w:p w14:paraId="052E8FA1">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2.13最大螺距：≥2.0</w:t>
            </w:r>
          </w:p>
          <w:p w14:paraId="64EB918A">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▲2.14最小螺距：≤0.1</w:t>
            </w:r>
          </w:p>
          <w:p w14:paraId="58F06606">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2.15螺距自由选择：具备</w:t>
            </w:r>
          </w:p>
          <w:p w14:paraId="19DA330C">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2.16扫描模式：轴扫、螺旋</w:t>
            </w:r>
          </w:p>
          <w:p w14:paraId="377E5AED">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2.17自动螺旋：具备</w:t>
            </w:r>
          </w:p>
          <w:p w14:paraId="7B66D7AE">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三、球管及高压系统</w:t>
            </w:r>
          </w:p>
          <w:p w14:paraId="73F717BD">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▲3.1球管阳极物理热容量：≥3.6MHU</w:t>
            </w:r>
          </w:p>
          <w:p w14:paraId="62AC70A0">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3.2等效球管阳极热容量：≥8MHU</w:t>
            </w:r>
          </w:p>
          <w:p w14:paraId="7EA18CD5">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3.3球管阳极实际冷却率：≥700KHU/min</w:t>
            </w:r>
          </w:p>
          <w:p w14:paraId="2163356A">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3.4冷却方法：风冷</w:t>
            </w:r>
          </w:p>
          <w:p w14:paraId="315DCB50">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3.5最大球管电压：≥140KV</w:t>
            </w:r>
          </w:p>
          <w:p w14:paraId="6BE60300">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▲3.6最小球管电压：≤70KV</w:t>
            </w:r>
          </w:p>
          <w:p w14:paraId="1547BFC1">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▲3.7球管可调档位数：≥5档</w:t>
            </w:r>
          </w:p>
          <w:p w14:paraId="283B82DF">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3.8最大输出管电流：≥380mA</w:t>
            </w:r>
          </w:p>
          <w:p w14:paraId="5953DA3E">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3.9等效最大输出管电流：≥850mA</w:t>
            </w:r>
          </w:p>
          <w:p w14:paraId="77D0209B">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3.10最小可调管电流：≤10mA</w:t>
            </w:r>
          </w:p>
          <w:p w14:paraId="0F54DED4">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3.11最小毫安调节范围：≤1mA</w:t>
            </w:r>
          </w:p>
          <w:p w14:paraId="59165955">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3.12球管小焦点（IEC 60336/2005）：≤0.7mm×0.8mm</w:t>
            </w:r>
          </w:p>
          <w:p w14:paraId="640AA49F">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3.13球管大焦点（IEC 60336/2005）：≤1.2mm×1.4mm</w:t>
            </w:r>
          </w:p>
          <w:p w14:paraId="6CC7361F">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3.14高压发生器物理功率：≥45kw</w:t>
            </w:r>
          </w:p>
          <w:p w14:paraId="6053C6C0">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四、扫描床</w:t>
            </w:r>
          </w:p>
          <w:p w14:paraId="150F35E4">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▲4.1扫描床水平移动最大范围：≥2000mm</w:t>
            </w:r>
          </w:p>
          <w:p w14:paraId="6DE34B26">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4.2扫描床最大可扫描长度：≥1600mm</w:t>
            </w:r>
          </w:p>
          <w:p w14:paraId="0B2F6AE0">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4.3床升降最高高度：≥940mm</w:t>
            </w:r>
          </w:p>
          <w:p w14:paraId="3C604629">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4.4床升降最低高度：≤600mm</w:t>
            </w:r>
          </w:p>
          <w:p w14:paraId="2EE16644">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4.5最大纵向进床速度：≥200mm/s</w:t>
            </w:r>
          </w:p>
          <w:p w14:paraId="2E00776D">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4.6最小纵向进床速度：≤2mm/s</w:t>
            </w:r>
          </w:p>
          <w:p w14:paraId="040E60F7">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4.7扫描床垂直升降速度：≥20mm/s</w:t>
            </w:r>
          </w:p>
          <w:p w14:paraId="6D58AB52">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4.8扫描床最大载重量：≥205Kg</w:t>
            </w:r>
          </w:p>
          <w:p w14:paraId="0FBCD82E">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4.9扫描床移动位置精度：≤±0.25mm</w:t>
            </w:r>
          </w:p>
          <w:p w14:paraId="7E0DDA27">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4.10扫描床控制脚踏开关：具备</w:t>
            </w:r>
          </w:p>
          <w:p w14:paraId="61F29C8D">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五、图像质量</w:t>
            </w:r>
          </w:p>
          <w:p w14:paraId="385C8CB5">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5.1X-Y平面空间分辨率@0%MTF：≥20LP/CM</w:t>
            </w:r>
          </w:p>
          <w:p w14:paraId="7F7B8E35">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5.2X-Y平面空间分辨率@10%MTF：≥14LP/CM</w:t>
            </w:r>
          </w:p>
          <w:p w14:paraId="308D46D7">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5.3Z轴空间分辨率@0%MTF：≥18LP/CM</w:t>
            </w:r>
          </w:p>
          <w:p w14:paraId="09761299">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5.4密度分辨率：≤2mm@0.3%</w:t>
            </w:r>
          </w:p>
          <w:p w14:paraId="3056F82E">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5.5最小CT值（非扩展）：≤-1000HU</w:t>
            </w:r>
          </w:p>
          <w:p w14:paraId="4972BF75">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5.6最大CT值（非扩展）：≥7000HU</w:t>
            </w:r>
          </w:p>
          <w:p w14:paraId="1667D9D9">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六、主控制台计算机系统</w:t>
            </w:r>
          </w:p>
          <w:p w14:paraId="597E4806">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 操作系统:厂商自述</w:t>
            </w:r>
          </w:p>
          <w:p w14:paraId="7DB2C45E">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 同步并行处理功能：扫描、重建、显示、存储、打印等操作可同步进行：具备</w:t>
            </w:r>
          </w:p>
          <w:p w14:paraId="6958E779">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 同步同屏显示不同方式后处理的图像：具备</w:t>
            </w:r>
          </w:p>
          <w:p w14:paraId="27CF27E0">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 自动照相技术：具备</w:t>
            </w:r>
          </w:p>
          <w:p w14:paraId="732D16E4">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 自动语音系统及双向语音传输：具备</w:t>
            </w:r>
          </w:p>
          <w:p w14:paraId="5736B9E5">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6.6 Dicom3.0 网络接口：具备</w:t>
            </w:r>
          </w:p>
          <w:p w14:paraId="3B1899C8">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6.7内存：≥16GB</w:t>
            </w:r>
          </w:p>
          <w:p w14:paraId="615C3364">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6.8硬盘：≥2.0TB</w:t>
            </w:r>
          </w:p>
          <w:p w14:paraId="396967CA">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6.9主频：≥2.0GHz</w:t>
            </w:r>
          </w:p>
          <w:p w14:paraId="4C6AC42B">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6.10 CPU内核数目：≥6核</w:t>
            </w:r>
          </w:p>
          <w:p w14:paraId="4072AFEA">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6.11主控台显示终端：≥23英寸</w:t>
            </w:r>
          </w:p>
          <w:p w14:paraId="02A23626">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七、临床应用功能 </w:t>
            </w:r>
          </w:p>
          <w:p w14:paraId="63C23029">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 MPR:具备</w:t>
            </w:r>
          </w:p>
          <w:p w14:paraId="4402F34E">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 VR:具备</w:t>
            </w:r>
          </w:p>
          <w:p w14:paraId="0E600244">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 3D软件包:具备</w:t>
            </w:r>
          </w:p>
          <w:p w14:paraId="7E4B45EF">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 最大密度投影MIP:具备</w:t>
            </w:r>
          </w:p>
          <w:p w14:paraId="70B39F05">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 最小密度投影MinIP：具备</w:t>
            </w:r>
          </w:p>
          <w:p w14:paraId="6F117D9E">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7.6 表面三维SSD：具备</w:t>
            </w:r>
          </w:p>
          <w:p w14:paraId="7E00CA5E">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7.7 模拟手术刀技术：具备</w:t>
            </w:r>
          </w:p>
          <w:p w14:paraId="10380B4C">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7.8 透明显示技术：具备</w:t>
            </w:r>
          </w:p>
          <w:p w14:paraId="650DAFEF">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7.9 三维容积显示VR：具备</w:t>
            </w:r>
          </w:p>
          <w:p w14:paraId="0214E8AA">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7.10 三维血管CTA：具备</w:t>
            </w:r>
          </w:p>
          <w:p w14:paraId="301F9132">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7.11 仿真内窥镜功能：具备</w:t>
            </w:r>
          </w:p>
          <w:p w14:paraId="67CA11B7">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7.12 CT电影显示功能：具备</w:t>
            </w:r>
          </w:p>
          <w:p w14:paraId="26B4A642">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7.13 造影剂智能动态跟踪：具备</w:t>
            </w:r>
          </w:p>
          <w:p w14:paraId="4C4C8B95">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7.14 肺结节分析功能：具备</w:t>
            </w:r>
          </w:p>
          <w:p w14:paraId="3A786643">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7.15 运动伪影校正功能：具备</w:t>
            </w:r>
          </w:p>
          <w:p w14:paraId="54BF6658">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7.16 后颅窝伪影校正功能：具备</w:t>
            </w:r>
          </w:p>
          <w:p w14:paraId="3E56852E">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7.18 肺气肿分析功能：具备</w:t>
            </w:r>
          </w:p>
          <w:p w14:paraId="1D29D12E">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hAnsi="宋体" w:cs="宋体"/>
                <w:color w:val="auto"/>
                <w:sz w:val="21"/>
                <w:szCs w:val="21"/>
                <w:highlight w:val="none"/>
                <w:lang w:val="en-US" w:eastAsia="zh-CN"/>
              </w:rPr>
              <w:t>19</w:t>
            </w:r>
            <w:r>
              <w:rPr>
                <w:rFonts w:hint="eastAsia" w:ascii="宋体" w:hAnsi="宋体" w:eastAsia="宋体" w:cs="宋体"/>
                <w:color w:val="auto"/>
                <w:sz w:val="21"/>
                <w:szCs w:val="21"/>
                <w:highlight w:val="none"/>
              </w:rPr>
              <w:t>金属异物检测功能：具备</w:t>
            </w:r>
          </w:p>
          <w:p w14:paraId="63FB8B22">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hAnsi="宋体" w:cs="宋体"/>
                <w:color w:val="auto"/>
                <w:sz w:val="21"/>
                <w:szCs w:val="21"/>
                <w:highlight w:val="none"/>
                <w:lang w:val="en-US" w:eastAsia="zh-CN"/>
              </w:rPr>
              <w:t>20</w:t>
            </w:r>
            <w:r>
              <w:rPr>
                <w:rFonts w:hint="eastAsia" w:ascii="宋体" w:hAnsi="宋体" w:eastAsia="宋体" w:cs="宋体"/>
                <w:color w:val="auto"/>
                <w:sz w:val="21"/>
                <w:szCs w:val="21"/>
                <w:highlight w:val="none"/>
              </w:rPr>
              <w:t>防碰撞提示功能：具备</w:t>
            </w:r>
          </w:p>
          <w:p w14:paraId="58DCFF93">
            <w:pPr>
              <w:pStyle w:val="33"/>
              <w:autoSpaceDE/>
              <w:autoSpaceDN/>
              <w:spacing w:after="0"/>
              <w:ind w:firstLine="0" w:firstLineChars="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7.2</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 呼吸运动伪影提示功能：具备</w:t>
            </w:r>
          </w:p>
          <w:p w14:paraId="591962FC">
            <w:pPr>
              <w:pStyle w:val="33"/>
              <w:autoSpaceDE/>
              <w:autoSpaceDN/>
              <w:spacing w:after="0"/>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八、质保要求</w:t>
            </w:r>
          </w:p>
          <w:p w14:paraId="644D9AA1">
            <w:pPr>
              <w:pStyle w:val="33"/>
              <w:autoSpaceDE/>
              <w:autoSpaceDN/>
              <w:spacing w:after="0"/>
              <w:ind w:firstLine="0" w:firstLineChars="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1.整机免费质保≥五年，（投标人需提供承诺书，并加盖投标人公章。）</w:t>
            </w:r>
          </w:p>
          <w:p w14:paraId="5863DE69">
            <w:pPr>
              <w:pStyle w:val="33"/>
              <w:autoSpaceDE/>
              <w:autoSpaceDN/>
              <w:spacing w:after="0"/>
              <w:ind w:firstLine="0" w:firstLineChars="0"/>
              <w:rPr>
                <w:rFonts w:hint="eastAsia" w:ascii="宋体" w:hAnsi="宋体" w:eastAsia="宋体" w:cs="宋体"/>
                <w:bCs/>
                <w:color w:val="auto"/>
                <w:spacing w:val="15"/>
                <w:sz w:val="21"/>
                <w:szCs w:val="21"/>
                <w:highlight w:val="none"/>
              </w:rPr>
            </w:pPr>
            <w:r>
              <w:rPr>
                <w:rFonts w:hint="eastAsia" w:ascii="宋体" w:hAnsi="宋体" w:eastAsia="宋体" w:cs="宋体"/>
                <w:bCs/>
                <w:color w:val="auto"/>
                <w:sz w:val="21"/>
                <w:szCs w:val="21"/>
                <w:highlight w:val="none"/>
              </w:rPr>
              <w:t>九、</w:t>
            </w:r>
            <w:r>
              <w:rPr>
                <w:rFonts w:hint="eastAsia" w:ascii="宋体" w:hAnsi="宋体" w:eastAsia="宋体" w:cs="宋体"/>
                <w:bCs/>
                <w:color w:val="auto"/>
                <w:sz w:val="21"/>
                <w:szCs w:val="21"/>
                <w:highlight w:val="none"/>
                <w:lang w:val="en-US" w:eastAsia="zh-CN"/>
              </w:rPr>
              <w:t>机房</w:t>
            </w:r>
            <w:r>
              <w:rPr>
                <w:rFonts w:hint="eastAsia" w:ascii="宋体" w:hAnsi="宋体" w:eastAsia="宋体" w:cs="宋体"/>
                <w:bCs/>
                <w:color w:val="auto"/>
                <w:sz w:val="21"/>
                <w:szCs w:val="21"/>
                <w:highlight w:val="none"/>
              </w:rPr>
              <w:t>配置</w:t>
            </w:r>
            <w:r>
              <w:rPr>
                <w:rFonts w:hint="eastAsia" w:ascii="宋体" w:hAnsi="宋体" w:eastAsia="宋体" w:cs="宋体"/>
                <w:bCs/>
                <w:color w:val="auto"/>
                <w:sz w:val="21"/>
                <w:szCs w:val="21"/>
                <w:highlight w:val="none"/>
                <w:lang w:val="en-US" w:eastAsia="zh-CN"/>
              </w:rPr>
              <w:t>要求</w:t>
            </w:r>
            <w:r>
              <w:rPr>
                <w:rFonts w:hint="eastAsia" w:ascii="宋体" w:hAnsi="宋体" w:eastAsia="宋体" w:cs="宋体"/>
                <w:bCs/>
                <w:color w:val="auto"/>
                <w:sz w:val="21"/>
                <w:szCs w:val="21"/>
                <w:highlight w:val="none"/>
              </w:rPr>
              <w:t>：</w:t>
            </w:r>
          </w:p>
          <w:p w14:paraId="4A5DE07C">
            <w:pPr>
              <w:widowControl/>
              <w:ind w:left="0" w:leftChars="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Cs/>
                <w:color w:val="auto"/>
                <w:spacing w:val="15"/>
                <w:sz w:val="21"/>
                <w:szCs w:val="21"/>
                <w:highlight w:val="none"/>
              </w:rPr>
              <w:t>1.</w:t>
            </w:r>
            <w:r>
              <w:rPr>
                <w:rFonts w:hint="eastAsia" w:ascii="宋体" w:hAnsi="宋体" w:eastAsia="宋体" w:cs="宋体"/>
                <w:bCs/>
                <w:color w:val="auto"/>
                <w:spacing w:val="-10"/>
                <w:sz w:val="21"/>
                <w:szCs w:val="21"/>
                <w:highlight w:val="none"/>
              </w:rPr>
              <w:t>射线计算机体</w:t>
            </w:r>
            <w:r>
              <w:rPr>
                <w:rFonts w:hint="eastAsia" w:ascii="宋体" w:hAnsi="宋体" w:eastAsia="宋体" w:cs="宋体"/>
                <w:bCs/>
                <w:color w:val="auto"/>
                <w:spacing w:val="-12"/>
                <w:sz w:val="21"/>
                <w:szCs w:val="21"/>
                <w:highlight w:val="none"/>
              </w:rPr>
              <w:t>层摄影设备</w:t>
            </w:r>
            <w:r>
              <w:rPr>
                <w:rFonts w:hint="eastAsia" w:ascii="宋体" w:hAnsi="宋体" w:eastAsia="宋体" w:cs="宋体"/>
                <w:bCs/>
                <w:color w:val="auto"/>
                <w:spacing w:val="-2"/>
                <w:sz w:val="21"/>
                <w:szCs w:val="21"/>
                <w:highlight w:val="none"/>
              </w:rPr>
              <w:t>（CT）：≥1套；8兆</w:t>
            </w:r>
            <w:r>
              <w:rPr>
                <w:rFonts w:hint="eastAsia" w:ascii="宋体" w:hAnsi="宋体" w:eastAsia="宋体" w:cs="宋体"/>
                <w:bCs/>
                <w:color w:val="auto"/>
                <w:spacing w:val="-12"/>
                <w:sz w:val="21"/>
                <w:szCs w:val="21"/>
                <w:highlight w:val="none"/>
              </w:rPr>
              <w:t>医用竖屏显示器：</w:t>
            </w:r>
            <w:r>
              <w:rPr>
                <w:rFonts w:hint="eastAsia" w:ascii="宋体" w:hAnsi="宋体" w:eastAsia="宋体" w:cs="宋体"/>
                <w:bCs/>
                <w:color w:val="auto"/>
                <w:spacing w:val="-2"/>
                <w:sz w:val="21"/>
                <w:szCs w:val="21"/>
                <w:highlight w:val="none"/>
              </w:rPr>
              <w:t>≥</w:t>
            </w:r>
            <w:r>
              <w:rPr>
                <w:rFonts w:hint="eastAsia" w:ascii="宋体" w:hAnsi="宋体" w:eastAsia="宋体" w:cs="宋体"/>
                <w:bCs/>
                <w:color w:val="auto"/>
                <w:spacing w:val="-12"/>
                <w:sz w:val="21"/>
                <w:szCs w:val="21"/>
                <w:highlight w:val="none"/>
              </w:rPr>
              <w:t>1套；</w:t>
            </w:r>
            <w:r>
              <w:rPr>
                <w:rFonts w:hint="eastAsia" w:ascii="宋体" w:hAnsi="宋体" w:eastAsia="宋体" w:cs="宋体"/>
                <w:bCs/>
                <w:color w:val="auto"/>
                <w:spacing w:val="-7"/>
                <w:sz w:val="21"/>
                <w:szCs w:val="21"/>
                <w:highlight w:val="none"/>
              </w:rPr>
              <w:t>工作站：</w:t>
            </w:r>
            <w:r>
              <w:rPr>
                <w:rFonts w:hint="eastAsia" w:ascii="宋体" w:hAnsi="宋体" w:eastAsia="宋体" w:cs="宋体"/>
                <w:bCs/>
                <w:color w:val="auto"/>
                <w:spacing w:val="-2"/>
                <w:sz w:val="21"/>
                <w:szCs w:val="21"/>
                <w:highlight w:val="none"/>
              </w:rPr>
              <w:t>≥</w:t>
            </w:r>
            <w:r>
              <w:rPr>
                <w:rFonts w:hint="eastAsia" w:ascii="宋体" w:hAnsi="宋体" w:eastAsia="宋体" w:cs="宋体"/>
                <w:bCs/>
                <w:color w:val="auto"/>
                <w:spacing w:val="-7"/>
                <w:sz w:val="21"/>
                <w:szCs w:val="21"/>
                <w:highlight w:val="none"/>
              </w:rPr>
              <w:t xml:space="preserve"> 1台；终端控制器：1台；</w:t>
            </w:r>
            <w:r>
              <w:rPr>
                <w:rFonts w:hint="eastAsia" w:ascii="宋体" w:hAnsi="宋体" w:eastAsia="宋体" w:cs="宋体"/>
                <w:bCs/>
                <w:color w:val="auto"/>
                <w:spacing w:val="-8"/>
                <w:sz w:val="21"/>
                <w:szCs w:val="21"/>
                <w:highlight w:val="none"/>
              </w:rPr>
              <w:t>操作终端;</w:t>
            </w:r>
            <w:r>
              <w:rPr>
                <w:rFonts w:hint="eastAsia" w:ascii="宋体" w:hAnsi="宋体" w:eastAsia="宋体" w:cs="宋体"/>
                <w:bCs/>
                <w:color w:val="auto"/>
                <w:spacing w:val="-2"/>
                <w:sz w:val="21"/>
                <w:szCs w:val="21"/>
                <w:highlight w:val="none"/>
              </w:rPr>
              <w:t>≥</w:t>
            </w:r>
            <w:r>
              <w:rPr>
                <w:rFonts w:hint="eastAsia" w:ascii="宋体" w:hAnsi="宋体" w:eastAsia="宋体" w:cs="宋体"/>
                <w:bCs/>
                <w:color w:val="auto"/>
                <w:spacing w:val="-8"/>
                <w:sz w:val="21"/>
                <w:szCs w:val="21"/>
                <w:highlight w:val="none"/>
              </w:rPr>
              <w:t>1台；</w:t>
            </w:r>
            <w:r>
              <w:rPr>
                <w:rFonts w:hint="eastAsia" w:ascii="宋体" w:hAnsi="宋体" w:eastAsia="宋体" w:cs="宋体"/>
                <w:bCs/>
                <w:color w:val="auto"/>
                <w:spacing w:val="-10"/>
                <w:sz w:val="21"/>
                <w:szCs w:val="21"/>
                <w:highlight w:val="none"/>
              </w:rPr>
              <w:t>防护四件套（</w:t>
            </w:r>
            <w:r>
              <w:rPr>
                <w:rFonts w:hint="eastAsia" w:ascii="宋体" w:hAnsi="宋体" w:eastAsia="宋体" w:cs="宋体"/>
                <w:bCs/>
                <w:color w:val="auto"/>
                <w:spacing w:val="-15"/>
                <w:sz w:val="21"/>
                <w:szCs w:val="21"/>
                <w:highlight w:val="none"/>
              </w:rPr>
              <w:t>铅衣，铅帽，</w:t>
            </w:r>
            <w:r>
              <w:rPr>
                <w:rFonts w:hint="eastAsia" w:ascii="宋体" w:hAnsi="宋体" w:eastAsia="宋体" w:cs="宋体"/>
                <w:bCs/>
                <w:color w:val="auto"/>
                <w:spacing w:val="-7"/>
                <w:sz w:val="21"/>
                <w:szCs w:val="21"/>
                <w:highlight w:val="none"/>
              </w:rPr>
              <w:t>铅围脖，铅手</w:t>
            </w:r>
            <w:r>
              <w:rPr>
                <w:rFonts w:hint="eastAsia" w:ascii="宋体" w:hAnsi="宋体" w:eastAsia="宋体" w:cs="宋体"/>
                <w:bCs/>
                <w:color w:val="auto"/>
                <w:spacing w:val="-13"/>
                <w:sz w:val="21"/>
                <w:szCs w:val="21"/>
                <w:highlight w:val="none"/>
              </w:rPr>
              <w:t>套 ）</w:t>
            </w:r>
            <w:r>
              <w:rPr>
                <w:rFonts w:hint="eastAsia" w:ascii="宋体" w:hAnsi="宋体" w:eastAsia="宋体" w:cs="宋体"/>
                <w:bCs/>
                <w:color w:val="auto"/>
                <w:spacing w:val="5"/>
                <w:sz w:val="21"/>
                <w:szCs w:val="21"/>
                <w:highlight w:val="none"/>
              </w:rPr>
              <w:t>成人、儿童</w:t>
            </w:r>
            <w:r>
              <w:rPr>
                <w:rFonts w:hint="eastAsia" w:ascii="宋体" w:hAnsi="宋体" w:eastAsia="宋体" w:cs="宋体"/>
                <w:bCs/>
                <w:color w:val="auto"/>
                <w:spacing w:val="-7"/>
                <w:sz w:val="21"/>
                <w:szCs w:val="21"/>
                <w:highlight w:val="none"/>
              </w:rPr>
              <w:t>各</w:t>
            </w:r>
            <w:r>
              <w:rPr>
                <w:rFonts w:hint="eastAsia" w:ascii="宋体" w:hAnsi="宋体" w:eastAsia="宋体" w:cs="宋体"/>
                <w:bCs/>
                <w:color w:val="auto"/>
                <w:spacing w:val="-2"/>
                <w:sz w:val="21"/>
                <w:szCs w:val="21"/>
                <w:highlight w:val="none"/>
              </w:rPr>
              <w:t>≥</w:t>
            </w:r>
            <w:r>
              <w:rPr>
                <w:rFonts w:hint="eastAsia" w:ascii="宋体" w:hAnsi="宋体" w:eastAsia="宋体" w:cs="宋体"/>
                <w:bCs/>
                <w:color w:val="auto"/>
                <w:spacing w:val="-7"/>
                <w:sz w:val="21"/>
                <w:szCs w:val="21"/>
                <w:highlight w:val="none"/>
              </w:rPr>
              <w:t>一套；</w:t>
            </w:r>
            <w:r>
              <w:rPr>
                <w:rFonts w:hint="eastAsia" w:ascii="宋体" w:hAnsi="宋体" w:eastAsia="宋体" w:cs="宋体"/>
                <w:bCs/>
                <w:color w:val="auto"/>
                <w:sz w:val="21"/>
                <w:szCs w:val="21"/>
                <w:highlight w:val="none"/>
              </w:rPr>
              <w:t>胶片操作终端</w:t>
            </w:r>
            <w:r>
              <w:rPr>
                <w:rFonts w:hint="eastAsia" w:ascii="宋体" w:hAnsi="宋体" w:eastAsia="宋体" w:cs="宋体"/>
                <w:bCs/>
                <w:color w:val="auto"/>
                <w:spacing w:val="-2"/>
                <w:sz w:val="21"/>
                <w:szCs w:val="21"/>
                <w:highlight w:val="none"/>
              </w:rPr>
              <w:t>：≥</w:t>
            </w:r>
            <w:r>
              <w:rPr>
                <w:rFonts w:hint="eastAsia" w:ascii="宋体" w:hAnsi="宋体" w:eastAsia="宋体" w:cs="宋体"/>
                <w:bCs/>
                <w:color w:val="auto"/>
                <w:sz w:val="21"/>
                <w:szCs w:val="21"/>
                <w:highlight w:val="none"/>
              </w:rPr>
              <w:t xml:space="preserve"> 1台；除湿机 </w:t>
            </w:r>
            <w:r>
              <w:rPr>
                <w:rFonts w:hint="eastAsia" w:ascii="宋体" w:hAnsi="宋体" w:eastAsia="宋体" w:cs="宋体"/>
                <w:bCs/>
                <w:color w:val="auto"/>
                <w:spacing w:val="-2"/>
                <w:sz w:val="21"/>
                <w:szCs w:val="21"/>
                <w:highlight w:val="none"/>
              </w:rPr>
              <w:t>≥</w:t>
            </w:r>
            <w:r>
              <w:rPr>
                <w:rFonts w:hint="eastAsia" w:ascii="宋体" w:hAnsi="宋体" w:eastAsia="宋体" w:cs="宋体"/>
                <w:bCs/>
                <w:color w:val="auto"/>
                <w:sz w:val="21"/>
                <w:szCs w:val="21"/>
                <w:highlight w:val="none"/>
              </w:rPr>
              <w:t xml:space="preserve"> 1台；</w:t>
            </w:r>
            <w:r>
              <w:rPr>
                <w:rFonts w:hint="eastAsia" w:ascii="宋体" w:hAnsi="宋体" w:eastAsia="宋体" w:cs="宋体"/>
                <w:bCs/>
                <w:snapToGrid w:val="0"/>
                <w:color w:val="auto"/>
                <w:kern w:val="0"/>
                <w:sz w:val="21"/>
                <w:szCs w:val="21"/>
                <w:highlight w:val="none"/>
              </w:rPr>
              <w:t>空调：</w:t>
            </w:r>
            <w:r>
              <w:rPr>
                <w:rFonts w:hint="eastAsia" w:ascii="宋体" w:hAnsi="宋体" w:eastAsia="宋体" w:cs="宋体"/>
                <w:bCs/>
                <w:color w:val="auto"/>
                <w:spacing w:val="-2"/>
                <w:sz w:val="21"/>
                <w:szCs w:val="21"/>
                <w:highlight w:val="none"/>
              </w:rPr>
              <w:t>≥</w:t>
            </w:r>
            <w:r>
              <w:rPr>
                <w:rFonts w:hint="eastAsia" w:ascii="宋体" w:hAnsi="宋体" w:eastAsia="宋体" w:cs="宋体"/>
                <w:bCs/>
                <w:snapToGrid w:val="0"/>
                <w:color w:val="auto"/>
                <w:kern w:val="0"/>
                <w:sz w:val="21"/>
                <w:szCs w:val="21"/>
                <w:highlight w:val="none"/>
              </w:rPr>
              <w:t xml:space="preserve"> 2台；</w:t>
            </w:r>
            <w:r>
              <w:rPr>
                <w:rFonts w:hint="eastAsia" w:ascii="宋体" w:hAnsi="宋体" w:eastAsia="宋体" w:cs="宋体"/>
                <w:color w:val="auto"/>
                <w:kern w:val="0"/>
                <w:sz w:val="21"/>
                <w:szCs w:val="21"/>
                <w:highlight w:val="none"/>
              </w:rPr>
              <w:t xml:space="preserve"> </w:t>
            </w:r>
          </w:p>
          <w:p w14:paraId="1BC2A5F4">
            <w:pPr>
              <w:pStyle w:val="33"/>
              <w:autoSpaceDE/>
              <w:autoSpaceDN/>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Cs/>
                <w:color w:val="auto"/>
                <w:spacing w:val="-2"/>
                <w:sz w:val="21"/>
                <w:szCs w:val="21"/>
                <w:highlight w:val="none"/>
              </w:rPr>
              <w:t>注：空调为政府强制采购节能产品，投标人需提供强制节能认证证书,证书型号须与投标型号完全一致。</w:t>
            </w:r>
          </w:p>
        </w:tc>
        <w:tc>
          <w:tcPr>
            <w:tcW w:w="630" w:type="dxa"/>
            <w:tcBorders>
              <w:top w:val="single" w:color="000000" w:sz="6" w:space="0"/>
              <w:left w:val="single" w:color="000000" w:sz="6" w:space="0"/>
              <w:bottom w:val="single" w:color="000000" w:sz="6" w:space="0"/>
              <w:right w:val="single" w:color="000000" w:sz="6" w:space="0"/>
            </w:tcBorders>
            <w:shd w:val="clear" w:color="auto" w:fill="auto"/>
            <w:tcMar>
              <w:top w:w="10" w:type="dxa"/>
              <w:left w:w="10" w:type="dxa"/>
              <w:bottom w:w="0" w:type="dxa"/>
              <w:right w:w="10" w:type="dxa"/>
            </w:tcMar>
            <w:vAlign w:val="center"/>
          </w:tcPr>
          <w:p w14:paraId="2692D068">
            <w:pPr>
              <w:widowControl/>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p>
        </w:tc>
        <w:tc>
          <w:tcPr>
            <w:tcW w:w="581" w:type="dxa"/>
            <w:tcBorders>
              <w:top w:val="single" w:color="000000" w:sz="6" w:space="0"/>
              <w:left w:val="single" w:color="000000" w:sz="6" w:space="0"/>
              <w:bottom w:val="single" w:color="000000" w:sz="6" w:space="0"/>
              <w:right w:val="single" w:color="000000" w:sz="6" w:space="0"/>
            </w:tcBorders>
            <w:shd w:val="clear" w:color="auto" w:fill="auto"/>
            <w:tcMar>
              <w:top w:w="10" w:type="dxa"/>
              <w:left w:w="10" w:type="dxa"/>
              <w:bottom w:w="0" w:type="dxa"/>
              <w:right w:w="10" w:type="dxa"/>
            </w:tcMar>
            <w:vAlign w:val="center"/>
          </w:tcPr>
          <w:p w14:paraId="1DAE366C">
            <w:pPr>
              <w:widowControl/>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台</w:t>
            </w:r>
          </w:p>
        </w:tc>
        <w:tc>
          <w:tcPr>
            <w:tcW w:w="887" w:type="dxa"/>
            <w:tcBorders>
              <w:top w:val="single" w:color="000000" w:sz="6" w:space="0"/>
              <w:left w:val="single" w:color="000000" w:sz="6" w:space="0"/>
              <w:bottom w:val="single" w:color="000000" w:sz="6" w:space="0"/>
              <w:right w:val="single" w:color="000000" w:sz="6" w:space="0"/>
            </w:tcBorders>
            <w:shd w:val="clear" w:color="auto" w:fill="auto"/>
            <w:tcMar>
              <w:top w:w="10" w:type="dxa"/>
              <w:left w:w="10" w:type="dxa"/>
              <w:bottom w:w="0" w:type="dxa"/>
              <w:right w:w="10" w:type="dxa"/>
            </w:tcMar>
            <w:vAlign w:val="center"/>
          </w:tcPr>
          <w:p w14:paraId="0B266940">
            <w:pPr>
              <w:adjustRightInd w:val="0"/>
              <w:snapToGrid w:val="0"/>
              <w:spacing w:line="240" w:lineRule="auto"/>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c>
          <w:tcPr>
            <w:tcW w:w="900" w:type="dxa"/>
            <w:tcBorders>
              <w:top w:val="single" w:color="000000" w:sz="6" w:space="0"/>
              <w:left w:val="single" w:color="000000" w:sz="6" w:space="0"/>
              <w:bottom w:val="single" w:color="000000" w:sz="6" w:space="0"/>
              <w:right w:val="single" w:color="000000" w:sz="6" w:space="0"/>
            </w:tcBorders>
            <w:shd w:val="clear" w:color="auto" w:fill="auto"/>
            <w:tcMar>
              <w:top w:w="10" w:type="dxa"/>
              <w:left w:w="10" w:type="dxa"/>
              <w:bottom w:w="0" w:type="dxa"/>
              <w:right w:w="10" w:type="dxa"/>
            </w:tcMar>
            <w:vAlign w:val="center"/>
          </w:tcPr>
          <w:p w14:paraId="39C6DF14">
            <w:pPr>
              <w:widowControl/>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218.00 </w:t>
            </w:r>
          </w:p>
        </w:tc>
      </w:tr>
      <w:tr w14:paraId="3F305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617" w:type="dxa"/>
            <w:tcBorders>
              <w:top w:val="single" w:color="000000" w:sz="6" w:space="0"/>
              <w:left w:val="single" w:color="000000" w:sz="6" w:space="0"/>
              <w:bottom w:val="single" w:color="000000" w:sz="6" w:space="0"/>
              <w:right w:val="single" w:color="000000" w:sz="6" w:space="0"/>
            </w:tcBorders>
            <w:shd w:val="clear" w:color="auto" w:fill="auto"/>
            <w:tcMar>
              <w:top w:w="10" w:type="dxa"/>
              <w:left w:w="10" w:type="dxa"/>
              <w:bottom w:w="0" w:type="dxa"/>
              <w:right w:w="10" w:type="dxa"/>
            </w:tcMar>
            <w:vAlign w:val="center"/>
          </w:tcPr>
          <w:p w14:paraId="56E4B01C">
            <w:pPr>
              <w:widowControl/>
              <w:ind w:firstLine="0" w:firstLineChars="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2</w:t>
            </w:r>
          </w:p>
        </w:tc>
        <w:tc>
          <w:tcPr>
            <w:tcW w:w="1309" w:type="dxa"/>
            <w:tcBorders>
              <w:top w:val="single" w:color="000000" w:sz="6" w:space="0"/>
              <w:left w:val="single" w:color="000000" w:sz="6" w:space="0"/>
              <w:bottom w:val="single" w:color="000000" w:sz="6" w:space="0"/>
              <w:right w:val="single" w:color="000000" w:sz="6" w:space="0"/>
            </w:tcBorders>
            <w:shd w:val="clear" w:color="auto" w:fill="auto"/>
            <w:tcMar>
              <w:top w:w="10" w:type="dxa"/>
              <w:left w:w="10" w:type="dxa"/>
              <w:bottom w:w="0" w:type="dxa"/>
              <w:right w:w="10" w:type="dxa"/>
            </w:tcMar>
            <w:vAlign w:val="center"/>
          </w:tcPr>
          <w:p w14:paraId="76ED09F8">
            <w:pPr>
              <w:widowControl/>
              <w:ind w:firstLine="0" w:firstLineChars="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血凝仪</w:t>
            </w:r>
          </w:p>
        </w:tc>
        <w:tc>
          <w:tcPr>
            <w:tcW w:w="4260" w:type="dxa"/>
            <w:tcBorders>
              <w:top w:val="single" w:color="000000" w:sz="6" w:space="0"/>
              <w:left w:val="single" w:color="000000" w:sz="6" w:space="0"/>
              <w:bottom w:val="single" w:color="000000" w:sz="6" w:space="0"/>
              <w:right w:val="single" w:color="000000" w:sz="6" w:space="0"/>
            </w:tcBorders>
            <w:shd w:val="clear" w:color="auto" w:fill="auto"/>
            <w:tcMar>
              <w:top w:w="10" w:type="dxa"/>
              <w:left w:w="10" w:type="dxa"/>
              <w:bottom w:w="0" w:type="dxa"/>
              <w:right w:w="10" w:type="dxa"/>
            </w:tcMar>
            <w:vAlign w:val="center"/>
          </w:tcPr>
          <w:p w14:paraId="1ED118F4">
            <w:pPr>
              <w:widowControl/>
              <w:spacing w:line="400" w:lineRule="exact"/>
              <w:ind w:firstLine="0" w:firstLineChars="0"/>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1.测试方法：采用凝固法、免疫比浊法、发色底物法（具有PT衍生FIB功能）</w:t>
            </w:r>
          </w:p>
          <w:p w14:paraId="7D4624AB">
            <w:pPr>
              <w:widowControl/>
              <w:spacing w:line="400" w:lineRule="exact"/>
              <w:ind w:firstLine="0" w:firstLineChars="0"/>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2.测试项目：常规四项、D-二聚体、FDP、ATⅢ 等所有凝血相关检测项目</w:t>
            </w:r>
          </w:p>
          <w:p w14:paraId="01486E9F">
            <w:pPr>
              <w:widowControl/>
              <w:spacing w:line="400" w:lineRule="exact"/>
              <w:ind w:firstLine="0" w:firstLineChars="0"/>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3.测试通道：≥ 7个，凝固法测试通道≥ 4个，免疫比浊法测试通道≥ 2个</w:t>
            </w:r>
          </w:p>
          <w:p w14:paraId="3EED1B1F">
            <w:pPr>
              <w:widowControl/>
              <w:spacing w:line="400" w:lineRule="exact"/>
              <w:ind w:firstLine="0" w:firstLineChars="0"/>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发色底物法测试通道≥ 1个</w:t>
            </w:r>
          </w:p>
          <w:p w14:paraId="26241C9B">
            <w:pPr>
              <w:widowControl/>
              <w:spacing w:line="400" w:lineRule="exact"/>
              <w:ind w:firstLine="0" w:firstLineChars="0"/>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4.最大测试速度：≥ 200Ts/h</w:t>
            </w:r>
          </w:p>
          <w:p w14:paraId="1404E597">
            <w:pPr>
              <w:widowControl/>
              <w:spacing w:line="400" w:lineRule="exact"/>
              <w:ind w:firstLine="0" w:firstLineChars="0"/>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▲5.仪器尺寸长度≤380mm</w:t>
            </w:r>
          </w:p>
          <w:p w14:paraId="7E926E1D">
            <w:pPr>
              <w:widowControl/>
              <w:spacing w:line="400" w:lineRule="exact"/>
              <w:ind w:firstLine="0" w:firstLineChars="0"/>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▲6.加样针具有穿刺，自动寻位，页面感应，恒温加热及故障报警功能</w:t>
            </w:r>
          </w:p>
          <w:p w14:paraId="13A5E3FD">
            <w:pPr>
              <w:widowControl/>
              <w:spacing w:line="400" w:lineRule="exact"/>
              <w:ind w:firstLine="0" w:firstLineChars="0"/>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7.测试通道波长可选</w:t>
            </w:r>
          </w:p>
          <w:p w14:paraId="55AC5739">
            <w:pPr>
              <w:widowControl/>
              <w:spacing w:line="400" w:lineRule="exact"/>
              <w:ind w:firstLine="0" w:firstLineChars="0"/>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8、样本位直接装载原始采血管，无需分离血浆</w:t>
            </w:r>
          </w:p>
          <w:p w14:paraId="6F071BB8">
            <w:pPr>
              <w:widowControl/>
              <w:spacing w:line="400" w:lineRule="exact"/>
              <w:ind w:firstLine="0" w:firstLineChars="0"/>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▲9.采用多项目组合，单人份测试条，可实现一步快速多项目检测，即插即测</w:t>
            </w:r>
          </w:p>
          <w:p w14:paraId="5E64CD7C">
            <w:pPr>
              <w:widowControl/>
              <w:spacing w:line="400" w:lineRule="exact"/>
              <w:ind w:firstLine="0" w:firstLineChars="0"/>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10.具有仪器与LIS双工通讯功能</w:t>
            </w:r>
          </w:p>
          <w:p w14:paraId="477724DB">
            <w:pPr>
              <w:widowControl/>
              <w:spacing w:line="400" w:lineRule="exact"/>
              <w:ind w:firstLine="0" w:firstLineChars="0"/>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11.内置彩屏触控式计算机系统，可外接计算机控制，数据可无限存储</w:t>
            </w:r>
          </w:p>
          <w:p w14:paraId="5A3AAB34">
            <w:pPr>
              <w:widowControl/>
              <w:spacing w:line="400" w:lineRule="exact"/>
              <w:ind w:firstLine="0" w:firstLineChars="0"/>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12.内置操作终端、带工作站：显示终端</w:t>
            </w:r>
          </w:p>
          <w:p w14:paraId="6BFDD7D4">
            <w:pPr>
              <w:widowControl/>
              <w:spacing w:line="400" w:lineRule="exact"/>
              <w:ind w:firstLine="0" w:firstLineChars="0"/>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13.具有样本及测试条插入确认功能及测试条防插错功能</w:t>
            </w:r>
          </w:p>
          <w:p w14:paraId="5C71C1BD">
            <w:pPr>
              <w:adjustRightInd w:val="0"/>
              <w:snapToGrid w:val="0"/>
              <w:ind w:firstLine="0" w:firstLineChars="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rPr>
              <w:t>14.具有校准品定标和质控品质控功能，定标曲线可通过自动定标或人工输入标定值实现</w:t>
            </w:r>
          </w:p>
        </w:tc>
        <w:tc>
          <w:tcPr>
            <w:tcW w:w="630" w:type="dxa"/>
            <w:tcBorders>
              <w:top w:val="single" w:color="000000" w:sz="6" w:space="0"/>
              <w:left w:val="single" w:color="000000" w:sz="6" w:space="0"/>
              <w:bottom w:val="single" w:color="000000" w:sz="6" w:space="0"/>
              <w:right w:val="single" w:color="000000" w:sz="6" w:space="0"/>
            </w:tcBorders>
            <w:shd w:val="clear" w:color="auto" w:fill="auto"/>
            <w:tcMar>
              <w:top w:w="10" w:type="dxa"/>
              <w:left w:w="10" w:type="dxa"/>
              <w:bottom w:w="0" w:type="dxa"/>
              <w:right w:w="10" w:type="dxa"/>
            </w:tcMar>
            <w:vAlign w:val="center"/>
          </w:tcPr>
          <w:p w14:paraId="473ED23C">
            <w:pPr>
              <w:widowControl/>
              <w:ind w:firstLine="0" w:firstLineChars="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1</w:t>
            </w:r>
          </w:p>
        </w:tc>
        <w:tc>
          <w:tcPr>
            <w:tcW w:w="581" w:type="dxa"/>
            <w:tcBorders>
              <w:top w:val="single" w:color="000000" w:sz="6" w:space="0"/>
              <w:left w:val="single" w:color="000000" w:sz="6" w:space="0"/>
              <w:bottom w:val="single" w:color="000000" w:sz="6" w:space="0"/>
              <w:right w:val="single" w:color="000000" w:sz="6" w:space="0"/>
            </w:tcBorders>
            <w:shd w:val="clear" w:color="auto" w:fill="auto"/>
            <w:tcMar>
              <w:top w:w="10" w:type="dxa"/>
              <w:left w:w="10" w:type="dxa"/>
              <w:bottom w:w="0" w:type="dxa"/>
              <w:right w:w="10" w:type="dxa"/>
            </w:tcMar>
            <w:vAlign w:val="center"/>
          </w:tcPr>
          <w:p w14:paraId="1C97740C">
            <w:pPr>
              <w:widowControl/>
              <w:ind w:firstLine="0" w:firstLineChars="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台</w:t>
            </w:r>
          </w:p>
        </w:tc>
        <w:tc>
          <w:tcPr>
            <w:tcW w:w="887" w:type="dxa"/>
            <w:tcBorders>
              <w:top w:val="single" w:color="000000" w:sz="6" w:space="0"/>
              <w:left w:val="single" w:color="000000" w:sz="6" w:space="0"/>
              <w:bottom w:val="single" w:color="000000" w:sz="6" w:space="0"/>
              <w:right w:val="single" w:color="000000" w:sz="6" w:space="0"/>
            </w:tcBorders>
            <w:shd w:val="clear" w:color="auto" w:fill="auto"/>
            <w:tcMar>
              <w:top w:w="10" w:type="dxa"/>
              <w:left w:w="10" w:type="dxa"/>
              <w:bottom w:w="0" w:type="dxa"/>
              <w:right w:w="10" w:type="dxa"/>
            </w:tcMar>
            <w:vAlign w:val="center"/>
          </w:tcPr>
          <w:p w14:paraId="3A2DB0B5">
            <w:pPr>
              <w:adjustRightInd w:val="0"/>
              <w:snapToGrid w:val="0"/>
              <w:spacing w:line="240" w:lineRule="auto"/>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c>
          <w:tcPr>
            <w:tcW w:w="900" w:type="dxa"/>
            <w:tcBorders>
              <w:top w:val="single" w:color="000000" w:sz="6" w:space="0"/>
              <w:left w:val="single" w:color="000000" w:sz="6" w:space="0"/>
              <w:bottom w:val="single" w:color="000000" w:sz="6" w:space="0"/>
              <w:right w:val="single" w:color="000000" w:sz="6" w:space="0"/>
            </w:tcBorders>
            <w:shd w:val="clear" w:color="auto" w:fill="auto"/>
            <w:tcMar>
              <w:top w:w="10" w:type="dxa"/>
              <w:left w:w="10" w:type="dxa"/>
              <w:bottom w:w="0" w:type="dxa"/>
              <w:right w:w="10" w:type="dxa"/>
            </w:tcMar>
            <w:vAlign w:val="center"/>
          </w:tcPr>
          <w:p w14:paraId="3F5BE032">
            <w:pPr>
              <w:widowControl/>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3.70 </w:t>
            </w:r>
          </w:p>
        </w:tc>
      </w:tr>
      <w:tr w14:paraId="2AEDA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617" w:type="dxa"/>
            <w:tcBorders>
              <w:top w:val="single" w:color="000000" w:sz="6" w:space="0"/>
              <w:left w:val="single" w:color="000000" w:sz="6" w:space="0"/>
              <w:bottom w:val="single" w:color="000000" w:sz="6" w:space="0"/>
              <w:right w:val="single" w:color="000000" w:sz="6" w:space="0"/>
            </w:tcBorders>
            <w:shd w:val="clear" w:color="auto" w:fill="auto"/>
            <w:tcMar>
              <w:top w:w="10" w:type="dxa"/>
              <w:left w:w="10" w:type="dxa"/>
              <w:bottom w:w="0" w:type="dxa"/>
              <w:right w:w="10" w:type="dxa"/>
            </w:tcMar>
            <w:vAlign w:val="center"/>
          </w:tcPr>
          <w:p w14:paraId="6A697D63">
            <w:pPr>
              <w:widowControl/>
              <w:ind w:firstLine="0" w:firstLineChars="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3</w:t>
            </w:r>
          </w:p>
        </w:tc>
        <w:tc>
          <w:tcPr>
            <w:tcW w:w="1309" w:type="dxa"/>
            <w:tcBorders>
              <w:top w:val="single" w:color="000000" w:sz="6" w:space="0"/>
              <w:left w:val="single" w:color="000000" w:sz="6" w:space="0"/>
              <w:bottom w:val="single" w:color="000000" w:sz="6" w:space="0"/>
              <w:right w:val="single" w:color="000000" w:sz="6" w:space="0"/>
            </w:tcBorders>
            <w:shd w:val="clear" w:color="auto" w:fill="auto"/>
            <w:tcMar>
              <w:top w:w="10" w:type="dxa"/>
              <w:left w:w="10" w:type="dxa"/>
              <w:bottom w:w="0" w:type="dxa"/>
              <w:right w:w="10" w:type="dxa"/>
            </w:tcMar>
            <w:vAlign w:val="center"/>
          </w:tcPr>
          <w:p w14:paraId="0454BAAC">
            <w:pPr>
              <w:widowControl/>
              <w:ind w:firstLine="0" w:firstLineChars="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婴幼儿医学测听仪（儿科）</w:t>
            </w:r>
          </w:p>
        </w:tc>
        <w:tc>
          <w:tcPr>
            <w:tcW w:w="4260" w:type="dxa"/>
            <w:tcBorders>
              <w:top w:val="single" w:color="000000" w:sz="6" w:space="0"/>
              <w:left w:val="single" w:color="000000" w:sz="6" w:space="0"/>
              <w:bottom w:val="single" w:color="000000" w:sz="6" w:space="0"/>
              <w:right w:val="single" w:color="000000" w:sz="6" w:space="0"/>
            </w:tcBorders>
            <w:shd w:val="clear" w:color="auto" w:fill="auto"/>
            <w:tcMar>
              <w:top w:w="10" w:type="dxa"/>
              <w:left w:w="10" w:type="dxa"/>
              <w:bottom w:w="0" w:type="dxa"/>
              <w:right w:w="10" w:type="dxa"/>
            </w:tcMar>
            <w:vAlign w:val="center"/>
          </w:tcPr>
          <w:p w14:paraId="2CBAA624">
            <w:pPr>
              <w:widowControl/>
              <w:spacing w:line="400" w:lineRule="exact"/>
              <w:ind w:firstLine="0" w:firstLineChars="0"/>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1.纯音声压分20dB、40dB、60dB、80dB四档，各档量程的输出准确度为各档值的±5dB。</w:t>
            </w:r>
          </w:p>
          <w:p w14:paraId="19CACDC4">
            <w:pPr>
              <w:widowControl/>
              <w:spacing w:line="400" w:lineRule="exact"/>
              <w:ind w:firstLine="0" w:firstLineChars="0"/>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2.纯音频率分500Hz、1000Hz、2000Hz、4000Hz四档，各档频率的输出准确度为各档值的±10％。</w:t>
            </w:r>
          </w:p>
          <w:p w14:paraId="67D44742">
            <w:pPr>
              <w:widowControl/>
              <w:spacing w:line="400" w:lineRule="exact"/>
              <w:ind w:firstLine="0" w:firstLineChars="0"/>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3.伴有5±1Hz的颤音。</w:t>
            </w:r>
          </w:p>
          <w:p w14:paraId="7E7690D9">
            <w:pPr>
              <w:adjustRightInd w:val="0"/>
              <w:snapToGrid w:val="0"/>
              <w:ind w:firstLine="0" w:firstLineChars="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rPr>
              <w:t>4.测听仪工作时三只发光管呈闪烁状态。</w:t>
            </w:r>
          </w:p>
        </w:tc>
        <w:tc>
          <w:tcPr>
            <w:tcW w:w="630" w:type="dxa"/>
            <w:tcBorders>
              <w:top w:val="single" w:color="000000" w:sz="6" w:space="0"/>
              <w:left w:val="single" w:color="000000" w:sz="6" w:space="0"/>
              <w:bottom w:val="single" w:color="000000" w:sz="6" w:space="0"/>
              <w:right w:val="single" w:color="000000" w:sz="6" w:space="0"/>
            </w:tcBorders>
            <w:shd w:val="clear" w:color="auto" w:fill="auto"/>
            <w:tcMar>
              <w:top w:w="10" w:type="dxa"/>
              <w:left w:w="10" w:type="dxa"/>
              <w:bottom w:w="0" w:type="dxa"/>
              <w:right w:w="10" w:type="dxa"/>
            </w:tcMar>
            <w:vAlign w:val="center"/>
          </w:tcPr>
          <w:p w14:paraId="5EAFE4F6">
            <w:pPr>
              <w:widowControl/>
              <w:ind w:firstLine="0" w:firstLineChars="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1</w:t>
            </w:r>
          </w:p>
        </w:tc>
        <w:tc>
          <w:tcPr>
            <w:tcW w:w="581" w:type="dxa"/>
            <w:tcBorders>
              <w:top w:val="single" w:color="000000" w:sz="6" w:space="0"/>
              <w:left w:val="single" w:color="000000" w:sz="6" w:space="0"/>
              <w:bottom w:val="single" w:color="000000" w:sz="6" w:space="0"/>
              <w:right w:val="single" w:color="000000" w:sz="6" w:space="0"/>
            </w:tcBorders>
            <w:shd w:val="clear" w:color="auto" w:fill="auto"/>
            <w:tcMar>
              <w:top w:w="10" w:type="dxa"/>
              <w:left w:w="10" w:type="dxa"/>
              <w:bottom w:w="0" w:type="dxa"/>
              <w:right w:w="10" w:type="dxa"/>
            </w:tcMar>
            <w:vAlign w:val="center"/>
          </w:tcPr>
          <w:p w14:paraId="02A7FF6A">
            <w:pPr>
              <w:widowControl/>
              <w:ind w:firstLine="0" w:firstLineChars="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台</w:t>
            </w:r>
          </w:p>
        </w:tc>
        <w:tc>
          <w:tcPr>
            <w:tcW w:w="887" w:type="dxa"/>
            <w:tcBorders>
              <w:top w:val="single" w:color="000000" w:sz="6" w:space="0"/>
              <w:left w:val="single" w:color="000000" w:sz="6" w:space="0"/>
              <w:bottom w:val="single" w:color="000000" w:sz="6" w:space="0"/>
              <w:right w:val="single" w:color="000000" w:sz="6" w:space="0"/>
            </w:tcBorders>
            <w:shd w:val="clear" w:color="auto" w:fill="auto"/>
            <w:tcMar>
              <w:top w:w="10" w:type="dxa"/>
              <w:left w:w="10" w:type="dxa"/>
              <w:bottom w:w="0" w:type="dxa"/>
              <w:right w:w="10" w:type="dxa"/>
            </w:tcMar>
            <w:vAlign w:val="center"/>
          </w:tcPr>
          <w:p w14:paraId="2E145F02">
            <w:pPr>
              <w:adjustRightInd w:val="0"/>
              <w:snapToGrid w:val="0"/>
              <w:spacing w:line="240" w:lineRule="auto"/>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c>
          <w:tcPr>
            <w:tcW w:w="900" w:type="dxa"/>
            <w:tcBorders>
              <w:top w:val="single" w:color="000000" w:sz="6" w:space="0"/>
              <w:left w:val="single" w:color="000000" w:sz="6" w:space="0"/>
              <w:bottom w:val="single" w:color="000000" w:sz="6" w:space="0"/>
              <w:right w:val="single" w:color="000000" w:sz="6" w:space="0"/>
            </w:tcBorders>
            <w:shd w:val="clear" w:color="auto" w:fill="auto"/>
            <w:tcMar>
              <w:top w:w="10" w:type="dxa"/>
              <w:left w:w="10" w:type="dxa"/>
              <w:bottom w:w="0" w:type="dxa"/>
              <w:right w:w="10" w:type="dxa"/>
            </w:tcMar>
            <w:vAlign w:val="center"/>
          </w:tcPr>
          <w:p w14:paraId="111DA1E1">
            <w:pPr>
              <w:widowControl/>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0.60 </w:t>
            </w:r>
          </w:p>
        </w:tc>
      </w:tr>
      <w:tr w14:paraId="48E1C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617" w:type="dxa"/>
            <w:tcBorders>
              <w:top w:val="single" w:color="000000" w:sz="6" w:space="0"/>
              <w:left w:val="single" w:color="000000" w:sz="6" w:space="0"/>
              <w:bottom w:val="single" w:color="000000" w:sz="6" w:space="0"/>
              <w:right w:val="single" w:color="000000" w:sz="6" w:space="0"/>
            </w:tcBorders>
            <w:shd w:val="clear" w:color="auto" w:fill="auto"/>
            <w:tcMar>
              <w:top w:w="10" w:type="dxa"/>
              <w:left w:w="10" w:type="dxa"/>
              <w:bottom w:w="0" w:type="dxa"/>
              <w:right w:w="10" w:type="dxa"/>
            </w:tcMar>
            <w:vAlign w:val="center"/>
          </w:tcPr>
          <w:p w14:paraId="22AFB68A">
            <w:pPr>
              <w:widowControl/>
              <w:ind w:firstLine="0" w:firstLineChars="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4</w:t>
            </w:r>
          </w:p>
        </w:tc>
        <w:tc>
          <w:tcPr>
            <w:tcW w:w="1309" w:type="dxa"/>
            <w:tcBorders>
              <w:top w:val="single" w:color="000000" w:sz="6" w:space="0"/>
              <w:left w:val="single" w:color="000000" w:sz="6" w:space="0"/>
              <w:bottom w:val="single" w:color="000000" w:sz="6" w:space="0"/>
              <w:right w:val="single" w:color="000000" w:sz="6" w:space="0"/>
            </w:tcBorders>
            <w:shd w:val="clear" w:color="auto" w:fill="auto"/>
            <w:tcMar>
              <w:top w:w="10" w:type="dxa"/>
              <w:left w:w="10" w:type="dxa"/>
              <w:bottom w:w="0" w:type="dxa"/>
              <w:right w:w="10" w:type="dxa"/>
            </w:tcMar>
            <w:vAlign w:val="center"/>
          </w:tcPr>
          <w:p w14:paraId="2CA49F72">
            <w:pPr>
              <w:widowControl/>
              <w:ind w:firstLine="0" w:firstLineChars="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口腔科根测仪（口腔科）</w:t>
            </w:r>
          </w:p>
        </w:tc>
        <w:tc>
          <w:tcPr>
            <w:tcW w:w="4260" w:type="dxa"/>
            <w:tcBorders>
              <w:top w:val="single" w:color="000000" w:sz="6" w:space="0"/>
              <w:left w:val="single" w:color="000000" w:sz="6" w:space="0"/>
              <w:bottom w:val="single" w:color="000000" w:sz="6" w:space="0"/>
              <w:right w:val="single" w:color="000000" w:sz="6" w:space="0"/>
            </w:tcBorders>
            <w:shd w:val="clear" w:color="auto" w:fill="auto"/>
            <w:tcMar>
              <w:top w:w="10" w:type="dxa"/>
              <w:left w:w="10" w:type="dxa"/>
              <w:bottom w:w="0" w:type="dxa"/>
              <w:right w:w="10" w:type="dxa"/>
            </w:tcMar>
            <w:vAlign w:val="center"/>
          </w:tcPr>
          <w:p w14:paraId="17DB0E59">
            <w:pPr>
              <w:widowControl/>
              <w:spacing w:line="400" w:lineRule="exact"/>
              <w:ind w:firstLine="0" w:firstLineChars="0"/>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一、功能简介</w:t>
            </w:r>
          </w:p>
          <w:p w14:paraId="55E315C9">
            <w:pPr>
              <w:widowControl/>
              <w:spacing w:line="400" w:lineRule="exact"/>
              <w:ind w:firstLine="0" w:firstLineChars="0"/>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1.配有彩色显示终端，多种颜色清晰指示针在根管中的轨迹；</w:t>
            </w:r>
          </w:p>
          <w:p w14:paraId="66C2A857">
            <w:pPr>
              <w:widowControl/>
              <w:spacing w:line="400" w:lineRule="exact"/>
              <w:ind w:firstLine="0" w:firstLineChars="0"/>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2.多频独立网络测量技术，自动校准功能；</w:t>
            </w:r>
          </w:p>
          <w:p w14:paraId="40B427BE">
            <w:pPr>
              <w:widowControl/>
              <w:spacing w:line="400" w:lineRule="exact"/>
              <w:ind w:firstLine="0" w:firstLineChars="0"/>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3.锉夹、唇挂钩和探针可高温高压消毒；</w:t>
            </w:r>
          </w:p>
          <w:p w14:paraId="6FE965AC">
            <w:pPr>
              <w:widowControl/>
              <w:spacing w:line="400" w:lineRule="exact"/>
              <w:ind w:firstLine="0" w:firstLineChars="0"/>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4.电池可充电；可折叠；设定根尖止点功能，可根据专业化需求设定，及时提醒测量距离。</w:t>
            </w:r>
          </w:p>
          <w:p w14:paraId="6EB1CB28">
            <w:pPr>
              <w:widowControl/>
              <w:spacing w:line="400" w:lineRule="exact"/>
              <w:ind w:firstLine="0" w:firstLineChars="0"/>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二、主要技术参数</w:t>
            </w:r>
          </w:p>
          <w:p w14:paraId="248D8781">
            <w:pPr>
              <w:widowControl/>
              <w:spacing w:line="400" w:lineRule="exact"/>
              <w:ind w:firstLine="0" w:firstLineChars="0"/>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1.电池： 3.7V/750mAh；电源适配器：~ 100V-240V  0.4A  50Hz/60Hz</w:t>
            </w:r>
          </w:p>
          <w:p w14:paraId="02487B8A">
            <w:pPr>
              <w:widowControl/>
              <w:spacing w:line="400" w:lineRule="exact"/>
              <w:ind w:firstLine="0" w:firstLineChars="0"/>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2.输出信号电压： ≤~200mV；输出信号频率： 400Hz和8kHz；功耗： ≤0.5W</w:t>
            </w:r>
          </w:p>
          <w:p w14:paraId="3091BDBE">
            <w:pPr>
              <w:widowControl/>
              <w:spacing w:line="400" w:lineRule="exact"/>
              <w:ind w:firstLine="0" w:firstLineChars="0"/>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3.显示：≥4.5寸显示终端</w:t>
            </w:r>
          </w:p>
          <w:p w14:paraId="48A8289A">
            <w:pPr>
              <w:widowControl/>
              <w:spacing w:line="400" w:lineRule="exact"/>
              <w:ind w:firstLine="0" w:firstLineChars="0"/>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4.声响提示： 根管针在距离根尖小于2mm时会有报警声提示</w:t>
            </w:r>
          </w:p>
          <w:p w14:paraId="25EE015C">
            <w:pPr>
              <w:widowControl/>
              <w:spacing w:line="400" w:lineRule="exact"/>
              <w:ind w:firstLine="0" w:firstLineChars="0"/>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三、主要配置</w:t>
            </w:r>
          </w:p>
          <w:p w14:paraId="1AEBB11D">
            <w:pPr>
              <w:adjustRightInd w:val="0"/>
              <w:snapToGrid w:val="0"/>
              <w:ind w:firstLine="0" w:firstLineChars="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rPr>
              <w:t>1.主机</w:t>
            </w:r>
            <w:r>
              <w:rPr>
                <w:rFonts w:hint="eastAsia" w:ascii="宋体" w:hAnsi="宋体" w:eastAsia="宋体" w:cs="宋体"/>
                <w:color w:val="auto"/>
                <w:sz w:val="21"/>
                <w:szCs w:val="21"/>
                <w:highlight w:val="none"/>
              </w:rPr>
              <w:t>≥</w:t>
            </w:r>
            <w:r>
              <w:rPr>
                <w:rFonts w:hint="eastAsia" w:ascii="宋体" w:hAnsi="宋体" w:eastAsia="宋体" w:cs="宋体"/>
                <w:bCs/>
                <w:color w:val="auto"/>
                <w:kern w:val="0"/>
                <w:sz w:val="21"/>
                <w:szCs w:val="21"/>
                <w:highlight w:val="none"/>
              </w:rPr>
              <w:t>1台；测量线</w:t>
            </w:r>
            <w:r>
              <w:rPr>
                <w:rFonts w:hint="eastAsia" w:ascii="宋体" w:hAnsi="宋体" w:eastAsia="宋体" w:cs="宋体"/>
                <w:color w:val="auto"/>
                <w:sz w:val="21"/>
                <w:szCs w:val="21"/>
                <w:highlight w:val="none"/>
              </w:rPr>
              <w:t>≥</w:t>
            </w:r>
            <w:r>
              <w:rPr>
                <w:rFonts w:hint="eastAsia" w:ascii="宋体" w:hAnsi="宋体" w:eastAsia="宋体" w:cs="宋体"/>
                <w:bCs/>
                <w:color w:val="auto"/>
                <w:kern w:val="0"/>
                <w:sz w:val="21"/>
                <w:szCs w:val="21"/>
                <w:highlight w:val="none"/>
              </w:rPr>
              <w:t>1根；锉夹</w:t>
            </w:r>
            <w:r>
              <w:rPr>
                <w:rFonts w:hint="eastAsia" w:ascii="宋体" w:hAnsi="宋体" w:eastAsia="宋体" w:cs="宋体"/>
                <w:color w:val="auto"/>
                <w:sz w:val="21"/>
                <w:szCs w:val="21"/>
                <w:highlight w:val="none"/>
              </w:rPr>
              <w:t>≥</w:t>
            </w:r>
            <w:r>
              <w:rPr>
                <w:rFonts w:hint="eastAsia" w:ascii="宋体" w:hAnsi="宋体" w:eastAsia="宋体" w:cs="宋体"/>
                <w:bCs/>
                <w:color w:val="auto"/>
                <w:kern w:val="0"/>
                <w:sz w:val="21"/>
                <w:szCs w:val="21"/>
                <w:highlight w:val="none"/>
              </w:rPr>
              <w:t>4根；唇挂钩</w:t>
            </w:r>
            <w:r>
              <w:rPr>
                <w:rFonts w:hint="eastAsia" w:ascii="宋体" w:hAnsi="宋体" w:eastAsia="宋体" w:cs="宋体"/>
                <w:color w:val="auto"/>
                <w:sz w:val="21"/>
                <w:szCs w:val="21"/>
                <w:highlight w:val="none"/>
              </w:rPr>
              <w:t>≥</w:t>
            </w:r>
            <w:r>
              <w:rPr>
                <w:rFonts w:hint="eastAsia" w:ascii="宋体" w:hAnsi="宋体" w:eastAsia="宋体" w:cs="宋体"/>
                <w:bCs/>
                <w:color w:val="auto"/>
                <w:kern w:val="0"/>
                <w:sz w:val="21"/>
                <w:szCs w:val="21"/>
                <w:highlight w:val="none"/>
              </w:rPr>
              <w:t>5个；探针</w:t>
            </w:r>
            <w:r>
              <w:rPr>
                <w:rFonts w:hint="eastAsia" w:ascii="宋体" w:hAnsi="宋体" w:eastAsia="宋体" w:cs="宋体"/>
                <w:color w:val="auto"/>
                <w:sz w:val="21"/>
                <w:szCs w:val="21"/>
                <w:highlight w:val="none"/>
              </w:rPr>
              <w:t>≥</w:t>
            </w:r>
            <w:r>
              <w:rPr>
                <w:rFonts w:hint="eastAsia" w:ascii="宋体" w:hAnsi="宋体" w:eastAsia="宋体" w:cs="宋体"/>
                <w:bCs/>
                <w:color w:val="auto"/>
                <w:kern w:val="0"/>
                <w:sz w:val="21"/>
                <w:szCs w:val="21"/>
                <w:highlight w:val="none"/>
              </w:rPr>
              <w:t>2根；电源适配器</w:t>
            </w:r>
            <w:r>
              <w:rPr>
                <w:rFonts w:hint="eastAsia" w:ascii="宋体" w:hAnsi="宋体" w:eastAsia="宋体" w:cs="宋体"/>
                <w:color w:val="auto"/>
                <w:sz w:val="21"/>
                <w:szCs w:val="21"/>
                <w:highlight w:val="none"/>
              </w:rPr>
              <w:t>≥</w:t>
            </w:r>
            <w:r>
              <w:rPr>
                <w:rFonts w:hint="eastAsia" w:ascii="宋体" w:hAnsi="宋体" w:eastAsia="宋体" w:cs="宋体"/>
                <w:bCs/>
                <w:color w:val="auto"/>
                <w:kern w:val="0"/>
                <w:sz w:val="21"/>
                <w:szCs w:val="21"/>
                <w:highlight w:val="none"/>
              </w:rPr>
              <w:t>1个；测试器</w:t>
            </w:r>
            <w:r>
              <w:rPr>
                <w:rFonts w:hint="eastAsia" w:ascii="宋体" w:hAnsi="宋体" w:eastAsia="宋体" w:cs="宋体"/>
                <w:color w:val="auto"/>
                <w:sz w:val="21"/>
                <w:szCs w:val="21"/>
                <w:highlight w:val="none"/>
              </w:rPr>
              <w:t>≥</w:t>
            </w:r>
            <w:r>
              <w:rPr>
                <w:rFonts w:hint="eastAsia" w:ascii="宋体" w:hAnsi="宋体" w:eastAsia="宋体" w:cs="宋体"/>
                <w:bCs/>
                <w:color w:val="auto"/>
                <w:kern w:val="0"/>
                <w:sz w:val="21"/>
                <w:szCs w:val="21"/>
                <w:highlight w:val="none"/>
              </w:rPr>
              <w:t>1个。</w:t>
            </w:r>
          </w:p>
        </w:tc>
        <w:tc>
          <w:tcPr>
            <w:tcW w:w="630" w:type="dxa"/>
            <w:tcBorders>
              <w:top w:val="single" w:color="000000" w:sz="6" w:space="0"/>
              <w:left w:val="single" w:color="000000" w:sz="6" w:space="0"/>
              <w:bottom w:val="single" w:color="000000" w:sz="6" w:space="0"/>
              <w:right w:val="single" w:color="000000" w:sz="6" w:space="0"/>
            </w:tcBorders>
            <w:shd w:val="clear" w:color="auto" w:fill="auto"/>
            <w:tcMar>
              <w:top w:w="10" w:type="dxa"/>
              <w:left w:w="10" w:type="dxa"/>
              <w:bottom w:w="0" w:type="dxa"/>
              <w:right w:w="10" w:type="dxa"/>
            </w:tcMar>
            <w:vAlign w:val="center"/>
          </w:tcPr>
          <w:p w14:paraId="12A12A2E">
            <w:pPr>
              <w:widowControl/>
              <w:ind w:firstLine="0" w:firstLineChars="0"/>
              <w:jc w:val="center"/>
              <w:textAlignment w:val="center"/>
              <w:rPr>
                <w:rFonts w:hint="eastAsia" w:ascii="宋体" w:hAnsi="宋体" w:eastAsia="宋体" w:cs="宋体"/>
                <w:bCs/>
                <w:color w:val="auto"/>
                <w:sz w:val="21"/>
                <w:szCs w:val="21"/>
                <w:highlight w:val="none"/>
                <w:lang w:eastAsia="zh-CN"/>
              </w:rPr>
            </w:pPr>
            <w:r>
              <w:rPr>
                <w:rFonts w:hint="eastAsia" w:ascii="宋体" w:hAnsi="宋体" w:cs="宋体"/>
                <w:color w:val="auto"/>
                <w:kern w:val="0"/>
                <w:sz w:val="21"/>
                <w:szCs w:val="21"/>
                <w:highlight w:val="none"/>
                <w:lang w:val="en-US" w:eastAsia="zh-CN"/>
              </w:rPr>
              <w:t>1</w:t>
            </w:r>
          </w:p>
        </w:tc>
        <w:tc>
          <w:tcPr>
            <w:tcW w:w="581" w:type="dxa"/>
            <w:tcBorders>
              <w:top w:val="single" w:color="000000" w:sz="6" w:space="0"/>
              <w:left w:val="single" w:color="000000" w:sz="6" w:space="0"/>
              <w:bottom w:val="single" w:color="000000" w:sz="6" w:space="0"/>
              <w:right w:val="single" w:color="000000" w:sz="6" w:space="0"/>
            </w:tcBorders>
            <w:shd w:val="clear" w:color="auto" w:fill="auto"/>
            <w:tcMar>
              <w:top w:w="10" w:type="dxa"/>
              <w:left w:w="10" w:type="dxa"/>
              <w:bottom w:w="0" w:type="dxa"/>
              <w:right w:w="10" w:type="dxa"/>
            </w:tcMar>
            <w:vAlign w:val="center"/>
          </w:tcPr>
          <w:p w14:paraId="015D0B67">
            <w:pPr>
              <w:widowControl/>
              <w:ind w:firstLine="0" w:firstLineChars="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台</w:t>
            </w:r>
          </w:p>
        </w:tc>
        <w:tc>
          <w:tcPr>
            <w:tcW w:w="887" w:type="dxa"/>
            <w:tcBorders>
              <w:top w:val="single" w:color="000000" w:sz="6" w:space="0"/>
              <w:left w:val="single" w:color="000000" w:sz="6" w:space="0"/>
              <w:bottom w:val="single" w:color="000000" w:sz="6" w:space="0"/>
              <w:right w:val="single" w:color="000000" w:sz="6" w:space="0"/>
            </w:tcBorders>
            <w:shd w:val="clear" w:color="auto" w:fill="auto"/>
            <w:tcMar>
              <w:top w:w="10" w:type="dxa"/>
              <w:left w:w="10" w:type="dxa"/>
              <w:bottom w:w="0" w:type="dxa"/>
              <w:right w:w="10" w:type="dxa"/>
            </w:tcMar>
            <w:vAlign w:val="center"/>
          </w:tcPr>
          <w:p w14:paraId="1C933177">
            <w:pPr>
              <w:adjustRightInd w:val="0"/>
              <w:snapToGrid w:val="0"/>
              <w:spacing w:line="240" w:lineRule="auto"/>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c>
          <w:tcPr>
            <w:tcW w:w="900" w:type="dxa"/>
            <w:tcBorders>
              <w:top w:val="single" w:color="000000" w:sz="6" w:space="0"/>
              <w:left w:val="single" w:color="000000" w:sz="6" w:space="0"/>
              <w:bottom w:val="single" w:color="000000" w:sz="6" w:space="0"/>
              <w:right w:val="single" w:color="000000" w:sz="6" w:space="0"/>
            </w:tcBorders>
            <w:shd w:val="clear" w:color="auto" w:fill="auto"/>
            <w:tcMar>
              <w:top w:w="10" w:type="dxa"/>
              <w:left w:w="10" w:type="dxa"/>
              <w:bottom w:w="0" w:type="dxa"/>
              <w:right w:w="10" w:type="dxa"/>
            </w:tcMar>
            <w:vAlign w:val="center"/>
          </w:tcPr>
          <w:p w14:paraId="2D8F572C">
            <w:pPr>
              <w:widowControl/>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0.20 </w:t>
            </w:r>
          </w:p>
        </w:tc>
      </w:tr>
      <w:tr w14:paraId="41423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617" w:type="dxa"/>
            <w:tcBorders>
              <w:top w:val="single" w:color="000000" w:sz="6" w:space="0"/>
              <w:left w:val="single" w:color="000000" w:sz="6" w:space="0"/>
              <w:bottom w:val="single" w:color="000000" w:sz="6" w:space="0"/>
              <w:right w:val="single" w:color="000000" w:sz="6" w:space="0"/>
            </w:tcBorders>
            <w:shd w:val="clear" w:color="auto" w:fill="auto"/>
            <w:tcMar>
              <w:top w:w="10" w:type="dxa"/>
              <w:left w:w="10" w:type="dxa"/>
              <w:bottom w:w="0" w:type="dxa"/>
              <w:right w:w="10" w:type="dxa"/>
            </w:tcMar>
            <w:vAlign w:val="center"/>
          </w:tcPr>
          <w:p w14:paraId="7C7E9964">
            <w:pPr>
              <w:widowControl/>
              <w:ind w:firstLine="0" w:firstLineChars="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5</w:t>
            </w:r>
          </w:p>
        </w:tc>
        <w:tc>
          <w:tcPr>
            <w:tcW w:w="1309" w:type="dxa"/>
            <w:tcBorders>
              <w:top w:val="single" w:color="000000" w:sz="6" w:space="0"/>
              <w:left w:val="single" w:color="000000" w:sz="6" w:space="0"/>
              <w:bottom w:val="single" w:color="000000" w:sz="6" w:space="0"/>
              <w:right w:val="single" w:color="000000" w:sz="6" w:space="0"/>
            </w:tcBorders>
            <w:shd w:val="clear" w:color="auto" w:fill="auto"/>
            <w:tcMar>
              <w:top w:w="10" w:type="dxa"/>
              <w:left w:w="10" w:type="dxa"/>
              <w:bottom w:w="0" w:type="dxa"/>
              <w:right w:w="10" w:type="dxa"/>
            </w:tcMar>
            <w:vAlign w:val="center"/>
          </w:tcPr>
          <w:p w14:paraId="3F08DFA4">
            <w:pPr>
              <w:widowControl/>
              <w:ind w:firstLine="0" w:firstLineChars="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呼叫系统（内科）</w:t>
            </w:r>
          </w:p>
        </w:tc>
        <w:tc>
          <w:tcPr>
            <w:tcW w:w="4260" w:type="dxa"/>
            <w:tcBorders>
              <w:top w:val="single" w:color="000000" w:sz="6" w:space="0"/>
              <w:left w:val="single" w:color="000000" w:sz="6" w:space="0"/>
              <w:bottom w:val="single" w:color="000000" w:sz="6" w:space="0"/>
              <w:right w:val="single" w:color="000000" w:sz="6" w:space="0"/>
            </w:tcBorders>
            <w:shd w:val="clear" w:color="auto" w:fill="auto"/>
            <w:tcMar>
              <w:top w:w="10" w:type="dxa"/>
              <w:left w:w="10" w:type="dxa"/>
              <w:bottom w:w="0" w:type="dxa"/>
              <w:right w:w="10" w:type="dxa"/>
            </w:tcMar>
            <w:vAlign w:val="center"/>
          </w:tcPr>
          <w:p w14:paraId="73482C19">
            <w:pPr>
              <w:widowControl/>
              <w:spacing w:line="400" w:lineRule="exact"/>
              <w:ind w:firstLine="0" w:firstLineChars="0"/>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（一）呼叫器（安装在病房病床床头、病房卫生间等，病人呼叫护士）</w:t>
            </w:r>
            <w:r>
              <w:rPr>
                <w:rFonts w:hint="eastAsia" w:ascii="宋体" w:hAnsi="宋体" w:eastAsia="宋体" w:cs="宋体"/>
                <w:bCs/>
                <w:color w:val="auto"/>
                <w:kern w:val="0"/>
                <w:sz w:val="21"/>
                <w:szCs w:val="21"/>
                <w:highlight w:val="none"/>
              </w:rPr>
              <w:br w:type="textWrapping"/>
            </w:r>
            <w:r>
              <w:rPr>
                <w:rFonts w:hint="eastAsia" w:ascii="宋体" w:hAnsi="宋体" w:eastAsia="宋体" w:cs="宋体"/>
                <w:bCs/>
                <w:color w:val="auto"/>
                <w:kern w:val="0"/>
                <w:sz w:val="21"/>
                <w:szCs w:val="21"/>
                <w:highlight w:val="none"/>
              </w:rPr>
              <w:t>1.单键：呼叫</w:t>
            </w:r>
            <w:r>
              <w:rPr>
                <w:rFonts w:hint="eastAsia" w:ascii="宋体" w:hAnsi="宋体" w:eastAsia="宋体" w:cs="宋体"/>
                <w:color w:val="auto"/>
                <w:sz w:val="21"/>
                <w:szCs w:val="21"/>
                <w:highlight w:val="none"/>
              </w:rPr>
              <w:t>；</w:t>
            </w:r>
            <w:r>
              <w:rPr>
                <w:rFonts w:hint="eastAsia" w:ascii="宋体" w:hAnsi="宋体" w:eastAsia="宋体" w:cs="宋体"/>
                <w:bCs/>
                <w:color w:val="auto"/>
                <w:kern w:val="0"/>
                <w:sz w:val="21"/>
                <w:szCs w:val="21"/>
                <w:highlight w:val="none"/>
              </w:rPr>
              <w:t xml:space="preserve">标配：防水底座；配呼叫器电池            </w:t>
            </w:r>
          </w:p>
          <w:p w14:paraId="74FAD080">
            <w:pPr>
              <w:widowControl/>
              <w:spacing w:line="400" w:lineRule="exact"/>
              <w:ind w:firstLine="0" w:firstLineChars="0"/>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2.医护手柄：增加医护手柄呼叫，方便使用，距离更远；手柄长度：自然长度≥40cm(不包含手柄部分)，可拉伸≥140cm(不包含手柄部分)</w:t>
            </w:r>
          </w:p>
          <w:p w14:paraId="6F217E05">
            <w:pPr>
              <w:widowControl/>
              <w:spacing w:line="400" w:lineRule="exact"/>
              <w:ind w:firstLine="0" w:firstLineChars="0"/>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 xml:space="preserve">3.尺寸规格：≥60mm*60mm*30mm；发射距离：≥1.5公里(空旷地)       </w:t>
            </w:r>
          </w:p>
          <w:p w14:paraId="07B2B4AE">
            <w:pPr>
              <w:widowControl/>
              <w:spacing w:line="400" w:lineRule="exact"/>
              <w:ind w:firstLine="0" w:firstLineChars="0"/>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（二）看板主机（安装在护士站接收病人呼叫护士信息）</w:t>
            </w:r>
            <w:r>
              <w:rPr>
                <w:rFonts w:hint="eastAsia" w:ascii="宋体" w:hAnsi="宋体" w:eastAsia="宋体" w:cs="宋体"/>
                <w:bCs/>
                <w:color w:val="auto"/>
                <w:kern w:val="0"/>
                <w:sz w:val="21"/>
                <w:szCs w:val="21"/>
                <w:highlight w:val="none"/>
              </w:rPr>
              <w:br w:type="textWrapping"/>
            </w:r>
            <w:r>
              <w:rPr>
                <w:rFonts w:hint="eastAsia" w:ascii="宋体" w:hAnsi="宋体" w:eastAsia="宋体" w:cs="宋体"/>
                <w:bCs/>
                <w:color w:val="auto"/>
                <w:kern w:val="0"/>
                <w:sz w:val="21"/>
                <w:szCs w:val="21"/>
                <w:highlight w:val="none"/>
              </w:rPr>
              <w:t>1.铃声种类：≥10种和弦提示音乐；操作提醒：全程语音提示操作步骤；警报声音：标配报警音</w:t>
            </w:r>
          </w:p>
          <w:p w14:paraId="1A705BA5">
            <w:pPr>
              <w:widowControl/>
              <w:spacing w:line="400" w:lineRule="exact"/>
              <w:ind w:firstLine="0" w:firstLineChars="0"/>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2.显示时长：无限时长显示；显示方式：多种显示方法；病历卡槽：≥60个</w:t>
            </w:r>
          </w:p>
          <w:p w14:paraId="37926BA2">
            <w:pPr>
              <w:widowControl/>
              <w:spacing w:line="400" w:lineRule="exact"/>
              <w:ind w:firstLine="0" w:firstLineChars="0"/>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 xml:space="preserve">3.安装方式：壁挂；供电方式：DC12V；可带呼叫器数量：≥300个；时间显示：标配   </w:t>
            </w:r>
            <w:r>
              <w:rPr>
                <w:rFonts w:hint="eastAsia" w:ascii="宋体" w:hAnsi="宋体" w:eastAsia="宋体" w:cs="宋体"/>
                <w:bCs/>
                <w:color w:val="auto"/>
                <w:kern w:val="0"/>
                <w:sz w:val="21"/>
                <w:szCs w:val="21"/>
                <w:highlight w:val="none"/>
              </w:rPr>
              <w:br w:type="textWrapping"/>
            </w:r>
            <w:r>
              <w:rPr>
                <w:rFonts w:hint="eastAsia" w:ascii="宋体" w:hAnsi="宋体" w:eastAsia="宋体" w:cs="宋体"/>
                <w:bCs/>
                <w:color w:val="auto"/>
                <w:kern w:val="0"/>
                <w:sz w:val="21"/>
                <w:szCs w:val="21"/>
                <w:highlight w:val="none"/>
              </w:rPr>
              <w:t>（三）走廊双面显示屏（悬挂在走廊，接收病人呼叫护士信息）</w:t>
            </w:r>
            <w:r>
              <w:rPr>
                <w:rFonts w:hint="eastAsia" w:ascii="宋体" w:hAnsi="宋体" w:eastAsia="宋体" w:cs="宋体"/>
                <w:bCs/>
                <w:color w:val="auto"/>
                <w:kern w:val="0"/>
                <w:sz w:val="21"/>
                <w:szCs w:val="21"/>
                <w:highlight w:val="none"/>
              </w:rPr>
              <w:br w:type="textWrapping"/>
            </w:r>
            <w:r>
              <w:rPr>
                <w:rFonts w:hint="eastAsia" w:ascii="宋体" w:hAnsi="宋体" w:eastAsia="宋体" w:cs="宋体"/>
                <w:bCs/>
                <w:color w:val="auto"/>
                <w:kern w:val="0"/>
                <w:sz w:val="21"/>
                <w:szCs w:val="21"/>
                <w:highlight w:val="none"/>
              </w:rPr>
              <w:t>1.显示方式：三位数双面显示，带时钟；</w:t>
            </w:r>
          </w:p>
          <w:p w14:paraId="583A057B">
            <w:pPr>
              <w:widowControl/>
              <w:spacing w:line="400" w:lineRule="exact"/>
              <w:ind w:firstLine="0" w:firstLineChars="0"/>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2.语音报号：医疗模式，多种语音播报；操作提醒：触摸按键，语音提示操作简单；警报声音：标配报警音，数控音量</w:t>
            </w:r>
          </w:p>
          <w:p w14:paraId="5B6898FB">
            <w:pPr>
              <w:widowControl/>
              <w:spacing w:line="400" w:lineRule="exact"/>
              <w:ind w:firstLine="0" w:firstLineChars="0"/>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3.显示时长：可设置为1-99秒；显示号码：纯数字，纯英文，数字英文结合</w:t>
            </w:r>
          </w:p>
          <w:p w14:paraId="2DB9EDBD">
            <w:pPr>
              <w:widowControl/>
              <w:spacing w:line="400" w:lineRule="exact"/>
              <w:ind w:firstLine="0" w:firstLineChars="0"/>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4.安装方式：悬挂（带金属链）；供电方式：DC12V；可带呼叫器数量：≥300个</w:t>
            </w:r>
          </w:p>
          <w:p w14:paraId="6FF315AC">
            <w:pPr>
              <w:widowControl/>
              <w:spacing w:line="400" w:lineRule="exact"/>
              <w:ind w:firstLine="0" w:firstLineChars="0"/>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 xml:space="preserve">5.时间显示：标配   </w:t>
            </w:r>
            <w:r>
              <w:rPr>
                <w:rFonts w:hint="eastAsia" w:ascii="宋体" w:hAnsi="宋体" w:eastAsia="宋体" w:cs="宋体"/>
                <w:bCs/>
                <w:color w:val="auto"/>
                <w:kern w:val="0"/>
                <w:sz w:val="21"/>
                <w:szCs w:val="21"/>
                <w:highlight w:val="none"/>
              </w:rPr>
              <w:br w:type="textWrapping"/>
            </w:r>
            <w:r>
              <w:rPr>
                <w:rFonts w:hint="eastAsia" w:ascii="宋体" w:hAnsi="宋体" w:eastAsia="宋体" w:cs="宋体"/>
                <w:bCs/>
                <w:color w:val="auto"/>
                <w:kern w:val="0"/>
                <w:sz w:val="21"/>
                <w:szCs w:val="21"/>
                <w:highlight w:val="none"/>
              </w:rPr>
              <w:t>（四）信号中转器（用于特殊场所延长信号的接收距离使用）</w:t>
            </w:r>
          </w:p>
          <w:p w14:paraId="45DD9A3C">
            <w:pPr>
              <w:widowControl/>
              <w:spacing w:line="400" w:lineRule="exact"/>
              <w:ind w:firstLine="0" w:firstLineChars="0"/>
              <w:jc w:val="left"/>
              <w:textAlignment w:val="center"/>
              <w:rPr>
                <w:rFonts w:hint="eastAsia" w:ascii="宋体" w:hAnsi="宋体" w:eastAsia="宋体" w:cs="宋体"/>
                <w:bCs/>
                <w:color w:val="auto"/>
                <w:kern w:val="0"/>
                <w:sz w:val="21"/>
                <w:szCs w:val="21"/>
                <w:highlight w:val="none"/>
              </w:rPr>
            </w:pPr>
            <w:r>
              <w:rPr>
                <w:rFonts w:hint="eastAsia" w:ascii="宋体" w:hAnsi="宋体" w:cs="宋体"/>
                <w:bCs/>
                <w:color w:val="auto"/>
                <w:kern w:val="0"/>
                <w:sz w:val="21"/>
                <w:szCs w:val="21"/>
                <w:highlight w:val="none"/>
                <w:lang w:val="en-US" w:eastAsia="zh-CN"/>
              </w:rPr>
              <w:t>1.</w:t>
            </w:r>
            <w:r>
              <w:rPr>
                <w:rFonts w:hint="eastAsia" w:ascii="宋体" w:hAnsi="宋体" w:eastAsia="宋体" w:cs="宋体"/>
                <w:bCs/>
                <w:color w:val="auto"/>
                <w:kern w:val="0"/>
                <w:sz w:val="21"/>
                <w:szCs w:val="21"/>
                <w:highlight w:val="none"/>
              </w:rPr>
              <w:t>接收灵敏度：-118dbm；编码方式：百万组注册；使用电源：DC9V ；接收频段：433MHz；天线方式：外置天线</w:t>
            </w:r>
          </w:p>
          <w:p w14:paraId="6E0C67C1">
            <w:pPr>
              <w:adjustRightInd w:val="0"/>
              <w:snapToGrid w:val="0"/>
              <w:ind w:firstLine="0" w:firstLineChars="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rPr>
              <w:t>（五）配置清单</w:t>
            </w:r>
            <w:r>
              <w:rPr>
                <w:rFonts w:hint="eastAsia" w:ascii="宋体" w:hAnsi="宋体" w:eastAsia="宋体" w:cs="宋体"/>
                <w:bCs/>
                <w:color w:val="auto"/>
                <w:kern w:val="0"/>
                <w:sz w:val="21"/>
                <w:szCs w:val="21"/>
                <w:highlight w:val="none"/>
              </w:rPr>
              <w:br w:type="textWrapping"/>
            </w:r>
            <w:r>
              <w:rPr>
                <w:rFonts w:hint="eastAsia" w:ascii="宋体" w:hAnsi="宋体" w:eastAsia="宋体" w:cs="宋体"/>
                <w:bCs/>
                <w:color w:val="auto"/>
                <w:kern w:val="0"/>
                <w:sz w:val="21"/>
                <w:szCs w:val="21"/>
                <w:highlight w:val="none"/>
              </w:rPr>
              <w:t>1.呼叫系统主机一台，显示屏2台（一楼二楼各一台），信号广大器一台，带把床头呼叫分机60个。</w:t>
            </w:r>
          </w:p>
        </w:tc>
        <w:tc>
          <w:tcPr>
            <w:tcW w:w="630" w:type="dxa"/>
            <w:tcBorders>
              <w:top w:val="single" w:color="000000" w:sz="6" w:space="0"/>
              <w:left w:val="single" w:color="000000" w:sz="6" w:space="0"/>
              <w:bottom w:val="single" w:color="000000" w:sz="6" w:space="0"/>
              <w:right w:val="single" w:color="000000" w:sz="6" w:space="0"/>
            </w:tcBorders>
            <w:shd w:val="clear" w:color="auto" w:fill="auto"/>
            <w:tcMar>
              <w:top w:w="10" w:type="dxa"/>
              <w:left w:w="10" w:type="dxa"/>
              <w:bottom w:w="0" w:type="dxa"/>
              <w:right w:w="10" w:type="dxa"/>
            </w:tcMar>
            <w:vAlign w:val="center"/>
          </w:tcPr>
          <w:p w14:paraId="446FCC77">
            <w:pPr>
              <w:widowControl/>
              <w:ind w:firstLine="0" w:firstLineChars="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1</w:t>
            </w:r>
          </w:p>
        </w:tc>
        <w:tc>
          <w:tcPr>
            <w:tcW w:w="581" w:type="dxa"/>
            <w:tcBorders>
              <w:top w:val="single" w:color="000000" w:sz="6" w:space="0"/>
              <w:left w:val="single" w:color="000000" w:sz="6" w:space="0"/>
              <w:bottom w:val="single" w:color="000000" w:sz="6" w:space="0"/>
              <w:right w:val="single" w:color="000000" w:sz="6" w:space="0"/>
            </w:tcBorders>
            <w:shd w:val="clear" w:color="auto" w:fill="auto"/>
            <w:tcMar>
              <w:top w:w="10" w:type="dxa"/>
              <w:left w:w="10" w:type="dxa"/>
              <w:bottom w:w="0" w:type="dxa"/>
              <w:right w:w="10" w:type="dxa"/>
            </w:tcMar>
            <w:vAlign w:val="center"/>
          </w:tcPr>
          <w:p w14:paraId="28FCDC7E">
            <w:pPr>
              <w:widowControl/>
              <w:ind w:firstLine="0" w:firstLineChars="0"/>
              <w:jc w:val="center"/>
              <w:textAlignment w:val="center"/>
              <w:rPr>
                <w:rFonts w:hint="eastAsia" w:ascii="宋体" w:hAnsi="宋体" w:eastAsia="宋体" w:cs="宋体"/>
                <w:bCs/>
                <w:color w:val="auto"/>
                <w:sz w:val="21"/>
                <w:szCs w:val="21"/>
                <w:highlight w:val="none"/>
                <w:lang w:eastAsia="zh-CN"/>
              </w:rPr>
            </w:pPr>
            <w:r>
              <w:rPr>
                <w:rFonts w:hint="eastAsia" w:ascii="宋体" w:hAnsi="宋体" w:cs="宋体"/>
                <w:color w:val="auto"/>
                <w:kern w:val="0"/>
                <w:sz w:val="21"/>
                <w:szCs w:val="21"/>
                <w:highlight w:val="none"/>
                <w:lang w:val="en-US" w:eastAsia="zh-CN"/>
              </w:rPr>
              <w:t>套</w:t>
            </w:r>
          </w:p>
        </w:tc>
        <w:tc>
          <w:tcPr>
            <w:tcW w:w="887" w:type="dxa"/>
            <w:tcBorders>
              <w:top w:val="single" w:color="000000" w:sz="6" w:space="0"/>
              <w:left w:val="single" w:color="000000" w:sz="6" w:space="0"/>
              <w:bottom w:val="single" w:color="000000" w:sz="6" w:space="0"/>
              <w:right w:val="single" w:color="000000" w:sz="6" w:space="0"/>
            </w:tcBorders>
            <w:shd w:val="clear" w:color="auto" w:fill="auto"/>
            <w:tcMar>
              <w:top w:w="10" w:type="dxa"/>
              <w:left w:w="10" w:type="dxa"/>
              <w:bottom w:w="0" w:type="dxa"/>
              <w:right w:w="10" w:type="dxa"/>
            </w:tcMar>
            <w:vAlign w:val="center"/>
          </w:tcPr>
          <w:p w14:paraId="0C922771">
            <w:pPr>
              <w:adjustRightInd w:val="0"/>
              <w:snapToGrid w:val="0"/>
              <w:spacing w:line="240" w:lineRule="auto"/>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c>
          <w:tcPr>
            <w:tcW w:w="900" w:type="dxa"/>
            <w:tcBorders>
              <w:top w:val="single" w:color="000000" w:sz="6" w:space="0"/>
              <w:left w:val="single" w:color="000000" w:sz="6" w:space="0"/>
              <w:bottom w:val="single" w:color="000000" w:sz="6" w:space="0"/>
              <w:right w:val="single" w:color="000000" w:sz="6" w:space="0"/>
            </w:tcBorders>
            <w:shd w:val="clear" w:color="auto" w:fill="auto"/>
            <w:tcMar>
              <w:top w:w="10" w:type="dxa"/>
              <w:left w:w="10" w:type="dxa"/>
              <w:bottom w:w="0" w:type="dxa"/>
              <w:right w:w="10" w:type="dxa"/>
            </w:tcMar>
            <w:vAlign w:val="center"/>
          </w:tcPr>
          <w:p w14:paraId="4B0CA136">
            <w:pPr>
              <w:widowControl/>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2.00 </w:t>
            </w:r>
          </w:p>
        </w:tc>
      </w:tr>
      <w:tr w14:paraId="2225A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617" w:type="dxa"/>
            <w:tcBorders>
              <w:top w:val="single" w:color="000000" w:sz="6" w:space="0"/>
              <w:left w:val="single" w:color="000000" w:sz="6" w:space="0"/>
              <w:bottom w:val="single" w:color="000000" w:sz="6" w:space="0"/>
              <w:right w:val="single" w:color="000000" w:sz="6" w:space="0"/>
            </w:tcBorders>
            <w:shd w:val="clear" w:color="auto" w:fill="auto"/>
            <w:tcMar>
              <w:top w:w="10" w:type="dxa"/>
              <w:left w:w="10" w:type="dxa"/>
              <w:bottom w:w="0" w:type="dxa"/>
              <w:right w:w="10" w:type="dxa"/>
            </w:tcMar>
            <w:vAlign w:val="center"/>
          </w:tcPr>
          <w:p w14:paraId="6D950FB4">
            <w:pPr>
              <w:widowControl/>
              <w:ind w:firstLine="0" w:firstLineChars="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6</w:t>
            </w:r>
          </w:p>
        </w:tc>
        <w:tc>
          <w:tcPr>
            <w:tcW w:w="1309" w:type="dxa"/>
            <w:tcBorders>
              <w:top w:val="single" w:color="000000" w:sz="6" w:space="0"/>
              <w:left w:val="single" w:color="000000" w:sz="6" w:space="0"/>
              <w:bottom w:val="single" w:color="000000" w:sz="6" w:space="0"/>
              <w:right w:val="single" w:color="000000" w:sz="6" w:space="0"/>
            </w:tcBorders>
            <w:shd w:val="clear" w:color="auto" w:fill="auto"/>
            <w:tcMar>
              <w:top w:w="10" w:type="dxa"/>
              <w:left w:w="10" w:type="dxa"/>
              <w:bottom w:w="0" w:type="dxa"/>
              <w:right w:w="10" w:type="dxa"/>
            </w:tcMar>
            <w:vAlign w:val="center"/>
          </w:tcPr>
          <w:p w14:paraId="5BD30B99">
            <w:pPr>
              <w:widowControl/>
              <w:ind w:firstLine="0" w:firstLineChars="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碳14幽门螺杆菌测试仪（内科）</w:t>
            </w:r>
          </w:p>
        </w:tc>
        <w:tc>
          <w:tcPr>
            <w:tcW w:w="4260" w:type="dxa"/>
            <w:tcBorders>
              <w:top w:val="single" w:color="000000" w:sz="6" w:space="0"/>
              <w:left w:val="single" w:color="000000" w:sz="6" w:space="0"/>
              <w:bottom w:val="single" w:color="000000" w:sz="6" w:space="0"/>
              <w:right w:val="single" w:color="000000" w:sz="6" w:space="0"/>
            </w:tcBorders>
            <w:shd w:val="clear" w:color="auto" w:fill="auto"/>
            <w:tcMar>
              <w:top w:w="10" w:type="dxa"/>
              <w:left w:w="10" w:type="dxa"/>
              <w:bottom w:w="0" w:type="dxa"/>
              <w:right w:w="10" w:type="dxa"/>
            </w:tcMar>
            <w:vAlign w:val="center"/>
          </w:tcPr>
          <w:p w14:paraId="22B5EDDF">
            <w:pPr>
              <w:widowControl/>
              <w:spacing w:line="400" w:lineRule="exact"/>
              <w:ind w:firstLine="0" w:firstLineChars="0"/>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1.采用双道采集数据</w:t>
            </w:r>
          </w:p>
          <w:p w14:paraId="072F9926">
            <w:pPr>
              <w:widowControl/>
              <w:spacing w:line="400" w:lineRule="exact"/>
              <w:ind w:firstLine="0" w:firstLineChars="0"/>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2.双测量室，同时测量2个样本</w:t>
            </w:r>
          </w:p>
          <w:p w14:paraId="41C46A45">
            <w:pPr>
              <w:widowControl/>
              <w:spacing w:line="400" w:lineRule="exact"/>
              <w:ind w:firstLine="0" w:firstLineChars="0"/>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▲3.自动给出C及HP感染的阴性，不确定，阳性+，</w:t>
            </w:r>
          </w:p>
          <w:p w14:paraId="2949CDE9">
            <w:pPr>
              <w:widowControl/>
              <w:spacing w:line="400" w:lineRule="exact"/>
              <w:ind w:firstLine="0" w:firstLineChars="0"/>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4.自动故障诊断；自动扣除本底计数；自动进行测量数据打印，自带热敏式微型操作终端</w:t>
            </w:r>
          </w:p>
          <w:p w14:paraId="36B56890">
            <w:pPr>
              <w:widowControl/>
              <w:spacing w:line="400" w:lineRule="exact"/>
              <w:ind w:firstLine="0" w:firstLineChars="0"/>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6.采用卡式进样。</w:t>
            </w:r>
          </w:p>
          <w:p w14:paraId="70AAC955">
            <w:pPr>
              <w:widowControl/>
              <w:spacing w:line="400" w:lineRule="exact"/>
              <w:ind w:firstLine="0" w:firstLineChars="0"/>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7.内置≥7英寸显示终端操作界面</w:t>
            </w:r>
          </w:p>
          <w:p w14:paraId="28A92866">
            <w:pPr>
              <w:widowControl/>
              <w:spacing w:line="400" w:lineRule="exact"/>
              <w:ind w:firstLine="0" w:firstLineChars="0"/>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8.仅需插卡，无需按键就可自动完成测量</w:t>
            </w:r>
          </w:p>
          <w:p w14:paraId="284AD76D">
            <w:pPr>
              <w:widowControl/>
              <w:spacing w:line="400" w:lineRule="exact"/>
              <w:ind w:firstLine="0" w:firstLineChars="0"/>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▲9.本底计数率≤40 min-1；8小时稳定性误差≤10%；计数容量60000,存储满后可自动循环覆盖存储</w:t>
            </w:r>
          </w:p>
          <w:p w14:paraId="43E0E8B2">
            <w:pPr>
              <w:widowControl/>
              <w:spacing w:line="400" w:lineRule="exact"/>
              <w:ind w:firstLine="0" w:firstLineChars="0"/>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10.仪器可随时升级，与电脑系统连接实现海量数据管理和连接标准打印机打印格式化报告（配工作站：一台显示终端、一台操作终端）</w:t>
            </w:r>
          </w:p>
          <w:p w14:paraId="7900996F">
            <w:pPr>
              <w:adjustRightInd w:val="0"/>
              <w:snapToGrid w:val="0"/>
              <w:ind w:firstLine="0" w:firstLineChars="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rPr>
              <w:t>11.可接入医院局域网，连接扫码枪，接入LIS，HIS,PACX等系统</w:t>
            </w:r>
          </w:p>
        </w:tc>
        <w:tc>
          <w:tcPr>
            <w:tcW w:w="630" w:type="dxa"/>
            <w:tcBorders>
              <w:top w:val="single" w:color="000000" w:sz="6" w:space="0"/>
              <w:left w:val="single" w:color="000000" w:sz="6" w:space="0"/>
              <w:bottom w:val="single" w:color="000000" w:sz="6" w:space="0"/>
              <w:right w:val="single" w:color="000000" w:sz="6" w:space="0"/>
            </w:tcBorders>
            <w:shd w:val="clear" w:color="auto" w:fill="auto"/>
            <w:tcMar>
              <w:top w:w="10" w:type="dxa"/>
              <w:left w:w="10" w:type="dxa"/>
              <w:bottom w:w="0" w:type="dxa"/>
              <w:right w:w="10" w:type="dxa"/>
            </w:tcMar>
            <w:vAlign w:val="center"/>
          </w:tcPr>
          <w:p w14:paraId="173C61B1">
            <w:pPr>
              <w:widowControl/>
              <w:ind w:firstLine="0" w:firstLineChars="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1</w:t>
            </w:r>
          </w:p>
        </w:tc>
        <w:tc>
          <w:tcPr>
            <w:tcW w:w="581" w:type="dxa"/>
            <w:tcBorders>
              <w:top w:val="single" w:color="000000" w:sz="6" w:space="0"/>
              <w:left w:val="single" w:color="000000" w:sz="6" w:space="0"/>
              <w:bottom w:val="single" w:color="000000" w:sz="6" w:space="0"/>
              <w:right w:val="single" w:color="000000" w:sz="6" w:space="0"/>
            </w:tcBorders>
            <w:shd w:val="clear" w:color="auto" w:fill="auto"/>
            <w:tcMar>
              <w:top w:w="10" w:type="dxa"/>
              <w:left w:w="10" w:type="dxa"/>
              <w:bottom w:w="0" w:type="dxa"/>
              <w:right w:w="10" w:type="dxa"/>
            </w:tcMar>
            <w:vAlign w:val="center"/>
          </w:tcPr>
          <w:p w14:paraId="4F8277AB">
            <w:pPr>
              <w:widowControl/>
              <w:ind w:firstLine="0" w:firstLineChars="0"/>
              <w:jc w:val="center"/>
              <w:textAlignment w:val="center"/>
              <w:rPr>
                <w:rFonts w:hint="eastAsia" w:ascii="宋体" w:hAnsi="宋体" w:eastAsia="宋体" w:cs="宋体"/>
                <w:bCs/>
                <w:color w:val="auto"/>
                <w:sz w:val="21"/>
                <w:szCs w:val="21"/>
                <w:highlight w:val="none"/>
                <w:lang w:eastAsia="zh-CN"/>
              </w:rPr>
            </w:pPr>
            <w:r>
              <w:rPr>
                <w:rFonts w:hint="eastAsia" w:ascii="宋体" w:hAnsi="宋体" w:cs="宋体"/>
                <w:color w:val="auto"/>
                <w:kern w:val="0"/>
                <w:sz w:val="21"/>
                <w:szCs w:val="21"/>
                <w:highlight w:val="none"/>
                <w:lang w:val="en-US" w:eastAsia="zh-CN"/>
              </w:rPr>
              <w:t>台</w:t>
            </w:r>
          </w:p>
        </w:tc>
        <w:tc>
          <w:tcPr>
            <w:tcW w:w="887" w:type="dxa"/>
            <w:tcBorders>
              <w:top w:val="single" w:color="000000" w:sz="6" w:space="0"/>
              <w:left w:val="single" w:color="000000" w:sz="6" w:space="0"/>
              <w:bottom w:val="single" w:color="000000" w:sz="6" w:space="0"/>
              <w:right w:val="single" w:color="000000" w:sz="6" w:space="0"/>
            </w:tcBorders>
            <w:shd w:val="clear" w:color="auto" w:fill="auto"/>
            <w:tcMar>
              <w:top w:w="10" w:type="dxa"/>
              <w:left w:w="10" w:type="dxa"/>
              <w:bottom w:w="0" w:type="dxa"/>
              <w:right w:w="10" w:type="dxa"/>
            </w:tcMar>
            <w:vAlign w:val="center"/>
          </w:tcPr>
          <w:p w14:paraId="132312BF">
            <w:pPr>
              <w:adjustRightInd w:val="0"/>
              <w:snapToGrid w:val="0"/>
              <w:spacing w:line="240" w:lineRule="auto"/>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c>
          <w:tcPr>
            <w:tcW w:w="900" w:type="dxa"/>
            <w:tcBorders>
              <w:top w:val="single" w:color="000000" w:sz="6" w:space="0"/>
              <w:left w:val="single" w:color="000000" w:sz="6" w:space="0"/>
              <w:bottom w:val="single" w:color="000000" w:sz="6" w:space="0"/>
              <w:right w:val="single" w:color="000000" w:sz="6" w:space="0"/>
            </w:tcBorders>
            <w:shd w:val="clear" w:color="auto" w:fill="auto"/>
            <w:tcMar>
              <w:top w:w="10" w:type="dxa"/>
              <w:left w:w="10" w:type="dxa"/>
              <w:bottom w:w="0" w:type="dxa"/>
              <w:right w:w="10" w:type="dxa"/>
            </w:tcMar>
            <w:vAlign w:val="center"/>
          </w:tcPr>
          <w:p w14:paraId="043173B2">
            <w:pPr>
              <w:widowControl/>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3.20 </w:t>
            </w:r>
          </w:p>
        </w:tc>
      </w:tr>
      <w:tr w14:paraId="73FEA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617" w:type="dxa"/>
            <w:tcBorders>
              <w:top w:val="single" w:color="000000" w:sz="6" w:space="0"/>
              <w:left w:val="single" w:color="000000" w:sz="6" w:space="0"/>
              <w:bottom w:val="single" w:color="000000" w:sz="6" w:space="0"/>
              <w:right w:val="single" w:color="000000" w:sz="6" w:space="0"/>
            </w:tcBorders>
            <w:shd w:val="clear" w:color="auto" w:fill="auto"/>
            <w:tcMar>
              <w:top w:w="10" w:type="dxa"/>
              <w:left w:w="10" w:type="dxa"/>
              <w:bottom w:w="0" w:type="dxa"/>
              <w:right w:w="10" w:type="dxa"/>
            </w:tcMar>
            <w:vAlign w:val="center"/>
          </w:tcPr>
          <w:p w14:paraId="4F17FD67">
            <w:pPr>
              <w:widowControl/>
              <w:ind w:firstLine="0" w:firstLineChars="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7</w:t>
            </w:r>
          </w:p>
        </w:tc>
        <w:tc>
          <w:tcPr>
            <w:tcW w:w="1309" w:type="dxa"/>
            <w:tcBorders>
              <w:top w:val="single" w:color="000000" w:sz="6" w:space="0"/>
              <w:left w:val="single" w:color="000000" w:sz="6" w:space="0"/>
              <w:bottom w:val="single" w:color="000000" w:sz="6" w:space="0"/>
              <w:right w:val="single" w:color="000000" w:sz="6" w:space="0"/>
            </w:tcBorders>
            <w:shd w:val="clear" w:color="auto" w:fill="auto"/>
            <w:tcMar>
              <w:top w:w="10" w:type="dxa"/>
              <w:left w:w="10" w:type="dxa"/>
              <w:bottom w:w="0" w:type="dxa"/>
              <w:right w:w="10" w:type="dxa"/>
            </w:tcMar>
            <w:vAlign w:val="center"/>
          </w:tcPr>
          <w:p w14:paraId="4E397F96">
            <w:pPr>
              <w:widowControl/>
              <w:ind w:firstLine="0" w:firstLineChars="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超声胎音仪（妇产科）</w:t>
            </w:r>
          </w:p>
        </w:tc>
        <w:tc>
          <w:tcPr>
            <w:tcW w:w="4260" w:type="dxa"/>
            <w:tcBorders>
              <w:top w:val="single" w:color="000000" w:sz="6" w:space="0"/>
              <w:left w:val="single" w:color="000000" w:sz="6" w:space="0"/>
              <w:bottom w:val="single" w:color="000000" w:sz="6" w:space="0"/>
              <w:right w:val="single" w:color="000000" w:sz="6" w:space="0"/>
            </w:tcBorders>
            <w:shd w:val="clear" w:color="auto" w:fill="auto"/>
            <w:tcMar>
              <w:top w:w="10" w:type="dxa"/>
              <w:left w:w="10" w:type="dxa"/>
              <w:bottom w:w="0" w:type="dxa"/>
              <w:right w:w="10" w:type="dxa"/>
            </w:tcMar>
            <w:vAlign w:val="center"/>
          </w:tcPr>
          <w:p w14:paraId="0353A312">
            <w:pPr>
              <w:widowControl/>
              <w:spacing w:line="400" w:lineRule="exact"/>
              <w:ind w:firstLine="0" w:firstLineChars="0"/>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1.曲线数值双显示，带存储及记忆功能，可录制胎心音</w:t>
            </w:r>
          </w:p>
          <w:p w14:paraId="1A3986AE">
            <w:pPr>
              <w:widowControl/>
              <w:spacing w:line="400" w:lineRule="exact"/>
              <w:ind w:firstLine="0" w:firstLineChars="0"/>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2.灵敏度高，可监听12周胎儿血管壁的搏动，在无信号下，一分钟自动关机</w:t>
            </w:r>
          </w:p>
          <w:p w14:paraId="6CB09C77">
            <w:pPr>
              <w:widowControl/>
              <w:spacing w:line="400" w:lineRule="exact"/>
              <w:ind w:firstLine="0" w:firstLineChars="0"/>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3.额定声工作频率：2.5MHz，允差±5%</w:t>
            </w:r>
          </w:p>
          <w:p w14:paraId="7EEED8A3">
            <w:pPr>
              <w:widowControl/>
              <w:spacing w:line="400" w:lineRule="exact"/>
              <w:ind w:firstLine="0" w:firstLineChars="0"/>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4.综合灵敏度（在探头表面距离200mm处）：≥90dB</w:t>
            </w:r>
          </w:p>
          <w:p w14:paraId="2CA1612A">
            <w:pPr>
              <w:widowControl/>
              <w:spacing w:line="400" w:lineRule="exact"/>
              <w:ind w:firstLine="0" w:firstLineChars="0"/>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5.胎心率显示和测量范围：50bpm～210bpm，误差不大于±2bpm。</w:t>
            </w:r>
          </w:p>
          <w:p w14:paraId="0D7F8D35">
            <w:pPr>
              <w:widowControl/>
              <w:spacing w:line="400" w:lineRule="exact"/>
              <w:ind w:firstLine="0" w:firstLineChars="0"/>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 xml:space="preserve">6.锂电池规格：3.7V  1180mAh；充电输入：DC 5V </w:t>
            </w:r>
          </w:p>
          <w:p w14:paraId="613FDD0B">
            <w:pPr>
              <w:widowControl/>
              <w:spacing w:line="400" w:lineRule="exact"/>
              <w:ind w:firstLine="0" w:firstLineChars="0"/>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7.工作方式：连续工作（充满电可连续工作4小时以上）；</w:t>
            </w:r>
          </w:p>
          <w:p w14:paraId="1A59190A">
            <w:pPr>
              <w:widowControl/>
              <w:spacing w:line="400" w:lineRule="exact"/>
              <w:ind w:firstLine="0" w:firstLineChars="0"/>
              <w:jc w:val="left"/>
              <w:textAlignment w:val="center"/>
              <w:rPr>
                <w:rFonts w:hint="eastAsia" w:ascii="宋体" w:hAnsi="宋体" w:eastAsia="宋体" w:cs="宋体"/>
                <w:bCs/>
                <w:color w:val="auto"/>
                <w:kern w:val="0"/>
                <w:sz w:val="21"/>
                <w:szCs w:val="21"/>
                <w:highlight w:val="none"/>
              </w:rPr>
            </w:pPr>
            <w:r>
              <w:rPr>
                <w:rFonts w:hint="eastAsia" w:ascii="宋体" w:hAnsi="宋体" w:cs="宋体"/>
                <w:bCs/>
                <w:color w:val="auto"/>
                <w:kern w:val="0"/>
                <w:sz w:val="21"/>
                <w:szCs w:val="21"/>
                <w:highlight w:val="none"/>
                <w:lang w:val="en-US" w:eastAsia="zh-CN"/>
              </w:rPr>
              <w:t>8.</w:t>
            </w:r>
            <w:r>
              <w:rPr>
                <w:rFonts w:hint="eastAsia" w:ascii="宋体" w:hAnsi="宋体" w:eastAsia="宋体" w:cs="宋体"/>
                <w:bCs/>
                <w:color w:val="auto"/>
                <w:kern w:val="0"/>
                <w:sz w:val="21"/>
                <w:szCs w:val="21"/>
                <w:highlight w:val="none"/>
              </w:rPr>
              <w:t>主机尺寸： 147mm×101.9mm×31.6mm；主机净重：≤250g ±5g</w:t>
            </w:r>
          </w:p>
          <w:p w14:paraId="548CAF1A">
            <w:pPr>
              <w:widowControl/>
              <w:spacing w:line="400" w:lineRule="exact"/>
              <w:ind w:firstLine="0" w:firstLineChars="0"/>
              <w:jc w:val="left"/>
              <w:textAlignment w:val="center"/>
              <w:rPr>
                <w:rFonts w:hint="eastAsia" w:ascii="宋体" w:hAnsi="宋体" w:eastAsia="宋体" w:cs="宋体"/>
                <w:bCs/>
                <w:color w:val="auto"/>
                <w:kern w:val="0"/>
                <w:sz w:val="21"/>
                <w:szCs w:val="21"/>
                <w:highlight w:val="none"/>
              </w:rPr>
            </w:pPr>
            <w:r>
              <w:rPr>
                <w:rFonts w:hint="eastAsia" w:ascii="宋体" w:hAnsi="宋体" w:cs="宋体"/>
                <w:bCs/>
                <w:color w:val="auto"/>
                <w:kern w:val="0"/>
                <w:sz w:val="21"/>
                <w:szCs w:val="21"/>
                <w:highlight w:val="none"/>
                <w:lang w:val="en-US" w:eastAsia="zh-CN"/>
              </w:rPr>
              <w:t>9</w:t>
            </w:r>
            <w:r>
              <w:rPr>
                <w:rFonts w:hint="eastAsia" w:ascii="宋体" w:hAnsi="宋体" w:eastAsia="宋体" w:cs="宋体"/>
                <w:bCs/>
                <w:color w:val="auto"/>
                <w:kern w:val="0"/>
                <w:sz w:val="21"/>
                <w:szCs w:val="21"/>
                <w:highlight w:val="none"/>
              </w:rPr>
              <w:t>.声输出参数符合《GB/T 16846-2008医用超声诊断设备声输出公布要求》标准中免于公布的条件：P_＜1MPa；Iob＜20mW/cm2；Ispta＜100mW/cm2</w:t>
            </w:r>
          </w:p>
          <w:p w14:paraId="501C01C4">
            <w:pPr>
              <w:adjustRightInd w:val="0"/>
              <w:snapToGrid w:val="0"/>
              <w:ind w:firstLine="0" w:firstLineChars="0"/>
              <w:textAlignment w:val="center"/>
              <w:rPr>
                <w:rFonts w:hint="eastAsia" w:ascii="宋体" w:hAnsi="宋体" w:eastAsia="宋体" w:cs="宋体"/>
                <w:bCs/>
                <w:color w:val="auto"/>
                <w:sz w:val="21"/>
                <w:szCs w:val="21"/>
                <w:highlight w:val="none"/>
              </w:rPr>
            </w:pPr>
            <w:r>
              <w:rPr>
                <w:rFonts w:hint="eastAsia" w:ascii="宋体" w:hAnsi="宋体" w:cs="宋体"/>
                <w:bCs/>
                <w:color w:val="auto"/>
                <w:kern w:val="0"/>
                <w:sz w:val="21"/>
                <w:szCs w:val="21"/>
                <w:highlight w:val="none"/>
                <w:lang w:val="en-US" w:eastAsia="zh-CN"/>
              </w:rPr>
              <w:t>10</w:t>
            </w:r>
            <w:r>
              <w:rPr>
                <w:rFonts w:hint="eastAsia" w:ascii="宋体" w:hAnsi="宋体" w:eastAsia="宋体" w:cs="宋体"/>
                <w:bCs/>
                <w:color w:val="auto"/>
                <w:kern w:val="0"/>
                <w:sz w:val="21"/>
                <w:szCs w:val="21"/>
                <w:highlight w:val="none"/>
              </w:rPr>
              <w:t xml:space="preserve">.正常工作条件：环境温度：5℃～40℃；相对湿度：≤80%；大气压力：70kPa～106kPa </w:t>
            </w:r>
          </w:p>
        </w:tc>
        <w:tc>
          <w:tcPr>
            <w:tcW w:w="630" w:type="dxa"/>
            <w:tcBorders>
              <w:top w:val="single" w:color="000000" w:sz="6" w:space="0"/>
              <w:left w:val="single" w:color="000000" w:sz="6" w:space="0"/>
              <w:bottom w:val="single" w:color="000000" w:sz="6" w:space="0"/>
              <w:right w:val="single" w:color="000000" w:sz="6" w:space="0"/>
            </w:tcBorders>
            <w:shd w:val="clear" w:color="auto" w:fill="auto"/>
            <w:tcMar>
              <w:top w:w="10" w:type="dxa"/>
              <w:left w:w="10" w:type="dxa"/>
              <w:bottom w:w="0" w:type="dxa"/>
              <w:right w:w="10" w:type="dxa"/>
            </w:tcMar>
            <w:vAlign w:val="center"/>
          </w:tcPr>
          <w:p w14:paraId="719349F8">
            <w:pPr>
              <w:widowControl/>
              <w:ind w:firstLine="0" w:firstLineChars="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1</w:t>
            </w:r>
          </w:p>
        </w:tc>
        <w:tc>
          <w:tcPr>
            <w:tcW w:w="581" w:type="dxa"/>
            <w:tcBorders>
              <w:top w:val="single" w:color="000000" w:sz="6" w:space="0"/>
              <w:left w:val="single" w:color="000000" w:sz="6" w:space="0"/>
              <w:bottom w:val="single" w:color="000000" w:sz="6" w:space="0"/>
              <w:right w:val="single" w:color="000000" w:sz="6" w:space="0"/>
            </w:tcBorders>
            <w:shd w:val="clear" w:color="auto" w:fill="auto"/>
            <w:tcMar>
              <w:top w:w="10" w:type="dxa"/>
              <w:left w:w="10" w:type="dxa"/>
              <w:bottom w:w="0" w:type="dxa"/>
              <w:right w:w="10" w:type="dxa"/>
            </w:tcMar>
            <w:vAlign w:val="center"/>
          </w:tcPr>
          <w:p w14:paraId="3A12B625">
            <w:pPr>
              <w:widowControl/>
              <w:ind w:firstLine="0" w:firstLineChars="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台</w:t>
            </w:r>
          </w:p>
        </w:tc>
        <w:tc>
          <w:tcPr>
            <w:tcW w:w="887" w:type="dxa"/>
            <w:tcBorders>
              <w:top w:val="single" w:color="000000" w:sz="6" w:space="0"/>
              <w:left w:val="single" w:color="000000" w:sz="6" w:space="0"/>
              <w:bottom w:val="single" w:color="000000" w:sz="6" w:space="0"/>
              <w:right w:val="single" w:color="000000" w:sz="6" w:space="0"/>
            </w:tcBorders>
            <w:shd w:val="clear" w:color="auto" w:fill="auto"/>
            <w:tcMar>
              <w:top w:w="10" w:type="dxa"/>
              <w:left w:w="10" w:type="dxa"/>
              <w:bottom w:w="0" w:type="dxa"/>
              <w:right w:w="10" w:type="dxa"/>
            </w:tcMar>
            <w:vAlign w:val="center"/>
          </w:tcPr>
          <w:p w14:paraId="7711C89F">
            <w:pPr>
              <w:adjustRightInd w:val="0"/>
              <w:snapToGrid w:val="0"/>
              <w:spacing w:line="240" w:lineRule="auto"/>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c>
          <w:tcPr>
            <w:tcW w:w="900" w:type="dxa"/>
            <w:tcBorders>
              <w:top w:val="single" w:color="000000" w:sz="6" w:space="0"/>
              <w:left w:val="single" w:color="000000" w:sz="6" w:space="0"/>
              <w:bottom w:val="single" w:color="000000" w:sz="6" w:space="0"/>
              <w:right w:val="single" w:color="000000" w:sz="6" w:space="0"/>
            </w:tcBorders>
            <w:shd w:val="clear" w:color="auto" w:fill="auto"/>
            <w:tcMar>
              <w:top w:w="10" w:type="dxa"/>
              <w:left w:w="10" w:type="dxa"/>
              <w:bottom w:w="0" w:type="dxa"/>
              <w:right w:w="10" w:type="dxa"/>
            </w:tcMar>
            <w:vAlign w:val="center"/>
          </w:tcPr>
          <w:p w14:paraId="06398151">
            <w:pPr>
              <w:widowControl/>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0.50 </w:t>
            </w:r>
          </w:p>
        </w:tc>
      </w:tr>
      <w:tr w14:paraId="502EC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617" w:type="dxa"/>
            <w:tcBorders>
              <w:top w:val="single" w:color="000000" w:sz="6" w:space="0"/>
              <w:left w:val="single" w:color="000000" w:sz="6" w:space="0"/>
              <w:bottom w:val="single" w:color="000000" w:sz="6" w:space="0"/>
              <w:right w:val="single" w:color="000000" w:sz="6" w:space="0"/>
            </w:tcBorders>
            <w:shd w:val="clear" w:color="auto" w:fill="auto"/>
            <w:tcMar>
              <w:top w:w="10" w:type="dxa"/>
              <w:left w:w="10" w:type="dxa"/>
              <w:bottom w:w="0" w:type="dxa"/>
              <w:right w:w="10" w:type="dxa"/>
            </w:tcMar>
            <w:vAlign w:val="center"/>
          </w:tcPr>
          <w:p w14:paraId="4C2B7DA7">
            <w:pPr>
              <w:widowControl/>
              <w:ind w:firstLine="0" w:firstLineChars="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8</w:t>
            </w:r>
          </w:p>
        </w:tc>
        <w:tc>
          <w:tcPr>
            <w:tcW w:w="1309" w:type="dxa"/>
            <w:tcBorders>
              <w:top w:val="single" w:color="000000" w:sz="6" w:space="0"/>
              <w:left w:val="single" w:color="000000" w:sz="6" w:space="0"/>
              <w:bottom w:val="single" w:color="000000" w:sz="6" w:space="0"/>
              <w:right w:val="single" w:color="000000" w:sz="6" w:space="0"/>
            </w:tcBorders>
            <w:shd w:val="clear" w:color="auto" w:fill="auto"/>
            <w:tcMar>
              <w:top w:w="10" w:type="dxa"/>
              <w:left w:w="10" w:type="dxa"/>
              <w:bottom w:w="0" w:type="dxa"/>
              <w:right w:w="10" w:type="dxa"/>
            </w:tcMar>
            <w:vAlign w:val="center"/>
          </w:tcPr>
          <w:p w14:paraId="11D63A60">
            <w:pPr>
              <w:widowControl/>
              <w:ind w:firstLine="0" w:firstLineChars="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经皮黄疸仪（儿科）</w:t>
            </w:r>
          </w:p>
        </w:tc>
        <w:tc>
          <w:tcPr>
            <w:tcW w:w="4260" w:type="dxa"/>
            <w:tcBorders>
              <w:top w:val="single" w:color="000000" w:sz="6" w:space="0"/>
              <w:left w:val="single" w:color="000000" w:sz="6" w:space="0"/>
              <w:bottom w:val="single" w:color="000000" w:sz="6" w:space="0"/>
              <w:right w:val="single" w:color="000000" w:sz="6" w:space="0"/>
            </w:tcBorders>
            <w:shd w:val="clear" w:color="auto" w:fill="auto"/>
            <w:tcMar>
              <w:top w:w="10" w:type="dxa"/>
              <w:left w:w="10" w:type="dxa"/>
              <w:bottom w:w="0" w:type="dxa"/>
              <w:right w:w="10" w:type="dxa"/>
            </w:tcMar>
            <w:vAlign w:val="center"/>
          </w:tcPr>
          <w:p w14:paraId="69AA5743">
            <w:pPr>
              <w:widowControl/>
              <w:spacing w:line="400" w:lineRule="exact"/>
              <w:ind w:firstLine="0" w:firstLineChars="0"/>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 xml:space="preserve">1.光源：氙闪光灯 </w:t>
            </w:r>
          </w:p>
          <w:p w14:paraId="4947FBBE">
            <w:pPr>
              <w:widowControl/>
              <w:spacing w:line="400" w:lineRule="exact"/>
              <w:ind w:firstLine="0" w:firstLineChars="0"/>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2.检测方法：绿、蓝光比较，光反射式</w:t>
            </w:r>
          </w:p>
          <w:p w14:paraId="54CE9AF9">
            <w:pPr>
              <w:widowControl/>
              <w:spacing w:line="400" w:lineRule="exact"/>
              <w:ind w:firstLine="0" w:firstLineChars="0"/>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 xml:space="preserve">3.重复性：RSD≤2%   </w:t>
            </w:r>
          </w:p>
          <w:p w14:paraId="71C01967">
            <w:pPr>
              <w:widowControl/>
              <w:spacing w:line="400" w:lineRule="exact"/>
              <w:ind w:firstLine="0" w:firstLineChars="0"/>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 xml:space="preserve">4.测量精度：±1mg/dl或±17μmol/L </w:t>
            </w:r>
          </w:p>
          <w:p w14:paraId="305FA434">
            <w:pPr>
              <w:widowControl/>
              <w:spacing w:line="400" w:lineRule="exact"/>
              <w:ind w:firstLine="0" w:firstLineChars="0"/>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5.测量范围：≥0.0～25.0mg/dl或≥0.0～425μmol/L</w:t>
            </w:r>
          </w:p>
          <w:p w14:paraId="1E72072F">
            <w:pPr>
              <w:widowControl/>
              <w:spacing w:line="400" w:lineRule="exact"/>
              <w:ind w:firstLine="0" w:firstLineChars="0"/>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6.显示方法：彩色显示终端，三位数字显示，直接读取</w:t>
            </w:r>
          </w:p>
          <w:p w14:paraId="06750AD9">
            <w:pPr>
              <w:widowControl/>
              <w:spacing w:line="400" w:lineRule="exact"/>
              <w:ind w:firstLine="0" w:firstLineChars="0"/>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7.电源： AAA1.2V×4充电电池组，每充足一次电至少能检测约≥1000次。光源寿命：≥150000次。开机时间：≤3s </w:t>
            </w:r>
          </w:p>
          <w:p w14:paraId="1B975F89">
            <w:pPr>
              <w:widowControl/>
              <w:spacing w:line="400" w:lineRule="exact"/>
              <w:ind w:firstLine="0" w:firstLineChars="0"/>
              <w:jc w:val="left"/>
              <w:textAlignment w:val="center"/>
              <w:rPr>
                <w:rFonts w:hint="eastAsia" w:ascii="宋体" w:hAnsi="宋体" w:eastAsia="宋体" w:cs="宋体"/>
                <w:bCs/>
                <w:color w:val="auto"/>
                <w:kern w:val="0"/>
                <w:sz w:val="21"/>
                <w:szCs w:val="21"/>
                <w:highlight w:val="none"/>
              </w:rPr>
            </w:pPr>
            <w:r>
              <w:rPr>
                <w:rFonts w:hint="eastAsia" w:ascii="宋体" w:hAnsi="宋体" w:cs="宋体"/>
                <w:bCs/>
                <w:color w:val="auto"/>
                <w:kern w:val="0"/>
                <w:sz w:val="21"/>
                <w:szCs w:val="21"/>
                <w:highlight w:val="none"/>
                <w:lang w:val="en-US" w:eastAsia="zh-CN"/>
              </w:rPr>
              <w:t>8</w:t>
            </w:r>
            <w:r>
              <w:rPr>
                <w:rFonts w:hint="eastAsia" w:ascii="宋体" w:hAnsi="宋体" w:eastAsia="宋体" w:cs="宋体"/>
                <w:bCs/>
                <w:color w:val="auto"/>
                <w:kern w:val="0"/>
                <w:sz w:val="21"/>
                <w:szCs w:val="21"/>
                <w:highlight w:val="none"/>
              </w:rPr>
              <w:t>.测量部位：适用于新生儿血流较多的前额、胸骨等部位，支持多次测量并自动计算平均值</w:t>
            </w:r>
          </w:p>
          <w:p w14:paraId="014FB041">
            <w:pPr>
              <w:widowControl/>
              <w:spacing w:line="400" w:lineRule="exact"/>
              <w:ind w:firstLine="0" w:firstLineChars="0"/>
              <w:jc w:val="left"/>
              <w:textAlignment w:val="center"/>
              <w:rPr>
                <w:rFonts w:hint="eastAsia" w:ascii="宋体" w:hAnsi="宋体" w:eastAsia="宋体" w:cs="宋体"/>
                <w:bCs/>
                <w:color w:val="auto"/>
                <w:kern w:val="0"/>
                <w:sz w:val="21"/>
                <w:szCs w:val="21"/>
                <w:highlight w:val="none"/>
              </w:rPr>
            </w:pPr>
            <w:r>
              <w:rPr>
                <w:rFonts w:hint="eastAsia" w:ascii="宋体" w:hAnsi="宋体" w:cs="宋体"/>
                <w:bCs/>
                <w:color w:val="auto"/>
                <w:kern w:val="0"/>
                <w:sz w:val="21"/>
                <w:szCs w:val="21"/>
                <w:highlight w:val="none"/>
                <w:lang w:val="en-US" w:eastAsia="zh-CN"/>
              </w:rPr>
              <w:t>9</w:t>
            </w:r>
            <w:r>
              <w:rPr>
                <w:rFonts w:hint="eastAsia" w:ascii="宋体" w:hAnsi="宋体" w:eastAsia="宋体" w:cs="宋体"/>
                <w:bCs/>
                <w:color w:val="auto"/>
                <w:kern w:val="0"/>
                <w:sz w:val="21"/>
                <w:szCs w:val="21"/>
                <w:highlight w:val="none"/>
              </w:rPr>
              <w:t>.具有自动校准功能</w:t>
            </w:r>
          </w:p>
          <w:p w14:paraId="0F4FE7AD">
            <w:pPr>
              <w:widowControl/>
              <w:spacing w:line="400" w:lineRule="exact"/>
              <w:ind w:firstLine="0" w:firstLineChars="0"/>
              <w:jc w:val="left"/>
              <w:textAlignment w:val="center"/>
              <w:rPr>
                <w:rFonts w:hint="eastAsia" w:ascii="宋体" w:hAnsi="宋体" w:eastAsia="宋体" w:cs="宋体"/>
                <w:bCs/>
                <w:color w:val="auto"/>
                <w:kern w:val="0"/>
                <w:sz w:val="21"/>
                <w:szCs w:val="21"/>
                <w:highlight w:val="none"/>
              </w:rPr>
            </w:pPr>
            <w:r>
              <w:rPr>
                <w:rFonts w:hint="eastAsia" w:ascii="宋体" w:hAnsi="宋体" w:cs="宋体"/>
                <w:bCs/>
                <w:color w:val="auto"/>
                <w:kern w:val="0"/>
                <w:sz w:val="21"/>
                <w:szCs w:val="21"/>
                <w:highlight w:val="none"/>
                <w:lang w:val="en-US" w:eastAsia="zh-CN"/>
              </w:rPr>
              <w:t>10</w:t>
            </w:r>
            <w:r>
              <w:rPr>
                <w:rFonts w:hint="eastAsia" w:ascii="宋体" w:hAnsi="宋体" w:eastAsia="宋体" w:cs="宋体"/>
                <w:bCs/>
                <w:color w:val="auto"/>
                <w:kern w:val="0"/>
                <w:sz w:val="21"/>
                <w:szCs w:val="21"/>
                <w:highlight w:val="none"/>
              </w:rPr>
              <w:t>.平均值计算：可自动计算2-5次测量的平均值</w:t>
            </w:r>
          </w:p>
          <w:p w14:paraId="1FA0A7C0">
            <w:pPr>
              <w:widowControl/>
              <w:spacing w:line="400" w:lineRule="exact"/>
              <w:ind w:firstLine="0" w:firstLineChars="0"/>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w:t>
            </w:r>
            <w:r>
              <w:rPr>
                <w:rFonts w:hint="eastAsia" w:ascii="宋体" w:hAnsi="宋体" w:cs="宋体"/>
                <w:bCs/>
                <w:color w:val="auto"/>
                <w:kern w:val="0"/>
                <w:sz w:val="21"/>
                <w:szCs w:val="21"/>
                <w:highlight w:val="none"/>
                <w:lang w:val="en-US" w:eastAsia="zh-CN"/>
              </w:rPr>
              <w:t>1</w:t>
            </w:r>
            <w:r>
              <w:rPr>
                <w:rFonts w:hint="eastAsia" w:ascii="宋体" w:hAnsi="宋体" w:eastAsia="宋体" w:cs="宋体"/>
                <w:bCs/>
                <w:color w:val="auto"/>
                <w:kern w:val="0"/>
                <w:sz w:val="21"/>
                <w:szCs w:val="21"/>
                <w:highlight w:val="none"/>
              </w:rPr>
              <w:t>.单位显示：mg/dl和 μmol/L支持2种单位同时显示，并同时显示2种单位的平均值</w:t>
            </w:r>
          </w:p>
          <w:p w14:paraId="7E36705C">
            <w:pPr>
              <w:widowControl/>
              <w:spacing w:line="400" w:lineRule="exact"/>
              <w:ind w:firstLine="0" w:firstLineChars="0"/>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w:t>
            </w:r>
            <w:r>
              <w:rPr>
                <w:rFonts w:hint="eastAsia" w:ascii="宋体" w:hAnsi="宋体" w:cs="宋体"/>
                <w:bCs/>
                <w:color w:val="auto"/>
                <w:kern w:val="0"/>
                <w:sz w:val="21"/>
                <w:szCs w:val="21"/>
                <w:highlight w:val="none"/>
                <w:lang w:val="en-US" w:eastAsia="zh-CN"/>
              </w:rPr>
              <w:t>2</w:t>
            </w:r>
            <w:r>
              <w:rPr>
                <w:rFonts w:hint="eastAsia" w:ascii="宋体" w:hAnsi="宋体" w:eastAsia="宋体" w:cs="宋体"/>
                <w:bCs/>
                <w:color w:val="auto"/>
                <w:kern w:val="0"/>
                <w:sz w:val="21"/>
                <w:szCs w:val="21"/>
                <w:highlight w:val="none"/>
              </w:rPr>
              <w:t xml:space="preserve">.充电器：输入220V 50Hz； 输出6.0V 0.5A        </w:t>
            </w:r>
          </w:p>
          <w:p w14:paraId="014E1EC7">
            <w:pPr>
              <w:widowControl/>
              <w:spacing w:line="400" w:lineRule="exact"/>
              <w:ind w:firstLine="0" w:firstLineChars="0"/>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w:t>
            </w:r>
            <w:r>
              <w:rPr>
                <w:rFonts w:hint="eastAsia" w:ascii="宋体" w:hAnsi="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.数据存储功能：可以存储≥3000个测量结果，随时查询测量数据</w:t>
            </w:r>
          </w:p>
          <w:p w14:paraId="08DF3EBF">
            <w:pPr>
              <w:widowControl/>
              <w:spacing w:line="400" w:lineRule="exact"/>
              <w:ind w:firstLine="0" w:firstLineChars="0"/>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w:t>
            </w:r>
            <w:r>
              <w:rPr>
                <w:rFonts w:hint="eastAsia" w:ascii="宋体" w:hAnsi="宋体" w:cs="宋体"/>
                <w:bCs/>
                <w:color w:val="auto"/>
                <w:kern w:val="0"/>
                <w:sz w:val="21"/>
                <w:szCs w:val="21"/>
                <w:highlight w:val="none"/>
                <w:lang w:val="en-US" w:eastAsia="zh-CN"/>
              </w:rPr>
              <w:t>4</w:t>
            </w:r>
            <w:r>
              <w:rPr>
                <w:rFonts w:hint="eastAsia" w:ascii="宋体" w:hAnsi="宋体" w:eastAsia="宋体" w:cs="宋体"/>
                <w:bCs/>
                <w:color w:val="auto"/>
                <w:kern w:val="0"/>
                <w:sz w:val="21"/>
                <w:szCs w:val="21"/>
                <w:highlight w:val="none"/>
              </w:rPr>
              <w:t>.错误数据可随时删除重测</w:t>
            </w:r>
          </w:p>
          <w:p w14:paraId="1E768903">
            <w:pPr>
              <w:widowControl/>
              <w:spacing w:line="400" w:lineRule="exact"/>
              <w:ind w:firstLine="0" w:firstLineChars="0"/>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w:t>
            </w:r>
            <w:r>
              <w:rPr>
                <w:rFonts w:hint="eastAsia" w:ascii="宋体" w:hAnsi="宋体" w:cs="宋体"/>
                <w:bCs/>
                <w:color w:val="auto"/>
                <w:kern w:val="0"/>
                <w:sz w:val="21"/>
                <w:szCs w:val="21"/>
                <w:highlight w:val="none"/>
                <w:lang w:val="en-US" w:eastAsia="zh-CN"/>
              </w:rPr>
              <w:t>5</w:t>
            </w:r>
            <w:r>
              <w:rPr>
                <w:rFonts w:hint="eastAsia" w:ascii="宋体" w:hAnsi="宋体" w:eastAsia="宋体" w:cs="宋体"/>
                <w:bCs/>
                <w:color w:val="auto"/>
                <w:kern w:val="0"/>
                <w:sz w:val="21"/>
                <w:szCs w:val="21"/>
                <w:highlight w:val="none"/>
              </w:rPr>
              <w:t>.具有连接电脑进行数据传输功能；可数据导入、分析、统计、查询、权限设置、打印等</w:t>
            </w:r>
          </w:p>
          <w:p w14:paraId="0EDB31C5">
            <w:pPr>
              <w:widowControl/>
              <w:spacing w:line="400" w:lineRule="exact"/>
              <w:ind w:firstLine="0" w:firstLineChars="0"/>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w:t>
            </w:r>
            <w:r>
              <w:rPr>
                <w:rFonts w:hint="eastAsia" w:ascii="宋体" w:hAnsi="宋体" w:cs="宋体"/>
                <w:bCs/>
                <w:color w:val="auto"/>
                <w:kern w:val="0"/>
                <w:sz w:val="21"/>
                <w:szCs w:val="21"/>
                <w:highlight w:val="none"/>
                <w:lang w:val="en-US" w:eastAsia="zh-CN"/>
              </w:rPr>
              <w:t>6</w:t>
            </w:r>
            <w:r>
              <w:rPr>
                <w:rFonts w:hint="eastAsia" w:ascii="宋体" w:hAnsi="宋体" w:eastAsia="宋体" w:cs="宋体"/>
                <w:bCs/>
                <w:color w:val="auto"/>
                <w:kern w:val="0"/>
                <w:sz w:val="21"/>
                <w:szCs w:val="21"/>
                <w:highlight w:val="none"/>
              </w:rPr>
              <w:t>.电池电量指示功能：实时显示当前的电池剩余电量；自动关机功能：不在充电状态下，测试仪停止操作，放置10分钟后自动关机</w:t>
            </w:r>
          </w:p>
          <w:p w14:paraId="4F2B0554">
            <w:pPr>
              <w:adjustRightInd w:val="0"/>
              <w:snapToGrid w:val="0"/>
              <w:ind w:firstLine="0" w:firstLineChars="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rPr>
              <w:t>1</w:t>
            </w:r>
            <w:r>
              <w:rPr>
                <w:rFonts w:hint="eastAsia" w:ascii="宋体" w:hAnsi="宋体" w:cs="宋体"/>
                <w:bCs/>
                <w:color w:val="auto"/>
                <w:kern w:val="0"/>
                <w:sz w:val="21"/>
                <w:szCs w:val="21"/>
                <w:highlight w:val="none"/>
                <w:lang w:val="en-US" w:eastAsia="zh-CN"/>
              </w:rPr>
              <w:t>7</w:t>
            </w:r>
            <w:r>
              <w:rPr>
                <w:rFonts w:hint="eastAsia" w:ascii="宋体" w:hAnsi="宋体" w:eastAsia="宋体" w:cs="宋体"/>
                <w:bCs/>
                <w:color w:val="auto"/>
                <w:kern w:val="0"/>
                <w:sz w:val="21"/>
                <w:szCs w:val="21"/>
                <w:highlight w:val="none"/>
              </w:rPr>
              <w:t>.时间设置：可实现时间、日期的修改</w:t>
            </w:r>
          </w:p>
        </w:tc>
        <w:tc>
          <w:tcPr>
            <w:tcW w:w="630" w:type="dxa"/>
            <w:tcBorders>
              <w:top w:val="single" w:color="000000" w:sz="6" w:space="0"/>
              <w:left w:val="single" w:color="000000" w:sz="6" w:space="0"/>
              <w:bottom w:val="single" w:color="000000" w:sz="6" w:space="0"/>
              <w:right w:val="single" w:color="000000" w:sz="6" w:space="0"/>
            </w:tcBorders>
            <w:shd w:val="clear" w:color="auto" w:fill="auto"/>
            <w:tcMar>
              <w:top w:w="10" w:type="dxa"/>
              <w:left w:w="10" w:type="dxa"/>
              <w:bottom w:w="0" w:type="dxa"/>
              <w:right w:w="10" w:type="dxa"/>
            </w:tcMar>
            <w:vAlign w:val="center"/>
          </w:tcPr>
          <w:p w14:paraId="24B7532D">
            <w:pPr>
              <w:widowControl/>
              <w:ind w:firstLine="0" w:firstLineChars="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1</w:t>
            </w:r>
          </w:p>
        </w:tc>
        <w:tc>
          <w:tcPr>
            <w:tcW w:w="581" w:type="dxa"/>
            <w:tcBorders>
              <w:top w:val="single" w:color="000000" w:sz="6" w:space="0"/>
              <w:left w:val="single" w:color="000000" w:sz="6" w:space="0"/>
              <w:bottom w:val="single" w:color="000000" w:sz="6" w:space="0"/>
              <w:right w:val="single" w:color="000000" w:sz="6" w:space="0"/>
            </w:tcBorders>
            <w:shd w:val="clear" w:color="auto" w:fill="auto"/>
            <w:tcMar>
              <w:top w:w="10" w:type="dxa"/>
              <w:left w:w="10" w:type="dxa"/>
              <w:bottom w:w="0" w:type="dxa"/>
              <w:right w:w="10" w:type="dxa"/>
            </w:tcMar>
            <w:vAlign w:val="center"/>
          </w:tcPr>
          <w:p w14:paraId="54BE2CE5">
            <w:pPr>
              <w:widowControl/>
              <w:ind w:firstLine="0" w:firstLineChars="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台</w:t>
            </w:r>
          </w:p>
        </w:tc>
        <w:tc>
          <w:tcPr>
            <w:tcW w:w="887" w:type="dxa"/>
            <w:tcBorders>
              <w:top w:val="single" w:color="000000" w:sz="6" w:space="0"/>
              <w:left w:val="single" w:color="000000" w:sz="6" w:space="0"/>
              <w:bottom w:val="single" w:color="000000" w:sz="6" w:space="0"/>
              <w:right w:val="single" w:color="000000" w:sz="6" w:space="0"/>
            </w:tcBorders>
            <w:shd w:val="clear" w:color="auto" w:fill="auto"/>
            <w:tcMar>
              <w:top w:w="10" w:type="dxa"/>
              <w:left w:w="10" w:type="dxa"/>
              <w:bottom w:w="0" w:type="dxa"/>
              <w:right w:w="10" w:type="dxa"/>
            </w:tcMar>
            <w:vAlign w:val="center"/>
          </w:tcPr>
          <w:p w14:paraId="254B1183">
            <w:pPr>
              <w:adjustRightInd w:val="0"/>
              <w:snapToGrid w:val="0"/>
              <w:spacing w:line="240" w:lineRule="auto"/>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c>
          <w:tcPr>
            <w:tcW w:w="900" w:type="dxa"/>
            <w:tcBorders>
              <w:top w:val="single" w:color="000000" w:sz="6" w:space="0"/>
              <w:left w:val="single" w:color="000000" w:sz="6" w:space="0"/>
              <w:bottom w:val="single" w:color="000000" w:sz="6" w:space="0"/>
              <w:right w:val="single" w:color="000000" w:sz="6" w:space="0"/>
            </w:tcBorders>
            <w:shd w:val="clear" w:color="auto" w:fill="auto"/>
            <w:tcMar>
              <w:top w:w="10" w:type="dxa"/>
              <w:left w:w="10" w:type="dxa"/>
              <w:bottom w:w="0" w:type="dxa"/>
              <w:right w:w="10" w:type="dxa"/>
            </w:tcMar>
            <w:vAlign w:val="center"/>
          </w:tcPr>
          <w:p w14:paraId="6F6C3ADD">
            <w:pPr>
              <w:widowControl/>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1.30 </w:t>
            </w:r>
          </w:p>
        </w:tc>
      </w:tr>
    </w:tbl>
    <w:p w14:paraId="5C516374">
      <w:pPr>
        <w:autoSpaceDE w:val="0"/>
        <w:ind w:firstLine="0" w:firstLineChars="0"/>
        <w:jc w:val="left"/>
        <w:textAlignment w:val="center"/>
        <w:rPr>
          <w:rFonts w:ascii="宋体" w:hAnsi="宋体" w:cs="宋体"/>
          <w:bCs/>
          <w:color w:val="auto"/>
          <w:szCs w:val="21"/>
          <w:highlight w:val="none"/>
        </w:rPr>
      </w:pPr>
      <w:r>
        <w:rPr>
          <w:rFonts w:hint="eastAsia" w:ascii="宋体" w:hAnsi="宋体" w:cs="宋体"/>
          <w:bCs/>
          <w:color w:val="auto"/>
          <w:szCs w:val="21"/>
          <w:highlight w:val="none"/>
        </w:rPr>
        <w:t>说明：</w:t>
      </w:r>
    </w:p>
    <w:p w14:paraId="6B22E148">
      <w:pPr>
        <w:adjustRightInd w:val="0"/>
        <w:snapToGrid w:val="0"/>
        <w:ind w:firstLine="420"/>
        <w:rPr>
          <w:rFonts w:ascii="宋体" w:hAnsi="宋体" w:cs="宋体"/>
          <w:color w:val="auto"/>
          <w:szCs w:val="21"/>
          <w:highlight w:val="none"/>
        </w:rPr>
      </w:pPr>
      <w:r>
        <w:rPr>
          <w:rFonts w:hint="eastAsia" w:ascii="宋体" w:hAnsi="宋体" w:cs="宋体"/>
          <w:color w:val="auto"/>
          <w:szCs w:val="21"/>
          <w:highlight w:val="none"/>
        </w:rPr>
        <w:t>1.以上产品均不接受进口产品参与投标。进口产品是指通过中国海关报关验放进入中国境内且产自关境外的产品。</w:t>
      </w:r>
    </w:p>
    <w:p w14:paraId="2D3CD990">
      <w:pPr>
        <w:adjustRightInd w:val="0"/>
        <w:snapToGrid w:val="0"/>
        <w:ind w:firstLine="420"/>
        <w:rPr>
          <w:rFonts w:ascii="宋体" w:hAnsi="宋体" w:cs="宋体"/>
          <w:color w:val="auto"/>
          <w:szCs w:val="21"/>
          <w:highlight w:val="none"/>
        </w:rPr>
      </w:pPr>
      <w:r>
        <w:rPr>
          <w:rFonts w:hint="eastAsia" w:ascii="宋体" w:hAnsi="宋体" w:cs="宋体"/>
          <w:color w:val="auto"/>
          <w:szCs w:val="21"/>
          <w:highlight w:val="none"/>
        </w:rPr>
        <w:t>2.以上各项技术参数和性能要求如出现引用品牌、型号、某一特定专利技术、商标、名称、设计、原产地或供应者等情况，则仅起参考作用。投标人可选用实质上“相当于”或“优于”该参考技术要求的产品投标，并填写技术参数偏离说明。</w:t>
      </w:r>
    </w:p>
    <w:p w14:paraId="08FB5DFA">
      <w:pPr>
        <w:adjustRightInd w:val="0"/>
        <w:snapToGrid w:val="0"/>
        <w:ind w:firstLine="420"/>
        <w:rPr>
          <w:rFonts w:ascii="宋体" w:hAnsi="宋体" w:cs="宋体"/>
          <w:color w:val="auto"/>
          <w:szCs w:val="21"/>
          <w:highlight w:val="none"/>
        </w:rPr>
      </w:pPr>
      <w:r>
        <w:rPr>
          <w:rFonts w:hint="eastAsia" w:ascii="宋体" w:hAnsi="宋体" w:cs="宋体"/>
          <w:color w:val="auto"/>
          <w:szCs w:val="21"/>
          <w:highlight w:val="none"/>
        </w:rPr>
        <w:t>3.上表中</w:t>
      </w:r>
      <w:r>
        <w:rPr>
          <w:rFonts w:hint="eastAsia" w:ascii="宋体" w:hAnsi="宋体" w:cs="宋体"/>
          <w:b/>
          <w:bCs/>
          <w:color w:val="auto"/>
          <w:szCs w:val="21"/>
          <w:highlight w:val="none"/>
        </w:rPr>
        <w:t>第1项“X射线计算机断层摄影设备（CT）”</w:t>
      </w:r>
      <w:r>
        <w:rPr>
          <w:rFonts w:hint="eastAsia" w:ascii="宋体" w:hAnsi="宋体" w:cs="宋体"/>
          <w:color w:val="auto"/>
          <w:szCs w:val="21"/>
          <w:highlight w:val="none"/>
        </w:rPr>
        <w:t>为本项目核心产品。对于本项目中的核心产品提供相同品牌产品，且通过资格审查、符合性审查的不同投标人参加投标的，按一家投标人计算，评审后总得分最高的同品牌投标人获得中标人推荐资格；评审总得分相同的，技术部分得分最高的同品牌投标人获得中标人推荐资格；其它同品牌供应商不再推荐为中标候选人。</w:t>
      </w:r>
    </w:p>
    <w:p w14:paraId="06BB2155">
      <w:pPr>
        <w:adjustRightInd w:val="0"/>
        <w:snapToGrid w:val="0"/>
        <w:ind w:firstLine="420"/>
        <w:rPr>
          <w:rFonts w:ascii="宋体" w:hAnsi="宋体" w:cs="宋体"/>
          <w:b/>
          <w:bCs/>
          <w:color w:val="auto"/>
          <w:szCs w:val="21"/>
          <w:highlight w:val="none"/>
        </w:rPr>
      </w:pPr>
      <w:r>
        <w:rPr>
          <w:rFonts w:hint="eastAsia" w:ascii="宋体" w:hAnsi="宋体" w:cs="宋体"/>
          <w:color w:val="auto"/>
          <w:szCs w:val="21"/>
          <w:highlight w:val="none"/>
        </w:rPr>
        <w:t>4.投标人应严格按照《中华人民共和国政府采购法》、《中华人民共和国政府采购法实施条例》、《政府采购货物和服务招标投标管理办法》（财政部令第87号）等有关法律、法规的规定进行投标，合同签订后采购人将按照中标人投标文件中所投货物、工程或者服务进行验收，一旦发现虚假应标行为，取消该中标人的中标资格、撤销合同，并保留追究其法律责任的权利。</w:t>
      </w:r>
      <w:r>
        <w:rPr>
          <w:rFonts w:hint="eastAsia" w:ascii="宋体" w:hAnsi="宋体" w:cs="宋体"/>
          <w:b/>
          <w:bCs/>
          <w:color w:val="auto"/>
          <w:szCs w:val="21"/>
          <w:highlight w:val="none"/>
        </w:rPr>
        <w:t>验收时，交付的产品必须与投标产品的品牌、型号、规格、技术参数、性能说明、生产厂家等各项内容一致，投标人在投标时务必认真核实并如实填写产品品牌、型号、规格、技术参数、性能说明、生产厂家等各项信息。</w:t>
      </w:r>
    </w:p>
    <w:p w14:paraId="65C42A51">
      <w:pPr>
        <w:widowControl/>
        <w:ind w:firstLine="480"/>
        <w:jc w:val="left"/>
        <w:rPr>
          <w:rFonts w:hint="eastAsia" w:ascii="宋体" w:hAnsi="宋体" w:cs="宋体"/>
          <w:b/>
          <w:bCs w:val="0"/>
          <w:snapToGrid w:val="0"/>
          <w:color w:val="auto"/>
          <w:kern w:val="0"/>
          <w:szCs w:val="21"/>
          <w:highlight w:val="none"/>
          <w:lang w:val="en-US" w:eastAsia="zh-CN"/>
        </w:rPr>
      </w:pPr>
      <w:r>
        <w:rPr>
          <w:rFonts w:hint="eastAsia" w:ascii="宋体" w:hAnsi="宋体" w:cs="宋体"/>
          <w:b/>
          <w:bCs w:val="0"/>
          <w:snapToGrid w:val="0"/>
          <w:color w:val="auto"/>
          <w:kern w:val="0"/>
          <w:szCs w:val="21"/>
          <w:highlight w:val="none"/>
          <w:lang w:val="en-US" w:eastAsia="zh-CN"/>
        </w:rPr>
        <w:t>5.本次采购包含X射线计算机断层摄影设备（CT）供货安装及配套服务，需同步完成CT机房的装修改造及1台250kVA专用箱式变压器的采购、安装调试等全部配套工作，并全程配合采购人完成验收报备、取证备案，确保取得项目运营所需全部合规证件。</w:t>
      </w:r>
    </w:p>
    <w:p w14:paraId="180B9F86">
      <w:pPr>
        <w:widowControl/>
        <w:ind w:firstLine="480"/>
        <w:jc w:val="left"/>
        <w:rPr>
          <w:rFonts w:hint="eastAsia" w:ascii="宋体" w:hAnsi="宋体" w:cs="宋体"/>
          <w:b/>
          <w:bCs w:val="0"/>
          <w:color w:val="auto"/>
          <w:sz w:val="24"/>
          <w:szCs w:val="24"/>
          <w:highlight w:val="none"/>
        </w:rPr>
      </w:pPr>
      <w:r>
        <w:rPr>
          <w:rFonts w:hint="eastAsia" w:ascii="宋体" w:hAnsi="宋体" w:cs="宋体"/>
          <w:b/>
          <w:bCs w:val="0"/>
          <w:snapToGrid w:val="0"/>
          <w:color w:val="auto"/>
          <w:kern w:val="0"/>
          <w:szCs w:val="21"/>
          <w:highlight w:val="none"/>
          <w:lang w:val="en-US" w:eastAsia="zh-CN"/>
        </w:rPr>
        <w:t>因本项目机房专项装修、箱式变压器采购安装属于专业工程，施工实施须具备国家及行业规定的专业承包资质。为保障项目施工安全、实施质量要求，本项目CT机房装修和箱式变压器（250kVA ）的配置及安装允许依法合规分包，分包单位须具备相应的资质条件、施工能力及安全生产条件，中标人对分包工作质量、安全、履约及最终成果承担总体连带责任</w:t>
      </w:r>
      <w:r>
        <w:rPr>
          <w:rFonts w:hint="eastAsia" w:ascii="宋体" w:hAnsi="宋体" w:cs="宋体"/>
          <w:b/>
          <w:bCs w:val="0"/>
          <w:color w:val="auto"/>
          <w:kern w:val="0"/>
          <w:szCs w:val="21"/>
          <w:highlight w:val="none"/>
          <w:lang w:eastAsia="zh-CN"/>
        </w:rPr>
        <w:t>。</w:t>
      </w:r>
    </w:p>
    <w:p w14:paraId="5F48BEB1">
      <w:pPr>
        <w:adjustRightInd w:val="0"/>
        <w:snapToGrid w:val="0"/>
        <w:ind w:firstLine="0" w:firstLineChars="0"/>
        <w:outlineLvl w:val="1"/>
        <w:rPr>
          <w:rFonts w:ascii="宋体" w:hAnsi="宋体" w:cs="宋体"/>
          <w:b/>
          <w:color w:val="auto"/>
          <w:szCs w:val="21"/>
          <w:highlight w:val="none"/>
        </w:rPr>
      </w:pPr>
      <w:r>
        <w:rPr>
          <w:rFonts w:hint="eastAsia" w:ascii="宋体" w:hAnsi="宋体" w:cs="宋体"/>
          <w:b/>
          <w:bCs/>
          <w:color w:val="auto"/>
          <w:sz w:val="24"/>
          <w:szCs w:val="24"/>
          <w:highlight w:val="none"/>
        </w:rPr>
        <w:t>三、商务要求</w:t>
      </w:r>
    </w:p>
    <w:bookmarkEnd w:id="904"/>
    <w:bookmarkEnd w:id="905"/>
    <w:p w14:paraId="2DEE1FEB">
      <w:pPr>
        <w:pStyle w:val="21"/>
        <w:tabs>
          <w:tab w:val="left" w:pos="1275"/>
          <w:tab w:val="left" w:pos="1440"/>
          <w:tab w:val="left" w:pos="1620"/>
        </w:tabs>
        <w:adjustRightInd w:val="0"/>
        <w:snapToGrid w:val="0"/>
        <w:ind w:firstLine="420" w:firstLineChars="200"/>
        <w:rPr>
          <w:rFonts w:hAnsi="宋体" w:cs="宋体"/>
          <w:bCs/>
          <w:color w:val="auto"/>
          <w:szCs w:val="21"/>
          <w:highlight w:val="none"/>
        </w:rPr>
      </w:pPr>
      <w:bookmarkStart w:id="907" w:name="OLE_LINK172"/>
      <w:r>
        <w:rPr>
          <w:rFonts w:hint="eastAsia" w:hAnsi="宋体" w:cs="宋体"/>
          <w:bCs/>
          <w:color w:val="auto"/>
          <w:szCs w:val="21"/>
          <w:highlight w:val="none"/>
        </w:rPr>
        <w:t>（一）实施地点：采购人指定地点。</w:t>
      </w:r>
    </w:p>
    <w:p w14:paraId="52DE134F">
      <w:pPr>
        <w:pStyle w:val="21"/>
        <w:tabs>
          <w:tab w:val="left" w:pos="1275"/>
          <w:tab w:val="left" w:pos="1440"/>
          <w:tab w:val="left" w:pos="1620"/>
        </w:tabs>
        <w:adjustRightInd w:val="0"/>
        <w:snapToGrid w:val="0"/>
        <w:ind w:firstLine="420" w:firstLineChars="200"/>
        <w:rPr>
          <w:rFonts w:hAnsi="宋体" w:cs="宋体"/>
          <w:bCs/>
          <w:color w:val="auto"/>
          <w:szCs w:val="21"/>
          <w:highlight w:val="none"/>
        </w:rPr>
      </w:pPr>
      <w:r>
        <w:rPr>
          <w:rFonts w:hint="eastAsia" w:hAnsi="宋体" w:cs="宋体"/>
          <w:bCs/>
          <w:color w:val="auto"/>
          <w:szCs w:val="21"/>
          <w:highlight w:val="none"/>
        </w:rPr>
        <w:t>（二）交付时间：</w:t>
      </w:r>
      <w:r>
        <w:rPr>
          <w:rFonts w:hint="eastAsia" w:hAnsi="宋体" w:cs="宋体"/>
          <w:color w:val="auto"/>
          <w:szCs w:val="21"/>
          <w:highlight w:val="none"/>
        </w:rPr>
        <w:t>自</w:t>
      </w:r>
      <w:r>
        <w:rPr>
          <w:rFonts w:hint="eastAsia" w:hAnsi="宋体" w:cs="宋体"/>
          <w:color w:val="auto"/>
          <w:szCs w:val="21"/>
          <w:highlight w:val="none"/>
          <w:lang w:val="en-US" w:eastAsia="zh-CN"/>
        </w:rPr>
        <w:t>采购人下发配送通知之日</w:t>
      </w:r>
      <w:r>
        <w:rPr>
          <w:rFonts w:hint="eastAsia" w:hAnsi="宋体" w:cs="宋体"/>
          <w:color w:val="auto"/>
          <w:szCs w:val="21"/>
          <w:highlight w:val="none"/>
        </w:rPr>
        <w:t>起</w:t>
      </w:r>
      <w:r>
        <w:rPr>
          <w:rFonts w:hint="eastAsia" w:hAnsi="宋体" w:cs="宋体"/>
          <w:color w:val="auto"/>
          <w:szCs w:val="21"/>
          <w:highlight w:val="none"/>
          <w:lang w:val="en-US" w:eastAsia="zh-CN"/>
        </w:rPr>
        <w:t>60</w:t>
      </w:r>
      <w:r>
        <w:rPr>
          <w:rFonts w:hint="eastAsia" w:hAnsi="宋体" w:cs="宋体"/>
          <w:color w:val="auto"/>
          <w:szCs w:val="21"/>
          <w:highlight w:val="none"/>
        </w:rPr>
        <w:t>个工作日内完成设备配送、安装、调试</w:t>
      </w:r>
      <w:r>
        <w:rPr>
          <w:rFonts w:hint="eastAsia" w:hAnsi="宋体" w:cs="宋体"/>
          <w:color w:val="auto"/>
          <w:szCs w:val="21"/>
          <w:highlight w:val="none"/>
          <w:lang w:val="en-US" w:eastAsia="zh-CN"/>
        </w:rPr>
        <w:t>、</w:t>
      </w:r>
      <w:r>
        <w:rPr>
          <w:rFonts w:hint="eastAsia" w:hAnsi="宋体" w:cs="宋体"/>
          <w:color w:val="auto"/>
          <w:szCs w:val="21"/>
          <w:highlight w:val="none"/>
        </w:rPr>
        <w:t>验收</w:t>
      </w:r>
      <w:r>
        <w:rPr>
          <w:rFonts w:hint="eastAsia" w:hAnsi="宋体" w:cs="宋体"/>
          <w:color w:val="auto"/>
          <w:szCs w:val="21"/>
          <w:highlight w:val="none"/>
          <w:lang w:val="en-US" w:eastAsia="zh-CN"/>
        </w:rPr>
        <w:t>合格</w:t>
      </w:r>
      <w:r>
        <w:rPr>
          <w:rFonts w:hint="eastAsia" w:hAnsi="宋体" w:cs="宋体"/>
          <w:color w:val="auto"/>
          <w:szCs w:val="21"/>
          <w:highlight w:val="none"/>
        </w:rPr>
        <w:t>并交付使用</w:t>
      </w:r>
      <w:r>
        <w:rPr>
          <w:rFonts w:hint="eastAsia" w:hAnsi="宋体" w:cs="宋体"/>
          <w:color w:val="auto"/>
          <w:szCs w:val="21"/>
          <w:highlight w:val="none"/>
          <w:lang w:eastAsia="zh-CN"/>
        </w:rPr>
        <w:t>（</w:t>
      </w:r>
      <w:r>
        <w:rPr>
          <w:rFonts w:hint="eastAsia" w:hAnsi="宋体" w:cs="宋体"/>
          <w:color w:val="auto"/>
          <w:szCs w:val="21"/>
          <w:highlight w:val="none"/>
          <w:lang w:val="en-US" w:eastAsia="zh-CN"/>
        </w:rPr>
        <w:t>包含完成CT机房的装修，并经采购人验收合格</w:t>
      </w:r>
      <w:r>
        <w:rPr>
          <w:rFonts w:hint="eastAsia" w:hAnsi="宋体" w:cs="宋体"/>
          <w:color w:val="auto"/>
          <w:szCs w:val="21"/>
          <w:highlight w:val="none"/>
          <w:lang w:eastAsia="zh-CN"/>
        </w:rPr>
        <w:t>）</w:t>
      </w:r>
      <w:r>
        <w:rPr>
          <w:rFonts w:hint="eastAsia" w:hAnsi="宋体" w:cs="宋体"/>
          <w:bCs/>
          <w:color w:val="auto"/>
          <w:szCs w:val="21"/>
          <w:highlight w:val="none"/>
        </w:rPr>
        <w:t>。</w:t>
      </w:r>
    </w:p>
    <w:p w14:paraId="711DA7D0">
      <w:pPr>
        <w:adjustRightInd w:val="0"/>
        <w:snapToGrid w:val="0"/>
        <w:ind w:firstLine="420"/>
        <w:rPr>
          <w:rFonts w:ascii="宋体" w:hAnsi="宋体" w:cs="宋体"/>
          <w:bCs/>
          <w:color w:val="auto"/>
          <w:szCs w:val="21"/>
          <w:highlight w:val="none"/>
        </w:rPr>
      </w:pPr>
      <w:r>
        <w:rPr>
          <w:rFonts w:hint="eastAsia" w:ascii="宋体" w:hAnsi="宋体" w:cs="宋体"/>
          <w:bCs/>
          <w:color w:val="auto"/>
          <w:szCs w:val="21"/>
          <w:highlight w:val="none"/>
        </w:rPr>
        <w:t>（</w:t>
      </w:r>
      <w:r>
        <w:rPr>
          <w:rFonts w:hint="eastAsia" w:hAnsi="宋体" w:cs="宋体"/>
          <w:bCs/>
          <w:color w:val="auto"/>
          <w:szCs w:val="21"/>
          <w:highlight w:val="none"/>
        </w:rPr>
        <w:t>三</w:t>
      </w:r>
      <w:r>
        <w:rPr>
          <w:rFonts w:hint="eastAsia" w:ascii="宋体" w:hAnsi="宋体" w:cs="宋体"/>
          <w:bCs/>
          <w:color w:val="auto"/>
          <w:szCs w:val="21"/>
          <w:highlight w:val="none"/>
        </w:rPr>
        <w:t>）验收：</w:t>
      </w:r>
    </w:p>
    <w:p w14:paraId="78313FB4">
      <w:pPr>
        <w:adjustRightInd w:val="0"/>
        <w:snapToGrid w:val="0"/>
        <w:ind w:firstLine="420"/>
        <w:rPr>
          <w:rFonts w:ascii="宋体" w:hAnsi="宋体" w:cs="宋体"/>
          <w:color w:val="auto"/>
          <w:szCs w:val="21"/>
          <w:highlight w:val="none"/>
        </w:rPr>
      </w:pPr>
      <w:r>
        <w:rPr>
          <w:rFonts w:hint="eastAsia" w:ascii="宋体" w:hAnsi="宋体" w:cs="宋体"/>
          <w:color w:val="auto"/>
          <w:szCs w:val="21"/>
          <w:highlight w:val="none"/>
        </w:rPr>
        <w:t>1）交货时由采购人组织验收小组或指定代理人统一验收，采购人认为必要时可邀请有关专家参与共同验收，验收时采购人将按照国家相关标准或投标文件所载明的标准和方法进行验收（详见《合同条款及格式》中的“验收及验收标准”）。</w:t>
      </w:r>
    </w:p>
    <w:p w14:paraId="00BC9E96">
      <w:pPr>
        <w:pStyle w:val="21"/>
        <w:tabs>
          <w:tab w:val="left" w:pos="1275"/>
          <w:tab w:val="left" w:pos="1440"/>
          <w:tab w:val="left" w:pos="1620"/>
        </w:tabs>
        <w:adjustRightInd w:val="0"/>
        <w:snapToGrid w:val="0"/>
        <w:ind w:firstLine="420" w:firstLineChars="200"/>
        <w:rPr>
          <w:rFonts w:hAnsi="宋体" w:cs="宋体"/>
          <w:bCs/>
          <w:color w:val="auto"/>
          <w:szCs w:val="21"/>
          <w:highlight w:val="none"/>
        </w:rPr>
      </w:pPr>
      <w:r>
        <w:rPr>
          <w:rFonts w:hint="eastAsia" w:hAnsi="宋体" w:cs="宋体"/>
          <w:color w:val="auto"/>
          <w:szCs w:val="21"/>
          <w:highlight w:val="none"/>
        </w:rPr>
        <w:t>2）验收费用：安装、调试及检测、验收所产生的一切费用由乙方承担。</w:t>
      </w:r>
    </w:p>
    <w:p w14:paraId="2ADA5319">
      <w:pPr>
        <w:pStyle w:val="21"/>
        <w:tabs>
          <w:tab w:val="left" w:pos="1275"/>
          <w:tab w:val="left" w:pos="1440"/>
          <w:tab w:val="left" w:pos="1620"/>
        </w:tabs>
        <w:adjustRightInd w:val="0"/>
        <w:snapToGrid w:val="0"/>
        <w:ind w:firstLine="420" w:firstLineChars="200"/>
        <w:rPr>
          <w:rFonts w:hAnsi="宋体" w:cs="宋体"/>
          <w:bCs/>
          <w:color w:val="auto"/>
          <w:szCs w:val="21"/>
          <w:highlight w:val="none"/>
        </w:rPr>
      </w:pPr>
      <w:r>
        <w:rPr>
          <w:rFonts w:hint="eastAsia" w:hAnsi="宋体" w:cs="宋体"/>
          <w:bCs/>
          <w:color w:val="auto"/>
          <w:szCs w:val="21"/>
          <w:highlight w:val="none"/>
        </w:rPr>
        <w:t>（四）产品的保修、保养和维护：</w:t>
      </w:r>
      <w:r>
        <w:rPr>
          <w:rFonts w:hint="eastAsia" w:hAnsi="宋体" w:cs="宋体"/>
          <w:bCs/>
          <w:color w:val="auto"/>
          <w:szCs w:val="21"/>
          <w:highlight w:val="none"/>
          <w:lang w:val="en-US" w:eastAsia="zh-CN"/>
        </w:rPr>
        <w:t>质保期：≥2年（技术参数中有要求的以参数中要求的为准）；</w:t>
      </w:r>
      <w:r>
        <w:rPr>
          <w:rFonts w:hint="eastAsia" w:hAnsi="宋体" w:cs="宋体"/>
          <w:bCs/>
          <w:color w:val="auto"/>
          <w:szCs w:val="21"/>
          <w:highlight w:val="none"/>
        </w:rPr>
        <w:t>质保期内，如产品发生质量问题（非用户使用不当原因导致），由乙方负责免费维修，发生两次以上重大技术问题应免费更换同品牌同型号同参数的新品。</w:t>
      </w:r>
      <w:r>
        <w:rPr>
          <w:rFonts w:hint="eastAsia" w:hAnsi="宋体" w:cs="宋体"/>
          <w:b/>
          <w:color w:val="auto"/>
          <w:szCs w:val="21"/>
          <w:highlight w:val="none"/>
        </w:rPr>
        <w:t>质保期内无偿提供软件版本升级服务。</w:t>
      </w:r>
    </w:p>
    <w:p w14:paraId="66161E89">
      <w:pPr>
        <w:pStyle w:val="21"/>
        <w:tabs>
          <w:tab w:val="left" w:pos="1275"/>
          <w:tab w:val="left" w:pos="1440"/>
          <w:tab w:val="left" w:pos="1620"/>
        </w:tabs>
        <w:adjustRightInd w:val="0"/>
        <w:snapToGrid w:val="0"/>
        <w:ind w:firstLine="420" w:firstLineChars="200"/>
        <w:rPr>
          <w:rFonts w:hAnsi="宋体" w:cs="宋体"/>
          <w:bCs/>
          <w:color w:val="auto"/>
          <w:szCs w:val="21"/>
          <w:highlight w:val="none"/>
        </w:rPr>
      </w:pPr>
      <w:r>
        <w:rPr>
          <w:rFonts w:hint="eastAsia" w:hAnsi="宋体" w:cs="宋体"/>
          <w:bCs/>
          <w:color w:val="auto"/>
          <w:szCs w:val="21"/>
          <w:highlight w:val="none"/>
        </w:rPr>
        <w:t>（五）无论是保质期内还是保质期满后，若发生故障，投标人应承诺在接到用户故障报告后保证8小时以内到达现场，一般类故障保证由技术人员（或工程师）在1天内修复，重大类故障保证由技术人员（或工程师）在7天内修复；保证在用户方指定地点供应备品备件（含易损件）和配套消耗品；对所提供的货物实行6个月定期保养</w:t>
      </w:r>
      <w:r>
        <w:rPr>
          <w:rFonts w:hint="eastAsia" w:hAnsi="宋体" w:cs="宋体"/>
          <w:color w:val="auto"/>
          <w:szCs w:val="21"/>
          <w:highlight w:val="none"/>
        </w:rPr>
        <w:t>。</w:t>
      </w:r>
    </w:p>
    <w:p w14:paraId="60FC340F">
      <w:pPr>
        <w:pStyle w:val="21"/>
        <w:tabs>
          <w:tab w:val="left" w:pos="1275"/>
          <w:tab w:val="left" w:pos="1440"/>
          <w:tab w:val="left" w:pos="1620"/>
        </w:tabs>
        <w:adjustRightInd w:val="0"/>
        <w:snapToGrid w:val="0"/>
        <w:ind w:firstLine="420" w:firstLineChars="200"/>
        <w:rPr>
          <w:rFonts w:hAnsi="宋体" w:cs="宋体"/>
          <w:bCs/>
          <w:color w:val="auto"/>
          <w:szCs w:val="21"/>
          <w:highlight w:val="none"/>
        </w:rPr>
      </w:pPr>
      <w:r>
        <w:rPr>
          <w:rFonts w:hint="eastAsia" w:hAnsi="宋体" w:cs="宋体"/>
          <w:bCs/>
          <w:color w:val="auto"/>
          <w:szCs w:val="21"/>
          <w:highlight w:val="none"/>
        </w:rPr>
        <w:t>（六）备件、专用工具、资料及其它：</w:t>
      </w:r>
    </w:p>
    <w:p w14:paraId="27021B71">
      <w:pPr>
        <w:pStyle w:val="21"/>
        <w:tabs>
          <w:tab w:val="left" w:pos="1275"/>
          <w:tab w:val="left" w:pos="1440"/>
          <w:tab w:val="left" w:pos="1620"/>
        </w:tabs>
        <w:adjustRightInd w:val="0"/>
        <w:snapToGrid w:val="0"/>
        <w:ind w:firstLine="420" w:firstLineChars="200"/>
        <w:rPr>
          <w:rFonts w:hAnsi="宋体" w:cs="宋体"/>
          <w:bCs/>
          <w:color w:val="auto"/>
          <w:szCs w:val="21"/>
          <w:highlight w:val="none"/>
        </w:rPr>
      </w:pPr>
      <w:r>
        <w:rPr>
          <w:rFonts w:hint="eastAsia" w:hAnsi="宋体" w:cs="宋体"/>
          <w:bCs/>
          <w:color w:val="auto"/>
          <w:szCs w:val="21"/>
          <w:highlight w:val="none"/>
        </w:rPr>
        <w:t>1.备件：如有备件，投标人应承诺随货物提供一套备件包，并编号列出清单。</w:t>
      </w:r>
    </w:p>
    <w:p w14:paraId="405D0838">
      <w:pPr>
        <w:pStyle w:val="21"/>
        <w:tabs>
          <w:tab w:val="left" w:pos="1275"/>
          <w:tab w:val="left" w:pos="1440"/>
          <w:tab w:val="left" w:pos="1620"/>
        </w:tabs>
        <w:adjustRightInd w:val="0"/>
        <w:snapToGrid w:val="0"/>
        <w:ind w:firstLine="420" w:firstLineChars="200"/>
        <w:rPr>
          <w:rFonts w:hAnsi="宋体" w:cs="宋体"/>
          <w:bCs/>
          <w:color w:val="auto"/>
          <w:szCs w:val="21"/>
          <w:highlight w:val="none"/>
        </w:rPr>
      </w:pPr>
      <w:r>
        <w:rPr>
          <w:rFonts w:hint="eastAsia" w:hAnsi="宋体" w:cs="宋体"/>
          <w:bCs/>
          <w:color w:val="auto"/>
          <w:szCs w:val="21"/>
          <w:highlight w:val="none"/>
        </w:rPr>
        <w:t>2.专用工具及安装调试要求：投标人须独立完成所供产品的安装调试工作，安装调试所需的全部线材、辅材、工具均由投标人自行提供并承担全部费用。</w:t>
      </w:r>
    </w:p>
    <w:p w14:paraId="3783FD5A">
      <w:pPr>
        <w:pStyle w:val="21"/>
        <w:tabs>
          <w:tab w:val="left" w:pos="1275"/>
          <w:tab w:val="left" w:pos="1440"/>
          <w:tab w:val="left" w:pos="1620"/>
        </w:tabs>
        <w:adjustRightInd w:val="0"/>
        <w:snapToGrid w:val="0"/>
        <w:ind w:firstLine="420" w:firstLineChars="200"/>
        <w:rPr>
          <w:rFonts w:hAnsi="宋体" w:cs="宋体"/>
          <w:bCs/>
          <w:color w:val="auto"/>
          <w:szCs w:val="21"/>
          <w:highlight w:val="none"/>
        </w:rPr>
      </w:pPr>
      <w:r>
        <w:rPr>
          <w:rFonts w:hint="eastAsia" w:hAnsi="宋体" w:cs="宋体"/>
          <w:bCs/>
          <w:color w:val="auto"/>
          <w:szCs w:val="21"/>
          <w:highlight w:val="none"/>
        </w:rPr>
        <w:t>3.资料：中标人须向采购人提供产品的合格证、使用说明等文件资料。</w:t>
      </w:r>
    </w:p>
    <w:p w14:paraId="7F429AA7">
      <w:pPr>
        <w:adjustRightInd w:val="0"/>
        <w:snapToGrid w:val="0"/>
        <w:ind w:firstLine="0" w:firstLineChars="0"/>
        <w:outlineLvl w:val="1"/>
        <w:rPr>
          <w:rFonts w:ascii="宋体" w:hAnsi="宋体" w:cs="宋体"/>
          <w:b/>
          <w:color w:val="auto"/>
          <w:szCs w:val="21"/>
          <w:highlight w:val="none"/>
        </w:rPr>
      </w:pPr>
      <w:r>
        <w:rPr>
          <w:rFonts w:hint="eastAsia" w:ascii="宋体" w:hAnsi="宋体" w:cs="宋体"/>
          <w:b/>
          <w:color w:val="auto"/>
          <w:szCs w:val="21"/>
          <w:highlight w:val="none"/>
        </w:rPr>
        <w:t>四、其他</w:t>
      </w:r>
    </w:p>
    <w:bookmarkEnd w:id="907"/>
    <w:p w14:paraId="4ABF5EE7">
      <w:pPr>
        <w:pStyle w:val="21"/>
        <w:tabs>
          <w:tab w:val="left" w:pos="1275"/>
          <w:tab w:val="left" w:pos="1440"/>
          <w:tab w:val="left" w:pos="1620"/>
        </w:tabs>
        <w:adjustRightInd w:val="0"/>
        <w:snapToGrid w:val="0"/>
        <w:ind w:firstLine="420" w:firstLineChars="200"/>
        <w:rPr>
          <w:rFonts w:hAnsi="宋体" w:cs="宋体"/>
          <w:bCs/>
          <w:color w:val="auto"/>
          <w:szCs w:val="21"/>
          <w:highlight w:val="none"/>
        </w:rPr>
      </w:pPr>
      <w:r>
        <w:rPr>
          <w:rFonts w:hint="eastAsia" w:hAnsi="宋体" w:cs="宋体"/>
          <w:bCs/>
          <w:color w:val="auto"/>
          <w:szCs w:val="21"/>
          <w:highlight w:val="none"/>
        </w:rPr>
        <w:t>1.根据《关于印发&lt;政府采购促进中小企业发展管理办法&gt;的通知》（财库〔2020〕46号）、工业和信息化部、国家统计局、国家发展和改革委员会、财政部《关于印发中小企业划型标准规定的通知》（工信部联企业〔2011〕300号）及《国民经济行业分类》规定的划分标准，本项目对应的中小企业划分标准所属行业为：</w:t>
      </w:r>
    </w:p>
    <w:tbl>
      <w:tblPr>
        <w:tblStyle w:val="34"/>
        <w:tblW w:w="47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1"/>
        <w:gridCol w:w="3955"/>
        <w:gridCol w:w="2877"/>
      </w:tblGrid>
      <w:tr w14:paraId="40C03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2" w:type="pct"/>
            <w:gridSpan w:val="2"/>
            <w:shd w:val="clear" w:color="auto" w:fill="A5A5A5"/>
            <w:vAlign w:val="center"/>
          </w:tcPr>
          <w:p w14:paraId="6289479B">
            <w:pPr>
              <w:ind w:firstLine="0" w:firstLineChars="0"/>
              <w:jc w:val="center"/>
              <w:textAlignment w:val="center"/>
              <w:rPr>
                <w:rFonts w:ascii="宋体" w:hAnsi="宋体" w:cs="宋体"/>
                <w:b/>
                <w:color w:val="auto"/>
                <w:szCs w:val="21"/>
                <w:highlight w:val="none"/>
              </w:rPr>
            </w:pPr>
            <w:r>
              <w:rPr>
                <w:rFonts w:hint="eastAsia" w:ascii="宋体" w:hAnsi="宋体" w:cs="宋体"/>
                <w:b/>
                <w:color w:val="auto"/>
                <w:szCs w:val="21"/>
                <w:highlight w:val="none"/>
              </w:rPr>
              <w:t>标的名称</w:t>
            </w:r>
          </w:p>
        </w:tc>
        <w:tc>
          <w:tcPr>
            <w:tcW w:w="1647" w:type="pct"/>
            <w:shd w:val="clear" w:color="auto" w:fill="A5A5A5"/>
            <w:vAlign w:val="center"/>
          </w:tcPr>
          <w:p w14:paraId="4BED51A5">
            <w:pPr>
              <w:ind w:firstLine="0" w:firstLineChars="0"/>
              <w:jc w:val="center"/>
              <w:textAlignment w:val="center"/>
              <w:rPr>
                <w:rFonts w:ascii="宋体" w:hAnsi="宋体" w:cs="宋体"/>
                <w:b/>
                <w:color w:val="auto"/>
                <w:szCs w:val="21"/>
                <w:highlight w:val="none"/>
              </w:rPr>
            </w:pPr>
            <w:r>
              <w:rPr>
                <w:rFonts w:hint="eastAsia" w:ascii="宋体" w:hAnsi="宋体" w:cs="宋体"/>
                <w:b/>
                <w:color w:val="auto"/>
                <w:szCs w:val="21"/>
                <w:highlight w:val="none"/>
              </w:rPr>
              <w:t>所属行业</w:t>
            </w:r>
          </w:p>
        </w:tc>
      </w:tr>
      <w:tr w14:paraId="45B2A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8" w:type="pct"/>
            <w:vMerge w:val="restart"/>
            <w:shd w:val="clear" w:color="auto" w:fill="FFFFFF"/>
            <w:vAlign w:val="center"/>
          </w:tcPr>
          <w:p w14:paraId="71A9E867">
            <w:pPr>
              <w:widowControl/>
              <w:ind w:firstLine="0" w:firstLineChars="0"/>
              <w:jc w:val="center"/>
              <w:textAlignment w:val="center"/>
              <w:rPr>
                <w:rFonts w:ascii="宋体" w:hAnsi="宋体"/>
                <w:color w:val="auto"/>
                <w:szCs w:val="21"/>
                <w:highlight w:val="none"/>
              </w:rPr>
            </w:pPr>
            <w:r>
              <w:rPr>
                <w:rFonts w:hint="eastAsia" w:ascii="宋体" w:hAnsi="宋体" w:cs="宋体"/>
                <w:color w:val="auto"/>
                <w:kern w:val="0"/>
                <w:szCs w:val="21"/>
                <w:highlight w:val="none"/>
              </w:rPr>
              <w:t>X射线计算机断层摄影设备（CT）</w:t>
            </w:r>
          </w:p>
        </w:tc>
        <w:tc>
          <w:tcPr>
            <w:tcW w:w="2264" w:type="pct"/>
            <w:shd w:val="clear" w:color="auto" w:fill="FFFFFF"/>
            <w:vAlign w:val="center"/>
          </w:tcPr>
          <w:p w14:paraId="0DC61BF7">
            <w:pPr>
              <w:widowControl/>
              <w:ind w:firstLine="0" w:firstLineChars="0"/>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X射线计算机断层摄影设备（CT）</w:t>
            </w:r>
          </w:p>
        </w:tc>
        <w:tc>
          <w:tcPr>
            <w:tcW w:w="1647" w:type="pct"/>
            <w:vAlign w:val="center"/>
          </w:tcPr>
          <w:p w14:paraId="08AD99C1">
            <w:pPr>
              <w:ind w:firstLine="420"/>
              <w:jc w:val="center"/>
              <w:textAlignment w:val="center"/>
              <w:rPr>
                <w:rFonts w:ascii="宋体" w:hAnsi="宋体"/>
                <w:color w:val="auto"/>
                <w:szCs w:val="21"/>
                <w:highlight w:val="none"/>
              </w:rPr>
            </w:pPr>
            <w:r>
              <w:rPr>
                <w:rFonts w:hint="eastAsia" w:ascii="宋体" w:hAnsi="宋体"/>
                <w:color w:val="auto"/>
                <w:szCs w:val="21"/>
                <w:highlight w:val="none"/>
              </w:rPr>
              <w:t>制造业</w:t>
            </w:r>
          </w:p>
        </w:tc>
      </w:tr>
      <w:tr w14:paraId="0A189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8" w:type="pct"/>
            <w:vMerge w:val="continue"/>
            <w:shd w:val="clear" w:color="auto" w:fill="FFFFFF"/>
            <w:vAlign w:val="center"/>
          </w:tcPr>
          <w:p w14:paraId="0A46FE19">
            <w:pPr>
              <w:widowControl/>
              <w:ind w:firstLine="0" w:firstLineChars="0"/>
              <w:jc w:val="center"/>
              <w:textAlignment w:val="center"/>
              <w:rPr>
                <w:rFonts w:hint="eastAsia" w:ascii="宋体" w:hAnsi="宋体" w:cs="宋体"/>
                <w:color w:val="auto"/>
                <w:kern w:val="0"/>
                <w:szCs w:val="21"/>
                <w:highlight w:val="none"/>
              </w:rPr>
            </w:pPr>
          </w:p>
        </w:tc>
        <w:tc>
          <w:tcPr>
            <w:tcW w:w="2264" w:type="pct"/>
            <w:shd w:val="clear" w:color="auto" w:fill="FFFFFF"/>
            <w:vAlign w:val="center"/>
          </w:tcPr>
          <w:p w14:paraId="19DE2B93">
            <w:pPr>
              <w:widowControl/>
              <w:ind w:firstLine="0" w:firstLineChars="0"/>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CT机房装修</w:t>
            </w:r>
          </w:p>
        </w:tc>
        <w:tc>
          <w:tcPr>
            <w:tcW w:w="1647" w:type="pct"/>
            <w:vAlign w:val="center"/>
          </w:tcPr>
          <w:p w14:paraId="20DFB99F">
            <w:pPr>
              <w:ind w:firstLine="420"/>
              <w:jc w:val="center"/>
              <w:textAlignment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建筑业</w:t>
            </w:r>
          </w:p>
        </w:tc>
      </w:tr>
      <w:tr w14:paraId="1D8A1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8" w:type="pct"/>
            <w:vMerge w:val="continue"/>
            <w:shd w:val="clear" w:color="auto" w:fill="FFFFFF"/>
            <w:vAlign w:val="center"/>
          </w:tcPr>
          <w:p w14:paraId="367DAE0F">
            <w:pPr>
              <w:widowControl/>
              <w:ind w:firstLine="0" w:firstLineChars="0"/>
              <w:jc w:val="center"/>
              <w:textAlignment w:val="center"/>
              <w:rPr>
                <w:rFonts w:hint="eastAsia" w:ascii="宋体" w:hAnsi="宋体" w:cs="宋体"/>
                <w:color w:val="auto"/>
                <w:kern w:val="0"/>
                <w:szCs w:val="21"/>
                <w:highlight w:val="none"/>
              </w:rPr>
            </w:pPr>
          </w:p>
        </w:tc>
        <w:tc>
          <w:tcPr>
            <w:tcW w:w="2264" w:type="pct"/>
            <w:shd w:val="clear" w:color="auto" w:fill="FFFFFF"/>
            <w:vAlign w:val="center"/>
          </w:tcPr>
          <w:p w14:paraId="2530829C">
            <w:pPr>
              <w:widowControl/>
              <w:ind w:firstLine="0" w:firstLineChars="0"/>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箱式变压器（250kVA ）的配置及安装</w:t>
            </w:r>
          </w:p>
        </w:tc>
        <w:tc>
          <w:tcPr>
            <w:tcW w:w="1647" w:type="pct"/>
            <w:vAlign w:val="center"/>
          </w:tcPr>
          <w:p w14:paraId="04082E53">
            <w:pPr>
              <w:ind w:firstLine="420"/>
              <w:jc w:val="center"/>
              <w:textAlignment w:val="center"/>
              <w:rPr>
                <w:rFonts w:hint="eastAsia" w:ascii="宋体" w:hAnsi="宋体"/>
                <w:color w:val="auto"/>
                <w:szCs w:val="21"/>
                <w:highlight w:val="none"/>
              </w:rPr>
            </w:pPr>
            <w:r>
              <w:rPr>
                <w:rFonts w:hint="eastAsia" w:ascii="宋体" w:hAnsi="宋体"/>
                <w:color w:val="auto"/>
                <w:szCs w:val="21"/>
                <w:highlight w:val="none"/>
              </w:rPr>
              <w:t>制造业</w:t>
            </w:r>
          </w:p>
        </w:tc>
      </w:tr>
      <w:tr w14:paraId="74603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2" w:type="pct"/>
            <w:gridSpan w:val="2"/>
            <w:shd w:val="clear" w:color="auto" w:fill="FFFFFF"/>
            <w:vAlign w:val="center"/>
          </w:tcPr>
          <w:p w14:paraId="3A48740D">
            <w:pPr>
              <w:widowControl/>
              <w:ind w:firstLine="0" w:firstLineChars="0"/>
              <w:jc w:val="center"/>
              <w:textAlignment w:val="center"/>
              <w:rPr>
                <w:rFonts w:ascii="宋体" w:hAnsi="宋体"/>
                <w:color w:val="auto"/>
                <w:szCs w:val="21"/>
                <w:highlight w:val="none"/>
              </w:rPr>
            </w:pPr>
            <w:r>
              <w:rPr>
                <w:rFonts w:hint="eastAsia" w:ascii="宋体" w:hAnsi="宋体" w:cs="宋体"/>
                <w:color w:val="auto"/>
                <w:kern w:val="0"/>
                <w:szCs w:val="21"/>
                <w:highlight w:val="none"/>
              </w:rPr>
              <w:t>血凝仪</w:t>
            </w:r>
          </w:p>
        </w:tc>
        <w:tc>
          <w:tcPr>
            <w:tcW w:w="1647" w:type="pct"/>
            <w:vAlign w:val="center"/>
          </w:tcPr>
          <w:p w14:paraId="1423D657">
            <w:pPr>
              <w:ind w:firstLine="420"/>
              <w:jc w:val="center"/>
              <w:textAlignment w:val="center"/>
              <w:rPr>
                <w:rFonts w:ascii="宋体" w:hAnsi="宋体"/>
                <w:color w:val="auto"/>
                <w:szCs w:val="21"/>
                <w:highlight w:val="none"/>
              </w:rPr>
            </w:pPr>
            <w:r>
              <w:rPr>
                <w:rFonts w:hint="eastAsia" w:ascii="宋体" w:hAnsi="宋体"/>
                <w:color w:val="auto"/>
                <w:szCs w:val="21"/>
                <w:highlight w:val="none"/>
              </w:rPr>
              <w:t>制造业</w:t>
            </w:r>
          </w:p>
        </w:tc>
      </w:tr>
      <w:tr w14:paraId="0012C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2" w:type="pct"/>
            <w:gridSpan w:val="2"/>
            <w:shd w:val="clear" w:color="auto" w:fill="FFFFFF"/>
            <w:vAlign w:val="center"/>
          </w:tcPr>
          <w:p w14:paraId="5CBD77E5">
            <w:pPr>
              <w:widowControl/>
              <w:ind w:firstLine="0" w:firstLineChars="0"/>
              <w:jc w:val="center"/>
              <w:textAlignment w:val="center"/>
              <w:rPr>
                <w:rFonts w:ascii="宋体" w:hAnsi="宋体"/>
                <w:color w:val="auto"/>
                <w:szCs w:val="21"/>
                <w:highlight w:val="none"/>
              </w:rPr>
            </w:pPr>
            <w:r>
              <w:rPr>
                <w:rFonts w:hint="eastAsia" w:ascii="宋体" w:hAnsi="宋体" w:cs="宋体"/>
                <w:color w:val="auto"/>
                <w:kern w:val="0"/>
                <w:szCs w:val="21"/>
                <w:highlight w:val="none"/>
              </w:rPr>
              <w:t>婴幼儿医学测听仪（儿科）</w:t>
            </w:r>
          </w:p>
        </w:tc>
        <w:tc>
          <w:tcPr>
            <w:tcW w:w="1647" w:type="pct"/>
            <w:vAlign w:val="center"/>
          </w:tcPr>
          <w:p w14:paraId="0341AC41">
            <w:pPr>
              <w:ind w:firstLine="420"/>
              <w:jc w:val="center"/>
              <w:textAlignment w:val="center"/>
              <w:rPr>
                <w:rFonts w:ascii="宋体" w:hAnsi="宋体"/>
                <w:color w:val="auto"/>
                <w:szCs w:val="21"/>
                <w:highlight w:val="none"/>
              </w:rPr>
            </w:pPr>
            <w:r>
              <w:rPr>
                <w:rFonts w:hint="eastAsia" w:ascii="宋体" w:hAnsi="宋体"/>
                <w:color w:val="auto"/>
                <w:szCs w:val="21"/>
                <w:highlight w:val="none"/>
              </w:rPr>
              <w:t>制造业</w:t>
            </w:r>
          </w:p>
        </w:tc>
      </w:tr>
      <w:tr w14:paraId="6F13C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2" w:type="pct"/>
            <w:gridSpan w:val="2"/>
            <w:shd w:val="clear" w:color="auto" w:fill="FFFFFF"/>
            <w:vAlign w:val="center"/>
          </w:tcPr>
          <w:p w14:paraId="5879E9AD">
            <w:pPr>
              <w:widowControl/>
              <w:ind w:firstLine="0" w:firstLineChars="0"/>
              <w:jc w:val="center"/>
              <w:textAlignment w:val="center"/>
              <w:rPr>
                <w:rFonts w:ascii="宋体" w:hAnsi="宋体"/>
                <w:color w:val="auto"/>
                <w:szCs w:val="21"/>
                <w:highlight w:val="none"/>
              </w:rPr>
            </w:pPr>
            <w:r>
              <w:rPr>
                <w:rFonts w:hint="eastAsia" w:ascii="宋体" w:hAnsi="宋体" w:cs="宋体"/>
                <w:color w:val="auto"/>
                <w:kern w:val="0"/>
                <w:szCs w:val="21"/>
                <w:highlight w:val="none"/>
              </w:rPr>
              <w:t>口腔科根测仪（口腔科）</w:t>
            </w:r>
          </w:p>
        </w:tc>
        <w:tc>
          <w:tcPr>
            <w:tcW w:w="1647" w:type="pct"/>
            <w:vAlign w:val="center"/>
          </w:tcPr>
          <w:p w14:paraId="5D0F4FED">
            <w:pPr>
              <w:ind w:firstLine="420"/>
              <w:jc w:val="center"/>
              <w:textAlignment w:val="center"/>
              <w:rPr>
                <w:rFonts w:ascii="宋体" w:hAnsi="宋体"/>
                <w:color w:val="auto"/>
                <w:szCs w:val="21"/>
                <w:highlight w:val="none"/>
              </w:rPr>
            </w:pPr>
            <w:r>
              <w:rPr>
                <w:rFonts w:hint="eastAsia" w:ascii="宋体" w:hAnsi="宋体"/>
                <w:color w:val="auto"/>
                <w:szCs w:val="21"/>
                <w:highlight w:val="none"/>
              </w:rPr>
              <w:t>制造业</w:t>
            </w:r>
          </w:p>
        </w:tc>
      </w:tr>
      <w:tr w14:paraId="499B7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2" w:type="pct"/>
            <w:gridSpan w:val="2"/>
            <w:shd w:val="clear" w:color="auto" w:fill="FFFFFF"/>
            <w:vAlign w:val="center"/>
          </w:tcPr>
          <w:p w14:paraId="44DE14E1">
            <w:pPr>
              <w:widowControl/>
              <w:ind w:firstLine="0" w:firstLineChars="0"/>
              <w:jc w:val="center"/>
              <w:textAlignment w:val="center"/>
              <w:rPr>
                <w:rFonts w:ascii="宋体" w:hAnsi="宋体"/>
                <w:color w:val="auto"/>
                <w:szCs w:val="21"/>
                <w:highlight w:val="none"/>
              </w:rPr>
            </w:pPr>
            <w:r>
              <w:rPr>
                <w:rFonts w:hint="eastAsia" w:ascii="宋体" w:hAnsi="宋体" w:cs="宋体"/>
                <w:color w:val="auto"/>
                <w:kern w:val="0"/>
                <w:szCs w:val="21"/>
                <w:highlight w:val="none"/>
              </w:rPr>
              <w:t>呼叫系统（内科）</w:t>
            </w:r>
          </w:p>
        </w:tc>
        <w:tc>
          <w:tcPr>
            <w:tcW w:w="1647" w:type="pct"/>
            <w:vAlign w:val="center"/>
          </w:tcPr>
          <w:p w14:paraId="440F9547">
            <w:pPr>
              <w:ind w:firstLine="420"/>
              <w:jc w:val="center"/>
              <w:textAlignment w:val="center"/>
              <w:rPr>
                <w:rFonts w:ascii="宋体" w:hAnsi="宋体"/>
                <w:color w:val="auto"/>
                <w:szCs w:val="21"/>
                <w:highlight w:val="none"/>
              </w:rPr>
            </w:pPr>
            <w:r>
              <w:rPr>
                <w:rFonts w:hint="eastAsia" w:ascii="宋体" w:hAnsi="宋体"/>
                <w:color w:val="auto"/>
                <w:szCs w:val="21"/>
                <w:highlight w:val="none"/>
              </w:rPr>
              <w:t>制造业</w:t>
            </w:r>
          </w:p>
        </w:tc>
      </w:tr>
      <w:tr w14:paraId="1DEDC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2" w:type="pct"/>
            <w:gridSpan w:val="2"/>
            <w:shd w:val="clear" w:color="auto" w:fill="FFFFFF"/>
            <w:vAlign w:val="center"/>
          </w:tcPr>
          <w:p w14:paraId="10979D35">
            <w:pPr>
              <w:widowControl/>
              <w:ind w:firstLine="0" w:firstLineChars="0"/>
              <w:jc w:val="center"/>
              <w:textAlignment w:val="center"/>
              <w:rPr>
                <w:rFonts w:ascii="宋体" w:hAnsi="宋体"/>
                <w:color w:val="auto"/>
                <w:szCs w:val="21"/>
                <w:highlight w:val="none"/>
              </w:rPr>
            </w:pPr>
            <w:r>
              <w:rPr>
                <w:rFonts w:hint="eastAsia" w:ascii="宋体" w:hAnsi="宋体" w:cs="宋体"/>
                <w:color w:val="auto"/>
                <w:kern w:val="0"/>
                <w:szCs w:val="21"/>
                <w:highlight w:val="none"/>
              </w:rPr>
              <w:t>碳14幽门螺杆菌测试仪（内科）</w:t>
            </w:r>
          </w:p>
        </w:tc>
        <w:tc>
          <w:tcPr>
            <w:tcW w:w="1647" w:type="pct"/>
            <w:vAlign w:val="center"/>
          </w:tcPr>
          <w:p w14:paraId="267ED77B">
            <w:pPr>
              <w:ind w:firstLine="420"/>
              <w:jc w:val="center"/>
              <w:textAlignment w:val="center"/>
              <w:rPr>
                <w:rFonts w:ascii="宋体" w:hAnsi="宋体"/>
                <w:color w:val="auto"/>
                <w:szCs w:val="21"/>
                <w:highlight w:val="none"/>
              </w:rPr>
            </w:pPr>
            <w:r>
              <w:rPr>
                <w:rFonts w:hint="eastAsia" w:ascii="宋体" w:hAnsi="宋体"/>
                <w:color w:val="auto"/>
                <w:szCs w:val="21"/>
                <w:highlight w:val="none"/>
              </w:rPr>
              <w:t>制造业</w:t>
            </w:r>
          </w:p>
        </w:tc>
      </w:tr>
      <w:tr w14:paraId="3958D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2" w:type="pct"/>
            <w:gridSpan w:val="2"/>
            <w:shd w:val="clear" w:color="auto" w:fill="FFFFFF"/>
            <w:vAlign w:val="center"/>
          </w:tcPr>
          <w:p w14:paraId="19793069">
            <w:pPr>
              <w:widowControl/>
              <w:ind w:firstLine="0" w:firstLineChars="0"/>
              <w:jc w:val="center"/>
              <w:textAlignment w:val="center"/>
              <w:rPr>
                <w:rFonts w:ascii="宋体" w:hAnsi="宋体"/>
                <w:color w:val="auto"/>
                <w:szCs w:val="21"/>
                <w:highlight w:val="none"/>
              </w:rPr>
            </w:pPr>
            <w:r>
              <w:rPr>
                <w:rFonts w:hint="eastAsia" w:ascii="宋体" w:hAnsi="宋体" w:cs="宋体"/>
                <w:color w:val="auto"/>
                <w:kern w:val="0"/>
                <w:szCs w:val="21"/>
                <w:highlight w:val="none"/>
              </w:rPr>
              <w:t>超声胎音仪（妇产科）</w:t>
            </w:r>
          </w:p>
        </w:tc>
        <w:tc>
          <w:tcPr>
            <w:tcW w:w="1647" w:type="pct"/>
            <w:vAlign w:val="center"/>
          </w:tcPr>
          <w:p w14:paraId="7FAB8AC8">
            <w:pPr>
              <w:ind w:firstLine="420"/>
              <w:jc w:val="center"/>
              <w:textAlignment w:val="center"/>
              <w:rPr>
                <w:rFonts w:ascii="宋体" w:hAnsi="宋体"/>
                <w:color w:val="auto"/>
                <w:szCs w:val="21"/>
                <w:highlight w:val="none"/>
              </w:rPr>
            </w:pPr>
            <w:r>
              <w:rPr>
                <w:rFonts w:hint="eastAsia" w:ascii="宋体" w:hAnsi="宋体"/>
                <w:color w:val="auto"/>
                <w:szCs w:val="21"/>
                <w:highlight w:val="none"/>
              </w:rPr>
              <w:t>制造业</w:t>
            </w:r>
          </w:p>
        </w:tc>
      </w:tr>
      <w:tr w14:paraId="6DB07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2" w:type="pct"/>
            <w:gridSpan w:val="2"/>
            <w:shd w:val="clear" w:color="auto" w:fill="FFFFFF"/>
            <w:vAlign w:val="center"/>
          </w:tcPr>
          <w:p w14:paraId="5C3546BF">
            <w:pPr>
              <w:widowControl/>
              <w:ind w:firstLine="0" w:firstLineChars="0"/>
              <w:jc w:val="center"/>
              <w:textAlignment w:val="center"/>
              <w:rPr>
                <w:rFonts w:ascii="宋体" w:hAnsi="宋体"/>
                <w:color w:val="auto"/>
                <w:szCs w:val="21"/>
                <w:highlight w:val="none"/>
              </w:rPr>
            </w:pPr>
            <w:r>
              <w:rPr>
                <w:rFonts w:hint="eastAsia" w:ascii="宋体" w:hAnsi="宋体" w:cs="宋体"/>
                <w:color w:val="auto"/>
                <w:kern w:val="0"/>
                <w:szCs w:val="21"/>
                <w:highlight w:val="none"/>
              </w:rPr>
              <w:t>经皮黄疸仪（儿科）</w:t>
            </w:r>
          </w:p>
        </w:tc>
        <w:tc>
          <w:tcPr>
            <w:tcW w:w="1647" w:type="pct"/>
            <w:vAlign w:val="center"/>
          </w:tcPr>
          <w:p w14:paraId="294F975B">
            <w:pPr>
              <w:ind w:firstLine="420"/>
              <w:jc w:val="center"/>
              <w:textAlignment w:val="center"/>
              <w:rPr>
                <w:rFonts w:ascii="宋体" w:hAnsi="宋体"/>
                <w:color w:val="auto"/>
                <w:szCs w:val="21"/>
                <w:highlight w:val="none"/>
              </w:rPr>
            </w:pPr>
            <w:r>
              <w:rPr>
                <w:rFonts w:hint="eastAsia" w:ascii="宋体" w:hAnsi="宋体"/>
                <w:color w:val="auto"/>
                <w:szCs w:val="21"/>
                <w:highlight w:val="none"/>
              </w:rPr>
              <w:t>制造业</w:t>
            </w:r>
          </w:p>
        </w:tc>
      </w:tr>
    </w:tbl>
    <w:p w14:paraId="79008578">
      <w:pPr>
        <w:adjustRightInd w:val="0"/>
        <w:snapToGrid w:val="0"/>
        <w:ind w:firstLine="422"/>
        <w:rPr>
          <w:rFonts w:ascii="宋体" w:hAnsi="宋体" w:cs="宋体"/>
          <w:b/>
          <w:color w:val="auto"/>
          <w:szCs w:val="21"/>
          <w:highlight w:val="none"/>
        </w:rPr>
      </w:pPr>
    </w:p>
    <w:bookmarkEnd w:id="901"/>
    <w:bookmarkEnd w:id="906"/>
    <w:p w14:paraId="1A2BC492">
      <w:pPr>
        <w:ind w:firstLine="422"/>
        <w:rPr>
          <w:rFonts w:ascii="宋体" w:hAnsi="宋体" w:cs="宋体"/>
          <w:b/>
          <w:color w:val="auto"/>
          <w:szCs w:val="21"/>
          <w:highlight w:val="none"/>
        </w:rPr>
      </w:pPr>
      <w:bookmarkStart w:id="908" w:name="_Toc38338340"/>
      <w:bookmarkStart w:id="909" w:name="_Toc27718"/>
      <w:r>
        <w:rPr>
          <w:rFonts w:hint="eastAsia" w:ascii="宋体" w:hAnsi="宋体" w:cs="宋体"/>
          <w:b/>
          <w:color w:val="auto"/>
          <w:szCs w:val="21"/>
          <w:highlight w:val="none"/>
        </w:rPr>
        <w:br w:type="page"/>
      </w:r>
    </w:p>
    <w:p w14:paraId="7D5CC717">
      <w:pPr>
        <w:pStyle w:val="2"/>
        <w:spacing w:beforeLines="0"/>
        <w:rPr>
          <w:rFonts w:ascii="Times New Roman" w:hAnsi="Times New Roman" w:cs="Times New Roman"/>
          <w:color w:val="auto"/>
          <w:highlight w:val="none"/>
        </w:rPr>
      </w:pPr>
      <w:r>
        <w:rPr>
          <w:rFonts w:ascii="Times New Roman" w:hAnsi="Times New Roman" w:cs="Times New Roman"/>
          <w:color w:val="auto"/>
          <w:highlight w:val="none"/>
        </w:rPr>
        <w:t>第六章 资格审查</w:t>
      </w:r>
      <w:bookmarkEnd w:id="908"/>
      <w:bookmarkEnd w:id="909"/>
    </w:p>
    <w:p w14:paraId="02F2F666">
      <w:pPr>
        <w:pStyle w:val="3"/>
        <w:spacing w:beforeLines="0"/>
        <w:jc w:val="center"/>
        <w:rPr>
          <w:rFonts w:ascii="Times New Roman" w:hAnsi="Times New Roman" w:cs="Times New Roman"/>
          <w:color w:val="auto"/>
          <w:highlight w:val="none"/>
        </w:rPr>
      </w:pPr>
      <w:bookmarkStart w:id="910" w:name="_Toc9229"/>
      <w:r>
        <w:rPr>
          <w:rFonts w:ascii="Times New Roman" w:hAnsi="Times New Roman" w:cs="Times New Roman"/>
          <w:color w:val="auto"/>
          <w:highlight w:val="none"/>
        </w:rPr>
        <w:t>资格审查前附表</w:t>
      </w:r>
      <w:bookmarkEnd w:id="910"/>
    </w:p>
    <w:tbl>
      <w:tblPr>
        <w:tblStyle w:val="34"/>
        <w:tblW w:w="883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3"/>
        <w:gridCol w:w="4799"/>
        <w:gridCol w:w="2622"/>
      </w:tblGrid>
      <w:tr w14:paraId="7A48CA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212" w:type="dxa"/>
            <w:gridSpan w:val="2"/>
            <w:vAlign w:val="center"/>
          </w:tcPr>
          <w:p w14:paraId="179F9243">
            <w:pPr>
              <w:ind w:firstLine="0" w:firstLineChars="0"/>
              <w:jc w:val="center"/>
              <w:rPr>
                <w:rFonts w:ascii="Times New Roman" w:hAnsi="Times New Roman" w:cs="Times New Roman"/>
                <w:b/>
                <w:bCs/>
                <w:color w:val="auto"/>
                <w:szCs w:val="21"/>
                <w:highlight w:val="none"/>
              </w:rPr>
            </w:pPr>
            <w:r>
              <w:rPr>
                <w:rFonts w:hint="eastAsia" w:ascii="Times New Roman" w:hAnsi="Times New Roman" w:cs="Times New Roman"/>
                <w:b/>
                <w:bCs/>
                <w:color w:val="auto"/>
                <w:szCs w:val="21"/>
                <w:highlight w:val="none"/>
              </w:rPr>
              <w:t>评审因素</w:t>
            </w:r>
          </w:p>
        </w:tc>
        <w:tc>
          <w:tcPr>
            <w:tcW w:w="2622" w:type="dxa"/>
          </w:tcPr>
          <w:p w14:paraId="5BC112A5">
            <w:pPr>
              <w:ind w:firstLine="0" w:firstLineChars="0"/>
              <w:jc w:val="center"/>
              <w:rPr>
                <w:rFonts w:ascii="Times New Roman" w:hAnsi="Times New Roman" w:cs="Times New Roman"/>
                <w:color w:val="auto"/>
                <w:szCs w:val="21"/>
                <w:highlight w:val="none"/>
              </w:rPr>
            </w:pPr>
            <w:r>
              <w:rPr>
                <w:rFonts w:hint="eastAsia" w:ascii="Times New Roman" w:hAnsi="Times New Roman" w:cs="Times New Roman"/>
                <w:b/>
                <w:bCs/>
                <w:color w:val="auto"/>
                <w:szCs w:val="21"/>
                <w:highlight w:val="none"/>
              </w:rPr>
              <w:t>评审标准</w:t>
            </w:r>
          </w:p>
        </w:tc>
      </w:tr>
      <w:tr w14:paraId="71A967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413" w:type="dxa"/>
            <w:vMerge w:val="restart"/>
            <w:vAlign w:val="center"/>
          </w:tcPr>
          <w:p w14:paraId="67DA47A5">
            <w:pPr>
              <w:ind w:firstLine="0" w:firstLineChars="0"/>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符合</w:t>
            </w:r>
            <w:r>
              <w:rPr>
                <w:rFonts w:ascii="Times New Roman" w:hAnsi="Times New Roman" w:cs="Times New Roman"/>
                <w:color w:val="auto"/>
                <w:szCs w:val="21"/>
                <w:highlight w:val="none"/>
              </w:rPr>
              <w:t>《中华人民共和国政府采购法》第二十二条规定</w:t>
            </w:r>
          </w:p>
        </w:tc>
        <w:tc>
          <w:tcPr>
            <w:tcW w:w="4799" w:type="dxa"/>
            <w:vAlign w:val="center"/>
          </w:tcPr>
          <w:p w14:paraId="5868A852">
            <w:pPr>
              <w:ind w:firstLine="0" w:firstLineChars="0"/>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具有独立承担民事责任的能力</w:t>
            </w:r>
          </w:p>
        </w:tc>
        <w:tc>
          <w:tcPr>
            <w:tcW w:w="2622" w:type="dxa"/>
            <w:vMerge w:val="restart"/>
            <w:vAlign w:val="center"/>
          </w:tcPr>
          <w:p w14:paraId="7B0403F6">
            <w:pPr>
              <w:ind w:firstLine="0" w:firstLineChars="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符合第二章“投标人须知”第3</w:t>
            </w:r>
            <w:r>
              <w:rPr>
                <w:rFonts w:ascii="Times New Roman" w:hAnsi="Times New Roman" w:cs="Times New Roman"/>
                <w:color w:val="auto"/>
                <w:szCs w:val="21"/>
                <w:highlight w:val="none"/>
              </w:rPr>
              <w:t>项</w:t>
            </w:r>
            <w:bookmarkStart w:id="911" w:name="OLE_LINK129"/>
            <w:r>
              <w:rPr>
                <w:rFonts w:hint="eastAsia" w:ascii="Times New Roman" w:hAnsi="Times New Roman" w:cs="Times New Roman"/>
                <w:color w:val="auto"/>
                <w:szCs w:val="21"/>
                <w:highlight w:val="none"/>
              </w:rPr>
              <w:t>投标人的资格要求</w:t>
            </w:r>
            <w:r>
              <w:rPr>
                <w:rFonts w:ascii="Times New Roman" w:hAnsi="Times New Roman" w:cs="Times New Roman"/>
                <w:color w:val="auto"/>
                <w:szCs w:val="21"/>
                <w:highlight w:val="none"/>
              </w:rPr>
              <w:t>规定，且提供了招标文件要求提供的证明材料</w:t>
            </w:r>
            <w:bookmarkEnd w:id="911"/>
            <w:r>
              <w:rPr>
                <w:rFonts w:ascii="Times New Roman" w:hAnsi="Times New Roman" w:cs="Times New Roman"/>
                <w:color w:val="auto"/>
                <w:szCs w:val="21"/>
                <w:highlight w:val="none"/>
              </w:rPr>
              <w:t>。</w:t>
            </w:r>
          </w:p>
        </w:tc>
      </w:tr>
      <w:tr w14:paraId="7EC5AE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413" w:type="dxa"/>
            <w:vMerge w:val="continue"/>
            <w:vAlign w:val="center"/>
          </w:tcPr>
          <w:p w14:paraId="151D2127">
            <w:pPr>
              <w:ind w:firstLine="0" w:firstLineChars="0"/>
              <w:rPr>
                <w:rFonts w:ascii="Times New Roman" w:hAnsi="Times New Roman" w:cs="Times New Roman"/>
                <w:color w:val="auto"/>
                <w:szCs w:val="21"/>
                <w:highlight w:val="none"/>
              </w:rPr>
            </w:pPr>
          </w:p>
        </w:tc>
        <w:tc>
          <w:tcPr>
            <w:tcW w:w="4799" w:type="dxa"/>
            <w:vAlign w:val="center"/>
          </w:tcPr>
          <w:p w14:paraId="5E847A6D">
            <w:pPr>
              <w:ind w:firstLine="0" w:firstLineChars="0"/>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具有良好的商业信誉和健全的财务会计制度</w:t>
            </w:r>
          </w:p>
        </w:tc>
        <w:tc>
          <w:tcPr>
            <w:tcW w:w="2622" w:type="dxa"/>
            <w:vMerge w:val="continue"/>
            <w:vAlign w:val="center"/>
          </w:tcPr>
          <w:p w14:paraId="58698AD6">
            <w:pPr>
              <w:ind w:firstLine="0" w:firstLineChars="0"/>
              <w:rPr>
                <w:rFonts w:ascii="Times New Roman" w:hAnsi="Times New Roman" w:cs="Times New Roman"/>
                <w:color w:val="auto"/>
                <w:szCs w:val="21"/>
                <w:highlight w:val="none"/>
              </w:rPr>
            </w:pPr>
          </w:p>
        </w:tc>
      </w:tr>
      <w:tr w14:paraId="063F06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5" w:hRule="atLeast"/>
        </w:trPr>
        <w:tc>
          <w:tcPr>
            <w:tcW w:w="1413" w:type="dxa"/>
            <w:vMerge w:val="continue"/>
            <w:vAlign w:val="center"/>
          </w:tcPr>
          <w:p w14:paraId="212FF649">
            <w:pPr>
              <w:ind w:firstLine="0" w:firstLineChars="0"/>
              <w:rPr>
                <w:rFonts w:ascii="Times New Roman" w:hAnsi="Times New Roman" w:cs="Times New Roman"/>
                <w:color w:val="auto"/>
                <w:szCs w:val="21"/>
                <w:highlight w:val="none"/>
              </w:rPr>
            </w:pPr>
          </w:p>
        </w:tc>
        <w:tc>
          <w:tcPr>
            <w:tcW w:w="4799" w:type="dxa"/>
            <w:vAlign w:val="center"/>
          </w:tcPr>
          <w:p w14:paraId="2A7F8635">
            <w:pPr>
              <w:ind w:firstLine="0" w:firstLineChars="0"/>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具</w:t>
            </w:r>
            <w:r>
              <w:rPr>
                <w:rFonts w:hint="eastAsia" w:ascii="宋体" w:hAnsi="宋体" w:cs="宋体"/>
                <w:color w:val="auto"/>
                <w:szCs w:val="21"/>
                <w:highlight w:val="none"/>
              </w:rPr>
              <w:t>有依法缴纳税收和社会保障资金的良好记录</w:t>
            </w:r>
          </w:p>
        </w:tc>
        <w:tc>
          <w:tcPr>
            <w:tcW w:w="2622" w:type="dxa"/>
            <w:vMerge w:val="continue"/>
            <w:vAlign w:val="center"/>
          </w:tcPr>
          <w:p w14:paraId="14184923">
            <w:pPr>
              <w:ind w:firstLine="0" w:firstLineChars="0"/>
              <w:rPr>
                <w:rFonts w:ascii="Times New Roman" w:hAnsi="Times New Roman" w:cs="Times New Roman"/>
                <w:color w:val="auto"/>
                <w:szCs w:val="21"/>
                <w:highlight w:val="none"/>
              </w:rPr>
            </w:pPr>
          </w:p>
        </w:tc>
      </w:tr>
      <w:tr w14:paraId="5D31C7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9" w:hRule="atLeast"/>
        </w:trPr>
        <w:tc>
          <w:tcPr>
            <w:tcW w:w="1413" w:type="dxa"/>
            <w:vMerge w:val="continue"/>
            <w:vAlign w:val="center"/>
          </w:tcPr>
          <w:p w14:paraId="7849019E">
            <w:pPr>
              <w:ind w:firstLine="0" w:firstLineChars="0"/>
              <w:rPr>
                <w:rFonts w:ascii="Times New Roman" w:hAnsi="Times New Roman" w:cs="Times New Roman"/>
                <w:color w:val="auto"/>
                <w:szCs w:val="21"/>
                <w:highlight w:val="none"/>
              </w:rPr>
            </w:pPr>
          </w:p>
        </w:tc>
        <w:tc>
          <w:tcPr>
            <w:tcW w:w="4799" w:type="dxa"/>
            <w:vAlign w:val="center"/>
          </w:tcPr>
          <w:p w14:paraId="29DFBCD3">
            <w:pPr>
              <w:ind w:firstLine="0" w:firstLineChars="0"/>
              <w:jc w:val="center"/>
              <w:rPr>
                <w:rFonts w:ascii="Times New Roman" w:hAnsi="Times New Roman" w:cs="Times New Roman"/>
                <w:color w:val="auto"/>
                <w:szCs w:val="21"/>
                <w:highlight w:val="none"/>
              </w:rPr>
            </w:pPr>
            <w:r>
              <w:rPr>
                <w:rFonts w:hint="eastAsia" w:ascii="宋体" w:hAnsi="宋体" w:cs="宋体"/>
                <w:color w:val="auto"/>
                <w:szCs w:val="21"/>
                <w:highlight w:val="none"/>
              </w:rPr>
              <w:t>具有履行合同所必需的设备和专业技术能力</w:t>
            </w:r>
          </w:p>
        </w:tc>
        <w:tc>
          <w:tcPr>
            <w:tcW w:w="2622" w:type="dxa"/>
            <w:vMerge w:val="continue"/>
            <w:vAlign w:val="center"/>
          </w:tcPr>
          <w:p w14:paraId="506A749F">
            <w:pPr>
              <w:ind w:firstLine="0" w:firstLineChars="0"/>
              <w:rPr>
                <w:rFonts w:ascii="Times New Roman" w:hAnsi="Times New Roman" w:cs="Times New Roman"/>
                <w:color w:val="auto"/>
                <w:szCs w:val="21"/>
                <w:highlight w:val="none"/>
              </w:rPr>
            </w:pPr>
          </w:p>
        </w:tc>
      </w:tr>
      <w:tr w14:paraId="5D4AC1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06" w:hRule="atLeast"/>
        </w:trPr>
        <w:tc>
          <w:tcPr>
            <w:tcW w:w="1413" w:type="dxa"/>
            <w:vMerge w:val="continue"/>
            <w:vAlign w:val="center"/>
          </w:tcPr>
          <w:p w14:paraId="3AE765BD">
            <w:pPr>
              <w:ind w:firstLine="0" w:firstLineChars="0"/>
              <w:rPr>
                <w:rFonts w:ascii="Times New Roman" w:hAnsi="Times New Roman" w:cs="Times New Roman"/>
                <w:color w:val="auto"/>
                <w:szCs w:val="21"/>
                <w:highlight w:val="none"/>
              </w:rPr>
            </w:pPr>
          </w:p>
        </w:tc>
        <w:tc>
          <w:tcPr>
            <w:tcW w:w="4799" w:type="dxa"/>
            <w:vAlign w:val="center"/>
          </w:tcPr>
          <w:p w14:paraId="5B4F4EE9">
            <w:pPr>
              <w:ind w:firstLine="0" w:firstLineChars="0"/>
              <w:jc w:val="center"/>
              <w:rPr>
                <w:rFonts w:ascii="Times New Roman" w:hAnsi="Times New Roman" w:cs="Times New Roman"/>
                <w:color w:val="auto"/>
                <w:szCs w:val="21"/>
                <w:highlight w:val="none"/>
              </w:rPr>
            </w:pPr>
            <w:r>
              <w:rPr>
                <w:rFonts w:hint="eastAsia" w:ascii="宋体" w:hAnsi="宋体" w:cs="宋体"/>
                <w:color w:val="auto"/>
                <w:szCs w:val="21"/>
                <w:highlight w:val="none"/>
              </w:rPr>
              <w:t>参加政府采购活动前三年内，在经营活动中没有重大违法记录</w:t>
            </w:r>
          </w:p>
        </w:tc>
        <w:tc>
          <w:tcPr>
            <w:tcW w:w="2622" w:type="dxa"/>
            <w:vMerge w:val="continue"/>
            <w:vAlign w:val="center"/>
          </w:tcPr>
          <w:p w14:paraId="1B779C88">
            <w:pPr>
              <w:ind w:firstLine="0" w:firstLineChars="0"/>
              <w:rPr>
                <w:rFonts w:ascii="Times New Roman" w:hAnsi="Times New Roman" w:cs="Times New Roman"/>
                <w:color w:val="auto"/>
                <w:szCs w:val="21"/>
                <w:highlight w:val="none"/>
              </w:rPr>
            </w:pPr>
          </w:p>
        </w:tc>
      </w:tr>
      <w:tr w14:paraId="20A21E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trPr>
        <w:tc>
          <w:tcPr>
            <w:tcW w:w="1413" w:type="dxa"/>
            <w:vMerge w:val="continue"/>
            <w:vAlign w:val="center"/>
          </w:tcPr>
          <w:p w14:paraId="1E280ED3">
            <w:pPr>
              <w:ind w:firstLine="0" w:firstLineChars="0"/>
              <w:rPr>
                <w:rFonts w:ascii="Times New Roman" w:hAnsi="Times New Roman" w:cs="Times New Roman"/>
                <w:color w:val="auto"/>
                <w:szCs w:val="21"/>
                <w:highlight w:val="none"/>
              </w:rPr>
            </w:pPr>
          </w:p>
        </w:tc>
        <w:tc>
          <w:tcPr>
            <w:tcW w:w="4799" w:type="dxa"/>
            <w:vAlign w:val="center"/>
          </w:tcPr>
          <w:p w14:paraId="1DB22955">
            <w:pPr>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法律、行政法规规定的其他条件</w:t>
            </w:r>
          </w:p>
        </w:tc>
        <w:tc>
          <w:tcPr>
            <w:tcW w:w="2622" w:type="dxa"/>
            <w:vMerge w:val="continue"/>
            <w:vAlign w:val="center"/>
          </w:tcPr>
          <w:p w14:paraId="3074500A">
            <w:pPr>
              <w:ind w:firstLine="0" w:firstLineChars="0"/>
              <w:rPr>
                <w:rFonts w:ascii="Times New Roman" w:hAnsi="Times New Roman" w:cs="Times New Roman"/>
                <w:color w:val="auto"/>
                <w:szCs w:val="21"/>
                <w:highlight w:val="none"/>
              </w:rPr>
            </w:pPr>
          </w:p>
        </w:tc>
      </w:tr>
      <w:tr w14:paraId="374607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6212" w:type="dxa"/>
            <w:gridSpan w:val="2"/>
            <w:vAlign w:val="center"/>
          </w:tcPr>
          <w:p w14:paraId="07DFA3A1">
            <w:pPr>
              <w:ind w:firstLine="0" w:firstLineChars="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落实政府采购政策需满足的资格要求</w:t>
            </w:r>
          </w:p>
        </w:tc>
        <w:tc>
          <w:tcPr>
            <w:tcW w:w="2622" w:type="dxa"/>
            <w:vMerge w:val="continue"/>
            <w:vAlign w:val="center"/>
          </w:tcPr>
          <w:p w14:paraId="6915189F">
            <w:pPr>
              <w:ind w:firstLine="0" w:firstLineChars="0"/>
              <w:rPr>
                <w:rFonts w:ascii="Times New Roman" w:hAnsi="Times New Roman" w:cs="Times New Roman"/>
                <w:color w:val="auto"/>
                <w:szCs w:val="21"/>
                <w:highlight w:val="none"/>
              </w:rPr>
            </w:pPr>
          </w:p>
        </w:tc>
      </w:tr>
      <w:tr w14:paraId="05FE83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212" w:type="dxa"/>
            <w:gridSpan w:val="2"/>
            <w:vAlign w:val="center"/>
          </w:tcPr>
          <w:p w14:paraId="3EFFE769">
            <w:pPr>
              <w:ind w:firstLine="0" w:firstLineChars="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本项目的特定资格要求</w:t>
            </w:r>
          </w:p>
        </w:tc>
        <w:tc>
          <w:tcPr>
            <w:tcW w:w="2622" w:type="dxa"/>
            <w:vMerge w:val="continue"/>
            <w:vAlign w:val="center"/>
          </w:tcPr>
          <w:p w14:paraId="11E3FDAA">
            <w:pPr>
              <w:ind w:firstLine="0" w:firstLineChars="0"/>
              <w:rPr>
                <w:rFonts w:ascii="Times New Roman" w:hAnsi="Times New Roman" w:cs="Times New Roman"/>
                <w:color w:val="auto"/>
                <w:szCs w:val="21"/>
                <w:highlight w:val="none"/>
              </w:rPr>
            </w:pPr>
          </w:p>
        </w:tc>
      </w:tr>
    </w:tbl>
    <w:p w14:paraId="66FA593E">
      <w:pPr>
        <w:pStyle w:val="3"/>
        <w:spacing w:beforeLines="0"/>
        <w:rPr>
          <w:rFonts w:ascii="Times New Roman" w:hAnsi="Times New Roman" w:cs="Times New Roman"/>
          <w:color w:val="auto"/>
          <w:highlight w:val="none"/>
        </w:rPr>
      </w:pPr>
      <w:bookmarkStart w:id="912" w:name="_Toc15460"/>
      <w:bookmarkStart w:id="913" w:name="_Toc7171"/>
      <w:bookmarkStart w:id="914" w:name="_Toc24810"/>
      <w:bookmarkStart w:id="915" w:name="_Toc13257"/>
      <w:bookmarkStart w:id="916" w:name="_Toc18287454"/>
      <w:bookmarkStart w:id="917" w:name="_Toc17604"/>
      <w:bookmarkStart w:id="918" w:name="_Toc37716422"/>
      <w:bookmarkStart w:id="919" w:name="_Toc38338342"/>
      <w:r>
        <w:rPr>
          <w:rFonts w:ascii="Times New Roman" w:hAnsi="Times New Roman" w:cs="Times New Roman"/>
          <w:color w:val="auto"/>
          <w:highlight w:val="none"/>
        </w:rPr>
        <w:t>一、资格</w:t>
      </w:r>
      <w:r>
        <w:rPr>
          <w:rFonts w:ascii="Times New Roman" w:hAnsi="Times New Roman" w:cs="Times New Roman"/>
          <w:color w:val="auto"/>
          <w:szCs w:val="24"/>
          <w:highlight w:val="none"/>
        </w:rPr>
        <w:t>审查</w:t>
      </w:r>
      <w:bookmarkEnd w:id="912"/>
      <w:bookmarkEnd w:id="913"/>
      <w:bookmarkEnd w:id="914"/>
      <w:bookmarkEnd w:id="915"/>
      <w:bookmarkEnd w:id="916"/>
      <w:bookmarkEnd w:id="917"/>
      <w:bookmarkEnd w:id="918"/>
      <w:bookmarkEnd w:id="919"/>
    </w:p>
    <w:p w14:paraId="406CB3E0">
      <w:pPr>
        <w:ind w:firstLine="420"/>
        <w:rPr>
          <w:rFonts w:ascii="Times New Roman" w:hAnsi="Times New Roman" w:cs="Times New Roman"/>
          <w:color w:val="auto"/>
          <w:highlight w:val="none"/>
        </w:rPr>
      </w:pPr>
      <w:r>
        <w:rPr>
          <w:rFonts w:ascii="Times New Roman" w:hAnsi="Times New Roman" w:cs="Times New Roman"/>
          <w:color w:val="auto"/>
          <w:highlight w:val="none"/>
        </w:rPr>
        <w:t>1.开标结束后，采购人或者采购代理机构将依法对投标人的资格进行审查。合格投标人不足3家的，不得评标。</w:t>
      </w:r>
    </w:p>
    <w:p w14:paraId="6477CC9A">
      <w:pPr>
        <w:ind w:firstLine="420"/>
        <w:rPr>
          <w:rFonts w:ascii="Times New Roman" w:hAnsi="Times New Roman" w:cs="Times New Roman"/>
          <w:color w:val="auto"/>
          <w:kern w:val="0"/>
          <w:highlight w:val="none"/>
        </w:rPr>
      </w:pPr>
      <w:r>
        <w:rPr>
          <w:rFonts w:ascii="Times New Roman" w:hAnsi="Times New Roman" w:cs="Times New Roman"/>
          <w:color w:val="auto"/>
          <w:kern w:val="0"/>
          <w:highlight w:val="none"/>
        </w:rPr>
        <w:t>2.采购人或者采购代理机构按照招标文件的规定对投标人投标文件中资格证明文件及采购人、采购代理机构通过互联网或者相关信息系统的查询结果进行审查。</w:t>
      </w:r>
    </w:p>
    <w:p w14:paraId="3CF43B7F">
      <w:pPr>
        <w:ind w:firstLine="420"/>
        <w:rPr>
          <w:rFonts w:ascii="Times New Roman" w:hAnsi="Times New Roman" w:cs="Times New Roman"/>
          <w:color w:val="auto"/>
          <w:kern w:val="0"/>
          <w:highlight w:val="none"/>
        </w:rPr>
      </w:pPr>
      <w:r>
        <w:rPr>
          <w:rFonts w:ascii="Times New Roman" w:hAnsi="Times New Roman" w:cs="Times New Roman"/>
          <w:color w:val="auto"/>
          <w:kern w:val="0"/>
          <w:highlight w:val="none"/>
        </w:rPr>
        <w:t>3.投标人为满足投标人的资格要求提供虚假材料，一经查实，视为未实质性响应招标文件，投标文件按无效处理。</w:t>
      </w:r>
    </w:p>
    <w:p w14:paraId="7248A85D">
      <w:pPr>
        <w:ind w:firstLine="420"/>
        <w:rPr>
          <w:rFonts w:ascii="Times New Roman" w:hAnsi="Times New Roman" w:cs="Times New Roman"/>
          <w:color w:val="auto"/>
          <w:kern w:val="0"/>
          <w:highlight w:val="none"/>
        </w:rPr>
      </w:pPr>
      <w:r>
        <w:rPr>
          <w:rFonts w:hint="eastAsia" w:ascii="Times New Roman" w:hAnsi="Times New Roman" w:cs="Times New Roman"/>
          <w:color w:val="auto"/>
          <w:kern w:val="0"/>
          <w:highlight w:val="none"/>
        </w:rPr>
        <w:t>4</w:t>
      </w:r>
      <w:r>
        <w:rPr>
          <w:rFonts w:ascii="Times New Roman" w:hAnsi="Times New Roman" w:cs="Times New Roman"/>
          <w:color w:val="auto"/>
          <w:kern w:val="0"/>
          <w:highlight w:val="none"/>
        </w:rPr>
        <w:t>.采购人或者采购代理机构在资格审查过程中发现投标人有一项不符合上述规定的，该投标文件按无效投标处理。</w:t>
      </w:r>
    </w:p>
    <w:p w14:paraId="01EA3052">
      <w:pPr>
        <w:ind w:firstLine="0" w:firstLineChars="0"/>
        <w:outlineLvl w:val="1"/>
        <w:rPr>
          <w:rFonts w:ascii="Times New Roman" w:hAnsi="Times New Roman" w:cs="Times New Roman"/>
          <w:color w:val="auto"/>
          <w:highlight w:val="none"/>
        </w:rPr>
      </w:pPr>
      <w:bookmarkStart w:id="920" w:name="_Toc23441"/>
      <w:r>
        <w:rPr>
          <w:rFonts w:ascii="Times New Roman" w:hAnsi="Times New Roman" w:eastAsia="黑体" w:cs="Times New Roman"/>
          <w:b/>
          <w:bCs/>
          <w:color w:val="auto"/>
          <w:sz w:val="28"/>
          <w:szCs w:val="32"/>
          <w:highlight w:val="none"/>
        </w:rPr>
        <w:t>二、资格审查报告</w:t>
      </w:r>
      <w:bookmarkEnd w:id="920"/>
    </w:p>
    <w:p w14:paraId="589898D7">
      <w:pPr>
        <w:ind w:firstLine="420"/>
        <w:rPr>
          <w:rFonts w:ascii="Times New Roman" w:hAnsi="Times New Roman" w:cs="Times New Roman"/>
          <w:color w:val="auto"/>
          <w:kern w:val="0"/>
          <w:szCs w:val="21"/>
          <w:highlight w:val="none"/>
        </w:rPr>
      </w:pPr>
      <w:r>
        <w:rPr>
          <w:rFonts w:ascii="Times New Roman" w:hAnsi="Times New Roman" w:cs="Times New Roman"/>
          <w:color w:val="auto"/>
          <w:highlight w:val="none"/>
        </w:rPr>
        <w:t>采购人或者采购代理机构根据资格审查情况出具资格审查报告。</w:t>
      </w:r>
      <w:r>
        <w:rPr>
          <w:rFonts w:ascii="Times New Roman" w:hAnsi="Times New Roman" w:cs="Times New Roman"/>
          <w:color w:val="auto"/>
          <w:kern w:val="0"/>
          <w:szCs w:val="21"/>
          <w:highlight w:val="none"/>
        </w:rPr>
        <w:br w:type="page"/>
      </w:r>
    </w:p>
    <w:p w14:paraId="46AD7381">
      <w:pPr>
        <w:pStyle w:val="2"/>
        <w:spacing w:beforeLines="0"/>
        <w:rPr>
          <w:rFonts w:ascii="Times New Roman" w:hAnsi="Times New Roman" w:cs="Times New Roman"/>
          <w:color w:val="auto"/>
          <w:highlight w:val="none"/>
        </w:rPr>
      </w:pPr>
      <w:bookmarkStart w:id="921" w:name="_Toc38338343"/>
      <w:bookmarkStart w:id="922" w:name="_Toc10932"/>
      <w:bookmarkStart w:id="923" w:name="OLE_LINK242"/>
      <w:r>
        <w:rPr>
          <w:rFonts w:ascii="Times New Roman" w:hAnsi="Times New Roman" w:cs="Times New Roman"/>
          <w:color w:val="auto"/>
          <w:highlight w:val="none"/>
        </w:rPr>
        <w:t>第七章 评标方法</w:t>
      </w:r>
      <w:bookmarkEnd w:id="921"/>
      <w:bookmarkEnd w:id="922"/>
      <w:bookmarkStart w:id="924" w:name="_Toc481694866"/>
      <w:bookmarkStart w:id="925" w:name="_Toc480817655"/>
      <w:bookmarkStart w:id="926" w:name="_Toc979"/>
    </w:p>
    <w:p w14:paraId="5E3708F6">
      <w:pPr>
        <w:pStyle w:val="3"/>
        <w:spacing w:beforeLines="0"/>
        <w:jc w:val="center"/>
        <w:rPr>
          <w:rFonts w:ascii="Times New Roman" w:hAnsi="Times New Roman" w:cs="Times New Roman"/>
          <w:color w:val="auto"/>
          <w:highlight w:val="none"/>
        </w:rPr>
      </w:pPr>
      <w:bookmarkStart w:id="927" w:name="_Toc38338344"/>
      <w:bookmarkStart w:id="928" w:name="_Toc488633639"/>
      <w:bookmarkStart w:id="929" w:name="_Toc18312"/>
      <w:bookmarkStart w:id="930" w:name="_Toc37716424"/>
      <w:bookmarkStart w:id="931" w:name="_Toc489145774"/>
      <w:r>
        <w:rPr>
          <w:rFonts w:ascii="Times New Roman" w:hAnsi="Times New Roman" w:cs="Times New Roman"/>
          <w:color w:val="auto"/>
          <w:highlight w:val="none"/>
        </w:rPr>
        <w:t>评标方法前附</w:t>
      </w:r>
      <w:bookmarkEnd w:id="923"/>
      <w:r>
        <w:rPr>
          <w:rFonts w:ascii="Times New Roman" w:hAnsi="Times New Roman" w:cs="Times New Roman"/>
          <w:color w:val="auto"/>
          <w:highlight w:val="none"/>
        </w:rPr>
        <w:t>表</w:t>
      </w:r>
      <w:bookmarkEnd w:id="924"/>
      <w:bookmarkEnd w:id="927"/>
      <w:bookmarkEnd w:id="928"/>
      <w:bookmarkEnd w:id="929"/>
      <w:bookmarkEnd w:id="930"/>
      <w:bookmarkEnd w:id="931"/>
    </w:p>
    <w:bookmarkEnd w:id="925"/>
    <w:bookmarkEnd w:id="926"/>
    <w:tbl>
      <w:tblPr>
        <w:tblStyle w:val="34"/>
        <w:tblW w:w="50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
        <w:gridCol w:w="963"/>
        <w:gridCol w:w="1702"/>
        <w:gridCol w:w="6295"/>
      </w:tblGrid>
      <w:tr w14:paraId="0F5B8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57" w:type="pct"/>
            <w:gridSpan w:val="2"/>
            <w:vAlign w:val="center"/>
          </w:tcPr>
          <w:p w14:paraId="34771BF8">
            <w:pPr>
              <w:ind w:firstLine="0" w:firstLineChars="0"/>
              <w:jc w:val="center"/>
              <w:rPr>
                <w:rFonts w:ascii="宋体" w:hAnsi="宋体" w:cs="宋体"/>
                <w:b/>
                <w:color w:val="auto"/>
                <w:szCs w:val="21"/>
                <w:highlight w:val="none"/>
              </w:rPr>
            </w:pPr>
            <w:bookmarkStart w:id="932" w:name="_Toc49935348"/>
            <w:bookmarkStart w:id="933" w:name="_Toc326218111"/>
            <w:bookmarkStart w:id="934" w:name="_Toc26783937"/>
            <w:bookmarkStart w:id="935" w:name="_Toc68090068"/>
            <w:r>
              <w:rPr>
                <w:rFonts w:hint="eastAsia" w:ascii="宋体" w:hAnsi="宋体" w:cs="宋体"/>
                <w:b/>
                <w:color w:val="auto"/>
                <w:szCs w:val="21"/>
                <w:highlight w:val="none"/>
              </w:rPr>
              <w:t>条款号</w:t>
            </w:r>
          </w:p>
        </w:tc>
        <w:tc>
          <w:tcPr>
            <w:tcW w:w="903" w:type="pct"/>
            <w:vAlign w:val="center"/>
          </w:tcPr>
          <w:p w14:paraId="441A8962">
            <w:pPr>
              <w:ind w:firstLine="0" w:firstLineChars="0"/>
              <w:jc w:val="center"/>
              <w:rPr>
                <w:rFonts w:ascii="宋体" w:hAnsi="宋体" w:cs="宋体"/>
                <w:b/>
                <w:color w:val="auto"/>
                <w:szCs w:val="21"/>
                <w:highlight w:val="none"/>
              </w:rPr>
            </w:pPr>
            <w:r>
              <w:rPr>
                <w:rFonts w:hint="eastAsia" w:ascii="宋体" w:hAnsi="宋体" w:cs="宋体"/>
                <w:b/>
                <w:color w:val="auto"/>
                <w:szCs w:val="21"/>
                <w:highlight w:val="none"/>
              </w:rPr>
              <w:t>评 审 内 容</w:t>
            </w:r>
          </w:p>
        </w:tc>
        <w:tc>
          <w:tcPr>
            <w:tcW w:w="3339" w:type="pct"/>
            <w:vAlign w:val="center"/>
          </w:tcPr>
          <w:p w14:paraId="0BE7AC43">
            <w:pPr>
              <w:ind w:firstLine="0" w:firstLineChars="0"/>
              <w:jc w:val="center"/>
              <w:rPr>
                <w:rFonts w:ascii="宋体" w:hAnsi="宋体" w:cs="宋体"/>
                <w:b/>
                <w:color w:val="auto"/>
                <w:szCs w:val="21"/>
                <w:highlight w:val="none"/>
              </w:rPr>
            </w:pPr>
            <w:r>
              <w:rPr>
                <w:rFonts w:hint="eastAsia" w:ascii="宋体" w:hAnsi="宋体" w:cs="宋体"/>
                <w:b/>
                <w:color w:val="auto"/>
                <w:szCs w:val="21"/>
                <w:highlight w:val="none"/>
              </w:rPr>
              <w:t>评 审 标 准</w:t>
            </w:r>
          </w:p>
        </w:tc>
      </w:tr>
      <w:tr w14:paraId="7453F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vMerge w:val="restart"/>
            <w:vAlign w:val="center"/>
          </w:tcPr>
          <w:p w14:paraId="3F1AEBF5">
            <w:pPr>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w:t>
            </w:r>
          </w:p>
        </w:tc>
        <w:tc>
          <w:tcPr>
            <w:tcW w:w="510" w:type="pct"/>
            <w:vMerge w:val="restart"/>
            <w:vAlign w:val="center"/>
          </w:tcPr>
          <w:p w14:paraId="4A660F6B">
            <w:pPr>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符合性审查标准</w:t>
            </w:r>
          </w:p>
        </w:tc>
        <w:tc>
          <w:tcPr>
            <w:tcW w:w="903" w:type="pct"/>
            <w:vAlign w:val="center"/>
          </w:tcPr>
          <w:p w14:paraId="15F1FCB0">
            <w:pPr>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投标报价</w:t>
            </w:r>
          </w:p>
        </w:tc>
        <w:tc>
          <w:tcPr>
            <w:tcW w:w="3339" w:type="pct"/>
            <w:vAlign w:val="center"/>
          </w:tcPr>
          <w:p w14:paraId="157FEA5F">
            <w:pPr>
              <w:ind w:firstLine="0" w:firstLineChars="0"/>
              <w:rPr>
                <w:rFonts w:ascii="宋体" w:hAnsi="宋体" w:cs="宋体"/>
                <w:color w:val="auto"/>
                <w:szCs w:val="21"/>
                <w:highlight w:val="none"/>
              </w:rPr>
            </w:pPr>
            <w:r>
              <w:rPr>
                <w:rFonts w:hint="eastAsia" w:ascii="宋体" w:hAnsi="宋体" w:cs="宋体"/>
                <w:color w:val="auto"/>
                <w:szCs w:val="21"/>
                <w:highlight w:val="none"/>
              </w:rPr>
              <w:t>未超过采购最高限价或单价限价，未出现缺项、漏项，对所投标段内所有内容作出完整唯一的投标报价；</w:t>
            </w:r>
          </w:p>
        </w:tc>
      </w:tr>
      <w:tr w14:paraId="2E7B7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46" w:type="pct"/>
            <w:vMerge w:val="continue"/>
            <w:vAlign w:val="center"/>
          </w:tcPr>
          <w:p w14:paraId="5E22204C">
            <w:pPr>
              <w:ind w:firstLine="0" w:firstLineChars="0"/>
              <w:jc w:val="center"/>
              <w:rPr>
                <w:rFonts w:ascii="宋体" w:hAnsi="宋体" w:cs="宋体"/>
                <w:color w:val="auto"/>
                <w:szCs w:val="21"/>
                <w:highlight w:val="none"/>
              </w:rPr>
            </w:pPr>
          </w:p>
        </w:tc>
        <w:tc>
          <w:tcPr>
            <w:tcW w:w="510" w:type="pct"/>
            <w:vMerge w:val="continue"/>
            <w:vAlign w:val="center"/>
          </w:tcPr>
          <w:p w14:paraId="0C1C0EC9">
            <w:pPr>
              <w:ind w:firstLine="0" w:firstLineChars="0"/>
              <w:jc w:val="center"/>
              <w:rPr>
                <w:rFonts w:ascii="宋体" w:hAnsi="宋体" w:cs="宋体"/>
                <w:color w:val="auto"/>
                <w:szCs w:val="21"/>
                <w:highlight w:val="none"/>
              </w:rPr>
            </w:pPr>
          </w:p>
        </w:tc>
        <w:tc>
          <w:tcPr>
            <w:tcW w:w="903" w:type="pct"/>
            <w:vAlign w:val="center"/>
          </w:tcPr>
          <w:p w14:paraId="694A7154">
            <w:pPr>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3339" w:type="pct"/>
            <w:vAlign w:val="center"/>
          </w:tcPr>
          <w:p w14:paraId="1AB155D1">
            <w:pPr>
              <w:ind w:firstLine="0" w:firstLineChars="0"/>
              <w:jc w:val="left"/>
              <w:rPr>
                <w:rFonts w:ascii="宋体" w:hAnsi="宋体" w:cs="宋体"/>
                <w:color w:val="auto"/>
                <w:szCs w:val="21"/>
                <w:highlight w:val="none"/>
              </w:rPr>
            </w:pPr>
            <w:r>
              <w:rPr>
                <w:rFonts w:hint="eastAsia" w:ascii="宋体" w:hAnsi="宋体" w:cs="宋体"/>
                <w:color w:val="auto"/>
                <w:szCs w:val="21"/>
                <w:highlight w:val="none"/>
              </w:rPr>
              <w:t>符合第二章《投标人须知》第17.1项规定；</w:t>
            </w:r>
          </w:p>
        </w:tc>
      </w:tr>
      <w:tr w14:paraId="70F87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246" w:type="pct"/>
            <w:vMerge w:val="continue"/>
            <w:vAlign w:val="center"/>
          </w:tcPr>
          <w:p w14:paraId="671D55AD">
            <w:pPr>
              <w:ind w:firstLine="0" w:firstLineChars="0"/>
              <w:jc w:val="center"/>
              <w:rPr>
                <w:rFonts w:ascii="宋体" w:hAnsi="宋体" w:cs="宋体"/>
                <w:color w:val="auto"/>
                <w:szCs w:val="21"/>
                <w:highlight w:val="none"/>
              </w:rPr>
            </w:pPr>
          </w:p>
        </w:tc>
        <w:tc>
          <w:tcPr>
            <w:tcW w:w="510" w:type="pct"/>
            <w:vMerge w:val="continue"/>
            <w:vAlign w:val="center"/>
          </w:tcPr>
          <w:p w14:paraId="24CCB346">
            <w:pPr>
              <w:ind w:firstLine="0" w:firstLineChars="0"/>
              <w:jc w:val="center"/>
              <w:rPr>
                <w:rFonts w:ascii="宋体" w:hAnsi="宋体" w:cs="宋体"/>
                <w:color w:val="auto"/>
                <w:szCs w:val="21"/>
                <w:highlight w:val="none"/>
              </w:rPr>
            </w:pPr>
          </w:p>
        </w:tc>
        <w:tc>
          <w:tcPr>
            <w:tcW w:w="903" w:type="pct"/>
            <w:vAlign w:val="center"/>
          </w:tcPr>
          <w:p w14:paraId="6A894B41">
            <w:pPr>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投标保证金</w:t>
            </w:r>
          </w:p>
        </w:tc>
        <w:tc>
          <w:tcPr>
            <w:tcW w:w="3339" w:type="pct"/>
            <w:vAlign w:val="center"/>
          </w:tcPr>
          <w:p w14:paraId="566FC2B0">
            <w:pPr>
              <w:ind w:firstLine="0" w:firstLineChars="0"/>
              <w:jc w:val="left"/>
              <w:rPr>
                <w:rFonts w:ascii="宋体" w:hAnsi="宋体" w:cs="宋体"/>
                <w:color w:val="auto"/>
                <w:szCs w:val="21"/>
                <w:highlight w:val="none"/>
              </w:rPr>
            </w:pPr>
            <w:r>
              <w:rPr>
                <w:rFonts w:hint="eastAsia" w:ascii="宋体" w:hAnsi="宋体" w:cs="宋体"/>
                <w:color w:val="auto"/>
                <w:szCs w:val="21"/>
                <w:highlight w:val="none"/>
              </w:rPr>
              <w:t>符合第二章《投标人须知》第18.1项规定；</w:t>
            </w:r>
          </w:p>
        </w:tc>
      </w:tr>
      <w:tr w14:paraId="6DE60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vMerge w:val="continue"/>
            <w:vAlign w:val="center"/>
          </w:tcPr>
          <w:p w14:paraId="233EAF93">
            <w:pPr>
              <w:ind w:firstLine="0" w:firstLineChars="0"/>
              <w:jc w:val="center"/>
              <w:rPr>
                <w:rFonts w:ascii="宋体" w:hAnsi="宋体" w:cs="宋体"/>
                <w:color w:val="auto"/>
                <w:szCs w:val="21"/>
                <w:highlight w:val="none"/>
              </w:rPr>
            </w:pPr>
          </w:p>
        </w:tc>
        <w:tc>
          <w:tcPr>
            <w:tcW w:w="510" w:type="pct"/>
            <w:vMerge w:val="continue"/>
            <w:vAlign w:val="center"/>
          </w:tcPr>
          <w:p w14:paraId="12F5F843">
            <w:pPr>
              <w:ind w:firstLine="0" w:firstLineChars="0"/>
              <w:jc w:val="center"/>
              <w:rPr>
                <w:rFonts w:ascii="宋体" w:hAnsi="宋体" w:cs="宋体"/>
                <w:color w:val="auto"/>
                <w:szCs w:val="21"/>
                <w:highlight w:val="none"/>
              </w:rPr>
            </w:pPr>
          </w:p>
        </w:tc>
        <w:tc>
          <w:tcPr>
            <w:tcW w:w="903" w:type="pct"/>
            <w:vAlign w:val="center"/>
          </w:tcPr>
          <w:p w14:paraId="52CEF4E5">
            <w:pPr>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招标文件中要求盖章、签名或签章的地方</w:t>
            </w:r>
          </w:p>
        </w:tc>
        <w:tc>
          <w:tcPr>
            <w:tcW w:w="3339" w:type="pct"/>
            <w:vAlign w:val="center"/>
          </w:tcPr>
          <w:p w14:paraId="31854A8A">
            <w:pPr>
              <w:ind w:firstLine="0" w:firstLineChars="0"/>
              <w:jc w:val="left"/>
              <w:rPr>
                <w:rFonts w:ascii="宋体" w:hAnsi="宋体" w:cs="宋体"/>
                <w:b/>
                <w:bCs/>
                <w:color w:val="auto"/>
                <w:szCs w:val="21"/>
                <w:highlight w:val="none"/>
              </w:rPr>
            </w:pPr>
            <w:r>
              <w:rPr>
                <w:rFonts w:hint="eastAsia" w:ascii="宋体" w:hAnsi="宋体" w:cs="宋体"/>
                <w:color w:val="auto"/>
                <w:szCs w:val="21"/>
                <w:highlight w:val="none"/>
              </w:rPr>
              <w:t>按招标文件要求盖章、签名或签章；</w:t>
            </w:r>
          </w:p>
        </w:tc>
      </w:tr>
      <w:tr w14:paraId="08E71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vMerge w:val="continue"/>
            <w:vAlign w:val="center"/>
          </w:tcPr>
          <w:p w14:paraId="68432CA3">
            <w:pPr>
              <w:ind w:firstLine="0" w:firstLineChars="0"/>
              <w:jc w:val="center"/>
              <w:rPr>
                <w:rFonts w:ascii="宋体" w:hAnsi="宋体" w:cs="宋体"/>
                <w:color w:val="auto"/>
                <w:szCs w:val="21"/>
                <w:highlight w:val="none"/>
              </w:rPr>
            </w:pPr>
          </w:p>
        </w:tc>
        <w:tc>
          <w:tcPr>
            <w:tcW w:w="510" w:type="pct"/>
            <w:vMerge w:val="continue"/>
            <w:vAlign w:val="center"/>
          </w:tcPr>
          <w:p w14:paraId="0E7EC556">
            <w:pPr>
              <w:ind w:firstLine="0" w:firstLineChars="0"/>
              <w:jc w:val="center"/>
              <w:rPr>
                <w:rFonts w:ascii="宋体" w:hAnsi="宋体" w:cs="宋体"/>
                <w:color w:val="auto"/>
                <w:szCs w:val="21"/>
                <w:highlight w:val="none"/>
              </w:rPr>
            </w:pPr>
          </w:p>
        </w:tc>
        <w:tc>
          <w:tcPr>
            <w:tcW w:w="903" w:type="pct"/>
            <w:vAlign w:val="center"/>
          </w:tcPr>
          <w:p w14:paraId="7A29D62F">
            <w:pPr>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其它实质性要求</w:t>
            </w:r>
          </w:p>
        </w:tc>
        <w:tc>
          <w:tcPr>
            <w:tcW w:w="3339" w:type="pct"/>
            <w:vAlign w:val="center"/>
          </w:tcPr>
          <w:p w14:paraId="7251E517">
            <w:pPr>
              <w:ind w:firstLine="0" w:firstLineChars="0"/>
              <w:rPr>
                <w:rFonts w:ascii="宋体" w:hAnsi="宋体" w:cs="宋体"/>
                <w:color w:val="auto"/>
                <w:szCs w:val="21"/>
                <w:highlight w:val="none"/>
              </w:rPr>
            </w:pPr>
            <w:r>
              <w:rPr>
                <w:rFonts w:hint="eastAsia" w:ascii="宋体" w:hAnsi="宋体" w:cs="宋体"/>
                <w:color w:val="auto"/>
                <w:szCs w:val="21"/>
                <w:highlight w:val="none"/>
              </w:rPr>
              <w:t>1）招标文件中投标文件格式部分标注★号的，投标人必须按招标文件要求填写，否则其投标文件按无效投标处理；</w:t>
            </w:r>
          </w:p>
          <w:p w14:paraId="42615542">
            <w:pPr>
              <w:ind w:firstLine="0" w:firstLineChars="0"/>
              <w:rPr>
                <w:rFonts w:ascii="宋体" w:hAnsi="宋体" w:cs="宋体"/>
                <w:color w:val="auto"/>
                <w:szCs w:val="21"/>
                <w:highlight w:val="none"/>
              </w:rPr>
            </w:pPr>
            <w:r>
              <w:rPr>
                <w:rFonts w:hint="eastAsia" w:ascii="宋体" w:hAnsi="宋体" w:cs="宋体"/>
                <w:color w:val="auto"/>
                <w:szCs w:val="21"/>
                <w:highlight w:val="none"/>
              </w:rPr>
              <w:t>2）法律、法规和招标文件明确规定的其他投标无效情形。</w:t>
            </w:r>
          </w:p>
        </w:tc>
      </w:tr>
      <w:tr w14:paraId="55C4A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vMerge w:val="restart"/>
            <w:vAlign w:val="center"/>
          </w:tcPr>
          <w:p w14:paraId="61C372E1">
            <w:pPr>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2</w:t>
            </w:r>
          </w:p>
        </w:tc>
        <w:tc>
          <w:tcPr>
            <w:tcW w:w="510" w:type="pct"/>
            <w:vMerge w:val="restart"/>
            <w:vAlign w:val="center"/>
          </w:tcPr>
          <w:p w14:paraId="1DE70A7E">
            <w:pPr>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详细评审标准</w:t>
            </w:r>
          </w:p>
        </w:tc>
        <w:tc>
          <w:tcPr>
            <w:tcW w:w="903" w:type="pct"/>
            <w:vAlign w:val="center"/>
          </w:tcPr>
          <w:p w14:paraId="76614CC6">
            <w:pPr>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1）评标总得分计算公式</w:t>
            </w:r>
          </w:p>
        </w:tc>
        <w:tc>
          <w:tcPr>
            <w:tcW w:w="3339" w:type="pct"/>
            <w:vAlign w:val="center"/>
          </w:tcPr>
          <w:p w14:paraId="27D81C22">
            <w:pPr>
              <w:ind w:firstLine="0" w:firstLineChars="0"/>
              <w:rPr>
                <w:rFonts w:ascii="宋体" w:hAnsi="宋体" w:cs="宋体"/>
                <w:color w:val="auto"/>
                <w:szCs w:val="21"/>
                <w:highlight w:val="none"/>
              </w:rPr>
            </w:pPr>
            <w:r>
              <w:rPr>
                <w:rFonts w:hint="eastAsia" w:ascii="宋体" w:hAnsi="宋体" w:cs="宋体"/>
                <w:color w:val="auto"/>
                <w:szCs w:val="21"/>
                <w:highlight w:val="none"/>
              </w:rPr>
              <w:t>投标人的评标总得分＝F1＋F2＋F3</w:t>
            </w:r>
          </w:p>
          <w:p w14:paraId="0D6A6A1F">
            <w:pPr>
              <w:ind w:firstLine="0" w:firstLineChars="0"/>
              <w:rPr>
                <w:rFonts w:ascii="宋体" w:hAnsi="宋体" w:cs="宋体"/>
                <w:color w:val="auto"/>
                <w:szCs w:val="21"/>
                <w:highlight w:val="none"/>
              </w:rPr>
            </w:pPr>
            <w:r>
              <w:rPr>
                <w:rFonts w:hint="eastAsia" w:ascii="宋体" w:hAnsi="宋体" w:cs="宋体"/>
                <w:color w:val="auto"/>
                <w:szCs w:val="21"/>
                <w:highlight w:val="none"/>
              </w:rPr>
              <w:t>其中：</w:t>
            </w:r>
          </w:p>
          <w:p w14:paraId="741A0373">
            <w:pPr>
              <w:ind w:firstLine="0" w:firstLineChars="0"/>
              <w:rPr>
                <w:rFonts w:ascii="宋体" w:hAnsi="宋体" w:cs="宋体"/>
                <w:color w:val="auto"/>
                <w:szCs w:val="21"/>
                <w:highlight w:val="none"/>
              </w:rPr>
            </w:pPr>
            <w:r>
              <w:rPr>
                <w:rFonts w:hint="eastAsia" w:ascii="宋体" w:hAnsi="宋体" w:cs="宋体"/>
                <w:color w:val="auto"/>
                <w:szCs w:val="21"/>
                <w:highlight w:val="none"/>
              </w:rPr>
              <w:t>F1、F2、F3分别为投标报价、技术部分、商务部分3项评分因素的汇总得分；</w:t>
            </w:r>
          </w:p>
        </w:tc>
      </w:tr>
      <w:tr w14:paraId="23A58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246" w:type="pct"/>
            <w:vMerge w:val="continue"/>
            <w:vAlign w:val="center"/>
          </w:tcPr>
          <w:p w14:paraId="14408177">
            <w:pPr>
              <w:ind w:firstLine="0" w:firstLineChars="0"/>
              <w:rPr>
                <w:rFonts w:ascii="宋体" w:hAnsi="宋体" w:cs="宋体"/>
                <w:color w:val="auto"/>
                <w:szCs w:val="21"/>
                <w:highlight w:val="none"/>
              </w:rPr>
            </w:pPr>
          </w:p>
        </w:tc>
        <w:tc>
          <w:tcPr>
            <w:tcW w:w="510" w:type="pct"/>
            <w:vMerge w:val="continue"/>
            <w:vAlign w:val="center"/>
          </w:tcPr>
          <w:p w14:paraId="624C8F49">
            <w:pPr>
              <w:ind w:firstLine="0" w:firstLineChars="0"/>
              <w:rPr>
                <w:rFonts w:ascii="宋体" w:hAnsi="宋体" w:cs="宋体"/>
                <w:color w:val="auto"/>
                <w:szCs w:val="21"/>
                <w:highlight w:val="none"/>
              </w:rPr>
            </w:pPr>
          </w:p>
        </w:tc>
        <w:tc>
          <w:tcPr>
            <w:tcW w:w="903" w:type="pct"/>
            <w:vAlign w:val="center"/>
          </w:tcPr>
          <w:p w14:paraId="3BDEDA71">
            <w:pPr>
              <w:ind w:firstLine="0" w:firstLineChars="0"/>
              <w:rPr>
                <w:rFonts w:ascii="宋体" w:hAnsi="宋体" w:cs="宋体"/>
                <w:color w:val="auto"/>
                <w:szCs w:val="21"/>
                <w:highlight w:val="none"/>
              </w:rPr>
            </w:pPr>
            <w:r>
              <w:rPr>
                <w:rFonts w:hint="eastAsia" w:ascii="宋体" w:hAnsi="宋体" w:cs="宋体"/>
                <w:color w:val="auto"/>
                <w:szCs w:val="21"/>
                <w:highlight w:val="none"/>
              </w:rPr>
              <w:t>2）评分因素权重</w:t>
            </w:r>
          </w:p>
        </w:tc>
        <w:tc>
          <w:tcPr>
            <w:tcW w:w="3339" w:type="pct"/>
            <w:vAlign w:val="center"/>
          </w:tcPr>
          <w:p w14:paraId="6C71D36D">
            <w:pPr>
              <w:ind w:firstLine="0" w:firstLineChars="0"/>
              <w:rPr>
                <w:rFonts w:ascii="宋体" w:hAnsi="宋体" w:cs="宋体"/>
                <w:color w:val="auto"/>
                <w:szCs w:val="21"/>
                <w:highlight w:val="none"/>
              </w:rPr>
            </w:pPr>
            <w:r>
              <w:rPr>
                <w:rFonts w:hint="eastAsia" w:ascii="宋体" w:hAnsi="宋体" w:cs="宋体"/>
                <w:color w:val="auto"/>
                <w:szCs w:val="21"/>
                <w:highlight w:val="none"/>
              </w:rPr>
              <w:t>投标报价F1:</w:t>
            </w:r>
            <w:r>
              <w:rPr>
                <w:rFonts w:hint="eastAsia" w:ascii="宋体" w:hAnsi="宋体" w:cs="宋体"/>
                <w:color w:val="auto"/>
                <w:szCs w:val="21"/>
                <w:highlight w:val="none"/>
                <w:u w:val="single"/>
              </w:rPr>
              <w:t>30</w:t>
            </w:r>
            <w:r>
              <w:rPr>
                <w:rFonts w:hint="eastAsia" w:ascii="宋体" w:hAnsi="宋体" w:cs="宋体"/>
                <w:color w:val="auto"/>
                <w:szCs w:val="21"/>
                <w:highlight w:val="none"/>
              </w:rPr>
              <w:t>分。</w:t>
            </w:r>
          </w:p>
          <w:p w14:paraId="1652F022">
            <w:pPr>
              <w:ind w:firstLine="0" w:firstLineChars="0"/>
              <w:rPr>
                <w:rFonts w:ascii="宋体" w:hAnsi="宋体" w:cs="宋体"/>
                <w:color w:val="auto"/>
                <w:szCs w:val="21"/>
                <w:highlight w:val="none"/>
              </w:rPr>
            </w:pPr>
            <w:r>
              <w:rPr>
                <w:rFonts w:hint="eastAsia" w:ascii="宋体" w:hAnsi="宋体" w:cs="宋体"/>
                <w:color w:val="auto"/>
                <w:szCs w:val="21"/>
                <w:highlight w:val="none"/>
              </w:rPr>
              <w:t>技术部分F2:</w:t>
            </w:r>
            <w:r>
              <w:rPr>
                <w:rFonts w:hint="eastAsia" w:ascii="宋体" w:hAnsi="宋体" w:cs="宋体"/>
                <w:color w:val="auto"/>
                <w:szCs w:val="21"/>
                <w:highlight w:val="none"/>
                <w:u w:val="single"/>
              </w:rPr>
              <w:t>5</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分。</w:t>
            </w:r>
          </w:p>
          <w:p w14:paraId="5499CCBB">
            <w:pPr>
              <w:ind w:firstLine="0" w:firstLineChars="0"/>
              <w:rPr>
                <w:rFonts w:ascii="宋体" w:hAnsi="宋体" w:cs="宋体"/>
                <w:color w:val="auto"/>
                <w:szCs w:val="21"/>
                <w:highlight w:val="none"/>
              </w:rPr>
            </w:pPr>
            <w:r>
              <w:rPr>
                <w:rFonts w:hint="eastAsia" w:ascii="宋体" w:hAnsi="宋体" w:cs="宋体"/>
                <w:color w:val="auto"/>
                <w:szCs w:val="21"/>
                <w:highlight w:val="none"/>
              </w:rPr>
              <w:t>商务部分F3:</w:t>
            </w:r>
            <w:r>
              <w:rPr>
                <w:rFonts w:hint="eastAsia" w:ascii="宋体" w:hAnsi="宋体" w:cs="宋体"/>
                <w:color w:val="auto"/>
                <w:szCs w:val="21"/>
                <w:highlight w:val="none"/>
                <w:u w:val="single"/>
              </w:rPr>
              <w:t>1</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rPr>
              <w:t>分。</w:t>
            </w:r>
          </w:p>
        </w:tc>
      </w:tr>
      <w:tr w14:paraId="5BF1E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vMerge w:val="continue"/>
            <w:vAlign w:val="center"/>
          </w:tcPr>
          <w:p w14:paraId="7758EB2F">
            <w:pPr>
              <w:ind w:firstLine="0" w:firstLineChars="0"/>
              <w:rPr>
                <w:rFonts w:ascii="宋体" w:hAnsi="宋体" w:cs="宋体"/>
                <w:color w:val="auto"/>
                <w:szCs w:val="21"/>
                <w:highlight w:val="none"/>
              </w:rPr>
            </w:pPr>
          </w:p>
        </w:tc>
        <w:tc>
          <w:tcPr>
            <w:tcW w:w="510" w:type="pct"/>
            <w:vMerge w:val="continue"/>
            <w:vAlign w:val="center"/>
          </w:tcPr>
          <w:p w14:paraId="6EB78838">
            <w:pPr>
              <w:ind w:firstLine="0" w:firstLineChars="0"/>
              <w:rPr>
                <w:rFonts w:ascii="宋体" w:hAnsi="宋体" w:cs="宋体"/>
                <w:color w:val="auto"/>
                <w:szCs w:val="21"/>
                <w:highlight w:val="none"/>
              </w:rPr>
            </w:pPr>
          </w:p>
        </w:tc>
        <w:tc>
          <w:tcPr>
            <w:tcW w:w="903" w:type="pct"/>
            <w:vAlign w:val="center"/>
          </w:tcPr>
          <w:p w14:paraId="760DC8D3">
            <w:pPr>
              <w:ind w:firstLine="0" w:firstLineChars="0"/>
              <w:rPr>
                <w:rFonts w:ascii="宋体" w:hAnsi="宋体" w:cs="宋体"/>
                <w:color w:val="auto"/>
                <w:szCs w:val="21"/>
                <w:highlight w:val="none"/>
              </w:rPr>
            </w:pPr>
            <w:r>
              <w:rPr>
                <w:rFonts w:hint="eastAsia" w:ascii="宋体" w:hAnsi="宋体" w:cs="宋体"/>
                <w:color w:val="auto"/>
                <w:szCs w:val="21"/>
                <w:highlight w:val="none"/>
              </w:rPr>
              <w:t>3）投标报价得分F1（满分</w:t>
            </w:r>
            <w:r>
              <w:rPr>
                <w:rFonts w:hint="eastAsia" w:ascii="宋体" w:hAnsi="宋体" w:cs="宋体"/>
                <w:color w:val="auto"/>
                <w:szCs w:val="21"/>
                <w:highlight w:val="none"/>
                <w:u w:val="single"/>
              </w:rPr>
              <w:t>30</w:t>
            </w:r>
            <w:r>
              <w:rPr>
                <w:rFonts w:hint="eastAsia" w:ascii="宋体" w:hAnsi="宋体" w:cs="宋体"/>
                <w:color w:val="auto"/>
                <w:szCs w:val="21"/>
                <w:highlight w:val="none"/>
              </w:rPr>
              <w:t>分）</w:t>
            </w:r>
          </w:p>
        </w:tc>
        <w:tc>
          <w:tcPr>
            <w:tcW w:w="3339" w:type="pct"/>
            <w:vAlign w:val="center"/>
          </w:tcPr>
          <w:p w14:paraId="24873AAB">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投标报价计算公式= 评标基准价/投标报价×</w:t>
            </w:r>
            <w:r>
              <w:rPr>
                <w:rFonts w:hint="eastAsia" w:ascii="宋体" w:hAnsi="宋体" w:cs="宋体"/>
                <w:color w:val="auto"/>
                <w:szCs w:val="21"/>
                <w:highlight w:val="none"/>
                <w:u w:val="single"/>
              </w:rPr>
              <w:t>30</w:t>
            </w:r>
          </w:p>
          <w:p w14:paraId="2B767656">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即：F1=[C/（B1，B2，…，Bn）]×</w:t>
            </w:r>
            <w:r>
              <w:rPr>
                <w:rFonts w:hint="eastAsia" w:ascii="宋体" w:hAnsi="宋体" w:cs="宋体"/>
                <w:color w:val="auto"/>
                <w:szCs w:val="21"/>
                <w:highlight w:val="none"/>
                <w:u w:val="single"/>
              </w:rPr>
              <w:t>30</w:t>
            </w:r>
          </w:p>
          <w:p w14:paraId="27890ED0">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说明：C为评标基准价，即实质性要求审查合格且投标价格最低的有效投标报价；B1，B2，…，Bn为第n个经初步审查合格的有效投标报价。</w:t>
            </w:r>
          </w:p>
          <w:p w14:paraId="059CE972">
            <w:pPr>
              <w:spacing w:line="440" w:lineRule="exact"/>
              <w:ind w:firstLine="84" w:firstLineChars="40"/>
              <w:rPr>
                <w:rFonts w:ascii="宋体" w:hAnsi="宋体" w:cs="宋体"/>
                <w:color w:val="auto"/>
                <w:szCs w:val="21"/>
                <w:highlight w:val="none"/>
              </w:rPr>
            </w:pPr>
            <w:r>
              <w:rPr>
                <w:rFonts w:hint="eastAsia" w:ascii="宋体" w:hAnsi="宋体" w:cs="宋体"/>
                <w:color w:val="auto"/>
                <w:szCs w:val="21"/>
                <w:highlight w:val="none"/>
              </w:rPr>
              <w:t>注：</w:t>
            </w:r>
          </w:p>
          <w:p w14:paraId="1218CEA1">
            <w:pPr>
              <w:spacing w:line="440" w:lineRule="exact"/>
              <w:ind w:firstLine="84" w:firstLineChars="40"/>
              <w:rPr>
                <w:rFonts w:ascii="宋体" w:hAnsi="宋体" w:cs="宋体"/>
                <w:color w:val="auto"/>
                <w:szCs w:val="21"/>
                <w:highlight w:val="none"/>
              </w:rPr>
            </w:pPr>
            <w:r>
              <w:rPr>
                <w:rFonts w:hint="eastAsia" w:ascii="宋体" w:hAnsi="宋体" w:cs="宋体"/>
                <w:color w:val="auto"/>
                <w:szCs w:val="21"/>
                <w:highlight w:val="none"/>
              </w:rPr>
              <w:t>1）因落实政府采购政策进行价格调整的，以调整后的价格计算基准价；</w:t>
            </w:r>
          </w:p>
          <w:p w14:paraId="4B1BAB61">
            <w:pPr>
              <w:spacing w:line="440" w:lineRule="exact"/>
              <w:ind w:firstLine="84" w:firstLineChars="40"/>
              <w:rPr>
                <w:rFonts w:ascii="宋体" w:hAnsi="宋体" w:cs="宋体"/>
                <w:bCs/>
                <w:color w:val="auto"/>
                <w:szCs w:val="21"/>
                <w:highlight w:val="none"/>
              </w:rPr>
            </w:pPr>
            <w:r>
              <w:rPr>
                <w:rFonts w:hint="eastAsia" w:ascii="宋体" w:hAnsi="宋体" w:cs="宋体"/>
                <w:color w:val="auto"/>
                <w:szCs w:val="21"/>
                <w:highlight w:val="none"/>
              </w:rPr>
              <w:t>2）对于非专门面向中小企业的项目，若本次采购范围内所有标的物均由小微型企业（残疾人福利性单位、监狱企业）提供，</w:t>
            </w:r>
            <w:r>
              <w:rPr>
                <w:rFonts w:hint="eastAsia" w:ascii="宋体" w:hAnsi="宋体" w:cs="宋体"/>
                <w:bCs/>
                <w:color w:val="auto"/>
                <w:szCs w:val="21"/>
                <w:highlight w:val="none"/>
              </w:rPr>
              <w:t>在计算投标报价得分时，则对提供的所有标</w:t>
            </w:r>
            <w:r>
              <w:rPr>
                <w:rFonts w:hint="eastAsia" w:ascii="宋体" w:hAnsi="宋体" w:cs="宋体"/>
                <w:color w:val="auto"/>
                <w:szCs w:val="21"/>
                <w:highlight w:val="none"/>
              </w:rPr>
              <w:t>的物均为小微型企业</w:t>
            </w:r>
            <w:r>
              <w:rPr>
                <w:rFonts w:hint="eastAsia" w:ascii="宋体" w:hAnsi="宋体" w:cs="宋体"/>
                <w:bCs/>
                <w:color w:val="auto"/>
                <w:szCs w:val="21"/>
                <w:highlight w:val="none"/>
              </w:rPr>
              <w:t>的投标报价给予</w:t>
            </w:r>
            <w:r>
              <w:rPr>
                <w:rFonts w:hint="eastAsia" w:ascii="宋体" w:hAnsi="宋体" w:cs="宋体"/>
                <w:b/>
                <w:color w:val="auto"/>
                <w:szCs w:val="21"/>
                <w:highlight w:val="none"/>
                <w:u w:val="single"/>
              </w:rPr>
              <w:t xml:space="preserve"> 10 %</w:t>
            </w:r>
            <w:r>
              <w:rPr>
                <w:rFonts w:hint="eastAsia" w:ascii="宋体" w:hAnsi="宋体" w:cs="宋体"/>
                <w:bCs/>
                <w:color w:val="auto"/>
                <w:szCs w:val="21"/>
                <w:highlight w:val="none"/>
              </w:rPr>
              <w:t>的扣除，接受大中型企业与小微企业组成联合体或者允许大中型企业向一家或者多家小微企业分包的采购项目，对于联合协议或者分包意向协议约定小微企业的合同份额占到合同总金额30%以上的，给予</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u w:val="single"/>
                <w:lang w:val="en-US" w:eastAsia="zh-CN"/>
              </w:rPr>
              <w:t>4</w:t>
            </w:r>
            <w:r>
              <w:rPr>
                <w:rFonts w:hint="eastAsia" w:ascii="宋体" w:hAnsi="宋体" w:cs="宋体"/>
                <w:b/>
                <w:color w:val="auto"/>
                <w:szCs w:val="21"/>
                <w:highlight w:val="none"/>
                <w:u w:val="single"/>
              </w:rPr>
              <w:t xml:space="preserve"> %</w:t>
            </w:r>
            <w:r>
              <w:rPr>
                <w:rFonts w:hint="eastAsia" w:ascii="宋体" w:hAnsi="宋体" w:cs="宋体"/>
                <w:bCs/>
                <w:color w:val="auto"/>
                <w:szCs w:val="21"/>
                <w:highlight w:val="none"/>
              </w:rPr>
              <w:t>的扣除</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用扣除后的报价参与评审；</w:t>
            </w:r>
            <w:r>
              <w:rPr>
                <w:rFonts w:hint="eastAsia" w:ascii="宋体" w:hAnsi="宋体" w:cs="宋体"/>
                <w:color w:val="auto"/>
                <w:szCs w:val="21"/>
                <w:highlight w:val="none"/>
              </w:rPr>
              <w:t>投标人应按第四章投标文件格式规定填写《中小企业声明函》，否则不考虑价格扣除；</w:t>
            </w:r>
          </w:p>
          <w:p w14:paraId="29BD6527">
            <w:pPr>
              <w:spacing w:line="440" w:lineRule="exact"/>
              <w:ind w:firstLine="84" w:firstLineChars="40"/>
              <w:rPr>
                <w:rFonts w:ascii="宋体" w:hAnsi="宋体" w:cs="宋体"/>
                <w:bCs/>
                <w:color w:val="auto"/>
                <w:szCs w:val="21"/>
                <w:highlight w:val="none"/>
              </w:rPr>
            </w:pPr>
            <w:r>
              <w:rPr>
                <w:rFonts w:hint="eastAsia" w:ascii="宋体" w:hAnsi="宋体" w:cs="宋体"/>
                <w:bCs/>
                <w:color w:val="auto"/>
                <w:szCs w:val="21"/>
                <w:highlight w:val="none"/>
              </w:rPr>
              <w:t>3）残疾人福利性单位（或监狱企业）视同小型、微型企业，享受同等价格扣除；针对小微企业价格扣除政策，投标人仅能获得一种政策的价格扣除，不重复享受。</w:t>
            </w:r>
          </w:p>
          <w:p w14:paraId="1832A64F">
            <w:pPr>
              <w:spacing w:line="440" w:lineRule="exact"/>
              <w:ind w:firstLine="84" w:firstLineChars="40"/>
              <w:rPr>
                <w:rFonts w:ascii="Times New Roman" w:hAnsi="Times New Roman" w:cs="Times New Roman"/>
                <w:color w:val="auto"/>
                <w:highlight w:val="none"/>
              </w:rPr>
            </w:pPr>
            <w:r>
              <w:rPr>
                <w:rFonts w:hint="eastAsia" w:ascii="Times New Roman" w:hAnsi="Times New Roman" w:cs="Times New Roman"/>
                <w:color w:val="auto"/>
                <w:highlight w:val="none"/>
              </w:rPr>
              <w:t>4）根据《国务院办公厅关于在政府采购中实施本国产品标准及相关政策的通知》（国办发〔2025〕34号），若本项目属于该文件规定的</w:t>
            </w:r>
            <w:r>
              <w:rPr>
                <w:rFonts w:hint="eastAsia" w:ascii="宋体" w:hAnsi="宋体" w:cs="宋体"/>
                <w:color w:val="auto"/>
                <w:highlight w:val="none"/>
              </w:rPr>
              <w:t>本国产品标准及相关政策适用范围，</w:t>
            </w:r>
            <w:r>
              <w:rPr>
                <w:rFonts w:hint="eastAsia" w:ascii="Times New Roman" w:hAnsi="Times New Roman" w:cs="Times New Roman"/>
                <w:color w:val="auto"/>
                <w:highlight w:val="none"/>
              </w:rPr>
              <w:t>投标人为本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对于仅有本国产品参与竞争的政府采购项目，本国产品不享受价格扣除评审优惠。投标人应按第四章投标文件格式规定提供并填写《关于符合本国产品标准的声明函》，否则不享受价格扣除评审优惠。</w:t>
            </w:r>
          </w:p>
          <w:p w14:paraId="4ACE5B98">
            <w:pPr>
              <w:spacing w:line="440" w:lineRule="exact"/>
              <w:ind w:firstLine="84" w:firstLineChars="40"/>
              <w:rPr>
                <w:rFonts w:ascii="宋体" w:hAnsi="宋体" w:cs="宋体"/>
                <w:b/>
                <w:color w:val="auto"/>
                <w:szCs w:val="21"/>
                <w:highlight w:val="none"/>
              </w:rPr>
            </w:pPr>
            <w:r>
              <w:rPr>
                <w:rFonts w:hint="eastAsia" w:ascii="Times New Roman" w:hAnsi="Times New Roman" w:cs="Times New Roman"/>
                <w:color w:val="auto"/>
                <w:highlight w:val="none"/>
              </w:rPr>
              <w:t>5）提供本国产品的投标人同时为小微企业，且同时符合本国产品、小微企业价格扣除政策的，对该投标人的产品同时给予支持本国产品和小微企业产品的价格评审优惠。相关价格评审扣除优惠，均在投标人原始报价基础上计算，用扣除后的价格参与评审。</w:t>
            </w:r>
          </w:p>
        </w:tc>
      </w:tr>
      <w:tr w14:paraId="2871C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246" w:type="pct"/>
            <w:vMerge w:val="continue"/>
            <w:vAlign w:val="center"/>
          </w:tcPr>
          <w:p w14:paraId="0AA70806">
            <w:pPr>
              <w:ind w:firstLine="0" w:firstLineChars="0"/>
              <w:rPr>
                <w:rFonts w:ascii="宋体" w:hAnsi="宋体" w:cs="宋体"/>
                <w:color w:val="auto"/>
                <w:szCs w:val="21"/>
                <w:highlight w:val="none"/>
              </w:rPr>
            </w:pPr>
          </w:p>
        </w:tc>
        <w:tc>
          <w:tcPr>
            <w:tcW w:w="510" w:type="pct"/>
            <w:vMerge w:val="continue"/>
            <w:vAlign w:val="center"/>
          </w:tcPr>
          <w:p w14:paraId="5C81CCC7">
            <w:pPr>
              <w:ind w:firstLine="0" w:firstLineChars="0"/>
              <w:rPr>
                <w:rFonts w:ascii="宋体" w:hAnsi="宋体" w:cs="宋体"/>
                <w:color w:val="auto"/>
                <w:szCs w:val="21"/>
                <w:highlight w:val="none"/>
              </w:rPr>
            </w:pPr>
          </w:p>
        </w:tc>
        <w:tc>
          <w:tcPr>
            <w:tcW w:w="903" w:type="pct"/>
            <w:vMerge w:val="restart"/>
            <w:vAlign w:val="center"/>
          </w:tcPr>
          <w:p w14:paraId="56D866BE">
            <w:pPr>
              <w:ind w:firstLine="0" w:firstLineChars="0"/>
              <w:rPr>
                <w:rFonts w:ascii="宋体" w:hAnsi="宋体" w:cs="宋体"/>
                <w:color w:val="auto"/>
                <w:szCs w:val="21"/>
                <w:highlight w:val="none"/>
              </w:rPr>
            </w:pPr>
            <w:r>
              <w:rPr>
                <w:rFonts w:hint="eastAsia" w:ascii="宋体" w:hAnsi="宋体" w:cs="宋体"/>
                <w:color w:val="auto"/>
                <w:szCs w:val="21"/>
                <w:highlight w:val="none"/>
              </w:rPr>
              <w:t>4）技术部分得分F2（满分</w:t>
            </w:r>
            <w:r>
              <w:rPr>
                <w:rFonts w:hint="eastAsia" w:ascii="宋体" w:hAnsi="宋体" w:cs="宋体"/>
                <w:color w:val="auto"/>
                <w:szCs w:val="21"/>
                <w:highlight w:val="none"/>
                <w:u w:val="single"/>
              </w:rPr>
              <w:t>5</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分）</w:t>
            </w:r>
          </w:p>
        </w:tc>
        <w:tc>
          <w:tcPr>
            <w:tcW w:w="3339" w:type="pct"/>
            <w:shd w:val="clear" w:color="auto" w:fill="auto"/>
          </w:tcPr>
          <w:p w14:paraId="288E5728">
            <w:pPr>
              <w:widowControl/>
              <w:adjustRightInd w:val="0"/>
              <w:snapToGrid w:val="0"/>
              <w:spacing w:line="400" w:lineRule="exact"/>
              <w:ind w:firstLine="0" w:firstLineChars="0"/>
              <w:rPr>
                <w:rFonts w:ascii="宋体" w:hAnsi="宋体" w:cs="宋体"/>
                <w:b/>
                <w:color w:val="auto"/>
                <w:szCs w:val="21"/>
                <w:highlight w:val="none"/>
              </w:rPr>
            </w:pPr>
            <w:r>
              <w:rPr>
                <w:rFonts w:hint="eastAsia" w:ascii="宋体" w:hAnsi="宋体" w:cs="宋体"/>
                <w:b/>
                <w:color w:val="auto"/>
                <w:szCs w:val="21"/>
                <w:highlight w:val="none"/>
              </w:rPr>
              <w:t>（1）技术条款响应评审（</w:t>
            </w:r>
            <w:r>
              <w:rPr>
                <w:rFonts w:hint="eastAsia" w:ascii="宋体" w:hAnsi="宋体" w:cs="宋体"/>
                <w:b/>
                <w:color w:val="auto"/>
                <w:szCs w:val="21"/>
                <w:highlight w:val="none"/>
                <w:lang w:val="en-US" w:eastAsia="zh-CN"/>
              </w:rPr>
              <w:t>35</w:t>
            </w:r>
            <w:r>
              <w:rPr>
                <w:rFonts w:hint="eastAsia" w:ascii="宋体" w:hAnsi="宋体" w:cs="宋体"/>
                <w:b/>
                <w:color w:val="auto"/>
                <w:szCs w:val="21"/>
                <w:highlight w:val="none"/>
              </w:rPr>
              <w:t>分）</w:t>
            </w:r>
          </w:p>
          <w:p w14:paraId="36ACBDD2">
            <w:pPr>
              <w:widowControl/>
              <w:adjustRightInd w:val="0"/>
              <w:snapToGrid w:val="0"/>
              <w:spacing w:line="400" w:lineRule="exact"/>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①重要技术指标响应评审（满分20分）</w:t>
            </w:r>
          </w:p>
          <w:p w14:paraId="1F37DF96">
            <w:pPr>
              <w:widowControl/>
              <w:adjustRightInd w:val="0"/>
              <w:snapToGrid w:val="0"/>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招标文件第五章 采购需求“二、采购需求一览表”中标注“▲”号的为重要技术指标（共计20项）。投标人未对重要技术指标内容作出响应或响应为负偏离</w:t>
            </w:r>
            <w:r>
              <w:rPr>
                <w:rFonts w:hint="eastAsia" w:ascii="宋体" w:hAnsi="宋体" w:cs="宋体"/>
                <w:bCs/>
                <w:color w:val="auto"/>
                <w:szCs w:val="21"/>
                <w:highlight w:val="none"/>
              </w:rPr>
              <w:t>的，每条扣1分</w:t>
            </w:r>
            <w:r>
              <w:rPr>
                <w:rFonts w:hint="eastAsia" w:ascii="宋体" w:hAnsi="宋体" w:cs="宋体"/>
                <w:color w:val="auto"/>
                <w:szCs w:val="21"/>
                <w:highlight w:val="none"/>
              </w:rPr>
              <w:t>。</w:t>
            </w:r>
          </w:p>
          <w:p w14:paraId="6201735F">
            <w:pPr>
              <w:widowControl/>
              <w:adjustRightInd w:val="0"/>
              <w:snapToGrid w:val="0"/>
              <w:spacing w:line="400" w:lineRule="exact"/>
              <w:ind w:firstLine="420"/>
              <w:rPr>
                <w:rFonts w:ascii="宋体" w:hAnsi="宋体" w:cs="宋体"/>
                <w:b/>
                <w:color w:val="auto"/>
                <w:szCs w:val="21"/>
                <w:highlight w:val="none"/>
              </w:rPr>
            </w:pPr>
            <w:r>
              <w:rPr>
                <w:rFonts w:hint="eastAsia" w:ascii="宋体" w:hAnsi="宋体" w:cs="宋体"/>
                <w:color w:val="auto"/>
                <w:szCs w:val="21"/>
                <w:highlight w:val="none"/>
              </w:rPr>
              <w:t>注：标注“▲”号的重要指标内容，投标人除如实填写《技术条款偏离表》外，还需按第五章 采购需求“二、采购需求一览表”中的要求提供技术支持资料，第五章 采购需求“二、采购需求一览表”未明确的可提供所投产品主要技术指标、参数及性能的公开印刷的详细说明书(非自行拟定)、软件截图或制造商公开发布的印刷资料(彩页或产品宣传册)或检测(检验)报告或官方网站发布的技术资料截图。不接受投标人自行印刷、打印或者手写的技术支持资料，若投标文件中技术支持资料参数与技术条款偏离表应答不符或无支持资料应答的，评标委员会在评审时可以视为不响应该条技术条款的规定。</w:t>
            </w:r>
          </w:p>
          <w:p w14:paraId="13B1F999">
            <w:pPr>
              <w:widowControl/>
              <w:adjustRightInd w:val="0"/>
              <w:snapToGrid w:val="0"/>
              <w:spacing w:line="400" w:lineRule="exact"/>
              <w:ind w:firstLine="0" w:firstLineChars="0"/>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rPr>
              <w:t>②一般技术指标响应评审（</w:t>
            </w:r>
            <w:r>
              <w:rPr>
                <w:rFonts w:hint="eastAsia" w:ascii="宋体" w:hAnsi="宋体" w:cs="宋体"/>
                <w:b/>
                <w:bCs/>
                <w:color w:val="auto"/>
                <w:szCs w:val="21"/>
                <w:highlight w:val="none"/>
              </w:rPr>
              <w:t>满分</w:t>
            </w:r>
            <w:r>
              <w:rPr>
                <w:rFonts w:hint="eastAsia" w:ascii="宋体" w:hAnsi="宋体" w:cs="宋体"/>
                <w:b/>
                <w:color w:val="auto"/>
                <w:szCs w:val="21"/>
                <w:highlight w:val="none"/>
                <w:lang w:val="en-US" w:eastAsia="zh-CN"/>
              </w:rPr>
              <w:t>15</w:t>
            </w:r>
            <w:r>
              <w:rPr>
                <w:rFonts w:hint="eastAsia" w:ascii="宋体" w:hAnsi="宋体" w:cs="宋体"/>
                <w:b/>
                <w:bCs/>
                <w:color w:val="auto"/>
                <w:szCs w:val="21"/>
                <w:highlight w:val="none"/>
              </w:rPr>
              <w:t>分</w:t>
            </w:r>
            <w:r>
              <w:rPr>
                <w:rFonts w:hint="eastAsia" w:ascii="宋体" w:hAnsi="宋体" w:cs="宋体"/>
                <w:b/>
                <w:color w:val="auto"/>
                <w:szCs w:val="21"/>
                <w:highlight w:val="none"/>
              </w:rPr>
              <w:t>）</w:t>
            </w:r>
          </w:p>
          <w:p w14:paraId="53A7A231">
            <w:pPr>
              <w:widowControl/>
              <w:adjustRightInd w:val="0"/>
              <w:snapToGrid w:val="0"/>
              <w:spacing w:line="400" w:lineRule="exact"/>
              <w:ind w:firstLine="420"/>
              <w:rPr>
                <w:rFonts w:ascii="宋体" w:hAnsi="宋体" w:cs="宋体"/>
                <w:bCs/>
                <w:color w:val="auto"/>
                <w:szCs w:val="21"/>
                <w:highlight w:val="none"/>
              </w:rPr>
            </w:pPr>
            <w:r>
              <w:rPr>
                <w:rFonts w:hint="eastAsia" w:ascii="宋体" w:hAnsi="宋体" w:cs="宋体"/>
                <w:color w:val="auto"/>
                <w:szCs w:val="21"/>
                <w:highlight w:val="none"/>
              </w:rPr>
              <w:t>招标文件第五章 采购需求“二、采购需求一览表”中未标注“▲”号的为一般技术指标（共计</w:t>
            </w:r>
            <w:r>
              <w:rPr>
                <w:rFonts w:hint="eastAsia" w:ascii="宋体" w:hAnsi="宋体" w:cs="宋体"/>
                <w:color w:val="auto"/>
                <w:szCs w:val="21"/>
                <w:highlight w:val="none"/>
                <w:lang w:val="en-US" w:eastAsia="zh-CN"/>
              </w:rPr>
              <w:t>150</w:t>
            </w:r>
            <w:r>
              <w:rPr>
                <w:rFonts w:hint="eastAsia" w:ascii="宋体" w:hAnsi="宋体" w:cs="宋体"/>
                <w:color w:val="auto"/>
                <w:szCs w:val="21"/>
                <w:highlight w:val="none"/>
              </w:rPr>
              <w:t>项）。投标人未对技术指标内容作出响应或响应为负偏离的，</w:t>
            </w:r>
            <w:r>
              <w:rPr>
                <w:rFonts w:hint="eastAsia" w:ascii="宋体" w:hAnsi="宋体" w:cs="宋体"/>
                <w:bCs/>
                <w:color w:val="auto"/>
                <w:szCs w:val="21"/>
                <w:highlight w:val="none"/>
              </w:rPr>
              <w:t>每条扣0.</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分。</w:t>
            </w:r>
          </w:p>
          <w:p w14:paraId="503BCF9E">
            <w:pPr>
              <w:wordWrap w:val="0"/>
              <w:overflowPunct w:val="0"/>
              <w:adjustRightInd w:val="0"/>
              <w:snapToGrid w:val="0"/>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注：未标注“▲”号的一般技术指标内容，投标人除如实填写《技术条款偏离表》外，还需按第五章 采购需求“二、采购需求一览表”中的要求提供技术支持资料，第五章 采购需求“二、采购需求一览表”中未要求的以偏离表为准。</w:t>
            </w:r>
          </w:p>
        </w:tc>
      </w:tr>
      <w:tr w14:paraId="6B6BB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246" w:type="pct"/>
            <w:vMerge w:val="continue"/>
            <w:vAlign w:val="center"/>
          </w:tcPr>
          <w:p w14:paraId="3E561F7C">
            <w:pPr>
              <w:ind w:firstLine="0" w:firstLineChars="0"/>
              <w:rPr>
                <w:rFonts w:ascii="宋体" w:hAnsi="宋体" w:cs="宋体"/>
                <w:color w:val="auto"/>
                <w:szCs w:val="21"/>
                <w:highlight w:val="none"/>
              </w:rPr>
            </w:pPr>
          </w:p>
        </w:tc>
        <w:tc>
          <w:tcPr>
            <w:tcW w:w="510" w:type="pct"/>
            <w:vMerge w:val="continue"/>
            <w:vAlign w:val="center"/>
          </w:tcPr>
          <w:p w14:paraId="57D6854E">
            <w:pPr>
              <w:ind w:firstLine="0" w:firstLineChars="0"/>
              <w:rPr>
                <w:rFonts w:ascii="宋体" w:hAnsi="宋体" w:cs="宋体"/>
                <w:color w:val="auto"/>
                <w:szCs w:val="21"/>
                <w:highlight w:val="none"/>
              </w:rPr>
            </w:pPr>
          </w:p>
        </w:tc>
        <w:tc>
          <w:tcPr>
            <w:tcW w:w="903" w:type="pct"/>
            <w:vMerge w:val="continue"/>
            <w:vAlign w:val="center"/>
          </w:tcPr>
          <w:p w14:paraId="6A7852DA">
            <w:pPr>
              <w:ind w:firstLine="0" w:firstLineChars="0"/>
              <w:rPr>
                <w:rFonts w:ascii="宋体" w:hAnsi="宋体" w:cs="宋体"/>
                <w:color w:val="auto"/>
                <w:szCs w:val="21"/>
                <w:highlight w:val="none"/>
              </w:rPr>
            </w:pPr>
          </w:p>
        </w:tc>
        <w:tc>
          <w:tcPr>
            <w:tcW w:w="3339" w:type="pct"/>
            <w:shd w:val="clear" w:color="auto" w:fill="auto"/>
          </w:tcPr>
          <w:p w14:paraId="0FA71CB6">
            <w:pPr>
              <w:tabs>
                <w:tab w:val="left" w:pos="540"/>
              </w:tabs>
              <w:adjustRightInd w:val="0"/>
              <w:snapToGrid w:val="0"/>
              <w:spacing w:line="400" w:lineRule="exact"/>
              <w:ind w:firstLine="0" w:firstLineChars="0"/>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rPr>
              <w:t>（2）项目实施方案评审评分（满分</w:t>
            </w:r>
            <w:r>
              <w:rPr>
                <w:rFonts w:hint="eastAsia" w:ascii="宋体" w:hAnsi="宋体" w:cs="宋体"/>
                <w:b/>
                <w:bCs/>
                <w:color w:val="auto"/>
                <w:szCs w:val="21"/>
                <w:highlight w:val="none"/>
                <w:lang w:val="en-US" w:eastAsia="zh-CN"/>
              </w:rPr>
              <w:t>20</w:t>
            </w:r>
            <w:r>
              <w:rPr>
                <w:rFonts w:hint="eastAsia" w:ascii="宋体" w:hAnsi="宋体" w:cs="宋体"/>
                <w:b/>
                <w:bCs/>
                <w:color w:val="auto"/>
                <w:szCs w:val="21"/>
                <w:highlight w:val="none"/>
              </w:rPr>
              <w:t>分）</w:t>
            </w:r>
          </w:p>
          <w:p w14:paraId="193D2822">
            <w:pPr>
              <w:tabs>
                <w:tab w:val="left" w:pos="540"/>
              </w:tabs>
              <w:adjustRightInd w:val="0"/>
              <w:snapToGrid w:val="0"/>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投标人提供的项目实施方案应包括：①项目进度计划及时间安排</w:t>
            </w:r>
            <w:r>
              <w:rPr>
                <w:rFonts w:hint="eastAsia" w:ascii="宋体" w:hAnsi="宋体" w:cs="宋体"/>
                <w:color w:val="auto"/>
                <w:highlight w:val="none"/>
              </w:rPr>
              <w:t>；②设备供货及安装调试</w:t>
            </w:r>
            <w:r>
              <w:rPr>
                <w:rFonts w:hint="eastAsia" w:ascii="宋体" w:hAnsi="宋体" w:cs="宋体"/>
                <w:color w:val="auto"/>
                <w:highlight w:val="none"/>
                <w:lang w:eastAsia="zh-CN"/>
              </w:rPr>
              <w:t>、</w:t>
            </w:r>
            <w:r>
              <w:rPr>
                <w:rFonts w:hint="eastAsia" w:ascii="宋体" w:hAnsi="宋体" w:cs="宋体"/>
                <w:color w:val="auto"/>
                <w:highlight w:val="none"/>
                <w:lang w:val="en-US" w:eastAsia="zh-CN"/>
              </w:rPr>
              <w:t>装修</w:t>
            </w:r>
            <w:r>
              <w:rPr>
                <w:rFonts w:hint="eastAsia" w:ascii="宋体" w:hAnsi="宋体" w:cs="宋体"/>
                <w:color w:val="auto"/>
                <w:highlight w:val="none"/>
              </w:rPr>
              <w:t>方案</w:t>
            </w:r>
            <w:r>
              <w:rPr>
                <w:rFonts w:hint="eastAsia" w:ascii="宋体" w:hAnsi="宋体" w:cs="宋体"/>
                <w:color w:val="auto"/>
                <w:szCs w:val="21"/>
                <w:highlight w:val="none"/>
              </w:rPr>
              <w:t>；③</w:t>
            </w:r>
            <w:r>
              <w:rPr>
                <w:rFonts w:hint="eastAsia" w:ascii="宋体" w:hAnsi="宋体" w:cs="宋体"/>
                <w:color w:val="auto"/>
                <w:highlight w:val="none"/>
              </w:rPr>
              <w:t>系统对接及部署方案；④</w:t>
            </w:r>
            <w:r>
              <w:rPr>
                <w:rFonts w:hint="eastAsia" w:ascii="宋体" w:hAnsi="宋体" w:cs="宋体"/>
                <w:color w:val="auto"/>
                <w:szCs w:val="21"/>
                <w:highlight w:val="none"/>
              </w:rPr>
              <w:t>技术培训及试运行方</w:t>
            </w:r>
            <w:r>
              <w:rPr>
                <w:rFonts w:hint="eastAsia" w:ascii="宋体" w:hAnsi="宋体" w:cs="宋体"/>
                <w:color w:val="auto"/>
                <w:highlight w:val="none"/>
              </w:rPr>
              <w:t>案</w:t>
            </w:r>
            <w:r>
              <w:rPr>
                <w:rFonts w:hint="eastAsia" w:ascii="宋体" w:hAnsi="宋体" w:cs="宋体"/>
                <w:color w:val="auto"/>
                <w:szCs w:val="21"/>
                <w:highlight w:val="none"/>
              </w:rPr>
              <w:t>；共四项内容。</w:t>
            </w:r>
          </w:p>
          <w:p w14:paraId="4737B0EB">
            <w:pPr>
              <w:wordWrap w:val="0"/>
              <w:overflowPunct w:val="0"/>
              <w:adjustRightInd w:val="0"/>
              <w:snapToGrid w:val="0"/>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以上四项内容详细完整、安排合理、切实可行，得</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r>
              <w:rPr>
                <w:rFonts w:hint="eastAsia" w:ascii="宋体" w:hAnsi="宋体" w:cs="宋体"/>
                <w:b/>
                <w:bCs/>
                <w:color w:val="auto"/>
                <w:szCs w:val="21"/>
                <w:highlight w:val="none"/>
              </w:rPr>
              <w:t>每有一项缺项或漏项的扣</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分；每有一项每出现一处描述存在缺陷</w:t>
            </w:r>
            <w:r>
              <w:rPr>
                <w:rFonts w:hint="eastAsia" w:ascii="宋体" w:hAnsi="宋体" w:cs="宋体"/>
                <w:color w:val="auto"/>
                <w:szCs w:val="21"/>
                <w:highlight w:val="none"/>
              </w:rPr>
              <w:t>（缺陷指存在不符合本项目实际情况的情形、缺乏针对性，或内容前后矛盾、不一致或前后逻辑错误、涉及的规范及标准错误，或内容缺失、阐述不清，或内容不合理、缺乏可行性）</w:t>
            </w:r>
            <w:r>
              <w:rPr>
                <w:rFonts w:hint="eastAsia" w:ascii="宋体" w:hAnsi="宋体" w:cs="宋体"/>
                <w:b/>
                <w:bCs/>
                <w:color w:val="auto"/>
                <w:szCs w:val="21"/>
                <w:highlight w:val="none"/>
              </w:rPr>
              <w:t>的扣1分</w:t>
            </w:r>
            <w:r>
              <w:rPr>
                <w:rFonts w:hint="eastAsia"/>
                <w:b/>
                <w:color w:val="auto"/>
                <w:szCs w:val="21"/>
                <w:highlight w:val="none"/>
              </w:rPr>
              <w:t>，扣完为止</w:t>
            </w:r>
            <w:r>
              <w:rPr>
                <w:rFonts w:hint="eastAsia" w:ascii="宋体" w:hAnsi="宋体" w:cs="宋体"/>
                <w:b/>
                <w:bCs/>
                <w:color w:val="auto"/>
                <w:szCs w:val="21"/>
                <w:highlight w:val="none"/>
              </w:rPr>
              <w:t>。</w:t>
            </w:r>
          </w:p>
        </w:tc>
      </w:tr>
      <w:tr w14:paraId="40519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246" w:type="pct"/>
            <w:vMerge w:val="continue"/>
            <w:vAlign w:val="center"/>
          </w:tcPr>
          <w:p w14:paraId="16E495EF">
            <w:pPr>
              <w:ind w:firstLine="0" w:firstLineChars="0"/>
              <w:rPr>
                <w:rFonts w:ascii="宋体" w:hAnsi="宋体" w:cs="宋体"/>
                <w:color w:val="auto"/>
                <w:szCs w:val="21"/>
                <w:highlight w:val="none"/>
              </w:rPr>
            </w:pPr>
          </w:p>
        </w:tc>
        <w:tc>
          <w:tcPr>
            <w:tcW w:w="510" w:type="pct"/>
            <w:vMerge w:val="continue"/>
            <w:vAlign w:val="center"/>
          </w:tcPr>
          <w:p w14:paraId="0456AD06">
            <w:pPr>
              <w:ind w:firstLine="0" w:firstLineChars="0"/>
              <w:rPr>
                <w:rFonts w:ascii="宋体" w:hAnsi="宋体" w:cs="宋体"/>
                <w:color w:val="auto"/>
                <w:szCs w:val="21"/>
                <w:highlight w:val="none"/>
              </w:rPr>
            </w:pPr>
          </w:p>
        </w:tc>
        <w:tc>
          <w:tcPr>
            <w:tcW w:w="903" w:type="pct"/>
            <w:vMerge w:val="continue"/>
            <w:vAlign w:val="center"/>
          </w:tcPr>
          <w:p w14:paraId="21C5E5AA">
            <w:pPr>
              <w:ind w:firstLine="0" w:firstLineChars="0"/>
              <w:rPr>
                <w:rFonts w:ascii="宋体" w:hAnsi="宋体" w:cs="宋体"/>
                <w:color w:val="auto"/>
                <w:szCs w:val="21"/>
                <w:highlight w:val="none"/>
              </w:rPr>
            </w:pPr>
          </w:p>
        </w:tc>
        <w:tc>
          <w:tcPr>
            <w:tcW w:w="3339" w:type="pct"/>
            <w:shd w:val="clear" w:color="auto" w:fill="auto"/>
            <w:vAlign w:val="center"/>
          </w:tcPr>
          <w:p w14:paraId="21439C5C">
            <w:pPr>
              <w:adjustRightInd w:val="0"/>
              <w:snapToGrid w:val="0"/>
              <w:spacing w:line="400" w:lineRule="exact"/>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（3）节能、环保产品评审评分（满分1分）</w:t>
            </w:r>
          </w:p>
          <w:p w14:paraId="604CB594">
            <w:pPr>
              <w:adjustRightInd w:val="0"/>
              <w:snapToGrid w:val="0"/>
              <w:spacing w:line="400" w:lineRule="exact"/>
              <w:ind w:firstLine="420"/>
              <w:rPr>
                <w:rFonts w:ascii="宋体" w:hAnsi="宋体" w:cs="宋体"/>
                <w:color w:val="auto"/>
                <w:szCs w:val="21"/>
                <w:highlight w:val="none"/>
              </w:rPr>
            </w:pPr>
            <w:r>
              <w:rPr>
                <w:rFonts w:hint="eastAsia" w:ascii="宋体" w:hAnsi="宋体" w:cs="宋体"/>
                <w:color w:val="auto"/>
                <w:szCs w:val="21"/>
                <w:highlight w:val="none"/>
                <w:lang w:val="en-US" w:eastAsia="zh-CN"/>
              </w:rPr>
              <w:t>每有1项</w:t>
            </w:r>
            <w:r>
              <w:rPr>
                <w:rFonts w:hint="eastAsia" w:ascii="宋体" w:hAnsi="宋体" w:cs="宋体"/>
                <w:color w:val="auto"/>
                <w:szCs w:val="21"/>
                <w:highlight w:val="none"/>
              </w:rPr>
              <w:t>投标产品被认定为节能产品的得0.5分。</w:t>
            </w:r>
          </w:p>
          <w:p w14:paraId="121D2B49">
            <w:pPr>
              <w:adjustRightInd w:val="0"/>
              <w:snapToGrid w:val="0"/>
              <w:spacing w:line="400" w:lineRule="exact"/>
              <w:ind w:firstLine="420"/>
              <w:rPr>
                <w:rFonts w:ascii="宋体" w:hAnsi="宋体" w:cs="宋体"/>
                <w:color w:val="auto"/>
                <w:szCs w:val="21"/>
                <w:highlight w:val="none"/>
              </w:rPr>
            </w:pPr>
            <w:r>
              <w:rPr>
                <w:rFonts w:hint="eastAsia" w:ascii="宋体" w:hAnsi="宋体" w:cs="宋体"/>
                <w:color w:val="auto"/>
                <w:szCs w:val="21"/>
                <w:highlight w:val="none"/>
                <w:lang w:val="en-US" w:eastAsia="zh-CN"/>
              </w:rPr>
              <w:t>每有1项</w:t>
            </w:r>
            <w:r>
              <w:rPr>
                <w:rFonts w:hint="eastAsia" w:ascii="宋体" w:hAnsi="宋体" w:cs="宋体"/>
                <w:color w:val="auto"/>
                <w:szCs w:val="21"/>
                <w:highlight w:val="none"/>
              </w:rPr>
              <w:t>投标产品被认定为环保产品的得0.5分。</w:t>
            </w:r>
          </w:p>
          <w:p w14:paraId="0FBBC3C6">
            <w:pPr>
              <w:tabs>
                <w:tab w:val="left" w:pos="453"/>
              </w:tabs>
              <w:adjustRightInd w:val="0"/>
              <w:snapToGrid w:val="0"/>
              <w:spacing w:line="400" w:lineRule="exact"/>
              <w:ind w:firstLine="420"/>
              <w:jc w:val="left"/>
              <w:rPr>
                <w:rFonts w:ascii="宋体" w:hAnsi="宋体" w:cs="宋体"/>
                <w:color w:val="auto"/>
                <w:szCs w:val="21"/>
                <w:highlight w:val="none"/>
                <w:shd w:val="clear" w:color="auto" w:fill="FFFFFF"/>
              </w:rPr>
            </w:pPr>
            <w:r>
              <w:rPr>
                <w:rFonts w:hint="eastAsia" w:ascii="宋体" w:hAnsi="宋体" w:cs="宋体"/>
                <w:color w:val="auto"/>
                <w:szCs w:val="21"/>
                <w:highlight w:val="none"/>
              </w:rPr>
              <w:t>若货物为除强制节能产品（强制节能产品详见采购需求）以外的经国家认定的节能产品或环境标志产品，提供符合招标文件要求的相关证明材料，未提供的不得分。</w:t>
            </w:r>
          </w:p>
        </w:tc>
      </w:tr>
      <w:tr w14:paraId="3AD1A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46" w:type="pct"/>
            <w:vMerge w:val="continue"/>
            <w:vAlign w:val="center"/>
          </w:tcPr>
          <w:p w14:paraId="422E6C95">
            <w:pPr>
              <w:ind w:firstLine="0" w:firstLineChars="0"/>
              <w:rPr>
                <w:rFonts w:ascii="宋体" w:hAnsi="宋体" w:cs="宋体"/>
                <w:color w:val="auto"/>
                <w:szCs w:val="21"/>
                <w:highlight w:val="none"/>
              </w:rPr>
            </w:pPr>
          </w:p>
        </w:tc>
        <w:tc>
          <w:tcPr>
            <w:tcW w:w="510" w:type="pct"/>
            <w:vMerge w:val="continue"/>
            <w:vAlign w:val="center"/>
          </w:tcPr>
          <w:p w14:paraId="6B6B5DAD">
            <w:pPr>
              <w:ind w:firstLine="0" w:firstLineChars="0"/>
              <w:rPr>
                <w:rFonts w:ascii="宋体" w:hAnsi="宋体" w:cs="宋体"/>
                <w:color w:val="auto"/>
                <w:szCs w:val="21"/>
                <w:highlight w:val="none"/>
              </w:rPr>
            </w:pPr>
          </w:p>
        </w:tc>
        <w:tc>
          <w:tcPr>
            <w:tcW w:w="903" w:type="pct"/>
            <w:vMerge w:val="restart"/>
            <w:vAlign w:val="center"/>
          </w:tcPr>
          <w:p w14:paraId="0E64848B">
            <w:pPr>
              <w:ind w:firstLine="0" w:firstLineChars="0"/>
              <w:rPr>
                <w:rFonts w:ascii="宋体" w:hAnsi="宋体" w:cs="宋体"/>
                <w:color w:val="auto"/>
                <w:szCs w:val="21"/>
                <w:highlight w:val="none"/>
              </w:rPr>
            </w:pPr>
            <w:r>
              <w:rPr>
                <w:rFonts w:hint="eastAsia" w:ascii="宋体" w:hAnsi="宋体" w:cs="宋体"/>
                <w:color w:val="auto"/>
                <w:szCs w:val="21"/>
                <w:highlight w:val="none"/>
              </w:rPr>
              <w:t>5）商务部分得分F3（满分</w:t>
            </w:r>
            <w:r>
              <w:rPr>
                <w:rFonts w:hint="eastAsia" w:ascii="宋体" w:hAnsi="宋体" w:cs="宋体"/>
                <w:color w:val="auto"/>
                <w:szCs w:val="21"/>
                <w:highlight w:val="none"/>
                <w:u w:val="single"/>
              </w:rPr>
              <w:t>1</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rPr>
              <w:t>分）</w:t>
            </w:r>
          </w:p>
        </w:tc>
        <w:tc>
          <w:tcPr>
            <w:tcW w:w="3339" w:type="pct"/>
            <w:shd w:val="clear" w:color="auto" w:fill="auto"/>
            <w:vAlign w:val="center"/>
          </w:tcPr>
          <w:p w14:paraId="25CBCB12">
            <w:pPr>
              <w:adjustRightInd w:val="0"/>
              <w:snapToGrid w:val="0"/>
              <w:spacing w:line="400" w:lineRule="exact"/>
              <w:ind w:firstLine="0" w:firstLineChars="0"/>
              <w:rPr>
                <w:rFonts w:ascii="宋体" w:hAnsi="宋体" w:cs="宋体"/>
                <w:b/>
                <w:color w:val="auto"/>
                <w:szCs w:val="21"/>
                <w:highlight w:val="none"/>
              </w:rPr>
            </w:pPr>
            <w:r>
              <w:rPr>
                <w:rFonts w:hint="eastAsia" w:ascii="宋体" w:hAnsi="宋体" w:cs="宋体"/>
                <w:b/>
                <w:color w:val="auto"/>
                <w:szCs w:val="21"/>
                <w:highlight w:val="none"/>
              </w:rPr>
              <w:t>（1）售后服务承诺及保障措施评审评分（满分10分）</w:t>
            </w:r>
          </w:p>
          <w:p w14:paraId="7A172DC3">
            <w:pPr>
              <w:adjustRightInd w:val="0"/>
              <w:snapToGrid w:val="0"/>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投标人提供的售后服务方案及承诺应包括：①质量保证（含质保期）承诺、②售后服务体系及响应机制、③维护保养承诺及服务措施、④维修更换承诺及服务措施、⑤违约处罚措施，共五项内容。</w:t>
            </w:r>
          </w:p>
          <w:p w14:paraId="6EA79363">
            <w:pPr>
              <w:adjustRightInd w:val="0"/>
              <w:snapToGrid w:val="0"/>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以上五项内容详细完整、安排合理、切实可行，得10分；</w:t>
            </w:r>
            <w:r>
              <w:rPr>
                <w:rFonts w:hint="eastAsia" w:ascii="宋体" w:hAnsi="宋体" w:cs="宋体"/>
                <w:b/>
                <w:bCs/>
                <w:color w:val="auto"/>
                <w:szCs w:val="21"/>
                <w:highlight w:val="none"/>
              </w:rPr>
              <w:t>每有一项缺项或漏项的扣2分；每有一项每出现一处描述存在缺陷</w:t>
            </w:r>
            <w:r>
              <w:rPr>
                <w:rFonts w:hint="eastAsia" w:ascii="宋体" w:hAnsi="宋体" w:cs="宋体"/>
                <w:color w:val="auto"/>
                <w:szCs w:val="21"/>
                <w:highlight w:val="none"/>
              </w:rPr>
              <w:t>（缺陷指存在不符合本项目实际情况的情形、缺乏针对性，或内容前后矛盾、不一致或逻辑错误、涉及的规范及标准错误，或内容缺失、阐述不清，或内容不合理，或缺乏可行性）</w:t>
            </w:r>
            <w:r>
              <w:rPr>
                <w:rFonts w:hint="eastAsia" w:ascii="宋体" w:hAnsi="宋体" w:cs="宋体"/>
                <w:b/>
                <w:bCs/>
                <w:color w:val="auto"/>
                <w:szCs w:val="21"/>
                <w:highlight w:val="none"/>
              </w:rPr>
              <w:t>的扣0.3分</w:t>
            </w:r>
            <w:r>
              <w:rPr>
                <w:rFonts w:hint="eastAsia"/>
                <w:b/>
                <w:color w:val="auto"/>
                <w:szCs w:val="21"/>
                <w:highlight w:val="none"/>
              </w:rPr>
              <w:t>，扣完为止</w:t>
            </w:r>
            <w:r>
              <w:rPr>
                <w:rFonts w:hint="eastAsia" w:ascii="宋体" w:hAnsi="宋体" w:cs="宋体"/>
                <w:b/>
                <w:bCs/>
                <w:color w:val="auto"/>
                <w:szCs w:val="21"/>
                <w:highlight w:val="none"/>
              </w:rPr>
              <w:t>。</w:t>
            </w:r>
          </w:p>
        </w:tc>
      </w:tr>
      <w:tr w14:paraId="3CBC8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6" w:type="pct"/>
            <w:vMerge w:val="continue"/>
            <w:vAlign w:val="center"/>
          </w:tcPr>
          <w:p w14:paraId="6DD49758">
            <w:pPr>
              <w:ind w:firstLine="0" w:firstLineChars="0"/>
              <w:rPr>
                <w:rFonts w:ascii="宋体" w:hAnsi="宋体" w:cs="宋体"/>
                <w:color w:val="auto"/>
                <w:szCs w:val="21"/>
                <w:highlight w:val="none"/>
              </w:rPr>
            </w:pPr>
          </w:p>
        </w:tc>
        <w:tc>
          <w:tcPr>
            <w:tcW w:w="510" w:type="pct"/>
            <w:vMerge w:val="continue"/>
            <w:vAlign w:val="center"/>
          </w:tcPr>
          <w:p w14:paraId="19339A18">
            <w:pPr>
              <w:ind w:firstLine="0" w:firstLineChars="0"/>
              <w:rPr>
                <w:rFonts w:ascii="宋体" w:hAnsi="宋体" w:cs="宋体"/>
                <w:color w:val="auto"/>
                <w:szCs w:val="21"/>
                <w:highlight w:val="none"/>
              </w:rPr>
            </w:pPr>
          </w:p>
        </w:tc>
        <w:tc>
          <w:tcPr>
            <w:tcW w:w="903" w:type="pct"/>
            <w:vMerge w:val="continue"/>
            <w:vAlign w:val="center"/>
          </w:tcPr>
          <w:p w14:paraId="40244AC3">
            <w:pPr>
              <w:ind w:firstLine="0" w:firstLineChars="0"/>
              <w:rPr>
                <w:rFonts w:ascii="宋体" w:hAnsi="宋体" w:cs="宋体"/>
                <w:color w:val="auto"/>
                <w:szCs w:val="21"/>
                <w:highlight w:val="none"/>
              </w:rPr>
            </w:pPr>
          </w:p>
        </w:tc>
        <w:tc>
          <w:tcPr>
            <w:tcW w:w="3339" w:type="pct"/>
            <w:shd w:val="clear" w:color="auto" w:fill="auto"/>
            <w:vAlign w:val="center"/>
          </w:tcPr>
          <w:p w14:paraId="01334BE6">
            <w:pPr>
              <w:adjustRightInd w:val="0"/>
              <w:snapToGrid w:val="0"/>
              <w:spacing w:line="400" w:lineRule="exact"/>
              <w:ind w:firstLine="0" w:firstLineChars="0"/>
              <w:rPr>
                <w:rFonts w:ascii="宋体" w:hAnsi="宋体" w:cs="宋体"/>
                <w:b/>
                <w:color w:val="auto"/>
                <w:szCs w:val="21"/>
                <w:highlight w:val="none"/>
              </w:rPr>
            </w:pPr>
            <w:r>
              <w:rPr>
                <w:rFonts w:hint="eastAsia" w:ascii="宋体" w:hAnsi="宋体" w:cs="宋体"/>
                <w:b/>
                <w:color w:val="auto"/>
                <w:szCs w:val="21"/>
                <w:highlight w:val="none"/>
              </w:rPr>
              <w:t>（2）投标人类似项目业绩</w:t>
            </w:r>
            <w:r>
              <w:rPr>
                <w:rFonts w:hint="eastAsia" w:ascii="宋体" w:hAnsi="宋体" w:cs="宋体"/>
                <w:b/>
                <w:bCs/>
                <w:color w:val="auto"/>
                <w:szCs w:val="21"/>
                <w:highlight w:val="none"/>
              </w:rPr>
              <w:t>评审</w:t>
            </w:r>
            <w:r>
              <w:rPr>
                <w:rFonts w:hint="eastAsia" w:ascii="宋体" w:hAnsi="宋体" w:cs="宋体"/>
                <w:b/>
                <w:color w:val="auto"/>
                <w:szCs w:val="21"/>
                <w:highlight w:val="none"/>
              </w:rPr>
              <w:t>（满分</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分）</w:t>
            </w:r>
          </w:p>
          <w:p w14:paraId="6A4D9D6C">
            <w:pPr>
              <w:adjustRightInd w:val="0"/>
              <w:snapToGrid w:val="0"/>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根据投标人自2023年1月1日至本项目投标文件提交截止时间前承接（以合同签订时间为准）的类似项目业绩进行评分，每提供一个类似项目业绩得1分，满分</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p w14:paraId="21215143">
            <w:pPr>
              <w:adjustRightInd w:val="0"/>
              <w:snapToGrid w:val="0"/>
              <w:spacing w:line="400" w:lineRule="exact"/>
              <w:ind w:firstLine="422"/>
              <w:rPr>
                <w:rFonts w:ascii="宋体" w:hAnsi="宋体"/>
                <w:b/>
                <w:bCs/>
                <w:color w:val="auto"/>
                <w:kern w:val="0"/>
                <w:szCs w:val="21"/>
                <w:highlight w:val="none"/>
              </w:rPr>
            </w:pPr>
            <w:r>
              <w:rPr>
                <w:rFonts w:hint="eastAsia" w:ascii="宋体" w:hAnsi="宋体"/>
                <w:b/>
                <w:bCs/>
                <w:color w:val="auto"/>
                <w:kern w:val="0"/>
                <w:szCs w:val="21"/>
                <w:highlight w:val="none"/>
              </w:rPr>
              <w:t>类似业绩指：</w:t>
            </w:r>
            <w:r>
              <w:rPr>
                <w:rFonts w:hint="eastAsia" w:ascii="宋体" w:hAnsi="宋体"/>
                <w:b/>
                <w:bCs/>
                <w:color w:val="auto"/>
                <w:kern w:val="0"/>
                <w:szCs w:val="21"/>
                <w:highlight w:val="none"/>
                <w:u w:val="single"/>
              </w:rPr>
              <w:t>合同标的内容含有本项目核心产品的类似设备供货业绩</w:t>
            </w:r>
          </w:p>
          <w:p w14:paraId="52D68AE6">
            <w:pPr>
              <w:adjustRightInd w:val="0"/>
              <w:snapToGrid w:val="0"/>
              <w:spacing w:line="400" w:lineRule="exact"/>
              <w:ind w:firstLine="422"/>
              <w:rPr>
                <w:rFonts w:ascii="宋体" w:hAnsi="宋体" w:cs="宋体"/>
                <w:color w:val="auto"/>
                <w:szCs w:val="21"/>
                <w:highlight w:val="none"/>
              </w:rPr>
            </w:pPr>
            <w:r>
              <w:rPr>
                <w:rFonts w:hint="eastAsia" w:ascii="宋体" w:hAnsi="宋体"/>
                <w:b/>
                <w:bCs/>
                <w:color w:val="auto"/>
                <w:kern w:val="0"/>
                <w:szCs w:val="21"/>
                <w:highlight w:val="none"/>
              </w:rPr>
              <w:t>业绩证明材料：</w:t>
            </w:r>
            <w:r>
              <w:rPr>
                <w:rFonts w:hint="eastAsia" w:ascii="宋体" w:hAnsi="宋体"/>
                <w:color w:val="auto"/>
                <w:kern w:val="0"/>
                <w:szCs w:val="21"/>
                <w:highlight w:val="none"/>
                <w:u w:val="single"/>
              </w:rPr>
              <w:t>业绩证明材料须提供合同，提供的合同应包含合同名称、合同标的内容、合同履行期限（交货期或服务期）、合同价格、签订时间、合同签字盖章页等关键信息，</w:t>
            </w:r>
            <w:r>
              <w:rPr>
                <w:rFonts w:hint="eastAsia" w:ascii="宋体" w:hAnsi="宋体"/>
                <w:b/>
                <w:bCs/>
                <w:color w:val="auto"/>
                <w:kern w:val="0"/>
                <w:szCs w:val="21"/>
                <w:highlight w:val="none"/>
                <w:u w:val="single"/>
              </w:rPr>
              <w:t>否则不予认可</w:t>
            </w:r>
            <w:r>
              <w:rPr>
                <w:rFonts w:hint="eastAsia" w:ascii="宋体" w:hAnsi="宋体"/>
                <w:color w:val="auto"/>
                <w:kern w:val="0"/>
                <w:szCs w:val="21"/>
                <w:highlight w:val="none"/>
                <w:u w:val="single"/>
              </w:rPr>
              <w:t>。</w:t>
            </w:r>
          </w:p>
        </w:tc>
      </w:tr>
    </w:tbl>
    <w:p w14:paraId="58B6189D">
      <w:pPr>
        <w:pStyle w:val="3"/>
        <w:spacing w:beforeLines="0"/>
        <w:rPr>
          <w:rFonts w:ascii="Times New Roman" w:hAnsi="Times New Roman" w:cs="Times New Roman"/>
          <w:color w:val="auto"/>
          <w:highlight w:val="none"/>
        </w:rPr>
      </w:pPr>
      <w:r>
        <w:rPr>
          <w:rFonts w:ascii="Times New Roman" w:hAnsi="Times New Roman" w:cs="Times New Roman"/>
          <w:color w:val="auto"/>
          <w:sz w:val="24"/>
          <w:szCs w:val="20"/>
          <w:highlight w:val="none"/>
        </w:rPr>
        <w:br w:type="page"/>
      </w:r>
      <w:bookmarkStart w:id="936" w:name="_Toc31045"/>
      <w:bookmarkStart w:id="937" w:name="OLE_LINK250"/>
      <w:r>
        <w:rPr>
          <w:rFonts w:ascii="Times New Roman" w:hAnsi="Times New Roman" w:cs="Times New Roman"/>
          <w:color w:val="auto"/>
          <w:sz w:val="24"/>
          <w:szCs w:val="20"/>
          <w:highlight w:val="none"/>
        </w:rPr>
        <w:t>一、</w:t>
      </w:r>
      <w:r>
        <w:rPr>
          <w:rFonts w:ascii="Times New Roman" w:hAnsi="Times New Roman" w:cs="Times New Roman"/>
          <w:color w:val="auto"/>
          <w:highlight w:val="none"/>
        </w:rPr>
        <w:t>评标方法</w:t>
      </w:r>
      <w:bookmarkEnd w:id="932"/>
      <w:bookmarkEnd w:id="933"/>
      <w:bookmarkEnd w:id="934"/>
      <w:bookmarkEnd w:id="935"/>
      <w:bookmarkEnd w:id="936"/>
    </w:p>
    <w:p w14:paraId="7ABBAC59">
      <w:pPr>
        <w:ind w:firstLine="420"/>
        <w:rPr>
          <w:rFonts w:ascii="Times New Roman" w:hAnsi="Times New Roman" w:cs="Times New Roman"/>
          <w:color w:val="auto"/>
          <w:szCs w:val="21"/>
          <w:highlight w:val="none"/>
        </w:rPr>
      </w:pPr>
      <w:bookmarkStart w:id="938" w:name="OLE_LINK132"/>
      <w:r>
        <w:rPr>
          <w:rFonts w:ascii="Times New Roman" w:hAnsi="Times New Roman" w:cs="Times New Roman"/>
          <w:color w:val="auto"/>
          <w:highlight w:val="none"/>
        </w:rPr>
        <w:t>根据《中华人民共和国政府</w:t>
      </w:r>
      <w:bookmarkStart w:id="939" w:name="OLE_LINK249"/>
      <w:r>
        <w:rPr>
          <w:rFonts w:hint="eastAsia" w:ascii="宋体" w:hAnsi="宋体" w:cs="宋体"/>
          <w:color w:val="auto"/>
          <w:highlight w:val="none"/>
        </w:rPr>
        <w:t>采购法》《中华人民共和国政府采购法实施条例》《政府采购货物和服务招标投标管理办法（财政部87号令）》《财政部关于进一步规范政府采购评审工作有关问题的通知》（财库〔2012〕69号）等有关法律规定，结合本项目采购</w:t>
      </w:r>
      <w:bookmarkEnd w:id="939"/>
      <w:r>
        <w:rPr>
          <w:rFonts w:ascii="Times New Roman" w:hAnsi="Times New Roman" w:cs="Times New Roman"/>
          <w:color w:val="auto"/>
          <w:highlight w:val="none"/>
        </w:rPr>
        <w:t>实际情况</w:t>
      </w:r>
      <w:r>
        <w:rPr>
          <w:rFonts w:hint="eastAsia" w:ascii="Times New Roman" w:hAnsi="Times New Roman" w:cs="Times New Roman"/>
          <w:color w:val="auto"/>
          <w:highlight w:val="none"/>
        </w:rPr>
        <w:t>制定</w:t>
      </w:r>
      <w:r>
        <w:rPr>
          <w:rFonts w:ascii="Times New Roman" w:hAnsi="Times New Roman" w:cs="Times New Roman"/>
          <w:color w:val="auto"/>
          <w:highlight w:val="none"/>
        </w:rPr>
        <w:t>本办法。</w:t>
      </w:r>
    </w:p>
    <w:bookmarkEnd w:id="938"/>
    <w:p w14:paraId="15FBADE8">
      <w:pPr>
        <w:pStyle w:val="3"/>
        <w:spacing w:beforeLines="0"/>
        <w:rPr>
          <w:rFonts w:ascii="Times New Roman" w:hAnsi="Times New Roman" w:cs="Times New Roman"/>
          <w:color w:val="auto"/>
          <w:highlight w:val="none"/>
        </w:rPr>
      </w:pPr>
      <w:bookmarkStart w:id="940" w:name="_Toc314817934"/>
      <w:bookmarkStart w:id="941" w:name="_Toc5777"/>
      <w:bookmarkStart w:id="942" w:name="_Toc68090069"/>
      <w:bookmarkStart w:id="943" w:name="_Toc49935349"/>
      <w:bookmarkStart w:id="944" w:name="_Toc326218112"/>
      <w:bookmarkStart w:id="945" w:name="_Toc26783938"/>
      <w:bookmarkStart w:id="946" w:name="OLE_LINK133"/>
      <w:r>
        <w:rPr>
          <w:rFonts w:ascii="Times New Roman" w:hAnsi="Times New Roman" w:cs="Times New Roman"/>
          <w:color w:val="auto"/>
          <w:highlight w:val="none"/>
        </w:rPr>
        <w:t>二、评审标准</w:t>
      </w:r>
      <w:bookmarkEnd w:id="940"/>
      <w:bookmarkEnd w:id="941"/>
      <w:bookmarkEnd w:id="942"/>
      <w:bookmarkEnd w:id="943"/>
      <w:bookmarkEnd w:id="944"/>
      <w:bookmarkEnd w:id="945"/>
    </w:p>
    <w:bookmarkEnd w:id="946"/>
    <w:p w14:paraId="26C070F6">
      <w:pPr>
        <w:pStyle w:val="4"/>
        <w:spacing w:beforeLines="0"/>
        <w:ind w:firstLine="482"/>
        <w:rPr>
          <w:rFonts w:ascii="Times New Roman" w:hAnsi="Times New Roman" w:eastAsia="宋体" w:cs="Times New Roman"/>
          <w:color w:val="auto"/>
          <w:highlight w:val="none"/>
        </w:rPr>
      </w:pPr>
      <w:bookmarkStart w:id="947" w:name="_Toc1424"/>
      <w:bookmarkStart w:id="948" w:name="_Toc314817935"/>
      <w:bookmarkStart w:id="949" w:name="_Toc326218113"/>
      <w:bookmarkStart w:id="950" w:name="_Toc26783939"/>
      <w:r>
        <w:rPr>
          <w:rFonts w:ascii="Times New Roman" w:hAnsi="Times New Roman" w:cs="Times New Roman"/>
          <w:color w:val="auto"/>
          <w:highlight w:val="none"/>
        </w:rPr>
        <w:t>1.符合性评审标准</w:t>
      </w:r>
      <w:bookmarkEnd w:id="947"/>
      <w:bookmarkEnd w:id="948"/>
      <w:bookmarkEnd w:id="949"/>
      <w:bookmarkEnd w:id="950"/>
    </w:p>
    <w:p w14:paraId="169D4BC1">
      <w:pPr>
        <w:ind w:firstLine="420"/>
        <w:rPr>
          <w:rFonts w:ascii="Times New Roman" w:hAnsi="Times New Roman" w:cs="Times New Roman"/>
          <w:color w:val="auto"/>
          <w:szCs w:val="21"/>
          <w:highlight w:val="none"/>
        </w:rPr>
      </w:pPr>
      <w:r>
        <w:rPr>
          <w:rFonts w:ascii="Times New Roman" w:hAnsi="Times New Roman" w:cs="Times New Roman"/>
          <w:color w:val="auto"/>
          <w:highlight w:val="none"/>
        </w:rPr>
        <w:t>评标委员会依据招标文件的规定，从投标文件的有效性、完整性和对招标文件的响应程度进行审查，以确定是否对招标文件的实质性要求作出响应；见评标方法前附表。</w:t>
      </w:r>
    </w:p>
    <w:p w14:paraId="6AE8BDE5">
      <w:pPr>
        <w:pStyle w:val="4"/>
        <w:spacing w:beforeLines="0"/>
        <w:ind w:firstLine="482"/>
        <w:rPr>
          <w:rFonts w:ascii="Times New Roman" w:hAnsi="Times New Roman" w:cs="Times New Roman"/>
          <w:color w:val="auto"/>
          <w:highlight w:val="none"/>
        </w:rPr>
      </w:pPr>
      <w:bookmarkStart w:id="951" w:name="_Toc2207"/>
      <w:bookmarkStart w:id="952" w:name="_Toc326218114"/>
      <w:bookmarkStart w:id="953" w:name="_Toc26783940"/>
      <w:bookmarkStart w:id="954" w:name="_Toc314817936"/>
      <w:r>
        <w:rPr>
          <w:rFonts w:ascii="Times New Roman" w:hAnsi="Times New Roman" w:cs="Times New Roman"/>
          <w:color w:val="auto"/>
          <w:highlight w:val="none"/>
        </w:rPr>
        <w:t>2.分值构成与评分标准</w:t>
      </w:r>
      <w:bookmarkEnd w:id="951"/>
      <w:bookmarkEnd w:id="952"/>
      <w:bookmarkEnd w:id="953"/>
      <w:bookmarkEnd w:id="954"/>
    </w:p>
    <w:p w14:paraId="6875516E">
      <w:pPr>
        <w:ind w:firstLine="420"/>
        <w:rPr>
          <w:rFonts w:ascii="Times New Roman" w:hAnsi="Times New Roman" w:cs="Times New Roman"/>
          <w:color w:val="auto"/>
          <w:szCs w:val="21"/>
          <w:highlight w:val="none"/>
        </w:rPr>
      </w:pPr>
      <w:r>
        <w:rPr>
          <w:rFonts w:ascii="Times New Roman" w:hAnsi="Times New Roman" w:cs="Times New Roman"/>
          <w:color w:val="auto"/>
          <w:highlight w:val="none"/>
        </w:rPr>
        <w:t>2.1 分值构成</w:t>
      </w:r>
    </w:p>
    <w:p w14:paraId="291FB780">
      <w:pPr>
        <w:ind w:firstLine="420"/>
        <w:rPr>
          <w:rFonts w:ascii="Times New Roman" w:hAnsi="Times New Roman" w:cs="Times New Roman"/>
          <w:color w:val="auto"/>
          <w:highlight w:val="none"/>
        </w:rPr>
      </w:pPr>
      <w:r>
        <w:rPr>
          <w:rFonts w:ascii="Times New Roman" w:hAnsi="Times New Roman" w:cs="Times New Roman"/>
          <w:color w:val="auto"/>
          <w:highlight w:val="none"/>
        </w:rPr>
        <w:t>（1）投标报价：见评标方法前附表</w:t>
      </w:r>
      <w:r>
        <w:rPr>
          <w:rFonts w:hint="eastAsia" w:ascii="Times New Roman" w:hAnsi="Times New Roman" w:cs="Times New Roman"/>
          <w:color w:val="auto"/>
          <w:highlight w:val="none"/>
        </w:rPr>
        <w:t>。</w:t>
      </w:r>
    </w:p>
    <w:p w14:paraId="7DEE1C8E">
      <w:pPr>
        <w:ind w:firstLine="420"/>
        <w:rPr>
          <w:rFonts w:ascii="Times New Roman" w:hAnsi="Times New Roman" w:cs="Times New Roman"/>
          <w:color w:val="auto"/>
          <w:highlight w:val="none"/>
        </w:rPr>
      </w:pPr>
      <w:r>
        <w:rPr>
          <w:rFonts w:ascii="Times New Roman" w:hAnsi="Times New Roman" w:cs="Times New Roman"/>
          <w:color w:val="auto"/>
          <w:highlight w:val="none"/>
        </w:rPr>
        <w:t>（2）</w:t>
      </w:r>
      <w:r>
        <w:rPr>
          <w:rFonts w:hint="eastAsia" w:ascii="Times New Roman" w:hAnsi="Times New Roman" w:cs="Times New Roman"/>
          <w:color w:val="auto"/>
          <w:highlight w:val="none"/>
        </w:rPr>
        <w:t>技术</w:t>
      </w:r>
      <w:r>
        <w:rPr>
          <w:rFonts w:ascii="Times New Roman" w:hAnsi="Times New Roman" w:cs="Times New Roman"/>
          <w:color w:val="auto"/>
          <w:highlight w:val="none"/>
        </w:rPr>
        <w:t>部分：见评标方法前附表</w:t>
      </w:r>
      <w:bookmarkStart w:id="955" w:name="OLE_LINK255"/>
      <w:r>
        <w:rPr>
          <w:rFonts w:hint="eastAsia" w:ascii="Times New Roman" w:hAnsi="Times New Roman" w:cs="Times New Roman"/>
          <w:color w:val="auto"/>
          <w:highlight w:val="none"/>
        </w:rPr>
        <w:t>。</w:t>
      </w:r>
    </w:p>
    <w:p w14:paraId="06375F2C">
      <w:pPr>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商务</w:t>
      </w:r>
      <w:r>
        <w:rPr>
          <w:rFonts w:ascii="Times New Roman" w:hAnsi="Times New Roman" w:cs="Times New Roman"/>
          <w:color w:val="auto"/>
          <w:highlight w:val="none"/>
        </w:rPr>
        <w:t>部分：见评标方法前附表</w:t>
      </w:r>
      <w:bookmarkStart w:id="956" w:name="OLE_LINK254"/>
      <w:r>
        <w:rPr>
          <w:rFonts w:ascii="Times New Roman" w:hAnsi="Times New Roman" w:cs="Times New Roman"/>
          <w:color w:val="auto"/>
          <w:highlight w:val="none"/>
        </w:rPr>
        <w:t>。</w:t>
      </w:r>
      <w:bookmarkEnd w:id="956"/>
    </w:p>
    <w:bookmarkEnd w:id="955"/>
    <w:p w14:paraId="466C4BD1">
      <w:pPr>
        <w:ind w:firstLine="420"/>
        <w:rPr>
          <w:rFonts w:ascii="Times New Roman" w:hAnsi="Times New Roman" w:cs="Times New Roman"/>
          <w:color w:val="auto"/>
          <w:highlight w:val="none"/>
        </w:rPr>
      </w:pPr>
      <w:r>
        <w:rPr>
          <w:rFonts w:ascii="Times New Roman" w:hAnsi="Times New Roman" w:cs="Times New Roman"/>
          <w:color w:val="auto"/>
          <w:highlight w:val="none"/>
        </w:rPr>
        <w:t>2.2 评标基准价计算方法：见评标方法前附表。</w:t>
      </w:r>
    </w:p>
    <w:p w14:paraId="389272DA">
      <w:pPr>
        <w:ind w:firstLine="420"/>
        <w:rPr>
          <w:rFonts w:ascii="Times New Roman" w:hAnsi="Times New Roman" w:cs="Times New Roman"/>
          <w:color w:val="auto"/>
          <w:highlight w:val="none"/>
        </w:rPr>
      </w:pPr>
      <w:r>
        <w:rPr>
          <w:rFonts w:ascii="Times New Roman" w:hAnsi="Times New Roman" w:cs="Times New Roman"/>
          <w:color w:val="auto"/>
          <w:highlight w:val="none"/>
        </w:rPr>
        <w:t>2.3 评分标准</w:t>
      </w:r>
    </w:p>
    <w:p w14:paraId="0D628045">
      <w:pPr>
        <w:ind w:firstLine="420"/>
        <w:rPr>
          <w:rFonts w:ascii="Times New Roman" w:hAnsi="Times New Roman" w:cs="Times New Roman"/>
          <w:color w:val="auto"/>
          <w:highlight w:val="none"/>
        </w:rPr>
      </w:pPr>
      <w:r>
        <w:rPr>
          <w:rFonts w:ascii="Times New Roman" w:hAnsi="Times New Roman" w:cs="Times New Roman"/>
          <w:color w:val="auto"/>
          <w:highlight w:val="none"/>
        </w:rPr>
        <w:t>按招标文件中规定的评标方法和标准，对符合性评审合格的投标文件进行商务和技术评估，综合比较与评价。</w:t>
      </w:r>
    </w:p>
    <w:p w14:paraId="4C90C62E">
      <w:pPr>
        <w:ind w:firstLine="420"/>
        <w:rPr>
          <w:rFonts w:ascii="Times New Roman" w:hAnsi="Times New Roman" w:cs="Times New Roman"/>
          <w:color w:val="auto"/>
          <w:highlight w:val="none"/>
        </w:rPr>
      </w:pPr>
      <w:r>
        <w:rPr>
          <w:rFonts w:ascii="Times New Roman" w:hAnsi="Times New Roman" w:cs="Times New Roman"/>
          <w:color w:val="auto"/>
          <w:highlight w:val="none"/>
        </w:rPr>
        <w:t>（1）投标报价评分标准：见评标方法前附表</w:t>
      </w:r>
      <w:r>
        <w:rPr>
          <w:rFonts w:hint="eastAsia" w:ascii="Times New Roman" w:hAnsi="Times New Roman" w:cs="Times New Roman"/>
          <w:color w:val="auto"/>
          <w:highlight w:val="none"/>
        </w:rPr>
        <w:t>。</w:t>
      </w:r>
    </w:p>
    <w:p w14:paraId="2657F6B6">
      <w:pPr>
        <w:ind w:firstLine="420"/>
        <w:rPr>
          <w:rFonts w:ascii="Times New Roman" w:hAnsi="Times New Roman" w:cs="Times New Roman"/>
          <w:color w:val="auto"/>
          <w:highlight w:val="none"/>
        </w:rPr>
      </w:pPr>
      <w:r>
        <w:rPr>
          <w:rFonts w:ascii="Times New Roman" w:hAnsi="Times New Roman" w:cs="Times New Roman"/>
          <w:color w:val="auto"/>
          <w:highlight w:val="none"/>
        </w:rPr>
        <w:t>（2）</w:t>
      </w:r>
      <w:r>
        <w:rPr>
          <w:rFonts w:hint="eastAsia" w:ascii="Times New Roman" w:hAnsi="Times New Roman" w:cs="Times New Roman"/>
          <w:color w:val="auto"/>
          <w:highlight w:val="none"/>
        </w:rPr>
        <w:t>技术</w:t>
      </w:r>
      <w:r>
        <w:rPr>
          <w:rFonts w:ascii="Times New Roman" w:hAnsi="Times New Roman" w:cs="Times New Roman"/>
          <w:color w:val="auto"/>
          <w:highlight w:val="none"/>
        </w:rPr>
        <w:t>部分评分标准：见评标方法前附表</w:t>
      </w:r>
      <w:r>
        <w:rPr>
          <w:rFonts w:hint="eastAsia" w:ascii="Times New Roman" w:hAnsi="Times New Roman" w:cs="Times New Roman"/>
          <w:color w:val="auto"/>
          <w:highlight w:val="none"/>
        </w:rPr>
        <w:t>。</w:t>
      </w:r>
    </w:p>
    <w:p w14:paraId="52F31300">
      <w:pPr>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商务</w:t>
      </w:r>
      <w:r>
        <w:rPr>
          <w:rFonts w:ascii="Times New Roman" w:hAnsi="Times New Roman" w:cs="Times New Roman"/>
          <w:color w:val="auto"/>
          <w:highlight w:val="none"/>
        </w:rPr>
        <w:t>部分评分标准：见评标方法前附表。</w:t>
      </w:r>
    </w:p>
    <w:p w14:paraId="08DF0ADA">
      <w:pPr>
        <w:pStyle w:val="3"/>
        <w:spacing w:beforeLines="0"/>
        <w:rPr>
          <w:rFonts w:ascii="Times New Roman" w:hAnsi="Times New Roman" w:cs="Times New Roman"/>
          <w:color w:val="auto"/>
          <w:highlight w:val="none"/>
        </w:rPr>
      </w:pPr>
      <w:bookmarkStart w:id="957" w:name="_Toc68090070"/>
      <w:bookmarkStart w:id="958" w:name="_Toc26783941"/>
      <w:bookmarkStart w:id="959" w:name="_Toc49935350"/>
      <w:bookmarkStart w:id="960" w:name="_Toc326218115"/>
      <w:bookmarkStart w:id="961" w:name="_Toc24893"/>
      <w:bookmarkStart w:id="962" w:name="_Toc314817937"/>
      <w:bookmarkStart w:id="963" w:name="OLE_LINK251"/>
      <w:r>
        <w:rPr>
          <w:rFonts w:ascii="Times New Roman" w:hAnsi="Times New Roman" w:cs="Times New Roman"/>
          <w:color w:val="auto"/>
          <w:highlight w:val="none"/>
        </w:rPr>
        <w:t>三、评标程序</w:t>
      </w:r>
      <w:bookmarkEnd w:id="957"/>
      <w:bookmarkEnd w:id="958"/>
      <w:bookmarkEnd w:id="959"/>
      <w:bookmarkEnd w:id="960"/>
      <w:bookmarkEnd w:id="961"/>
      <w:bookmarkEnd w:id="962"/>
    </w:p>
    <w:p w14:paraId="20931E91">
      <w:pPr>
        <w:pStyle w:val="4"/>
        <w:spacing w:beforeLines="0"/>
        <w:ind w:firstLine="482"/>
        <w:rPr>
          <w:rFonts w:ascii="Times New Roman" w:hAnsi="Times New Roman" w:eastAsia="宋体" w:cs="Times New Roman"/>
          <w:color w:val="auto"/>
          <w:highlight w:val="none"/>
        </w:rPr>
      </w:pPr>
      <w:bookmarkStart w:id="964" w:name="_Toc326218116"/>
      <w:bookmarkStart w:id="965" w:name="_Toc314817938"/>
      <w:bookmarkStart w:id="966" w:name="_Toc31789"/>
      <w:bookmarkStart w:id="967" w:name="_Toc26783942"/>
      <w:r>
        <w:rPr>
          <w:rFonts w:ascii="Times New Roman" w:hAnsi="Times New Roman" w:cs="Times New Roman"/>
          <w:color w:val="auto"/>
          <w:highlight w:val="none"/>
        </w:rPr>
        <w:t>1.符合性评审</w:t>
      </w:r>
      <w:bookmarkEnd w:id="964"/>
      <w:bookmarkEnd w:id="965"/>
      <w:bookmarkEnd w:id="966"/>
      <w:bookmarkEnd w:id="967"/>
    </w:p>
    <w:p w14:paraId="4DB32F99">
      <w:pPr>
        <w:ind w:firstLine="420"/>
        <w:rPr>
          <w:rFonts w:ascii="Times New Roman" w:hAnsi="Times New Roman" w:cs="Times New Roman"/>
          <w:color w:val="auto"/>
          <w:szCs w:val="21"/>
          <w:highlight w:val="none"/>
        </w:rPr>
      </w:pPr>
      <w:r>
        <w:rPr>
          <w:rFonts w:ascii="Times New Roman" w:hAnsi="Times New Roman" w:cs="Times New Roman"/>
          <w:color w:val="auto"/>
          <w:highlight w:val="none"/>
        </w:rPr>
        <w:t>1.1评标委员会依据本章</w:t>
      </w:r>
      <w:r>
        <w:rPr>
          <w:rFonts w:hint="eastAsia" w:ascii="Times New Roman" w:hAnsi="Times New Roman" w:cs="Times New Roman"/>
          <w:color w:val="auto"/>
          <w:highlight w:val="none"/>
        </w:rPr>
        <w:t>“</w:t>
      </w:r>
      <w:r>
        <w:rPr>
          <w:rFonts w:ascii="Times New Roman" w:hAnsi="Times New Roman" w:cs="Times New Roman"/>
          <w:color w:val="auto"/>
          <w:highlight w:val="none"/>
        </w:rPr>
        <w:t>第1项规定的标准</w:t>
      </w:r>
      <w:r>
        <w:rPr>
          <w:rFonts w:hint="eastAsia" w:ascii="Times New Roman" w:hAnsi="Times New Roman" w:cs="Times New Roman"/>
          <w:color w:val="auto"/>
          <w:highlight w:val="none"/>
        </w:rPr>
        <w:t>”</w:t>
      </w:r>
      <w:r>
        <w:rPr>
          <w:rFonts w:ascii="Times New Roman" w:hAnsi="Times New Roman" w:cs="Times New Roman"/>
          <w:color w:val="auto"/>
          <w:highlight w:val="none"/>
        </w:rPr>
        <w:t>对投标文件进行符合性评审。有一项不符合评审标准的，作</w:t>
      </w:r>
      <w:bookmarkEnd w:id="937"/>
      <w:r>
        <w:rPr>
          <w:rFonts w:ascii="Times New Roman" w:hAnsi="Times New Roman" w:cs="Times New Roman"/>
          <w:color w:val="auto"/>
          <w:highlight w:val="none"/>
        </w:rPr>
        <w:t>无效投标处理。</w:t>
      </w:r>
    </w:p>
    <w:p w14:paraId="5FEBD3FE">
      <w:pPr>
        <w:ind w:firstLine="420"/>
        <w:rPr>
          <w:rFonts w:ascii="Times New Roman" w:hAnsi="Times New Roman" w:cs="Times New Roman"/>
          <w:color w:val="auto"/>
          <w:highlight w:val="none"/>
        </w:rPr>
      </w:pPr>
      <w:r>
        <w:rPr>
          <w:rFonts w:ascii="Times New Roman" w:hAnsi="Times New Roman" w:cs="Times New Roman"/>
          <w:color w:val="auto"/>
          <w:highlight w:val="none"/>
        </w:rPr>
        <w:t>1.2 投标人有以下情形之一的，其投标作无效投标处理：</w:t>
      </w:r>
    </w:p>
    <w:p w14:paraId="066405AC">
      <w:pPr>
        <w:ind w:firstLine="420"/>
        <w:rPr>
          <w:rFonts w:ascii="Times New Roman" w:hAnsi="Times New Roman" w:cs="Times New Roman"/>
          <w:color w:val="auto"/>
          <w:highlight w:val="none"/>
        </w:rPr>
      </w:pPr>
      <w:r>
        <w:rPr>
          <w:rFonts w:ascii="Times New Roman" w:hAnsi="Times New Roman" w:cs="Times New Roman"/>
          <w:color w:val="auto"/>
          <w:highlight w:val="none"/>
        </w:rPr>
        <w:t>（1）串通投标或弄虚作假或有其他违法行为的</w:t>
      </w:r>
      <w:r>
        <w:rPr>
          <w:rFonts w:hint="eastAsia" w:ascii="Times New Roman" w:hAnsi="Times New Roman" w:cs="Times New Roman"/>
          <w:color w:val="auto"/>
          <w:highlight w:val="none"/>
        </w:rPr>
        <w:t>。</w:t>
      </w:r>
    </w:p>
    <w:p w14:paraId="10474676">
      <w:pPr>
        <w:ind w:firstLine="420"/>
        <w:rPr>
          <w:rFonts w:ascii="Times New Roman" w:hAnsi="Times New Roman" w:cs="Times New Roman"/>
          <w:color w:val="auto"/>
          <w:highlight w:val="none"/>
        </w:rPr>
      </w:pPr>
      <w:r>
        <w:rPr>
          <w:rFonts w:ascii="Times New Roman" w:hAnsi="Times New Roman" w:cs="Times New Roman"/>
          <w:color w:val="auto"/>
          <w:highlight w:val="none"/>
        </w:rPr>
        <w:t>（2）不按评标委员会要求澄清、说明或补正的。</w:t>
      </w:r>
    </w:p>
    <w:p w14:paraId="6C52FE91">
      <w:pPr>
        <w:ind w:firstLine="420"/>
        <w:rPr>
          <w:rFonts w:ascii="Times New Roman" w:hAnsi="Times New Roman" w:cs="Times New Roman"/>
          <w:color w:val="auto"/>
          <w:highlight w:val="none"/>
        </w:rPr>
      </w:pPr>
      <w:bookmarkStart w:id="968" w:name="_Toc26783943"/>
      <w:bookmarkStart w:id="969" w:name="_Toc314817939"/>
      <w:bookmarkStart w:id="970" w:name="_Toc326218117"/>
      <w:bookmarkStart w:id="971" w:name="_Toc7794"/>
      <w:r>
        <w:rPr>
          <w:rFonts w:ascii="Times New Roman" w:hAnsi="Times New Roman" w:cs="Times New Roman"/>
          <w:color w:val="auto"/>
          <w:highlight w:val="none"/>
        </w:rPr>
        <w:t>（3）</w:t>
      </w:r>
      <w:r>
        <w:rPr>
          <w:rFonts w:hint="eastAsia" w:ascii="Times New Roman" w:hAnsi="Times New Roman" w:cs="Times New Roman"/>
          <w:color w:val="auto"/>
          <w:highlight w:val="none"/>
        </w:rPr>
        <w:t>启动异常低价投标审查程序后，评审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4CE3F5A2">
      <w:pPr>
        <w:pStyle w:val="4"/>
        <w:spacing w:beforeLines="0"/>
        <w:ind w:firstLine="482"/>
        <w:rPr>
          <w:rFonts w:ascii="Times New Roman" w:hAnsi="Times New Roman" w:cs="Times New Roman"/>
          <w:color w:val="auto"/>
          <w:highlight w:val="none"/>
        </w:rPr>
      </w:pPr>
      <w:r>
        <w:rPr>
          <w:rFonts w:ascii="Times New Roman" w:hAnsi="Times New Roman" w:cs="Times New Roman"/>
          <w:color w:val="auto"/>
          <w:highlight w:val="none"/>
        </w:rPr>
        <w:t>2.详细评审</w:t>
      </w:r>
      <w:bookmarkEnd w:id="968"/>
      <w:bookmarkEnd w:id="969"/>
      <w:bookmarkEnd w:id="970"/>
      <w:bookmarkEnd w:id="971"/>
    </w:p>
    <w:p w14:paraId="3F2B7F68">
      <w:pPr>
        <w:ind w:firstLine="420"/>
        <w:rPr>
          <w:rFonts w:ascii="Times New Roman" w:hAnsi="Times New Roman" w:cs="Times New Roman"/>
          <w:color w:val="auto"/>
          <w:szCs w:val="21"/>
          <w:highlight w:val="none"/>
        </w:rPr>
      </w:pPr>
      <w:r>
        <w:rPr>
          <w:rFonts w:ascii="Times New Roman" w:hAnsi="Times New Roman" w:cs="Times New Roman"/>
          <w:color w:val="auto"/>
          <w:highlight w:val="none"/>
        </w:rPr>
        <w:t>2.1 评标委员会按本章</w:t>
      </w:r>
      <w:bookmarkStart w:id="972" w:name="_Hlk478979552"/>
      <w:r>
        <w:rPr>
          <w:rFonts w:hint="eastAsia" w:ascii="Times New Roman" w:hAnsi="Times New Roman" w:cs="Times New Roman"/>
          <w:color w:val="auto"/>
          <w:highlight w:val="none"/>
        </w:rPr>
        <w:t>“</w:t>
      </w:r>
      <w:r>
        <w:rPr>
          <w:rFonts w:ascii="Times New Roman" w:hAnsi="Times New Roman" w:cs="Times New Roman"/>
          <w:color w:val="auto"/>
          <w:highlight w:val="none"/>
        </w:rPr>
        <w:t>二、评审标准</w:t>
      </w:r>
      <w:r>
        <w:rPr>
          <w:rFonts w:hint="eastAsia" w:ascii="Times New Roman" w:hAnsi="Times New Roman" w:cs="Times New Roman"/>
          <w:color w:val="auto"/>
          <w:highlight w:val="none"/>
        </w:rPr>
        <w:t>”</w:t>
      </w:r>
      <w:r>
        <w:rPr>
          <w:rFonts w:ascii="Times New Roman" w:hAnsi="Times New Roman" w:cs="Times New Roman"/>
          <w:color w:val="auto"/>
          <w:highlight w:val="none"/>
        </w:rPr>
        <w:t>第2.3款</w:t>
      </w:r>
      <w:bookmarkEnd w:id="972"/>
      <w:r>
        <w:rPr>
          <w:rFonts w:ascii="Times New Roman" w:hAnsi="Times New Roman" w:cs="Times New Roman"/>
          <w:color w:val="auto"/>
          <w:highlight w:val="none"/>
        </w:rPr>
        <w:t>规定的量化因素和分值进行打分，并计算出投标人的评标总得分。</w:t>
      </w:r>
    </w:p>
    <w:p w14:paraId="4FD3648E">
      <w:pPr>
        <w:ind w:firstLine="420"/>
        <w:rPr>
          <w:rFonts w:ascii="Times New Roman" w:hAnsi="Times New Roman" w:cs="Times New Roman"/>
          <w:color w:val="auto"/>
          <w:highlight w:val="none"/>
        </w:rPr>
      </w:pPr>
      <w:r>
        <w:rPr>
          <w:rFonts w:ascii="Times New Roman" w:hAnsi="Times New Roman" w:cs="Times New Roman"/>
          <w:color w:val="auto"/>
          <w:highlight w:val="none"/>
        </w:rPr>
        <w:t>（1）按本章第2.3（1）目规定的评审因素和分值对投标报价计算出得分F1</w:t>
      </w:r>
      <w:r>
        <w:rPr>
          <w:rFonts w:hint="eastAsia" w:ascii="Times New Roman" w:hAnsi="Times New Roman" w:cs="Times New Roman"/>
          <w:color w:val="auto"/>
          <w:highlight w:val="none"/>
        </w:rPr>
        <w:t>。</w:t>
      </w:r>
    </w:p>
    <w:p w14:paraId="06C4FA53">
      <w:pPr>
        <w:ind w:firstLine="420"/>
        <w:rPr>
          <w:rFonts w:ascii="Times New Roman" w:hAnsi="Times New Roman" w:cs="Times New Roman"/>
          <w:color w:val="auto"/>
          <w:highlight w:val="none"/>
        </w:rPr>
      </w:pPr>
      <w:r>
        <w:rPr>
          <w:rFonts w:ascii="Times New Roman" w:hAnsi="Times New Roman" w:cs="Times New Roman"/>
          <w:color w:val="auto"/>
          <w:highlight w:val="none"/>
        </w:rPr>
        <w:t>（2）按本章第2.3（2）目规定的评审因素和分值对</w:t>
      </w:r>
      <w:r>
        <w:rPr>
          <w:rFonts w:hint="eastAsia" w:ascii="Times New Roman" w:hAnsi="Times New Roman" w:cs="Times New Roman"/>
          <w:color w:val="auto"/>
          <w:highlight w:val="none"/>
        </w:rPr>
        <w:t>技术</w:t>
      </w:r>
      <w:r>
        <w:rPr>
          <w:rFonts w:ascii="Times New Roman" w:hAnsi="Times New Roman" w:cs="Times New Roman"/>
          <w:color w:val="auto"/>
          <w:highlight w:val="none"/>
        </w:rPr>
        <w:t>部分计算出得分F2</w:t>
      </w:r>
      <w:r>
        <w:rPr>
          <w:rFonts w:hint="eastAsia" w:ascii="Times New Roman" w:hAnsi="Times New Roman" w:cs="Times New Roman"/>
          <w:color w:val="auto"/>
          <w:highlight w:val="none"/>
        </w:rPr>
        <w:t>。</w:t>
      </w:r>
    </w:p>
    <w:p w14:paraId="688DF355">
      <w:pPr>
        <w:ind w:firstLine="420"/>
        <w:rPr>
          <w:rFonts w:ascii="Times New Roman" w:hAnsi="Times New Roman" w:cs="Times New Roman"/>
          <w:color w:val="auto"/>
          <w:highlight w:val="none"/>
        </w:rPr>
      </w:pPr>
      <w:r>
        <w:rPr>
          <w:rFonts w:ascii="Times New Roman" w:hAnsi="Times New Roman" w:cs="Times New Roman"/>
          <w:color w:val="auto"/>
          <w:highlight w:val="none"/>
        </w:rPr>
        <w:t>（3）按本章第2.3（3）目规定的评审因素和分值对</w:t>
      </w:r>
      <w:r>
        <w:rPr>
          <w:rFonts w:hint="eastAsia" w:ascii="Times New Roman" w:hAnsi="Times New Roman" w:cs="Times New Roman"/>
          <w:color w:val="auto"/>
          <w:highlight w:val="none"/>
        </w:rPr>
        <w:t>商务</w:t>
      </w:r>
      <w:r>
        <w:rPr>
          <w:rFonts w:ascii="Times New Roman" w:hAnsi="Times New Roman" w:cs="Times New Roman"/>
          <w:color w:val="auto"/>
          <w:highlight w:val="none"/>
        </w:rPr>
        <w:t>部分计算出得分F3</w:t>
      </w:r>
      <w:r>
        <w:rPr>
          <w:rFonts w:hint="eastAsia" w:ascii="Times New Roman" w:hAnsi="Times New Roman" w:cs="Times New Roman"/>
          <w:color w:val="auto"/>
          <w:highlight w:val="none"/>
        </w:rPr>
        <w:t>。</w:t>
      </w:r>
    </w:p>
    <w:p w14:paraId="0D4A33FF">
      <w:pPr>
        <w:ind w:firstLine="420"/>
        <w:rPr>
          <w:rFonts w:ascii="Times New Roman" w:hAnsi="Times New Roman" w:cs="Times New Roman"/>
          <w:color w:val="auto"/>
          <w:highlight w:val="none"/>
        </w:rPr>
      </w:pPr>
      <w:r>
        <w:rPr>
          <w:rFonts w:ascii="Times New Roman" w:hAnsi="Times New Roman" w:cs="Times New Roman"/>
          <w:color w:val="auto"/>
          <w:highlight w:val="none"/>
        </w:rPr>
        <w:t>（4）汇总F1、F2、F3得分即为评标总得分。</w:t>
      </w:r>
    </w:p>
    <w:p w14:paraId="508377C0">
      <w:pPr>
        <w:ind w:firstLine="420"/>
        <w:rPr>
          <w:rFonts w:ascii="Times New Roman" w:hAnsi="Times New Roman" w:cs="Times New Roman"/>
          <w:color w:val="auto"/>
          <w:highlight w:val="none"/>
        </w:rPr>
      </w:pPr>
      <w:r>
        <w:rPr>
          <w:rFonts w:ascii="Times New Roman" w:hAnsi="Times New Roman" w:cs="Times New Roman"/>
          <w:color w:val="auto"/>
          <w:highlight w:val="none"/>
        </w:rPr>
        <w:t>2.2</w:t>
      </w:r>
      <w:r>
        <w:rPr>
          <w:rFonts w:hint="eastAsia" w:ascii="Times New Roman" w:hAnsi="Times New Roman" w:cs="Times New Roman"/>
          <w:color w:val="auto"/>
          <w:highlight w:val="none"/>
        </w:rPr>
        <w:t>技术</w:t>
      </w:r>
      <w:r>
        <w:rPr>
          <w:rFonts w:ascii="Times New Roman" w:hAnsi="Times New Roman" w:cs="Times New Roman"/>
          <w:color w:val="auto"/>
          <w:highlight w:val="none"/>
        </w:rPr>
        <w:t>部分（F2）和</w:t>
      </w:r>
      <w:r>
        <w:rPr>
          <w:rFonts w:hint="eastAsia" w:ascii="Times New Roman" w:hAnsi="Times New Roman" w:cs="Times New Roman"/>
          <w:color w:val="auto"/>
          <w:highlight w:val="none"/>
        </w:rPr>
        <w:t>商务</w:t>
      </w:r>
      <w:r>
        <w:rPr>
          <w:rFonts w:ascii="Times New Roman" w:hAnsi="Times New Roman" w:cs="Times New Roman"/>
          <w:color w:val="auto"/>
          <w:highlight w:val="none"/>
        </w:rPr>
        <w:t>部分（F3）得分由评标委员会成员独立评分，计算各投标人得分的算术平均值计入各投标人总分。</w:t>
      </w:r>
    </w:p>
    <w:p w14:paraId="7AB0B49F">
      <w:pPr>
        <w:ind w:firstLine="420"/>
        <w:rPr>
          <w:rFonts w:ascii="Times New Roman" w:hAnsi="Times New Roman" w:cs="Times New Roman"/>
          <w:color w:val="auto"/>
          <w:highlight w:val="none"/>
        </w:rPr>
      </w:pPr>
      <w:r>
        <w:rPr>
          <w:rFonts w:ascii="Times New Roman" w:hAnsi="Times New Roman" w:cs="Times New Roman"/>
          <w:color w:val="auto"/>
          <w:highlight w:val="none"/>
        </w:rPr>
        <w:t>2.3评标委员会成员要依法独立评审，并对评审意见承担个人责任。评标委员会成员对需要共同认定的事项存在争议的，应当按照少数服从多数的原则作出结论。持不同意见的评标委员会成员应当在评标报告上签署不同意见及理由，否则视为同意评标报告。</w:t>
      </w:r>
    </w:p>
    <w:p w14:paraId="7582618E">
      <w:pPr>
        <w:ind w:firstLine="420"/>
        <w:rPr>
          <w:rFonts w:ascii="Times New Roman" w:hAnsi="Times New Roman" w:cs="Times New Roman"/>
          <w:color w:val="auto"/>
          <w:highlight w:val="none"/>
        </w:rPr>
      </w:pPr>
      <w:r>
        <w:rPr>
          <w:rFonts w:ascii="Times New Roman" w:hAnsi="Times New Roman" w:cs="Times New Roman"/>
          <w:color w:val="auto"/>
          <w:highlight w:val="none"/>
        </w:rPr>
        <w:t>2.4评标中若遇特殊问题，由评标委员会根据有关法律、法规研究决定。</w:t>
      </w:r>
    </w:p>
    <w:p w14:paraId="7C91A565">
      <w:pPr>
        <w:pStyle w:val="4"/>
        <w:spacing w:beforeLines="0"/>
        <w:ind w:firstLine="482"/>
        <w:rPr>
          <w:rFonts w:ascii="Times New Roman" w:hAnsi="Times New Roman" w:cs="Times New Roman"/>
          <w:color w:val="auto"/>
          <w:highlight w:val="none"/>
        </w:rPr>
      </w:pPr>
      <w:bookmarkStart w:id="973" w:name="_Toc326218119"/>
      <w:bookmarkStart w:id="974" w:name="_Toc314817941"/>
      <w:bookmarkStart w:id="975" w:name="_Toc31258"/>
      <w:bookmarkStart w:id="976" w:name="_Toc26783945"/>
      <w:r>
        <w:rPr>
          <w:rFonts w:hint="eastAsia" w:ascii="Times New Roman" w:hAnsi="Times New Roman" w:cs="Times New Roman"/>
          <w:color w:val="auto"/>
          <w:highlight w:val="none"/>
        </w:rPr>
        <w:t>3</w:t>
      </w:r>
      <w:r>
        <w:rPr>
          <w:rFonts w:ascii="Times New Roman" w:hAnsi="Times New Roman" w:cs="Times New Roman"/>
          <w:color w:val="auto"/>
          <w:highlight w:val="none"/>
        </w:rPr>
        <w:t>.评标结果</w:t>
      </w:r>
      <w:bookmarkEnd w:id="973"/>
      <w:bookmarkEnd w:id="974"/>
      <w:bookmarkEnd w:id="975"/>
      <w:bookmarkEnd w:id="976"/>
    </w:p>
    <w:p w14:paraId="3D18987F">
      <w:pPr>
        <w:ind w:firstLine="420"/>
        <w:rPr>
          <w:rFonts w:ascii="Times New Roman" w:hAnsi="Times New Roman" w:cs="Times New Roman"/>
          <w:color w:val="auto"/>
          <w:szCs w:val="21"/>
          <w:highlight w:val="none"/>
        </w:rPr>
      </w:pPr>
      <w:r>
        <w:rPr>
          <w:rFonts w:hint="eastAsia" w:ascii="Times New Roman" w:hAnsi="Times New Roman" w:cs="Times New Roman"/>
          <w:color w:val="auto"/>
          <w:highlight w:val="none"/>
        </w:rPr>
        <w:t>3</w:t>
      </w:r>
      <w:r>
        <w:rPr>
          <w:rFonts w:ascii="Times New Roman" w:hAnsi="Times New Roman" w:cs="Times New Roman"/>
          <w:color w:val="auto"/>
          <w:highlight w:val="none"/>
        </w:rPr>
        <w:t xml:space="preserve">.1 </w:t>
      </w:r>
      <w:r>
        <w:rPr>
          <w:rFonts w:hint="eastAsia" w:ascii="Times New Roman" w:hAnsi="Times New Roman" w:cs="Times New Roman"/>
          <w:color w:val="auto"/>
          <w:highlight w:val="none"/>
        </w:rPr>
        <w:t>本项目采用综合评分法</w:t>
      </w:r>
      <w:r>
        <w:rPr>
          <w:rFonts w:ascii="Times New Roman" w:hAnsi="Times New Roman" w:cs="Times New Roman"/>
          <w:color w:val="auto"/>
          <w:highlight w:val="none"/>
        </w:rPr>
        <w:t>，评标结果按评审后得分由高到低顺序排列。得分相同的，按投标报价由低到高顺序排列。得分且投标报价相同的</w:t>
      </w:r>
      <w:bookmarkStart w:id="977" w:name="OLE_LINK252"/>
      <w:r>
        <w:rPr>
          <w:rFonts w:ascii="Times New Roman" w:hAnsi="Times New Roman" w:cs="Times New Roman"/>
          <w:color w:val="auto"/>
          <w:highlight w:val="none"/>
        </w:rPr>
        <w:t>并列</w:t>
      </w:r>
      <w:bookmarkEnd w:id="977"/>
      <w:r>
        <w:rPr>
          <w:rFonts w:ascii="Times New Roman" w:hAnsi="Times New Roman" w:cs="Times New Roman"/>
          <w:color w:val="auto"/>
          <w:highlight w:val="none"/>
        </w:rPr>
        <w:t>。投标文件满足招标文件全部实质性要求，且按照评审因素的量化指标评审得分最高的投标人为排名第一的中标候选人。</w:t>
      </w:r>
    </w:p>
    <w:p w14:paraId="0BDCB3A7">
      <w:pPr>
        <w:ind w:firstLine="420"/>
        <w:rPr>
          <w:rFonts w:ascii="Times New Roman" w:hAnsi="Times New Roman" w:cs="Times New Roman"/>
          <w:color w:val="auto"/>
          <w:highlight w:val="none"/>
        </w:rPr>
      </w:pPr>
      <w:r>
        <w:rPr>
          <w:rFonts w:hint="eastAsia" w:ascii="Times New Roman" w:hAnsi="Times New Roman" w:cs="Times New Roman"/>
          <w:color w:val="auto"/>
          <w:highlight w:val="none"/>
        </w:rPr>
        <w:t>3</w:t>
      </w:r>
      <w:r>
        <w:rPr>
          <w:rFonts w:ascii="Times New Roman" w:hAnsi="Times New Roman" w:cs="Times New Roman"/>
          <w:color w:val="auto"/>
          <w:highlight w:val="none"/>
        </w:rPr>
        <w:t>.2 采购人根据评标委员会提出的书面评标报告和推荐的中标候选人名单，确定中标人。</w:t>
      </w:r>
    </w:p>
    <w:p w14:paraId="4AEECCC8">
      <w:pPr>
        <w:ind w:firstLine="420"/>
        <w:rPr>
          <w:rFonts w:ascii="Times New Roman" w:hAnsi="Times New Roman" w:cs="Times New Roman"/>
          <w:color w:val="auto"/>
          <w:szCs w:val="21"/>
          <w:highlight w:val="none"/>
        </w:rPr>
      </w:pPr>
      <w:r>
        <w:rPr>
          <w:rFonts w:hint="eastAsia" w:ascii="Times New Roman" w:hAnsi="Times New Roman" w:cs="Times New Roman"/>
          <w:color w:val="auto"/>
          <w:highlight w:val="none"/>
        </w:rPr>
        <w:t>3.3</w:t>
      </w:r>
      <w:r>
        <w:rPr>
          <w:rFonts w:ascii="Times New Roman" w:hAnsi="Times New Roman" w:cs="Times New Roman"/>
          <w:color w:val="auto"/>
          <w:highlight w:val="none"/>
        </w:rPr>
        <w:t>提供相同品牌产品且通过资格审查、符合性审查的不同投标人参加同一合同项下投标的，按一家投标人计算，评审后得分最高的同品牌投标人获得中标人推荐资格；评审得分相同的，</w:t>
      </w:r>
      <w:r>
        <w:rPr>
          <w:rFonts w:hint="eastAsia" w:ascii="Times New Roman" w:hAnsi="Times New Roman" w:cs="Times New Roman"/>
          <w:color w:val="auto"/>
          <w:highlight w:val="none"/>
        </w:rPr>
        <w:t>由采购人或者采购人委托评标委员会按照招标文件规定的方式确定一个投标人获得中标人推荐资格，招标文件未规定的采取随机抽取方式确定，其他同品牌投标人不作为中标候选人</w:t>
      </w:r>
      <w:r>
        <w:rPr>
          <w:rFonts w:ascii="Times New Roman" w:hAnsi="Times New Roman" w:cs="Times New Roman"/>
          <w:color w:val="auto"/>
          <w:highlight w:val="none"/>
        </w:rPr>
        <w:t>。</w:t>
      </w:r>
    </w:p>
    <w:p w14:paraId="3AF454F8">
      <w:pPr>
        <w:ind w:firstLine="420"/>
        <w:rPr>
          <w:rFonts w:ascii="Times New Roman" w:hAnsi="Times New Roman" w:cs="Times New Roman"/>
          <w:color w:val="auto"/>
          <w:highlight w:val="none"/>
        </w:rPr>
      </w:pPr>
      <w:r>
        <w:rPr>
          <w:rFonts w:hint="eastAsia" w:ascii="Times New Roman" w:hAnsi="Times New Roman" w:cs="Times New Roman"/>
          <w:color w:val="auto"/>
          <w:highlight w:val="none"/>
        </w:rPr>
        <w:t>3.4</w:t>
      </w:r>
      <w:r>
        <w:rPr>
          <w:rFonts w:ascii="Times New Roman" w:hAnsi="Times New Roman" w:cs="Times New Roman"/>
          <w:color w:val="auto"/>
          <w:highlight w:val="none"/>
        </w:rPr>
        <w:t>非单一产品采购项目，多家投标人提供的核心产品品牌（核心产品由采购人根据采购项目技术构成、产品价格比重等确定）均相同的，按前款规定处理。</w:t>
      </w:r>
    </w:p>
    <w:p w14:paraId="44B6C2BB">
      <w:pPr>
        <w:pStyle w:val="3"/>
        <w:spacing w:beforeLines="0"/>
        <w:rPr>
          <w:rFonts w:ascii="Times New Roman" w:hAnsi="Times New Roman" w:cs="Times New Roman"/>
          <w:color w:val="auto"/>
          <w:highlight w:val="none"/>
        </w:rPr>
      </w:pPr>
      <w:bookmarkStart w:id="978" w:name="_Toc49935351"/>
      <w:bookmarkStart w:id="979" w:name="_Toc26783946"/>
      <w:bookmarkStart w:id="980" w:name="_Toc3246"/>
      <w:bookmarkStart w:id="981" w:name="_Toc68090071"/>
      <w:r>
        <w:rPr>
          <w:rFonts w:ascii="Times New Roman" w:hAnsi="Times New Roman" w:cs="Times New Roman"/>
          <w:color w:val="auto"/>
          <w:highlight w:val="none"/>
        </w:rPr>
        <w:t>四、</w:t>
      </w:r>
      <w:bookmarkStart w:id="982" w:name="OLE_LINK128"/>
      <w:r>
        <w:rPr>
          <w:rFonts w:ascii="Times New Roman" w:hAnsi="Times New Roman" w:cs="Times New Roman"/>
          <w:color w:val="auto"/>
          <w:highlight w:val="none"/>
        </w:rPr>
        <w:t>其它</w:t>
      </w:r>
      <w:bookmarkEnd w:id="978"/>
      <w:bookmarkEnd w:id="979"/>
      <w:bookmarkEnd w:id="980"/>
      <w:bookmarkEnd w:id="981"/>
      <w:bookmarkStart w:id="983" w:name="OLE_LINK256"/>
    </w:p>
    <w:p w14:paraId="21125FAF">
      <w:pPr>
        <w:pStyle w:val="4"/>
        <w:spacing w:beforeLines="0"/>
        <w:ind w:firstLine="482"/>
        <w:rPr>
          <w:rFonts w:ascii="Times New Roman" w:hAnsi="Times New Roman" w:eastAsia="宋体" w:cs="Times New Roman"/>
          <w:color w:val="auto"/>
          <w:highlight w:val="none"/>
        </w:rPr>
      </w:pPr>
      <w:bookmarkStart w:id="984" w:name="_Toc26783947"/>
      <w:bookmarkStart w:id="985" w:name="_Toc23931"/>
      <w:bookmarkStart w:id="986" w:name="OLE_LINK134"/>
      <w:r>
        <w:rPr>
          <w:rFonts w:ascii="Times New Roman" w:hAnsi="Times New Roman" w:cs="Times New Roman"/>
          <w:color w:val="auto"/>
          <w:highlight w:val="none"/>
        </w:rPr>
        <w:t>1.关于中小企业</w:t>
      </w:r>
      <w:bookmarkEnd w:id="984"/>
      <w:bookmarkEnd w:id="985"/>
    </w:p>
    <w:p w14:paraId="2EEADD04">
      <w:pPr>
        <w:ind w:firstLine="420"/>
        <w:rPr>
          <w:rFonts w:ascii="Times New Roman" w:hAnsi="Times New Roman" w:cs="Times New Roman"/>
          <w:color w:val="auto"/>
          <w:szCs w:val="21"/>
          <w:highlight w:val="none"/>
        </w:rPr>
      </w:pPr>
      <w:r>
        <w:rPr>
          <w:rFonts w:ascii="Times New Roman" w:hAnsi="Times New Roman" w:cs="Times New Roman"/>
          <w:color w:val="auto"/>
          <w:highlight w:val="none"/>
        </w:rPr>
        <w:t>1.1根据《关</w:t>
      </w:r>
      <w:bookmarkEnd w:id="982"/>
      <w:r>
        <w:rPr>
          <w:rFonts w:ascii="Times New Roman" w:hAnsi="Times New Roman" w:cs="Times New Roman"/>
          <w:color w:val="auto"/>
          <w:highlight w:val="none"/>
        </w:rPr>
        <w:t>于印发</w:t>
      </w:r>
      <w:r>
        <w:rPr>
          <w:rFonts w:hint="eastAsia" w:ascii="Times New Roman" w:hAnsi="Times New Roman" w:cs="Times New Roman"/>
          <w:color w:val="auto"/>
          <w:highlight w:val="none"/>
        </w:rPr>
        <w:t>〈</w:t>
      </w:r>
      <w:r>
        <w:rPr>
          <w:rFonts w:ascii="Times New Roman" w:hAnsi="Times New Roman" w:cs="Times New Roman"/>
          <w:color w:val="auto"/>
          <w:highlight w:val="none"/>
        </w:rPr>
        <w:t>政府采购促进中小企业发展管理办法</w:t>
      </w:r>
      <w:r>
        <w:rPr>
          <w:rFonts w:hint="eastAsia" w:ascii="Times New Roman" w:hAnsi="Times New Roman" w:cs="Times New Roman"/>
          <w:color w:val="auto"/>
          <w:highlight w:val="none"/>
        </w:rPr>
        <w:t>〉的通知》</w:t>
      </w:r>
      <w:r>
        <w:rPr>
          <w:rFonts w:ascii="Times New Roman" w:hAnsi="Times New Roman" w:cs="Times New Roman"/>
          <w:color w:val="auto"/>
          <w:highlight w:val="none"/>
        </w:rPr>
        <w:t>（财库〔2020〕46号）的规定，中小企业（含中型、小型、微型企业，下同）应当同时符合以下条件：</w:t>
      </w:r>
    </w:p>
    <w:p w14:paraId="2FBE920F">
      <w:pPr>
        <w:ind w:firstLine="420"/>
        <w:rPr>
          <w:rFonts w:ascii="Times New Roman" w:hAnsi="Times New Roman" w:cs="Times New Roman"/>
          <w:color w:val="auto"/>
          <w:highlight w:val="none"/>
        </w:rPr>
      </w:pPr>
      <w:r>
        <w:rPr>
          <w:rFonts w:ascii="Times New Roman" w:hAnsi="Times New Roman" w:cs="Times New Roman"/>
          <w:color w:val="auto"/>
          <w:highlight w:val="none"/>
        </w:rPr>
        <w:t>（1）在中华人民共和国境内依法设立，依据国务院批准的中小企业划分标准确定的中型企业、小型企业和微型企业，但与大企业的负责人为同一人，或者与大企业存在直接控股、管理关系的除外；</w:t>
      </w:r>
    </w:p>
    <w:p w14:paraId="78CCB67C">
      <w:pPr>
        <w:ind w:firstLine="420"/>
        <w:rPr>
          <w:rFonts w:ascii="Times New Roman" w:hAnsi="Times New Roman" w:cs="Times New Roman"/>
          <w:color w:val="auto"/>
          <w:highlight w:val="none"/>
        </w:rPr>
      </w:pPr>
      <w:r>
        <w:rPr>
          <w:rFonts w:ascii="Times New Roman" w:hAnsi="Times New Roman" w:cs="Times New Roman"/>
          <w:color w:val="auto"/>
          <w:highlight w:val="none"/>
        </w:rPr>
        <w:t>（2）符合中小企业划分标准的个体工商户，在政府采购活动中视同中小企业。</w:t>
      </w:r>
    </w:p>
    <w:p w14:paraId="46FF4F83">
      <w:pPr>
        <w:ind w:firstLine="420"/>
        <w:rPr>
          <w:rFonts w:ascii="Times New Roman" w:hAnsi="Times New Roman" w:cs="Times New Roman"/>
          <w:color w:val="auto"/>
          <w:highlight w:val="none"/>
        </w:rPr>
      </w:pPr>
      <w:r>
        <w:rPr>
          <w:rFonts w:ascii="Times New Roman" w:hAnsi="Times New Roman" w:cs="Times New Roman"/>
          <w:color w:val="auto"/>
          <w:highlight w:val="none"/>
        </w:rPr>
        <w:t>1.2本规定所称中小企业划分标准，是指国务院有关部门根据企业从业人员、营业收入、资产总额等指标制定的中小企业划型标准，详见《关于印发中小企业划型标准规定的通知》（工信部联企业〔2011〕300号）。</w:t>
      </w:r>
    </w:p>
    <w:p w14:paraId="7C696972">
      <w:pPr>
        <w:ind w:firstLine="420"/>
        <w:rPr>
          <w:rFonts w:ascii="Times New Roman" w:hAnsi="Times New Roman" w:cs="Times New Roman"/>
          <w:color w:val="auto"/>
          <w:highlight w:val="none"/>
        </w:rPr>
      </w:pPr>
      <w:r>
        <w:rPr>
          <w:rFonts w:ascii="Times New Roman" w:hAnsi="Times New Roman" w:cs="Times New Roman"/>
          <w:color w:val="auto"/>
          <w:highlight w:val="none"/>
        </w:rPr>
        <w:t>1.3在政府采购活动中，投标人提供的货物、工程或者服务符合下列情形的，享受本办法规定的中小企业扶持政策：</w:t>
      </w:r>
    </w:p>
    <w:bookmarkEnd w:id="963"/>
    <w:p w14:paraId="0FD25FE7">
      <w:pPr>
        <w:ind w:firstLine="420"/>
        <w:rPr>
          <w:rFonts w:ascii="Times New Roman" w:hAnsi="Times New Roman" w:cs="Times New Roman"/>
          <w:color w:val="auto"/>
          <w:highlight w:val="none"/>
        </w:rPr>
      </w:pPr>
      <w:r>
        <w:rPr>
          <w:rFonts w:ascii="Times New Roman" w:hAnsi="Times New Roman" w:cs="Times New Roman"/>
          <w:color w:val="auto"/>
          <w:highlight w:val="none"/>
        </w:rPr>
        <w:t>（1）在货物采购项目中，货物由中小企业制造，即货物由中小企业生产且使用该中小企业商号或者注册商标；</w:t>
      </w:r>
    </w:p>
    <w:p w14:paraId="0809FE29">
      <w:pPr>
        <w:ind w:firstLine="420"/>
        <w:rPr>
          <w:rFonts w:ascii="Times New Roman" w:hAnsi="Times New Roman" w:cs="Times New Roman"/>
          <w:color w:val="auto"/>
          <w:highlight w:val="none"/>
        </w:rPr>
      </w:pPr>
      <w:r>
        <w:rPr>
          <w:rFonts w:ascii="Times New Roman" w:hAnsi="Times New Roman" w:cs="Times New Roman"/>
          <w:color w:val="auto"/>
          <w:highlight w:val="none"/>
        </w:rPr>
        <w:t>（2）在工程采购项目中，工程由中小企业承建，即工程施工单位为中小企业；</w:t>
      </w:r>
    </w:p>
    <w:p w14:paraId="056E5E81">
      <w:pPr>
        <w:ind w:firstLine="420"/>
        <w:rPr>
          <w:rFonts w:ascii="Times New Roman" w:hAnsi="Times New Roman" w:cs="Times New Roman"/>
          <w:color w:val="auto"/>
          <w:highlight w:val="none"/>
        </w:rPr>
      </w:pPr>
      <w:r>
        <w:rPr>
          <w:rFonts w:ascii="Times New Roman" w:hAnsi="Times New Roman" w:cs="Times New Roman"/>
          <w:color w:val="auto"/>
          <w:highlight w:val="none"/>
        </w:rPr>
        <w:t>（3）在服务采购项目中，服务由中小企业承接，即提供服务的人员为中小企业依照《中华人民共和国劳动合同法》订立劳动合同的从业人员。</w:t>
      </w:r>
    </w:p>
    <w:p w14:paraId="4E4BA27B">
      <w:pPr>
        <w:ind w:firstLine="420"/>
        <w:rPr>
          <w:rFonts w:ascii="Times New Roman" w:hAnsi="Times New Roman" w:cs="Times New Roman"/>
          <w:color w:val="auto"/>
          <w:highlight w:val="none"/>
        </w:rPr>
      </w:pPr>
      <w:r>
        <w:rPr>
          <w:rFonts w:ascii="Times New Roman" w:hAnsi="Times New Roman" w:cs="Times New Roman"/>
          <w:color w:val="auto"/>
          <w:highlight w:val="none"/>
        </w:rPr>
        <w:t>1.4在货物采购项目中，投标人提供的货物既有中小企业制造货物，也有大型</w:t>
      </w:r>
      <w:r>
        <w:rPr>
          <w:rFonts w:hint="eastAsia" w:ascii="Times New Roman" w:hAnsi="Times New Roman" w:cs="Times New Roman"/>
          <w:color w:val="auto"/>
          <w:highlight w:val="none"/>
        </w:rPr>
        <w:t>企</w:t>
      </w:r>
      <w:r>
        <w:rPr>
          <w:rFonts w:ascii="Times New Roman" w:hAnsi="Times New Roman" w:cs="Times New Roman"/>
          <w:color w:val="auto"/>
          <w:highlight w:val="none"/>
        </w:rPr>
        <w:t>业制造货物的，不享受《关于印发</w:t>
      </w:r>
      <w:r>
        <w:rPr>
          <w:rFonts w:hint="eastAsia" w:ascii="Times New Roman" w:hAnsi="Times New Roman" w:cs="Times New Roman"/>
          <w:color w:val="auto"/>
          <w:highlight w:val="none"/>
        </w:rPr>
        <w:t>〈</w:t>
      </w:r>
      <w:r>
        <w:rPr>
          <w:rFonts w:ascii="Times New Roman" w:hAnsi="Times New Roman" w:cs="Times New Roman"/>
          <w:color w:val="auto"/>
          <w:highlight w:val="none"/>
        </w:rPr>
        <w:t>政府采购促进中小企业发展管理办法</w:t>
      </w:r>
      <w:r>
        <w:rPr>
          <w:rFonts w:hint="eastAsia" w:ascii="Times New Roman" w:hAnsi="Times New Roman" w:cs="Times New Roman"/>
          <w:color w:val="auto"/>
          <w:highlight w:val="none"/>
        </w:rPr>
        <w:t>〉的通知》</w:t>
      </w:r>
      <w:r>
        <w:rPr>
          <w:rFonts w:ascii="Times New Roman" w:hAnsi="Times New Roman" w:cs="Times New Roman"/>
          <w:color w:val="auto"/>
          <w:highlight w:val="none"/>
        </w:rPr>
        <w:t>（财库〔2020〕46号）中规定的中小企业扶持政策。</w:t>
      </w:r>
    </w:p>
    <w:p w14:paraId="0B7639C8">
      <w:pPr>
        <w:ind w:firstLine="420"/>
        <w:rPr>
          <w:rFonts w:ascii="Times New Roman" w:hAnsi="Times New Roman" w:cs="Times New Roman"/>
          <w:color w:val="auto"/>
          <w:highlight w:val="none"/>
        </w:rPr>
      </w:pPr>
      <w:r>
        <w:rPr>
          <w:rFonts w:ascii="Times New Roman" w:hAnsi="Times New Roman" w:cs="Times New Roman"/>
          <w:color w:val="auto"/>
          <w:highlight w:val="none"/>
        </w:rPr>
        <w:t>1.5以联合体形式参加政府采购活动，联合体各方均为中小企业的，联合体视同中小企业。其中，联合体各方均为小微企业的，联合体视同小微企业。</w:t>
      </w:r>
    </w:p>
    <w:p w14:paraId="592B7EDF">
      <w:pPr>
        <w:ind w:firstLine="420"/>
        <w:rPr>
          <w:rFonts w:ascii="Times New Roman" w:hAnsi="Times New Roman" w:cs="Times New Roman"/>
          <w:color w:val="auto"/>
          <w:highlight w:val="none"/>
        </w:rPr>
      </w:pPr>
      <w:r>
        <w:rPr>
          <w:rFonts w:ascii="Times New Roman" w:hAnsi="Times New Roman" w:cs="Times New Roman"/>
          <w:color w:val="auto"/>
          <w:highlight w:val="none"/>
        </w:rPr>
        <w:t>1.6中小企业参加政府采购活动，应当出具《关于印发</w:t>
      </w:r>
      <w:r>
        <w:rPr>
          <w:rFonts w:hint="eastAsia" w:ascii="Times New Roman" w:hAnsi="Times New Roman" w:cs="Times New Roman"/>
          <w:color w:val="auto"/>
          <w:highlight w:val="none"/>
        </w:rPr>
        <w:t>〈</w:t>
      </w:r>
      <w:r>
        <w:rPr>
          <w:rFonts w:ascii="Times New Roman" w:hAnsi="Times New Roman" w:cs="Times New Roman"/>
          <w:color w:val="auto"/>
          <w:highlight w:val="none"/>
        </w:rPr>
        <w:t>政府采购促进中小企业发展管理办法</w:t>
      </w:r>
      <w:r>
        <w:rPr>
          <w:rFonts w:hint="eastAsia" w:ascii="Times New Roman" w:hAnsi="Times New Roman" w:cs="Times New Roman"/>
          <w:color w:val="auto"/>
          <w:highlight w:val="none"/>
        </w:rPr>
        <w:t>〉的通知》</w:t>
      </w:r>
      <w:r>
        <w:rPr>
          <w:rFonts w:ascii="Times New Roman" w:hAnsi="Times New Roman" w:cs="Times New Roman"/>
          <w:color w:val="auto"/>
          <w:highlight w:val="none"/>
        </w:rPr>
        <w:t>（财库〔2020〕46号）规定的《中小企业声明函》，否则不得享受相关中小企业扶持政策。</w:t>
      </w:r>
    </w:p>
    <w:p w14:paraId="74BD6923">
      <w:pPr>
        <w:ind w:firstLine="420"/>
        <w:rPr>
          <w:rFonts w:ascii="Times New Roman" w:hAnsi="Times New Roman" w:cs="Times New Roman"/>
          <w:bCs/>
          <w:color w:val="auto"/>
          <w:highlight w:val="none"/>
        </w:rPr>
      </w:pPr>
      <w:r>
        <w:rPr>
          <w:rFonts w:ascii="Times New Roman" w:hAnsi="Times New Roman" w:cs="Times New Roman"/>
          <w:color w:val="auto"/>
          <w:highlight w:val="none"/>
        </w:rPr>
        <w:t>1.7</w:t>
      </w:r>
      <w:r>
        <w:rPr>
          <w:rFonts w:ascii="Times New Roman" w:hAnsi="Times New Roman" w:cs="Times New Roman"/>
          <w:bCs/>
          <w:color w:val="auto"/>
          <w:highlight w:val="none"/>
        </w:rPr>
        <w:t>享受中小企业扶持政策获得政府采购合同的，小微企业不得将合同分包给大中型企业，中型企业不得将合同分包给大型企业。</w:t>
      </w:r>
    </w:p>
    <w:p w14:paraId="58266BA9">
      <w:pPr>
        <w:pStyle w:val="12"/>
        <w:rPr>
          <w:rFonts w:ascii="Times New Roman" w:hAnsi="Times New Roman" w:cs="Times New Roman"/>
          <w:bCs/>
          <w:color w:val="auto"/>
          <w:highlight w:val="none"/>
        </w:rPr>
      </w:pPr>
      <w:r>
        <w:rPr>
          <w:rFonts w:ascii="Times New Roman" w:hAnsi="Times New Roman" w:cs="Times New Roman"/>
          <w:bCs/>
          <w:color w:val="auto"/>
          <w:highlight w:val="none"/>
        </w:rPr>
        <w:t>1.</w:t>
      </w:r>
      <w:r>
        <w:rPr>
          <w:rFonts w:hint="eastAsia" w:ascii="Times New Roman" w:hAnsi="Times New Roman" w:cs="Times New Roman"/>
          <w:bCs/>
          <w:color w:val="auto"/>
          <w:highlight w:val="none"/>
        </w:rPr>
        <w:t>8</w:t>
      </w:r>
      <w:r>
        <w:rPr>
          <w:bCs/>
          <w:color w:val="auto"/>
          <w:highlight w:val="none"/>
        </w:rPr>
        <w:t>价格评审优惠幅度</w:t>
      </w:r>
      <w:r>
        <w:rPr>
          <w:rFonts w:hint="eastAsia"/>
          <w:bCs/>
          <w:color w:val="auto"/>
          <w:highlight w:val="none"/>
        </w:rPr>
        <w:t>按国家最新政策文件及采购文件约定执行</w:t>
      </w:r>
      <w:r>
        <w:rPr>
          <w:rFonts w:hint="eastAsia" w:ascii="Times New Roman" w:hAnsi="Times New Roman" w:cs="Times New Roman"/>
          <w:bCs/>
          <w:color w:val="auto"/>
          <w:highlight w:val="none"/>
        </w:rPr>
        <w:t>。</w:t>
      </w:r>
    </w:p>
    <w:p w14:paraId="1D0D9526">
      <w:pPr>
        <w:ind w:firstLine="420"/>
        <w:rPr>
          <w:rFonts w:ascii="Times New Roman" w:hAnsi="Times New Roman" w:cs="Times New Roman"/>
          <w:b/>
          <w:color w:val="auto"/>
          <w:highlight w:val="none"/>
        </w:rPr>
      </w:pPr>
      <w:r>
        <w:rPr>
          <w:rFonts w:hint="eastAsia" w:ascii="宋体" w:hAnsi="宋体" w:cs="宋体"/>
          <w:color w:val="auto"/>
          <w:szCs w:val="21"/>
          <w:highlight w:val="none"/>
        </w:rPr>
        <w:t>1.9专门面向中小企业采购的项目或者采购包，不再执行价格评审优惠的扶持政策。</w:t>
      </w:r>
    </w:p>
    <w:p w14:paraId="51121E65">
      <w:pPr>
        <w:ind w:firstLine="422"/>
        <w:rPr>
          <w:rFonts w:ascii="Times New Roman" w:hAnsi="Times New Roman" w:cs="Times New Roman"/>
          <w:color w:val="auto"/>
          <w:highlight w:val="none"/>
        </w:rPr>
      </w:pPr>
      <w:r>
        <w:rPr>
          <w:rFonts w:ascii="Times New Roman" w:hAnsi="Times New Roman" w:cs="Times New Roman"/>
          <w:b/>
          <w:color w:val="auto"/>
          <w:highlight w:val="none"/>
        </w:rPr>
        <w:t>1.</w:t>
      </w:r>
      <w:r>
        <w:rPr>
          <w:rFonts w:hint="eastAsia" w:ascii="Times New Roman" w:hAnsi="Times New Roman" w:cs="Times New Roman"/>
          <w:b/>
          <w:color w:val="auto"/>
          <w:highlight w:val="none"/>
        </w:rPr>
        <w:t>10</w:t>
      </w:r>
      <w:r>
        <w:rPr>
          <w:rFonts w:ascii="Times New Roman" w:hAnsi="Times New Roman" w:cs="Times New Roman"/>
          <w:b/>
          <w:color w:val="auto"/>
          <w:highlight w:val="none"/>
        </w:rPr>
        <w:t>投标人提供的《中小企业声明函》声明函内容不实的，属于提供虚假材料谋取中标，依照《中华人民共和国政府采购法》等国家有关规定追究相应责任。</w:t>
      </w:r>
    </w:p>
    <w:p w14:paraId="1B3B22F5">
      <w:pPr>
        <w:pStyle w:val="4"/>
        <w:spacing w:beforeLines="0"/>
        <w:ind w:firstLine="482"/>
        <w:rPr>
          <w:rFonts w:ascii="Times New Roman" w:hAnsi="Times New Roman" w:cs="Times New Roman"/>
          <w:color w:val="auto"/>
          <w:highlight w:val="none"/>
        </w:rPr>
      </w:pPr>
      <w:bookmarkStart w:id="987" w:name="_Toc9702"/>
      <w:r>
        <w:rPr>
          <w:rFonts w:hint="eastAsia" w:ascii="Times New Roman" w:hAnsi="Times New Roman" w:cs="Times New Roman"/>
          <w:color w:val="auto"/>
          <w:highlight w:val="none"/>
        </w:rPr>
        <w:t>2</w:t>
      </w:r>
      <w:r>
        <w:rPr>
          <w:rFonts w:ascii="Times New Roman" w:hAnsi="Times New Roman" w:cs="Times New Roman"/>
          <w:color w:val="auto"/>
          <w:highlight w:val="none"/>
        </w:rPr>
        <w:t>.关于</w:t>
      </w:r>
      <w:bookmarkStart w:id="988" w:name="OLE_LINK135"/>
      <w:r>
        <w:rPr>
          <w:rFonts w:ascii="Times New Roman" w:hAnsi="Times New Roman" w:cs="Times New Roman"/>
          <w:color w:val="auto"/>
          <w:highlight w:val="none"/>
        </w:rPr>
        <w:t>监狱企业</w:t>
      </w:r>
      <w:bookmarkEnd w:id="987"/>
      <w:bookmarkEnd w:id="988"/>
    </w:p>
    <w:p w14:paraId="60B6D064">
      <w:pPr>
        <w:ind w:firstLine="420"/>
        <w:rPr>
          <w:rFonts w:ascii="Times New Roman" w:hAnsi="Times New Roman" w:cs="Times New Roman"/>
          <w:color w:val="auto"/>
          <w:szCs w:val="21"/>
          <w:highlight w:val="none"/>
        </w:rPr>
      </w:pPr>
      <w:r>
        <w:rPr>
          <w:rFonts w:hint="eastAsia" w:ascii="Times New Roman" w:hAnsi="Times New Roman" w:cs="Times New Roman"/>
          <w:color w:val="auto"/>
          <w:highlight w:val="none"/>
        </w:rPr>
        <w:t>2</w:t>
      </w:r>
      <w:r>
        <w:rPr>
          <w:rFonts w:ascii="Times New Roman" w:hAnsi="Times New Roman" w:cs="Times New Roman"/>
          <w:color w:val="auto"/>
          <w:highlight w:val="none"/>
        </w:rPr>
        <w:t>.1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D816B4A">
      <w:pPr>
        <w:ind w:firstLine="420"/>
        <w:rPr>
          <w:rFonts w:ascii="Times New Roman" w:hAnsi="Times New Roman" w:cs="Times New Roman"/>
          <w:color w:val="auto"/>
          <w:highlight w:val="none"/>
        </w:rPr>
      </w:pPr>
      <w:r>
        <w:rPr>
          <w:rFonts w:hint="eastAsia" w:ascii="Times New Roman" w:hAnsi="Times New Roman" w:cs="Times New Roman"/>
          <w:color w:val="auto"/>
          <w:highlight w:val="none"/>
        </w:rPr>
        <w:t>2</w:t>
      </w:r>
      <w:r>
        <w:rPr>
          <w:rFonts w:ascii="Times New Roman" w:hAnsi="Times New Roman" w:cs="Times New Roman"/>
          <w:color w:val="auto"/>
          <w:highlight w:val="none"/>
        </w:rPr>
        <w:t>.2监狱企业参加政府采购活动时，应当提供由省级以上监狱管理局、戒毒管理局（含新疆生产建设兵团）出具的属于监狱企业的证明文件。</w:t>
      </w:r>
    </w:p>
    <w:p w14:paraId="56FBFFB7">
      <w:pPr>
        <w:ind w:firstLine="420"/>
        <w:rPr>
          <w:rFonts w:ascii="Times New Roman" w:hAnsi="Times New Roman" w:cs="Times New Roman"/>
          <w:color w:val="auto"/>
          <w:highlight w:val="none"/>
        </w:rPr>
      </w:pPr>
      <w:r>
        <w:rPr>
          <w:rFonts w:hint="eastAsia" w:ascii="Times New Roman" w:hAnsi="Times New Roman" w:cs="Times New Roman"/>
          <w:color w:val="auto"/>
          <w:highlight w:val="none"/>
        </w:rPr>
        <w:t>2</w:t>
      </w:r>
      <w:r>
        <w:rPr>
          <w:rFonts w:ascii="Times New Roman" w:hAnsi="Times New Roman" w:cs="Times New Roman"/>
          <w:color w:val="auto"/>
          <w:highlight w:val="none"/>
        </w:rPr>
        <w:t>.3在政府采购活动中，监狱企业视同小型、微型企业，享受预留份额、</w:t>
      </w:r>
      <w:r>
        <w:rPr>
          <w:rFonts w:hint="eastAsia" w:ascii="Times New Roman" w:hAnsi="Times New Roman" w:cs="Times New Roman"/>
          <w:color w:val="auto"/>
          <w:highlight w:val="none"/>
        </w:rPr>
        <w:t>评审</w:t>
      </w:r>
      <w:r>
        <w:rPr>
          <w:rFonts w:ascii="Times New Roman" w:hAnsi="Times New Roman" w:cs="Times New Roman"/>
          <w:color w:val="auto"/>
          <w:highlight w:val="none"/>
        </w:rPr>
        <w:t>价格扣除等政府采购促进中小企业发展的政府采购政策。</w:t>
      </w:r>
    </w:p>
    <w:p w14:paraId="60124E4A">
      <w:pPr>
        <w:pStyle w:val="4"/>
        <w:spacing w:beforeLines="0"/>
        <w:ind w:firstLine="482"/>
        <w:rPr>
          <w:rFonts w:ascii="Times New Roman" w:hAnsi="Times New Roman" w:cs="Times New Roman"/>
          <w:color w:val="auto"/>
          <w:highlight w:val="none"/>
        </w:rPr>
      </w:pPr>
      <w:bookmarkStart w:id="989" w:name="_Toc24291"/>
      <w:r>
        <w:rPr>
          <w:rFonts w:hint="eastAsia" w:ascii="Times New Roman" w:hAnsi="Times New Roman" w:cs="Times New Roman"/>
          <w:color w:val="auto"/>
          <w:highlight w:val="none"/>
        </w:rPr>
        <w:t>3</w:t>
      </w:r>
      <w:r>
        <w:rPr>
          <w:rFonts w:ascii="Times New Roman" w:hAnsi="Times New Roman" w:cs="Times New Roman"/>
          <w:color w:val="auto"/>
          <w:highlight w:val="none"/>
        </w:rPr>
        <w:t>.关于残疾人福利性单位</w:t>
      </w:r>
      <w:bookmarkEnd w:id="989"/>
    </w:p>
    <w:p w14:paraId="04305CFF">
      <w:pPr>
        <w:ind w:firstLine="420"/>
        <w:rPr>
          <w:rFonts w:ascii="Times New Roman" w:hAnsi="Times New Roman" w:cs="Times New Roman"/>
          <w:color w:val="auto"/>
          <w:szCs w:val="21"/>
          <w:highlight w:val="none"/>
        </w:rPr>
      </w:pPr>
      <w:r>
        <w:rPr>
          <w:rFonts w:hint="eastAsia" w:ascii="Times New Roman" w:hAnsi="Times New Roman" w:cs="Times New Roman"/>
          <w:color w:val="auto"/>
          <w:highlight w:val="none"/>
        </w:rPr>
        <w:t>3</w:t>
      </w:r>
      <w:r>
        <w:rPr>
          <w:rFonts w:ascii="Times New Roman" w:hAnsi="Times New Roman" w:cs="Times New Roman"/>
          <w:color w:val="auto"/>
          <w:highlight w:val="none"/>
        </w:rPr>
        <w:t>.1符合条件的残疾人福利性单位在参加政府采购活动时，应当按《</w:t>
      </w:r>
      <w:bookmarkStart w:id="990" w:name="OLE_LINK35"/>
      <w:r>
        <w:rPr>
          <w:rFonts w:ascii="Times New Roman" w:hAnsi="Times New Roman" w:cs="Times New Roman"/>
          <w:color w:val="auto"/>
          <w:highlight w:val="none"/>
        </w:rPr>
        <w:t>三部门联合发布关于促进残疾人就业政府采购政策的通知</w:t>
      </w:r>
      <w:bookmarkEnd w:id="990"/>
      <w:r>
        <w:rPr>
          <w:rFonts w:ascii="Times New Roman" w:hAnsi="Times New Roman" w:cs="Times New Roman"/>
          <w:color w:val="auto"/>
          <w:highlight w:val="none"/>
        </w:rPr>
        <w:t>》（财库〔2017〕141号）提供规定的《残疾人福利性单位声明函》，并对声明的真实性负责。</w:t>
      </w:r>
    </w:p>
    <w:p w14:paraId="44C79419">
      <w:pPr>
        <w:ind w:firstLine="420"/>
        <w:rPr>
          <w:rFonts w:ascii="Times New Roman" w:hAnsi="Times New Roman" w:cs="Times New Roman"/>
          <w:color w:val="auto"/>
          <w:highlight w:val="none"/>
        </w:rPr>
      </w:pPr>
      <w:bookmarkStart w:id="991" w:name="OLE_LINK19"/>
      <w:r>
        <w:rPr>
          <w:rFonts w:hint="eastAsia" w:ascii="Times New Roman" w:hAnsi="Times New Roman" w:cs="Times New Roman"/>
          <w:color w:val="auto"/>
          <w:highlight w:val="none"/>
        </w:rPr>
        <w:t>3</w:t>
      </w:r>
      <w:r>
        <w:rPr>
          <w:rFonts w:ascii="Times New Roman" w:hAnsi="Times New Roman" w:cs="Times New Roman"/>
          <w:color w:val="auto"/>
          <w:highlight w:val="none"/>
        </w:rPr>
        <w:t>.2</w:t>
      </w:r>
      <w:r>
        <w:rPr>
          <w:rFonts w:hint="eastAsia" w:ascii="Times New Roman" w:hAnsi="Times New Roman" w:cs="Times New Roman"/>
          <w:color w:val="auto"/>
          <w:highlight w:val="none"/>
        </w:rPr>
        <w:t>残疾人福利性单位视同小型、微型企业，享受预留份额、评审中价格扣除等促进中小企业发展的政府采购政策</w:t>
      </w:r>
      <w:r>
        <w:rPr>
          <w:rFonts w:ascii="Times New Roman" w:hAnsi="Times New Roman" w:cs="Times New Roman"/>
          <w:color w:val="auto"/>
          <w:highlight w:val="none"/>
        </w:rPr>
        <w:t>。</w:t>
      </w:r>
    </w:p>
    <w:bookmarkEnd w:id="991"/>
    <w:p w14:paraId="3291DC8E">
      <w:pPr>
        <w:pStyle w:val="4"/>
        <w:spacing w:beforeLines="0"/>
        <w:ind w:firstLine="482"/>
        <w:rPr>
          <w:rFonts w:ascii="Times New Roman" w:hAnsi="Times New Roman" w:cs="Times New Roman"/>
          <w:color w:val="auto"/>
          <w:highlight w:val="none"/>
        </w:rPr>
      </w:pPr>
      <w:bookmarkStart w:id="992" w:name="_Toc29987"/>
      <w:bookmarkStart w:id="993" w:name="_Toc26783948"/>
      <w:r>
        <w:rPr>
          <w:rFonts w:hint="eastAsia" w:ascii="Times New Roman" w:hAnsi="Times New Roman" w:cs="Times New Roman"/>
          <w:color w:val="auto"/>
          <w:highlight w:val="none"/>
        </w:rPr>
        <w:t>4</w:t>
      </w:r>
      <w:r>
        <w:rPr>
          <w:rFonts w:ascii="Times New Roman" w:hAnsi="Times New Roman" w:cs="Times New Roman"/>
          <w:color w:val="auto"/>
          <w:highlight w:val="none"/>
        </w:rPr>
        <w:t>.关于节能产品及环境标志产品</w:t>
      </w:r>
      <w:bookmarkEnd w:id="992"/>
      <w:bookmarkEnd w:id="993"/>
    </w:p>
    <w:p w14:paraId="6AB3FB20">
      <w:pPr>
        <w:ind w:firstLine="420"/>
        <w:rPr>
          <w:rFonts w:ascii="Times New Roman" w:hAnsi="Times New Roman" w:cs="Times New Roman"/>
          <w:color w:val="auto"/>
          <w:szCs w:val="21"/>
          <w:highlight w:val="none"/>
        </w:rPr>
      </w:pPr>
      <w:r>
        <w:rPr>
          <w:rFonts w:hint="eastAsia" w:ascii="Times New Roman" w:hAnsi="Times New Roman" w:cs="Times New Roman"/>
          <w:color w:val="auto"/>
          <w:highlight w:val="none"/>
        </w:rPr>
        <w:t>4</w:t>
      </w:r>
      <w:r>
        <w:rPr>
          <w:rFonts w:ascii="Times New Roman" w:hAnsi="Times New Roman" w:cs="Times New Roman"/>
          <w:color w:val="auto"/>
          <w:highlight w:val="none"/>
        </w:rPr>
        <w:t>.1根据《财政部 发展改革委 生态环境部 市场监管总局 关于调整优化节能产品、环境标志产品政府采购执行机制的通知》（财库〔2019〕9号），对政府采购节能产品、环境标志产品实施品目清单管理。</w:t>
      </w:r>
    </w:p>
    <w:bookmarkEnd w:id="983"/>
    <w:p w14:paraId="3FC61C8B">
      <w:pPr>
        <w:ind w:firstLine="420"/>
        <w:rPr>
          <w:rFonts w:ascii="Times New Roman" w:hAnsi="Times New Roman" w:cs="Times New Roman"/>
          <w:color w:val="auto"/>
          <w:highlight w:val="none"/>
        </w:rPr>
      </w:pPr>
      <w:r>
        <w:rPr>
          <w:rFonts w:hint="eastAsia" w:ascii="Times New Roman" w:hAnsi="Times New Roman" w:cs="Times New Roman"/>
          <w:color w:val="auto"/>
          <w:highlight w:val="none"/>
        </w:rPr>
        <w:t>4</w:t>
      </w:r>
      <w:r>
        <w:rPr>
          <w:rFonts w:ascii="Times New Roman" w:hAnsi="Times New Roman" w:cs="Times New Roman"/>
          <w:color w:val="auto"/>
          <w:highlight w:val="none"/>
        </w:rPr>
        <w:t>.2节能产品是指列入财政部和发展改革委公布的《关于印发节能产品政府采购品目清单的通知》（财库〔2019〕19号）《节能产品政府采购品目清单》中的产品，其中以</w:t>
      </w:r>
      <w:r>
        <w:rPr>
          <w:rFonts w:hint="eastAsia" w:ascii="Times New Roman" w:hAnsi="Times New Roman" w:cs="Times New Roman"/>
          <w:color w:val="auto"/>
          <w:highlight w:val="none"/>
        </w:rPr>
        <w:t>“</w:t>
      </w:r>
      <w:r>
        <w:rPr>
          <w:rFonts w:hint="eastAsia" w:ascii="宋体" w:hAnsi="宋体" w:cs="宋体"/>
          <w:color w:val="auto"/>
          <w:sz w:val="24"/>
          <w:szCs w:val="24"/>
          <w:highlight w:val="none"/>
        </w:rPr>
        <w:t>★</w:t>
      </w:r>
      <w:r>
        <w:rPr>
          <w:rFonts w:hint="eastAsia" w:ascii="Times New Roman" w:hAnsi="Times New Roman" w:cs="Times New Roman"/>
          <w:color w:val="auto"/>
          <w:highlight w:val="none"/>
        </w:rPr>
        <w:t>”</w:t>
      </w:r>
      <w:r>
        <w:rPr>
          <w:rFonts w:ascii="Times New Roman" w:hAnsi="Times New Roman" w:cs="Times New Roman"/>
          <w:color w:val="auto"/>
          <w:highlight w:val="none"/>
        </w:rPr>
        <w:t>标注的为政府强制采购产品。</w:t>
      </w:r>
    </w:p>
    <w:p w14:paraId="44397AC1">
      <w:pPr>
        <w:ind w:firstLine="420"/>
        <w:rPr>
          <w:rFonts w:ascii="Times New Roman" w:hAnsi="Times New Roman" w:cs="Times New Roman"/>
          <w:color w:val="auto"/>
          <w:highlight w:val="none"/>
        </w:rPr>
      </w:pPr>
      <w:r>
        <w:rPr>
          <w:rFonts w:hint="eastAsia" w:ascii="Times New Roman" w:hAnsi="Times New Roman" w:cs="Times New Roman"/>
          <w:color w:val="auto"/>
          <w:highlight w:val="none"/>
        </w:rPr>
        <w:t>4</w:t>
      </w:r>
      <w:r>
        <w:rPr>
          <w:rFonts w:ascii="Times New Roman" w:hAnsi="Times New Roman" w:cs="Times New Roman"/>
          <w:color w:val="auto"/>
          <w:highlight w:val="none"/>
        </w:rPr>
        <w:t>.3环境标志产品是指列入财政部和生态环境部公布的《关于印发环境标志产品政府采购品目清单的通知》（财库〔2019〕18号）《环境标志产品政府采购品目清单》中的产品。</w:t>
      </w:r>
    </w:p>
    <w:p w14:paraId="1BABF223">
      <w:pPr>
        <w:ind w:firstLine="420"/>
        <w:rPr>
          <w:rFonts w:ascii="Times New Roman" w:hAnsi="Times New Roman" w:cs="Times New Roman"/>
          <w:color w:val="auto"/>
          <w:highlight w:val="none"/>
        </w:rPr>
      </w:pPr>
      <w:r>
        <w:rPr>
          <w:rFonts w:hint="eastAsia" w:ascii="Times New Roman" w:hAnsi="Times New Roman" w:cs="Times New Roman"/>
          <w:color w:val="auto"/>
          <w:highlight w:val="none"/>
        </w:rPr>
        <w:t>4</w:t>
      </w:r>
      <w:r>
        <w:rPr>
          <w:rFonts w:ascii="Times New Roman" w:hAnsi="Times New Roman" w:cs="Times New Roman"/>
          <w:color w:val="auto"/>
          <w:highlight w:val="none"/>
        </w:rPr>
        <w:t>.4产品属于节能产品或环境标志产品的，投标人需在投标文件中提供产品经国家确定的参与实施政府采购节能产品认证机构或参与实施政府采购环境标志产品认证机构出具的、处于有效期之内的节能产品、环境标志产品认证证书，采购人及采购代理机构将对获得证书的产品实施政府优先采购或强制采购。</w:t>
      </w:r>
    </w:p>
    <w:p w14:paraId="32A86056">
      <w:pPr>
        <w:ind w:firstLine="420"/>
        <w:rPr>
          <w:rFonts w:ascii="Times New Roman" w:hAnsi="Times New Roman" w:cs="Times New Roman"/>
          <w:color w:val="auto"/>
          <w:highlight w:val="none"/>
        </w:rPr>
      </w:pPr>
      <w:r>
        <w:rPr>
          <w:rFonts w:hint="eastAsia" w:ascii="Times New Roman" w:hAnsi="Times New Roman" w:cs="Times New Roman"/>
          <w:color w:val="auto"/>
          <w:highlight w:val="none"/>
        </w:rPr>
        <w:t>4</w:t>
      </w:r>
      <w:r>
        <w:rPr>
          <w:rFonts w:ascii="Times New Roman" w:hAnsi="Times New Roman" w:cs="Times New Roman"/>
          <w:color w:val="auto"/>
          <w:highlight w:val="none"/>
        </w:rPr>
        <w:t>.5若投标人在投标文件中未提供或未按要求提供产品经国家确定的参与实施政府采购节能产品认证机构或参与实施政府采购环境标志产品认证机构出具的、处于有效期之内的节能产品、环境标志产品认证证书，评标委员会在评审过程中将不予认可，由此造成的一切后果投标人自行承担。</w:t>
      </w:r>
      <w:bookmarkEnd w:id="986"/>
    </w:p>
    <w:p w14:paraId="5A0CA35E">
      <w:pPr>
        <w:pStyle w:val="4"/>
        <w:spacing w:beforeLines="0"/>
        <w:ind w:firstLine="482"/>
        <w:rPr>
          <w:rFonts w:ascii="Times New Roman" w:hAnsi="Times New Roman" w:cs="Times New Roman"/>
          <w:color w:val="auto"/>
          <w:highlight w:val="none"/>
        </w:rPr>
      </w:pPr>
      <w:r>
        <w:rPr>
          <w:rFonts w:hint="eastAsia" w:ascii="Times New Roman" w:hAnsi="Times New Roman" w:cs="Times New Roman"/>
          <w:color w:val="auto"/>
          <w:highlight w:val="none"/>
        </w:rPr>
        <w:t>5.关于本国产品标准及相关政策</w:t>
      </w:r>
    </w:p>
    <w:p w14:paraId="6E8FD4CE">
      <w:pPr>
        <w:ind w:firstLine="420"/>
        <w:rPr>
          <w:rFonts w:ascii="Times New Roman" w:hAnsi="Times New Roman" w:cs="Times New Roman"/>
          <w:color w:val="auto"/>
          <w:highlight w:val="none"/>
        </w:rPr>
      </w:pPr>
      <w:r>
        <w:rPr>
          <w:rFonts w:hint="eastAsia" w:ascii="Times New Roman" w:hAnsi="Times New Roman" w:cs="Times New Roman"/>
          <w:color w:val="auto"/>
          <w:highlight w:val="none"/>
        </w:rPr>
        <w:t>5.1本国产品标准。本国产品应当符合以下条件：</w:t>
      </w:r>
    </w:p>
    <w:p w14:paraId="2B10781A">
      <w:pPr>
        <w:ind w:firstLine="420"/>
        <w:rPr>
          <w:rFonts w:ascii="Times New Roman" w:hAnsi="Times New Roman" w:cs="Times New Roman"/>
          <w:color w:val="auto"/>
          <w:highlight w:val="none"/>
        </w:rPr>
      </w:pPr>
      <w:r>
        <w:rPr>
          <w:rFonts w:hint="eastAsia" w:ascii="Times New Roman" w:hAnsi="Times New Roman" w:cs="Times New Roman"/>
          <w:color w:val="auto"/>
          <w:highlight w:val="none"/>
        </w:rPr>
        <w:t>（一）在中国境内生产</w:t>
      </w:r>
    </w:p>
    <w:p w14:paraId="152D4031">
      <w:pPr>
        <w:ind w:firstLine="420"/>
        <w:rPr>
          <w:rFonts w:ascii="Times New Roman" w:hAnsi="Times New Roman" w:cs="Times New Roman"/>
          <w:color w:val="auto"/>
          <w:highlight w:val="none"/>
        </w:rPr>
      </w:pPr>
      <w:r>
        <w:rPr>
          <w:rFonts w:hint="eastAsia" w:ascii="Times New Roman" w:hAnsi="Times New Roman" w:cs="Times New Roman"/>
          <w:color w:val="auto"/>
          <w:highlight w:val="none"/>
        </w:rPr>
        <w:t>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p>
    <w:p w14:paraId="61492D67">
      <w:pPr>
        <w:ind w:firstLine="420"/>
        <w:rPr>
          <w:rFonts w:ascii="Times New Roman" w:hAnsi="Times New Roman" w:cs="Times New Roman"/>
          <w:color w:val="auto"/>
          <w:highlight w:val="none"/>
        </w:rPr>
      </w:pPr>
      <w:r>
        <w:rPr>
          <w:rFonts w:hint="eastAsia" w:ascii="Times New Roman" w:hAnsi="Times New Roman" w:cs="Times New Roman"/>
          <w:color w:val="auto"/>
          <w:highlight w:val="none"/>
        </w:rPr>
        <w:t>（1）为确保产品在运输或者储存期间保持某种状态而进行的操作；</w:t>
      </w:r>
    </w:p>
    <w:p w14:paraId="6B35C3B3">
      <w:pPr>
        <w:ind w:firstLine="420"/>
        <w:rPr>
          <w:rFonts w:ascii="Times New Roman" w:hAnsi="Times New Roman" w:cs="Times New Roman"/>
          <w:color w:val="auto"/>
          <w:highlight w:val="none"/>
        </w:rPr>
      </w:pPr>
      <w:r>
        <w:rPr>
          <w:rFonts w:hint="eastAsia" w:ascii="Times New Roman" w:hAnsi="Times New Roman" w:cs="Times New Roman"/>
          <w:color w:val="auto"/>
          <w:highlight w:val="none"/>
        </w:rPr>
        <w:t>（2）为产品运输或者销售进行的包装或者展示；</w:t>
      </w:r>
    </w:p>
    <w:p w14:paraId="67118434">
      <w:pPr>
        <w:ind w:firstLine="420"/>
        <w:rPr>
          <w:rFonts w:ascii="Times New Roman" w:hAnsi="Times New Roman" w:cs="Times New Roman"/>
          <w:color w:val="auto"/>
          <w:highlight w:val="none"/>
        </w:rPr>
      </w:pPr>
      <w:r>
        <w:rPr>
          <w:rFonts w:hint="eastAsia" w:ascii="Times New Roman" w:hAnsi="Times New Roman" w:cs="Times New Roman"/>
          <w:color w:val="auto"/>
          <w:highlight w:val="none"/>
        </w:rPr>
        <w:t>（3）在产品或者其包装上粘贴或者印刷品牌、标志、标识以及其他用于区别的标记；</w:t>
      </w:r>
    </w:p>
    <w:p w14:paraId="27FEE25F">
      <w:pPr>
        <w:ind w:firstLine="420"/>
        <w:rPr>
          <w:rFonts w:ascii="Times New Roman" w:hAnsi="Times New Roman" w:cs="Times New Roman"/>
          <w:color w:val="auto"/>
          <w:highlight w:val="none"/>
        </w:rPr>
      </w:pPr>
      <w:r>
        <w:rPr>
          <w:rFonts w:hint="eastAsia" w:ascii="Times New Roman" w:hAnsi="Times New Roman" w:cs="Times New Roman"/>
          <w:color w:val="auto"/>
          <w:highlight w:val="none"/>
        </w:rPr>
        <w:t>（4）简单的上漆、磨光和分装；</w:t>
      </w:r>
    </w:p>
    <w:p w14:paraId="03E05544">
      <w:pPr>
        <w:ind w:firstLine="420"/>
        <w:rPr>
          <w:rFonts w:ascii="Times New Roman" w:hAnsi="Times New Roman" w:cs="Times New Roman"/>
          <w:color w:val="auto"/>
          <w:highlight w:val="none"/>
        </w:rPr>
      </w:pPr>
      <w:r>
        <w:rPr>
          <w:rFonts w:hint="eastAsia" w:ascii="Times New Roman" w:hAnsi="Times New Roman" w:cs="Times New Roman"/>
          <w:color w:val="auto"/>
          <w:highlight w:val="none"/>
        </w:rPr>
        <w:t>（5）其他不属于属性改变的情形。</w:t>
      </w:r>
    </w:p>
    <w:p w14:paraId="7B01F8C4">
      <w:pPr>
        <w:ind w:firstLine="420"/>
        <w:rPr>
          <w:rFonts w:ascii="Times New Roman" w:hAnsi="Times New Roman" w:cs="Times New Roman"/>
          <w:color w:val="auto"/>
          <w:highlight w:val="none"/>
        </w:rPr>
      </w:pPr>
      <w:r>
        <w:rPr>
          <w:rFonts w:hint="eastAsia" w:ascii="Times New Roman" w:hAnsi="Times New Roman" w:cs="Times New Roman"/>
          <w:color w:val="auto"/>
          <w:highlight w:val="none"/>
        </w:rPr>
        <w:t>（二）在中国境内生产的组件成本占比达到规定比例</w:t>
      </w:r>
    </w:p>
    <w:p w14:paraId="4123C4FF">
      <w:pPr>
        <w:ind w:firstLine="420"/>
        <w:rPr>
          <w:rFonts w:ascii="Times New Roman" w:hAnsi="Times New Roman" w:cs="Times New Roman"/>
          <w:color w:val="auto"/>
          <w:highlight w:val="none"/>
        </w:rPr>
      </w:pPr>
      <w:r>
        <w:rPr>
          <w:rFonts w:hint="eastAsia" w:ascii="Times New Roman" w:hAnsi="Times New Roman" w:cs="Times New Roman"/>
          <w:color w:val="auto"/>
          <w:highlight w:val="none"/>
        </w:rPr>
        <w:t>产品在中国境内生产的组件成本占比应当达到规定比例。财政部会同有关行业主管部门，分产品确定在中国境内生产的组件成本占比应当达到的规定比例。在分产品的中国境内生产的组件成本占比相关要求实施前，符合5.1条第（一）项条件的产品在政府采购活动中视同本国产品。</w:t>
      </w:r>
    </w:p>
    <w:p w14:paraId="6A1EDBC6">
      <w:pPr>
        <w:ind w:firstLine="420"/>
        <w:rPr>
          <w:rFonts w:ascii="Times New Roman" w:hAnsi="Times New Roman" w:cs="Times New Roman"/>
          <w:color w:val="auto"/>
          <w:highlight w:val="none"/>
        </w:rPr>
      </w:pPr>
      <w:r>
        <w:rPr>
          <w:rFonts w:hint="eastAsia" w:ascii="Times New Roman" w:hAnsi="Times New Roman" w:cs="Times New Roman"/>
          <w:color w:val="auto"/>
          <w:highlight w:val="none"/>
        </w:rPr>
        <w:t>（三）特定产品的关键组件、关键工序符合相关要求</w:t>
      </w:r>
    </w:p>
    <w:p w14:paraId="7C3394A9">
      <w:pPr>
        <w:ind w:firstLine="420"/>
        <w:rPr>
          <w:rFonts w:ascii="Times New Roman" w:hAnsi="Times New Roman" w:cs="Times New Roman"/>
          <w:color w:val="auto"/>
          <w:highlight w:val="none"/>
        </w:rPr>
      </w:pPr>
      <w:r>
        <w:rPr>
          <w:rFonts w:hint="eastAsia" w:ascii="Times New Roman" w:hAnsi="Times New Roman" w:cs="Times New Roman"/>
          <w:color w:val="auto"/>
          <w:highlight w:val="none"/>
        </w:rPr>
        <w:t>对特定产品，在符合5.1条第（一）项和第（二）项条件的基础上，若财政部会同有关行业主管部门确定了其关键组件、关键工序在中国境内生产、完成等要求，应符合相关要求。</w:t>
      </w:r>
    </w:p>
    <w:p w14:paraId="6EE4B092">
      <w:pPr>
        <w:ind w:firstLine="420"/>
        <w:rPr>
          <w:rFonts w:ascii="Times New Roman" w:hAnsi="Times New Roman" w:cs="Times New Roman"/>
          <w:color w:val="auto"/>
          <w:highlight w:val="none"/>
        </w:rPr>
      </w:pPr>
      <w:r>
        <w:rPr>
          <w:rFonts w:hint="eastAsia" w:ascii="Times New Roman" w:hAnsi="Times New Roman" w:cs="Times New Roman"/>
          <w:color w:val="auto"/>
          <w:highlight w:val="none"/>
        </w:rPr>
        <w:t>5.2本国产品标准的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197ED94">
      <w:pPr>
        <w:ind w:firstLine="420"/>
        <w:rPr>
          <w:rFonts w:ascii="Times New Roman" w:hAnsi="Times New Roman" w:cs="Times New Roman"/>
          <w:color w:val="auto"/>
          <w:highlight w:val="none"/>
        </w:rPr>
      </w:pPr>
      <w:r>
        <w:rPr>
          <w:rFonts w:hint="eastAsia" w:ascii="Times New Roman" w:hAnsi="Times New Roman" w:cs="Times New Roman"/>
          <w:color w:val="auto"/>
          <w:highlight w:val="none"/>
        </w:rPr>
        <w:t>5.3对本国产品的支持政策。政府采购活动中既有本国产品又有非本国产品参与竞争的，依法对本国产品给予价格评审优惠，对本国产品的报价给予20%的价格扣除，用扣除后的价格参与评审。</w:t>
      </w:r>
    </w:p>
    <w:p w14:paraId="289E069D">
      <w:pPr>
        <w:ind w:firstLine="420"/>
        <w:rPr>
          <w:rFonts w:ascii="Times New Roman" w:hAnsi="Times New Roman" w:cs="Times New Roman"/>
          <w:color w:val="auto"/>
          <w:highlight w:val="none"/>
        </w:rPr>
      </w:pPr>
      <w:r>
        <w:rPr>
          <w:rFonts w:hint="eastAsia" w:ascii="Times New Roman" w:hAnsi="Times New Roman" w:cs="Times New Roman"/>
          <w:color w:val="auto"/>
          <w:highlight w:val="none"/>
        </w:rPr>
        <w:t>5.3.1当采购项目或采购包的采购标的仅包含单一产品时，依法对本国产品给予价格评审优惠，对本国产品的报价给予20%的价格扣除，用扣除后的价格参与评审。</w:t>
      </w:r>
    </w:p>
    <w:p w14:paraId="683AE50C">
      <w:pPr>
        <w:ind w:firstLine="420"/>
        <w:rPr>
          <w:rFonts w:ascii="Times New Roman" w:hAnsi="Times New Roman" w:cs="Times New Roman"/>
          <w:color w:val="auto"/>
          <w:highlight w:val="none"/>
        </w:rPr>
      </w:pPr>
      <w:r>
        <w:rPr>
          <w:rFonts w:hint="eastAsia" w:ascii="Times New Roman" w:hAnsi="Times New Roman" w:cs="Times New Roman"/>
          <w:color w:val="auto"/>
          <w:highlight w:val="none"/>
        </w:rPr>
        <w:t>5.3.2当采购项目或者采购包的采购标的中含有多种产品，供应商为该采购项目或者采购包提供的符合本国产品标准的产品成本之和占该供应商提供的全部产品成本之和的比例达到80%以上时，且供应商在投标（响应）文件中对此作出承诺的，则依法对该供应商提供的全部产品给予价格评审优惠，即对该供应商提供的全部产品的总报价给予20%的价格扣除，用扣除后的价格参与评审。</w:t>
      </w:r>
    </w:p>
    <w:p w14:paraId="3C022001">
      <w:pPr>
        <w:ind w:firstLine="420"/>
        <w:rPr>
          <w:rFonts w:ascii="Times New Roman" w:hAnsi="Times New Roman" w:cs="Times New Roman"/>
          <w:color w:val="auto"/>
          <w:highlight w:val="none"/>
        </w:rPr>
      </w:pPr>
      <w:r>
        <w:rPr>
          <w:rFonts w:hint="eastAsia" w:ascii="Times New Roman" w:hAnsi="Times New Roman" w:cs="Times New Roman"/>
          <w:color w:val="auto"/>
          <w:highlight w:val="none"/>
        </w:rPr>
        <w:t>5.4政策执行要求</w:t>
      </w:r>
    </w:p>
    <w:p w14:paraId="60CAFCBA">
      <w:pPr>
        <w:ind w:firstLine="420"/>
        <w:rPr>
          <w:rFonts w:ascii="Times New Roman" w:hAnsi="Times New Roman" w:cs="Times New Roman"/>
          <w:color w:val="auto"/>
          <w:highlight w:val="none"/>
        </w:rPr>
      </w:pPr>
      <w:r>
        <w:rPr>
          <w:rFonts w:hint="eastAsia" w:ascii="Times New Roman" w:hAnsi="Times New Roman" w:cs="Times New Roman"/>
          <w:color w:val="auto"/>
          <w:highlight w:val="none"/>
        </w:rPr>
        <w:t>5.4.1产品在中国境内生产的组件成本核算规则。产品在中国境内生产的组件成本，按照《中国境内生产的组件成本核算基本规则》计算。一般按照其二级组件的相关成本进行核算；按照产品的一级组件进行成本核算能够满足中国境内生产的组件成本判定需求的，可以按照一级组件的相关成本进行核算。具体规则如下：</w:t>
      </w:r>
    </w:p>
    <w:p w14:paraId="68C05203">
      <w:pPr>
        <w:ind w:firstLine="420"/>
        <w:rPr>
          <w:rFonts w:ascii="Times New Roman" w:hAnsi="Times New Roman" w:cs="Times New Roman"/>
          <w:color w:val="auto"/>
          <w:highlight w:val="none"/>
        </w:rPr>
      </w:pPr>
      <w:r>
        <w:rPr>
          <w:rFonts w:hint="eastAsia" w:ascii="Times New Roman" w:hAnsi="Times New Roman" w:cs="Times New Roman"/>
          <w:color w:val="auto"/>
          <w:highlight w:val="none"/>
        </w:rPr>
        <w:t>（1）产品的一级组件是指直接组成产品的组件。产品的二级组件是指直接组成产品一级组件的组件。一级组件不可分解的，视同二级组件。</w:t>
      </w:r>
    </w:p>
    <w:p w14:paraId="2D3FCB2E">
      <w:pPr>
        <w:ind w:firstLine="420"/>
        <w:rPr>
          <w:rFonts w:ascii="Times New Roman" w:hAnsi="Times New Roman" w:cs="Times New Roman"/>
          <w:color w:val="auto"/>
          <w:highlight w:val="none"/>
        </w:rPr>
      </w:pPr>
      <w:r>
        <w:rPr>
          <w:rFonts w:hint="eastAsia" w:ascii="Times New Roman" w:hAnsi="Times New Roman" w:cs="Times New Roman"/>
          <w:color w:val="auto"/>
          <w:highlight w:val="none"/>
        </w:rPr>
        <w:t>（2）二级组件在中国境内生产的，其全部成本计入中国境内生产的组件成本；二级组件不在中国境内生产的，其成本不计入中国境内生产的组件成本。</w:t>
      </w:r>
    </w:p>
    <w:p w14:paraId="712589B3">
      <w:pPr>
        <w:ind w:firstLine="420"/>
        <w:rPr>
          <w:rFonts w:ascii="Times New Roman" w:hAnsi="Times New Roman" w:cs="Times New Roman"/>
          <w:color w:val="auto"/>
          <w:highlight w:val="none"/>
        </w:rPr>
      </w:pPr>
      <w:r>
        <w:rPr>
          <w:rFonts w:hint="eastAsia" w:ascii="Times New Roman" w:hAnsi="Times New Roman" w:cs="Times New Roman"/>
          <w:color w:val="auto"/>
          <w:highlight w:val="none"/>
        </w:rPr>
        <w:t>（3）产品总成本和组件成本以相关会计核算数据、采购合同、进货记录等为基础进行计算。</w:t>
      </w:r>
    </w:p>
    <w:p w14:paraId="03876FA1">
      <w:pPr>
        <w:ind w:firstLine="420"/>
        <w:rPr>
          <w:rFonts w:ascii="Times New Roman" w:hAnsi="Times New Roman" w:cs="Times New Roman"/>
          <w:color w:val="auto"/>
          <w:highlight w:val="none"/>
        </w:rPr>
      </w:pPr>
      <w:r>
        <w:rPr>
          <w:rFonts w:hint="eastAsia" w:ascii="Times New Roman" w:hAnsi="Times New Roman" w:cs="Times New Roman"/>
          <w:color w:val="auto"/>
          <w:highlight w:val="none"/>
        </w:rPr>
        <w:t>（4）需要对成本核算规则予以进一步明确的其他有关事项，由财政部会同有关部门另行规定。</w:t>
      </w:r>
    </w:p>
    <w:p w14:paraId="7CB55235">
      <w:pPr>
        <w:ind w:firstLine="420"/>
        <w:rPr>
          <w:rFonts w:ascii="Times New Roman" w:hAnsi="Times New Roman" w:cs="Times New Roman"/>
          <w:color w:val="auto"/>
          <w:highlight w:val="none"/>
        </w:rPr>
      </w:pPr>
      <w:r>
        <w:rPr>
          <w:rFonts w:hint="eastAsia" w:ascii="Times New Roman" w:hAnsi="Times New Roman" w:cs="Times New Roman"/>
          <w:color w:val="auto"/>
          <w:highlight w:val="none"/>
        </w:rPr>
        <w:t>5.4.2有关证明文件。供应商对其提供的产品，须出具《关于符合本国产品标准的声明函》或财政部会同有关部门规定的有关证明文件。供应商提供虚假《声明函》、虚假证明文件谋取中标、成交的，依照《中华人民共和国政府采购法》等法律法规规定追究相应责任。</w:t>
      </w:r>
    </w:p>
    <w:p w14:paraId="0D9C1269">
      <w:pPr>
        <w:ind w:firstLine="420"/>
        <w:rPr>
          <w:rFonts w:ascii="Times New Roman" w:hAnsi="Times New Roman" w:cs="Times New Roman"/>
          <w:color w:val="auto"/>
          <w:highlight w:val="none"/>
        </w:rPr>
      </w:pPr>
      <w:r>
        <w:rPr>
          <w:rFonts w:hint="eastAsia" w:ascii="Times New Roman" w:hAnsi="Times New Roman" w:cs="Times New Roman"/>
          <w:color w:val="auto"/>
          <w:highlight w:val="none"/>
        </w:rPr>
        <w:t>5.5其它事项</w:t>
      </w:r>
    </w:p>
    <w:p w14:paraId="37BE53B3">
      <w:pPr>
        <w:ind w:firstLine="420"/>
        <w:rPr>
          <w:rFonts w:ascii="Times New Roman" w:hAnsi="Times New Roman" w:cs="Times New Roman"/>
          <w:color w:val="auto"/>
          <w:highlight w:val="none"/>
        </w:rPr>
      </w:pPr>
      <w:r>
        <w:rPr>
          <w:rFonts w:hint="eastAsia" w:ascii="Times New Roman" w:hAnsi="Times New Roman" w:cs="Times New Roman"/>
          <w:color w:val="auto"/>
          <w:highlight w:val="none"/>
        </w:rPr>
        <w:t>5.5.1对于仅有本国产品参与竞争的政府采购项目，本国产品不享受价格扣除评审优惠。</w:t>
      </w:r>
    </w:p>
    <w:p w14:paraId="28B228B7">
      <w:pPr>
        <w:ind w:firstLine="420"/>
        <w:rPr>
          <w:rFonts w:ascii="Times New Roman" w:hAnsi="Times New Roman" w:cs="Times New Roman"/>
          <w:color w:val="auto"/>
          <w:highlight w:val="none"/>
        </w:rPr>
      </w:pPr>
      <w:r>
        <w:rPr>
          <w:rFonts w:hint="eastAsia" w:ascii="Times New Roman" w:hAnsi="Times New Roman" w:cs="Times New Roman"/>
          <w:color w:val="auto"/>
          <w:highlight w:val="none"/>
        </w:rPr>
        <w:t>5.5.2未提供《关于符合本国产品标准的声明函》或财政部会同有关部门规定的有关证明文件的，或虽已提供前述文件但不符合本国产品价格扣除政策的，不享受价格扣除评审优惠。</w:t>
      </w:r>
    </w:p>
    <w:p w14:paraId="152EF184">
      <w:pPr>
        <w:ind w:firstLine="420"/>
        <w:rPr>
          <w:color w:val="auto"/>
          <w:highlight w:val="none"/>
        </w:rPr>
      </w:pPr>
      <w:r>
        <w:rPr>
          <w:rFonts w:hint="eastAsia" w:ascii="Times New Roman" w:hAnsi="Times New Roman" w:cs="Times New Roman"/>
          <w:color w:val="auto"/>
          <w:highlight w:val="none"/>
        </w:rPr>
        <w:t>5.5.3提供本国产品的投标人同时为小微企业，且同时符合本国产品、小微企业价格扣除政策的，对该投标人的产品同时给予支持本国产品和小微企业产品的价格评审优惠。相关价格评审扣除优惠，均在投标人原始报价基础上计算，用扣除后的价格参与评审。</w:t>
      </w:r>
    </w:p>
    <w:p w14:paraId="3202BF4B">
      <w:pPr>
        <w:widowControl/>
        <w:ind w:firstLine="0" w:firstLineChars="0"/>
        <w:rPr>
          <w:color w:val="auto"/>
          <w:highlight w:val="none"/>
        </w:rPr>
      </w:pPr>
    </w:p>
    <w:sectPr>
      <w:footerReference r:id="rId18" w:type="default"/>
      <w:pgSz w:w="11906" w:h="16838"/>
      <w:pgMar w:top="1417" w:right="1417" w:bottom="1418" w:left="1417" w:header="851" w:footer="964"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Malgun Gothic">
    <w:panose1 w:val="020B0503020000020004"/>
    <w:charset w:val="81"/>
    <w:family w:val="swiss"/>
    <w:pitch w:val="default"/>
    <w:sig w:usb0="9000002F" w:usb1="29D77CFB" w:usb2="00000012" w:usb3="00000000" w:csb0="0008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81925"/>
    </w:sdtPr>
    <w:sdtEndPr>
      <w:rPr>
        <w:rFonts w:ascii="Times New Roman" w:hAnsi="Times New Roman" w:cs="Times New Roman"/>
      </w:rPr>
    </w:sdtEndPr>
    <w:sdtContent>
      <w:p w14:paraId="7503FA4E">
        <w:pPr>
          <w:pStyle w:val="25"/>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BDB54">
    <w:pPr>
      <w:pStyle w:val="2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5DDDD">
    <w:pPr>
      <w:pStyle w:val="25"/>
      <w:ind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15586">
    <w:pPr>
      <w:pStyle w:val="25"/>
      <w:ind w:firstLine="0" w:firstLineChars="0"/>
      <w:rPr>
        <w:rFonts w:ascii="Times New Roman" w:hAnsi="Times New Roman" w:cs="Times New Roman"/>
      </w:rPr>
    </w:pPr>
    <w:r>
      <w:rPr>
        <w:rFonts w:ascii="Times New Roman" w:hAnsi="Times New Roman" w:cs="Times New Roman"/>
        <w:sz w:val="24"/>
        <w:szCs w:val="24"/>
      </w:rPr>
      <w:drawing>
        <wp:inline distT="0" distB="0" distL="114300" distR="114300">
          <wp:extent cx="2012315" cy="360045"/>
          <wp:effectExtent l="0" t="0" r="6985" b="190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
                  <a:srcRect l="7495" t="20856" b="17563"/>
                  <a:stretch>
                    <a:fillRect/>
                  </a:stretch>
                </pic:blipFill>
                <pic:spPr>
                  <a:xfrm>
                    <a:off x="0" y="0"/>
                    <a:ext cx="2012315" cy="360045"/>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6AB30">
    <w:pPr>
      <w:pStyle w:val="25"/>
      <w:ind w:firstLine="0" w:firstLineChars="0"/>
    </w:pPr>
    <w:r>
      <w:rPr>
        <w:rFonts w:ascii="Times New Roman" w:hAnsi="Times New Roman" w:cs="Times New Roman"/>
        <w:sz w:val="24"/>
        <w:szCs w:val="24"/>
      </w:rPr>
      <w:drawing>
        <wp:inline distT="0" distB="0" distL="114300" distR="114300">
          <wp:extent cx="2012315" cy="360045"/>
          <wp:effectExtent l="0" t="0" r="6985" b="190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srcRect l="7495" t="20856" b="17563"/>
                  <a:stretch>
                    <a:fillRect/>
                  </a:stretch>
                </pic:blipFill>
                <pic:spPr>
                  <a:xfrm>
                    <a:off x="0" y="0"/>
                    <a:ext cx="2012315" cy="360045"/>
                  </a:xfrm>
                  <a:prstGeom prst="rect">
                    <a:avLst/>
                  </a:prstGeom>
                  <a:noFill/>
                  <a:ln>
                    <a:noFill/>
                  </a:ln>
                </pic:spPr>
              </pic:pic>
            </a:graphicData>
          </a:graphic>
        </wp:inline>
      </w:drawing>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873B3">
    <w:pPr>
      <w:pStyle w:val="25"/>
      <w:ind w:firstLine="0" w:firstLineChars="0"/>
      <w:rPr>
        <w:rFonts w:ascii="Times New Roman" w:hAnsi="Times New Roman" w:cs="Times New Roman"/>
      </w:rPr>
    </w:pPr>
    <w:r>
      <mc:AlternateContent>
        <mc:Choice Requires="wps">
          <w:drawing>
            <wp:anchor distT="0" distB="0" distL="114300" distR="114300" simplePos="0" relativeHeight="251659264" behindDoc="0" locked="0" layoutInCell="1" allowOverlap="1">
              <wp:simplePos x="0" y="0"/>
              <wp:positionH relativeFrom="margin">
                <wp:posOffset>2647950</wp:posOffset>
              </wp:positionH>
              <wp:positionV relativeFrom="paragraph">
                <wp:posOffset>90170</wp:posOffset>
              </wp:positionV>
              <wp:extent cx="609600" cy="323215"/>
              <wp:effectExtent l="0" t="0" r="0" b="0"/>
              <wp:wrapNone/>
              <wp:docPr id="5" name="文本框 5"/>
              <wp:cNvGraphicFramePr/>
              <a:graphic xmlns:a="http://schemas.openxmlformats.org/drawingml/2006/main">
                <a:graphicData uri="http://schemas.microsoft.com/office/word/2010/wordprocessingShape">
                  <wps:wsp>
                    <wps:cNvSpPr txBox="1"/>
                    <wps:spPr>
                      <a:xfrm>
                        <a:off x="0" y="0"/>
                        <a:ext cx="609600" cy="322943"/>
                      </a:xfrm>
                      <a:prstGeom prst="rect">
                        <a:avLst/>
                      </a:prstGeom>
                      <a:noFill/>
                      <a:ln w="6350">
                        <a:noFill/>
                      </a:ln>
                      <a:effectLst/>
                    </wps:spPr>
                    <wps:txbx>
                      <w:txbxContent>
                        <w:sdt>
                          <w:sdtPr>
                            <w:id w:val="147467450"/>
                          </w:sdtPr>
                          <w:sdtEndPr>
                            <w:rPr>
                              <w:rFonts w:ascii="Times New Roman" w:hAnsi="Times New Roman" w:cs="Times New Roman"/>
                            </w:rPr>
                          </w:sdtEndPr>
                          <w:sdtContent>
                            <w:p w14:paraId="49B7F657">
                              <w:pPr>
                                <w:pStyle w:val="25"/>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3</w:t>
                              </w:r>
                              <w:r>
                                <w:rPr>
                                  <w:rFonts w:ascii="Times New Roman" w:hAnsi="Times New Roman" w:cs="Times New Roman"/>
                                </w:rPr>
                                <w:fldChar w:fldCharType="end"/>
                              </w:r>
                            </w:p>
                          </w:sdtContent>
                        </w:sdt>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8.5pt;margin-top:7.1pt;height:25.45pt;width:48pt;mso-position-horizontal-relative:margin;z-index:251659264;mso-width-relative:page;mso-height-relative:page;" filled="f" stroked="f" coordsize="21600,21600" o:gfxdata="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SRBk79gAAAAJAQAADwAAAAAAAAABACAAAAAiAAAAZHJzL2Rvd25y&#10;ZXYueG1sUEsBAhQAFAAAAAgAh07iQJzhH8o3AgAAYwQAAA4AAAAAAAAAAQAgAAAAJwEAAGRycy9l&#10;Mm9Eb2MueG1sUEsFBgAAAAAGAAYAWQEAANAFAAAAAA==&#10;">
              <v:fill on="f" focussize="0,0"/>
              <v:stroke on="f" weight="0.5pt"/>
              <v:imagedata o:title=""/>
              <o:lock v:ext="edit" aspectratio="f"/>
              <v:textbox inset="0mm,0mm,0mm,0mm">
                <w:txbxContent>
                  <w:sdt>
                    <w:sdtPr>
                      <w:id w:val="147467450"/>
                    </w:sdtPr>
                    <w:sdtEndPr>
                      <w:rPr>
                        <w:rFonts w:ascii="Times New Roman" w:hAnsi="Times New Roman" w:cs="Times New Roman"/>
                      </w:rPr>
                    </w:sdtEndPr>
                    <w:sdtContent>
                      <w:p w14:paraId="49B7F657">
                        <w:pPr>
                          <w:pStyle w:val="25"/>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3</w:t>
                        </w:r>
                        <w:r>
                          <w:rPr>
                            <w:rFonts w:ascii="Times New Roman" w:hAnsi="Times New Roman" w:cs="Times New Roman"/>
                          </w:rPr>
                          <w:fldChar w:fldCharType="end"/>
                        </w:r>
                      </w:p>
                    </w:sdtContent>
                  </w:sdt>
                </w:txbxContent>
              </v:textbox>
            </v:shape>
          </w:pict>
        </mc:Fallback>
      </mc:AlternateContent>
    </w:r>
    <w:r>
      <w:rPr>
        <w:rFonts w:ascii="Times New Roman" w:hAnsi="Times New Roman" w:cs="Times New Roman"/>
        <w:sz w:val="24"/>
        <w:szCs w:val="24"/>
      </w:rPr>
      <w:drawing>
        <wp:inline distT="0" distB="0" distL="114300" distR="114300">
          <wp:extent cx="2012315" cy="360045"/>
          <wp:effectExtent l="0" t="0" r="6985" b="190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
                  <a:srcRect l="7495" t="20856" b="17563"/>
                  <a:stretch>
                    <a:fillRect/>
                  </a:stretch>
                </pic:blipFill>
                <pic:spPr>
                  <a:xfrm>
                    <a:off x="0" y="0"/>
                    <a:ext cx="2012315" cy="360045"/>
                  </a:xfrm>
                  <a:prstGeom prst="rect">
                    <a:avLst/>
                  </a:prstGeom>
                  <a:noFill/>
                  <a:ln>
                    <a:noFill/>
                  </a:ln>
                </pic:spPr>
              </pic:pic>
            </a:graphicData>
          </a:graphic>
        </wp:inline>
      </w:drawing>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9035"/>
    </w:sdtPr>
    <w:sdtContent>
      <w:p w14:paraId="59CF531D">
        <w:pPr>
          <w:pStyle w:val="25"/>
          <w:ind w:firstLine="360"/>
          <w:jc w:val="right"/>
        </w:pP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BBE89">
    <w:pPr>
      <w:pStyle w:val="25"/>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E49B800">
                          <w:pPr>
                            <w:pStyle w:val="25"/>
                            <w:ind w:firstLine="360"/>
                            <w:jc w:val="center"/>
                          </w:pPr>
                          <w:r>
                            <w:fldChar w:fldCharType="begin"/>
                          </w:r>
                          <w:r>
                            <w:instrText xml:space="preserve"> PAGE   \* MERGEFORMAT </w:instrText>
                          </w:r>
                          <w:r>
                            <w:fldChar w:fldCharType="separate"/>
                          </w:r>
                          <w:r>
                            <w:rPr>
                              <w:lang w:val="zh-CN"/>
                            </w:rPr>
                            <w:t>48</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14:paraId="7E49B800">
                    <w:pPr>
                      <w:pStyle w:val="25"/>
                      <w:ind w:firstLine="360"/>
                      <w:jc w:val="center"/>
                    </w:pPr>
                    <w:r>
                      <w:fldChar w:fldCharType="begin"/>
                    </w:r>
                    <w:r>
                      <w:instrText xml:space="preserve"> PAGE   \* MERGEFORMAT </w:instrText>
                    </w:r>
                    <w:r>
                      <w:fldChar w:fldCharType="separate"/>
                    </w:r>
                    <w:r>
                      <w:rPr>
                        <w:lang w:val="zh-CN"/>
                      </w:rPr>
                      <w:t>48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D6384">
    <w:pPr>
      <w:pStyle w:val="25"/>
      <w:ind w:firstLine="0" w:firstLineChars="0"/>
      <w:rPr>
        <w:rFonts w:ascii="Times New Roman" w:hAnsi="Times New Roman" w:cs="Times New Roman"/>
      </w:rPr>
    </w:pPr>
    <w:r>
      <mc:AlternateContent>
        <mc:Choice Requires="wps">
          <w:drawing>
            <wp:anchor distT="0" distB="0" distL="114300" distR="114300" simplePos="0" relativeHeight="251660288" behindDoc="0" locked="0" layoutInCell="1" allowOverlap="1">
              <wp:simplePos x="0" y="0"/>
              <wp:positionH relativeFrom="margin">
                <wp:posOffset>2647950</wp:posOffset>
              </wp:positionH>
              <wp:positionV relativeFrom="paragraph">
                <wp:posOffset>90170</wp:posOffset>
              </wp:positionV>
              <wp:extent cx="609600" cy="3232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09600" cy="322943"/>
                      </a:xfrm>
                      <a:prstGeom prst="rect">
                        <a:avLst/>
                      </a:prstGeom>
                      <a:noFill/>
                      <a:ln w="6350">
                        <a:noFill/>
                      </a:ln>
                      <a:effectLst/>
                    </wps:spPr>
                    <wps:txbx>
                      <w:txbxContent>
                        <w:sdt>
                          <w:sdtPr>
                            <w:id w:val="147481008"/>
                          </w:sdtPr>
                          <w:sdtEndPr>
                            <w:rPr>
                              <w:rFonts w:ascii="Times New Roman" w:hAnsi="Times New Roman" w:cs="Times New Roman"/>
                            </w:rPr>
                          </w:sdtEndPr>
                          <w:sdtContent>
                            <w:p w14:paraId="13F62B5E">
                              <w:pPr>
                                <w:pStyle w:val="25"/>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62</w:t>
                              </w:r>
                              <w:r>
                                <w:rPr>
                                  <w:rFonts w:ascii="Times New Roman" w:hAnsi="Times New Roman" w:cs="Times New Roman"/>
                                </w:rPr>
                                <w:fldChar w:fldCharType="end"/>
                              </w:r>
                            </w:p>
                          </w:sdtContent>
                        </w:sdt>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8.5pt;margin-top:7.1pt;height:25.45pt;width:48pt;mso-position-horizontal-relative:margin;z-index:251660288;mso-width-relative:page;mso-height-relative:page;" filled="f" stroked="f" coordsize="21600,21600" o:gfxdata="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JEGTv2AAAAAkBAAAPAAAAAAAAAAEAIAAAACIAAABkcnMvZG93bnJl&#10;di54bWxQSwECFAAUAAAACACHTuJAFQVjczYCAABjBAAADgAAAAAAAAABACAAAAAnAQAAZHJzL2Uy&#10;b0RvYy54bWxQSwUGAAAAAAYABgBZAQAAzwUAAAAA&#10;">
              <v:fill on="f" focussize="0,0"/>
              <v:stroke on="f" weight="0.5pt"/>
              <v:imagedata o:title=""/>
              <o:lock v:ext="edit" aspectratio="f"/>
              <v:textbox inset="0mm,0mm,0mm,0mm">
                <w:txbxContent>
                  <w:sdt>
                    <w:sdtPr>
                      <w:id w:val="147481008"/>
                    </w:sdtPr>
                    <w:sdtEndPr>
                      <w:rPr>
                        <w:rFonts w:ascii="Times New Roman" w:hAnsi="Times New Roman" w:cs="Times New Roman"/>
                      </w:rPr>
                    </w:sdtEndPr>
                    <w:sdtContent>
                      <w:p w14:paraId="13F62B5E">
                        <w:pPr>
                          <w:pStyle w:val="25"/>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62</w:t>
                        </w:r>
                        <w:r>
                          <w:rPr>
                            <w:rFonts w:ascii="Times New Roman" w:hAnsi="Times New Roman" w:cs="Times New Roman"/>
                          </w:rPr>
                          <w:fldChar w:fldCharType="end"/>
                        </w:r>
                      </w:p>
                    </w:sdtContent>
                  </w:sdt>
                </w:txbxContent>
              </v:textbox>
            </v:shape>
          </w:pict>
        </mc:Fallback>
      </mc:AlternateContent>
    </w:r>
    <w:r>
      <w:rPr>
        <w:rFonts w:ascii="Times New Roman" w:hAnsi="Times New Roman" w:cs="Times New Roman"/>
        <w:sz w:val="24"/>
        <w:szCs w:val="24"/>
      </w:rPr>
      <w:drawing>
        <wp:inline distT="0" distB="0" distL="114300" distR="114300">
          <wp:extent cx="2012315" cy="360045"/>
          <wp:effectExtent l="0" t="0" r="6985" b="19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rcRect l="7495" t="20856" b="17563"/>
                  <a:stretch>
                    <a:fillRect/>
                  </a:stretch>
                </pic:blipFill>
                <pic:spPr>
                  <a:xfrm>
                    <a:off x="0" y="0"/>
                    <a:ext cx="2012315" cy="36004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422F5">
    <w:pPr>
      <w:ind w:left="42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07DCD">
    <w:pPr>
      <w:pStyle w:val="2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9C612">
    <w:pPr>
      <w:ind w:left="420" w:firstLine="0" w:firstLineChars="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F48BC">
    <w:pPr>
      <w:ind w:left="420" w:firstLine="0" w:firstLineChars="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54DC0">
    <w:pPr>
      <w:ind w:left="42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F36DBD"/>
    <w:multiLevelType w:val="singleLevel"/>
    <w:tmpl w:val="D6F36DBD"/>
    <w:lvl w:ilvl="0" w:tentative="0">
      <w:start w:val="1"/>
      <w:numFmt w:val="decimal"/>
      <w:pStyle w:val="7"/>
      <w:lvlText w:val="%1."/>
      <w:lvlJc w:val="left"/>
      <w:pPr>
        <w:tabs>
          <w:tab w:val="left" w:pos="780"/>
        </w:tabs>
        <w:ind w:left="7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kNWIxMTlhZjMyNzg5NDgyYTg4ZmE5N2QwYWVlYjMifQ=="/>
  </w:docVars>
  <w:rsids>
    <w:rsidRoot w:val="00172A27"/>
    <w:rsid w:val="00015731"/>
    <w:rsid w:val="00032C83"/>
    <w:rsid w:val="00034F32"/>
    <w:rsid w:val="000366D1"/>
    <w:rsid w:val="00041ECA"/>
    <w:rsid w:val="00074109"/>
    <w:rsid w:val="000A170B"/>
    <w:rsid w:val="000A6469"/>
    <w:rsid w:val="000A6A6D"/>
    <w:rsid w:val="000B07D4"/>
    <w:rsid w:val="000B3229"/>
    <w:rsid w:val="000B447D"/>
    <w:rsid w:val="000B5DEB"/>
    <w:rsid w:val="000B7225"/>
    <w:rsid w:val="000C344C"/>
    <w:rsid w:val="000C4FD0"/>
    <w:rsid w:val="000C51C4"/>
    <w:rsid w:val="000D1A83"/>
    <w:rsid w:val="000D1CEF"/>
    <w:rsid w:val="000D3927"/>
    <w:rsid w:val="000F3A41"/>
    <w:rsid w:val="00103897"/>
    <w:rsid w:val="00104124"/>
    <w:rsid w:val="00114D4E"/>
    <w:rsid w:val="001155D4"/>
    <w:rsid w:val="0011760F"/>
    <w:rsid w:val="00130FF4"/>
    <w:rsid w:val="00135135"/>
    <w:rsid w:val="00141A65"/>
    <w:rsid w:val="0016529F"/>
    <w:rsid w:val="00172A27"/>
    <w:rsid w:val="00175573"/>
    <w:rsid w:val="00175EE4"/>
    <w:rsid w:val="001A112D"/>
    <w:rsid w:val="001A5452"/>
    <w:rsid w:val="001B4BB0"/>
    <w:rsid w:val="001B733E"/>
    <w:rsid w:val="001C66E0"/>
    <w:rsid w:val="001D6E7C"/>
    <w:rsid w:val="001E14C6"/>
    <w:rsid w:val="0020171F"/>
    <w:rsid w:val="00205B78"/>
    <w:rsid w:val="00205F82"/>
    <w:rsid w:val="00214B28"/>
    <w:rsid w:val="00217ED2"/>
    <w:rsid w:val="0022181C"/>
    <w:rsid w:val="00242DF8"/>
    <w:rsid w:val="002576C8"/>
    <w:rsid w:val="00261AFD"/>
    <w:rsid w:val="002858D6"/>
    <w:rsid w:val="002A57B2"/>
    <w:rsid w:val="002A736B"/>
    <w:rsid w:val="002B1902"/>
    <w:rsid w:val="002B4A07"/>
    <w:rsid w:val="002B5202"/>
    <w:rsid w:val="002B5F62"/>
    <w:rsid w:val="002C0774"/>
    <w:rsid w:val="002C0E21"/>
    <w:rsid w:val="002C4449"/>
    <w:rsid w:val="002D41A6"/>
    <w:rsid w:val="002F1A29"/>
    <w:rsid w:val="002F2FE9"/>
    <w:rsid w:val="00303F39"/>
    <w:rsid w:val="0032762A"/>
    <w:rsid w:val="00327E13"/>
    <w:rsid w:val="003343BA"/>
    <w:rsid w:val="00336081"/>
    <w:rsid w:val="003452B1"/>
    <w:rsid w:val="00350EB3"/>
    <w:rsid w:val="00360B66"/>
    <w:rsid w:val="00360CC5"/>
    <w:rsid w:val="0037126E"/>
    <w:rsid w:val="003927D8"/>
    <w:rsid w:val="003A33AE"/>
    <w:rsid w:val="003A3D97"/>
    <w:rsid w:val="003B782C"/>
    <w:rsid w:val="003D17C0"/>
    <w:rsid w:val="003D4BFD"/>
    <w:rsid w:val="003E64B3"/>
    <w:rsid w:val="003F0524"/>
    <w:rsid w:val="004136AB"/>
    <w:rsid w:val="00417EF4"/>
    <w:rsid w:val="0042371A"/>
    <w:rsid w:val="00425EE3"/>
    <w:rsid w:val="00432A85"/>
    <w:rsid w:val="00444F9F"/>
    <w:rsid w:val="004531F0"/>
    <w:rsid w:val="00453C5E"/>
    <w:rsid w:val="00457A5D"/>
    <w:rsid w:val="004C3A8C"/>
    <w:rsid w:val="004C5112"/>
    <w:rsid w:val="004E5878"/>
    <w:rsid w:val="00526888"/>
    <w:rsid w:val="00535FB3"/>
    <w:rsid w:val="00550D63"/>
    <w:rsid w:val="00552F9D"/>
    <w:rsid w:val="005842AF"/>
    <w:rsid w:val="00586FEC"/>
    <w:rsid w:val="005875A8"/>
    <w:rsid w:val="005A6658"/>
    <w:rsid w:val="005A775D"/>
    <w:rsid w:val="005B1984"/>
    <w:rsid w:val="005D4603"/>
    <w:rsid w:val="005D6F14"/>
    <w:rsid w:val="0060374C"/>
    <w:rsid w:val="00610597"/>
    <w:rsid w:val="00621C19"/>
    <w:rsid w:val="00636673"/>
    <w:rsid w:val="00646AD2"/>
    <w:rsid w:val="0066254F"/>
    <w:rsid w:val="00672786"/>
    <w:rsid w:val="006959E2"/>
    <w:rsid w:val="006A083A"/>
    <w:rsid w:val="006A1F7A"/>
    <w:rsid w:val="006B4292"/>
    <w:rsid w:val="006C022A"/>
    <w:rsid w:val="006C1860"/>
    <w:rsid w:val="006F0752"/>
    <w:rsid w:val="006F1095"/>
    <w:rsid w:val="006F6CED"/>
    <w:rsid w:val="006F6F8D"/>
    <w:rsid w:val="00703123"/>
    <w:rsid w:val="00711F23"/>
    <w:rsid w:val="00712B4B"/>
    <w:rsid w:val="0071405D"/>
    <w:rsid w:val="00717FE6"/>
    <w:rsid w:val="0072493D"/>
    <w:rsid w:val="00734B4D"/>
    <w:rsid w:val="007365F1"/>
    <w:rsid w:val="00757B9E"/>
    <w:rsid w:val="0076110F"/>
    <w:rsid w:val="00792113"/>
    <w:rsid w:val="00793A24"/>
    <w:rsid w:val="007A04E6"/>
    <w:rsid w:val="007B2C13"/>
    <w:rsid w:val="007B48AB"/>
    <w:rsid w:val="007C0F2D"/>
    <w:rsid w:val="007C548A"/>
    <w:rsid w:val="007D36DD"/>
    <w:rsid w:val="007D701B"/>
    <w:rsid w:val="007E2343"/>
    <w:rsid w:val="007F3A6B"/>
    <w:rsid w:val="007F7CFD"/>
    <w:rsid w:val="00800690"/>
    <w:rsid w:val="00800A9E"/>
    <w:rsid w:val="00800F00"/>
    <w:rsid w:val="0081289C"/>
    <w:rsid w:val="00816543"/>
    <w:rsid w:val="00840472"/>
    <w:rsid w:val="00840596"/>
    <w:rsid w:val="00844E48"/>
    <w:rsid w:val="00845314"/>
    <w:rsid w:val="00851619"/>
    <w:rsid w:val="00891500"/>
    <w:rsid w:val="0089189B"/>
    <w:rsid w:val="0089448C"/>
    <w:rsid w:val="008C0CA3"/>
    <w:rsid w:val="008C6F54"/>
    <w:rsid w:val="008D64DE"/>
    <w:rsid w:val="008E5E0C"/>
    <w:rsid w:val="0090649C"/>
    <w:rsid w:val="00907EEF"/>
    <w:rsid w:val="00921DC1"/>
    <w:rsid w:val="009277C0"/>
    <w:rsid w:val="00933998"/>
    <w:rsid w:val="0094226F"/>
    <w:rsid w:val="00946B8C"/>
    <w:rsid w:val="009502EA"/>
    <w:rsid w:val="00963EF8"/>
    <w:rsid w:val="00966230"/>
    <w:rsid w:val="009775DD"/>
    <w:rsid w:val="00980A9B"/>
    <w:rsid w:val="009828A6"/>
    <w:rsid w:val="009A32A5"/>
    <w:rsid w:val="009A4AD4"/>
    <w:rsid w:val="009B2184"/>
    <w:rsid w:val="009D29F3"/>
    <w:rsid w:val="009E2FD2"/>
    <w:rsid w:val="009F4C1B"/>
    <w:rsid w:val="00A05F60"/>
    <w:rsid w:val="00A12F54"/>
    <w:rsid w:val="00A15608"/>
    <w:rsid w:val="00A36597"/>
    <w:rsid w:val="00A5455D"/>
    <w:rsid w:val="00A641FB"/>
    <w:rsid w:val="00A845F4"/>
    <w:rsid w:val="00A87A8D"/>
    <w:rsid w:val="00A90B02"/>
    <w:rsid w:val="00AA5440"/>
    <w:rsid w:val="00AA58EC"/>
    <w:rsid w:val="00AB53E6"/>
    <w:rsid w:val="00AB7BAD"/>
    <w:rsid w:val="00AF0D27"/>
    <w:rsid w:val="00B076DC"/>
    <w:rsid w:val="00B1548B"/>
    <w:rsid w:val="00B24226"/>
    <w:rsid w:val="00B31FF9"/>
    <w:rsid w:val="00B52690"/>
    <w:rsid w:val="00B63DE5"/>
    <w:rsid w:val="00B66753"/>
    <w:rsid w:val="00B909A4"/>
    <w:rsid w:val="00BA1308"/>
    <w:rsid w:val="00BA1F98"/>
    <w:rsid w:val="00BB0938"/>
    <w:rsid w:val="00BD0902"/>
    <w:rsid w:val="00BD3D62"/>
    <w:rsid w:val="00BE79D0"/>
    <w:rsid w:val="00BF5745"/>
    <w:rsid w:val="00C01361"/>
    <w:rsid w:val="00C04173"/>
    <w:rsid w:val="00C11040"/>
    <w:rsid w:val="00C20124"/>
    <w:rsid w:val="00C3738F"/>
    <w:rsid w:val="00C376B3"/>
    <w:rsid w:val="00C51191"/>
    <w:rsid w:val="00C60212"/>
    <w:rsid w:val="00C77E0A"/>
    <w:rsid w:val="00C803CE"/>
    <w:rsid w:val="00C86F4F"/>
    <w:rsid w:val="00C958DD"/>
    <w:rsid w:val="00CB1EB4"/>
    <w:rsid w:val="00CC1347"/>
    <w:rsid w:val="00CD2FA8"/>
    <w:rsid w:val="00CD3B67"/>
    <w:rsid w:val="00CD747C"/>
    <w:rsid w:val="00CF5F6B"/>
    <w:rsid w:val="00D3378A"/>
    <w:rsid w:val="00D356AC"/>
    <w:rsid w:val="00D42C84"/>
    <w:rsid w:val="00D4575B"/>
    <w:rsid w:val="00D46BA3"/>
    <w:rsid w:val="00D54915"/>
    <w:rsid w:val="00D55B22"/>
    <w:rsid w:val="00D64AE1"/>
    <w:rsid w:val="00D65011"/>
    <w:rsid w:val="00DA2508"/>
    <w:rsid w:val="00DB16F4"/>
    <w:rsid w:val="00DE45E8"/>
    <w:rsid w:val="00DF5CF0"/>
    <w:rsid w:val="00DF71A7"/>
    <w:rsid w:val="00DF7C12"/>
    <w:rsid w:val="00E03B94"/>
    <w:rsid w:val="00E04464"/>
    <w:rsid w:val="00E117FB"/>
    <w:rsid w:val="00E32D5A"/>
    <w:rsid w:val="00E378CB"/>
    <w:rsid w:val="00E4193D"/>
    <w:rsid w:val="00E57969"/>
    <w:rsid w:val="00EA4748"/>
    <w:rsid w:val="00EB047F"/>
    <w:rsid w:val="00EB0E64"/>
    <w:rsid w:val="00EB1EEE"/>
    <w:rsid w:val="00EC28AB"/>
    <w:rsid w:val="00EC622C"/>
    <w:rsid w:val="00ED5986"/>
    <w:rsid w:val="00ED7103"/>
    <w:rsid w:val="00EE485B"/>
    <w:rsid w:val="00EE7D15"/>
    <w:rsid w:val="00F2012D"/>
    <w:rsid w:val="00F326A5"/>
    <w:rsid w:val="00F4272D"/>
    <w:rsid w:val="00F44298"/>
    <w:rsid w:val="00F46D15"/>
    <w:rsid w:val="00F477BA"/>
    <w:rsid w:val="00F50FEA"/>
    <w:rsid w:val="00F5237D"/>
    <w:rsid w:val="00F650F7"/>
    <w:rsid w:val="00F730D1"/>
    <w:rsid w:val="00F8231B"/>
    <w:rsid w:val="00F87C65"/>
    <w:rsid w:val="00FB3D46"/>
    <w:rsid w:val="00FB68EC"/>
    <w:rsid w:val="00FC275F"/>
    <w:rsid w:val="00FC4918"/>
    <w:rsid w:val="00FE1D12"/>
    <w:rsid w:val="01145609"/>
    <w:rsid w:val="01176EA7"/>
    <w:rsid w:val="014001AC"/>
    <w:rsid w:val="01460B8C"/>
    <w:rsid w:val="014B08FF"/>
    <w:rsid w:val="014D28C9"/>
    <w:rsid w:val="01514167"/>
    <w:rsid w:val="01567567"/>
    <w:rsid w:val="01794DA7"/>
    <w:rsid w:val="01795731"/>
    <w:rsid w:val="017C0D7B"/>
    <w:rsid w:val="017E2A82"/>
    <w:rsid w:val="01826A17"/>
    <w:rsid w:val="018C33F1"/>
    <w:rsid w:val="01A52705"/>
    <w:rsid w:val="01A71FD9"/>
    <w:rsid w:val="01B37BC8"/>
    <w:rsid w:val="01B85F94"/>
    <w:rsid w:val="01BA61B0"/>
    <w:rsid w:val="01BB2394"/>
    <w:rsid w:val="01D17056"/>
    <w:rsid w:val="01D435B9"/>
    <w:rsid w:val="01DB6577"/>
    <w:rsid w:val="01E66FA5"/>
    <w:rsid w:val="01E75FCB"/>
    <w:rsid w:val="01E90E06"/>
    <w:rsid w:val="01E943A0"/>
    <w:rsid w:val="01EE19B6"/>
    <w:rsid w:val="01F23341"/>
    <w:rsid w:val="02035B8A"/>
    <w:rsid w:val="02056D00"/>
    <w:rsid w:val="020E2058"/>
    <w:rsid w:val="02100BC5"/>
    <w:rsid w:val="02117D9A"/>
    <w:rsid w:val="02191E9F"/>
    <w:rsid w:val="02192701"/>
    <w:rsid w:val="021C29C7"/>
    <w:rsid w:val="021F4265"/>
    <w:rsid w:val="02327E75"/>
    <w:rsid w:val="02331ABF"/>
    <w:rsid w:val="02355837"/>
    <w:rsid w:val="02377801"/>
    <w:rsid w:val="023F2212"/>
    <w:rsid w:val="025760E2"/>
    <w:rsid w:val="025838F2"/>
    <w:rsid w:val="025D08EA"/>
    <w:rsid w:val="025F49B5"/>
    <w:rsid w:val="026B1259"/>
    <w:rsid w:val="02812738"/>
    <w:rsid w:val="02897931"/>
    <w:rsid w:val="028D14C3"/>
    <w:rsid w:val="02922DB8"/>
    <w:rsid w:val="02963835"/>
    <w:rsid w:val="029A38EC"/>
    <w:rsid w:val="029F7154"/>
    <w:rsid w:val="02A40196"/>
    <w:rsid w:val="02AA76D0"/>
    <w:rsid w:val="02AD1871"/>
    <w:rsid w:val="02B6709D"/>
    <w:rsid w:val="02BF15A4"/>
    <w:rsid w:val="02D432A2"/>
    <w:rsid w:val="02D54924"/>
    <w:rsid w:val="02DE3EE6"/>
    <w:rsid w:val="02E37511"/>
    <w:rsid w:val="02E62FD5"/>
    <w:rsid w:val="02E66B31"/>
    <w:rsid w:val="02EE59E6"/>
    <w:rsid w:val="02F53218"/>
    <w:rsid w:val="02FB4A8C"/>
    <w:rsid w:val="02FE3E7B"/>
    <w:rsid w:val="03013A68"/>
    <w:rsid w:val="030516AD"/>
    <w:rsid w:val="030A0A72"/>
    <w:rsid w:val="0314369E"/>
    <w:rsid w:val="03157416"/>
    <w:rsid w:val="03196F07"/>
    <w:rsid w:val="03215DBB"/>
    <w:rsid w:val="03272D2E"/>
    <w:rsid w:val="0328539C"/>
    <w:rsid w:val="032D650E"/>
    <w:rsid w:val="0333629C"/>
    <w:rsid w:val="03365E29"/>
    <w:rsid w:val="033B4C47"/>
    <w:rsid w:val="033C49A3"/>
    <w:rsid w:val="033E071B"/>
    <w:rsid w:val="033F6241"/>
    <w:rsid w:val="03465822"/>
    <w:rsid w:val="03483A41"/>
    <w:rsid w:val="034F2928"/>
    <w:rsid w:val="0350044F"/>
    <w:rsid w:val="035166A0"/>
    <w:rsid w:val="035241C7"/>
    <w:rsid w:val="035A7C44"/>
    <w:rsid w:val="0375224D"/>
    <w:rsid w:val="037A1426"/>
    <w:rsid w:val="037D56E7"/>
    <w:rsid w:val="03863E70"/>
    <w:rsid w:val="039262B2"/>
    <w:rsid w:val="03962305"/>
    <w:rsid w:val="03AE0BF2"/>
    <w:rsid w:val="03B804CE"/>
    <w:rsid w:val="03B86720"/>
    <w:rsid w:val="03C52BEB"/>
    <w:rsid w:val="03CA1FAF"/>
    <w:rsid w:val="03D154A3"/>
    <w:rsid w:val="03DA48E8"/>
    <w:rsid w:val="03DD4B8B"/>
    <w:rsid w:val="03DD6FCF"/>
    <w:rsid w:val="03E94B2B"/>
    <w:rsid w:val="03EC4FE5"/>
    <w:rsid w:val="03EE3EEF"/>
    <w:rsid w:val="03F94141"/>
    <w:rsid w:val="03F96DFC"/>
    <w:rsid w:val="03FA2681"/>
    <w:rsid w:val="03FC4505"/>
    <w:rsid w:val="03FE7EAB"/>
    <w:rsid w:val="040E23F5"/>
    <w:rsid w:val="040F3E66"/>
    <w:rsid w:val="04114082"/>
    <w:rsid w:val="042747BE"/>
    <w:rsid w:val="04470EA6"/>
    <w:rsid w:val="044B5C73"/>
    <w:rsid w:val="044E2BE0"/>
    <w:rsid w:val="04640655"/>
    <w:rsid w:val="046A2A3A"/>
    <w:rsid w:val="046E5C42"/>
    <w:rsid w:val="047563BF"/>
    <w:rsid w:val="047B227B"/>
    <w:rsid w:val="048C7171"/>
    <w:rsid w:val="049D20AA"/>
    <w:rsid w:val="04AC5B58"/>
    <w:rsid w:val="04AE367F"/>
    <w:rsid w:val="04B26421"/>
    <w:rsid w:val="04B30C95"/>
    <w:rsid w:val="04B74C29"/>
    <w:rsid w:val="04BD0123"/>
    <w:rsid w:val="04C03582"/>
    <w:rsid w:val="04C60968"/>
    <w:rsid w:val="04D31337"/>
    <w:rsid w:val="04E452F2"/>
    <w:rsid w:val="04EE6171"/>
    <w:rsid w:val="04EE7F1F"/>
    <w:rsid w:val="04F01EE9"/>
    <w:rsid w:val="04F217BD"/>
    <w:rsid w:val="04F26A8D"/>
    <w:rsid w:val="04F30E8A"/>
    <w:rsid w:val="04F539EB"/>
    <w:rsid w:val="04F75026"/>
    <w:rsid w:val="05047743"/>
    <w:rsid w:val="0508229C"/>
    <w:rsid w:val="052B764F"/>
    <w:rsid w:val="052E47BF"/>
    <w:rsid w:val="053354CF"/>
    <w:rsid w:val="055204AE"/>
    <w:rsid w:val="056F2E0E"/>
    <w:rsid w:val="05785C8A"/>
    <w:rsid w:val="05791EDF"/>
    <w:rsid w:val="057A7903"/>
    <w:rsid w:val="057B7407"/>
    <w:rsid w:val="057C6008"/>
    <w:rsid w:val="059565ED"/>
    <w:rsid w:val="05962A91"/>
    <w:rsid w:val="05A21435"/>
    <w:rsid w:val="05A97CC3"/>
    <w:rsid w:val="05BE1FE7"/>
    <w:rsid w:val="05C07B0D"/>
    <w:rsid w:val="05CD5D86"/>
    <w:rsid w:val="05CF5FA2"/>
    <w:rsid w:val="05D01F5E"/>
    <w:rsid w:val="05DB04A3"/>
    <w:rsid w:val="05DC4B7A"/>
    <w:rsid w:val="05E530D0"/>
    <w:rsid w:val="05EA7633"/>
    <w:rsid w:val="05F23A3F"/>
    <w:rsid w:val="05F46F21"/>
    <w:rsid w:val="05F501C5"/>
    <w:rsid w:val="05FE0636"/>
    <w:rsid w:val="060C2D53"/>
    <w:rsid w:val="06115344"/>
    <w:rsid w:val="062E4A77"/>
    <w:rsid w:val="06314567"/>
    <w:rsid w:val="06345E06"/>
    <w:rsid w:val="06496884"/>
    <w:rsid w:val="064E112E"/>
    <w:rsid w:val="064E336B"/>
    <w:rsid w:val="065B3392"/>
    <w:rsid w:val="065B7836"/>
    <w:rsid w:val="066C559F"/>
    <w:rsid w:val="066E1317"/>
    <w:rsid w:val="066E57BB"/>
    <w:rsid w:val="06792C25"/>
    <w:rsid w:val="06845204"/>
    <w:rsid w:val="06913258"/>
    <w:rsid w:val="069F7723"/>
    <w:rsid w:val="06A66D03"/>
    <w:rsid w:val="06B37718"/>
    <w:rsid w:val="06BA630B"/>
    <w:rsid w:val="06C76316"/>
    <w:rsid w:val="06CC4290"/>
    <w:rsid w:val="06D20D55"/>
    <w:rsid w:val="06D870D9"/>
    <w:rsid w:val="06DD024B"/>
    <w:rsid w:val="06E24AE3"/>
    <w:rsid w:val="06E97873"/>
    <w:rsid w:val="06EB2968"/>
    <w:rsid w:val="06EE06AA"/>
    <w:rsid w:val="06FF01C2"/>
    <w:rsid w:val="07013F3A"/>
    <w:rsid w:val="07027CB2"/>
    <w:rsid w:val="07035F04"/>
    <w:rsid w:val="070C28DE"/>
    <w:rsid w:val="07101279"/>
    <w:rsid w:val="07123597"/>
    <w:rsid w:val="07142152"/>
    <w:rsid w:val="07174993"/>
    <w:rsid w:val="0733430F"/>
    <w:rsid w:val="073F0499"/>
    <w:rsid w:val="074B78AB"/>
    <w:rsid w:val="075D0CAA"/>
    <w:rsid w:val="07666493"/>
    <w:rsid w:val="077A1F3E"/>
    <w:rsid w:val="07832BA1"/>
    <w:rsid w:val="0789259F"/>
    <w:rsid w:val="07911761"/>
    <w:rsid w:val="079C5DDB"/>
    <w:rsid w:val="07A07BF6"/>
    <w:rsid w:val="07A1571D"/>
    <w:rsid w:val="07A34FF1"/>
    <w:rsid w:val="07B216D8"/>
    <w:rsid w:val="07B76CEE"/>
    <w:rsid w:val="07BE74DF"/>
    <w:rsid w:val="07CD1B50"/>
    <w:rsid w:val="07CD4764"/>
    <w:rsid w:val="07CE77CE"/>
    <w:rsid w:val="07D17DB0"/>
    <w:rsid w:val="07DD49A7"/>
    <w:rsid w:val="07E13D6B"/>
    <w:rsid w:val="07EF46DA"/>
    <w:rsid w:val="07F341CA"/>
    <w:rsid w:val="07F817E1"/>
    <w:rsid w:val="08027423"/>
    <w:rsid w:val="080737D2"/>
    <w:rsid w:val="080E352C"/>
    <w:rsid w:val="0827405B"/>
    <w:rsid w:val="082B7418"/>
    <w:rsid w:val="08326375"/>
    <w:rsid w:val="083B347B"/>
    <w:rsid w:val="084542FA"/>
    <w:rsid w:val="08552189"/>
    <w:rsid w:val="0858227F"/>
    <w:rsid w:val="08595171"/>
    <w:rsid w:val="08712C72"/>
    <w:rsid w:val="08732C15"/>
    <w:rsid w:val="087B7D1C"/>
    <w:rsid w:val="088968DD"/>
    <w:rsid w:val="088C017B"/>
    <w:rsid w:val="08A763C8"/>
    <w:rsid w:val="08AA23AF"/>
    <w:rsid w:val="08CB3B24"/>
    <w:rsid w:val="08DB07BA"/>
    <w:rsid w:val="08F63846"/>
    <w:rsid w:val="08FD2E27"/>
    <w:rsid w:val="09067F2D"/>
    <w:rsid w:val="09110C6F"/>
    <w:rsid w:val="0911242E"/>
    <w:rsid w:val="0913089C"/>
    <w:rsid w:val="091361A6"/>
    <w:rsid w:val="091F2D9D"/>
    <w:rsid w:val="092B7994"/>
    <w:rsid w:val="092E4D8E"/>
    <w:rsid w:val="093305F6"/>
    <w:rsid w:val="09436136"/>
    <w:rsid w:val="09476664"/>
    <w:rsid w:val="09546EAB"/>
    <w:rsid w:val="0957742A"/>
    <w:rsid w:val="09694018"/>
    <w:rsid w:val="096B4234"/>
    <w:rsid w:val="096B7D90"/>
    <w:rsid w:val="097040CB"/>
    <w:rsid w:val="09810A99"/>
    <w:rsid w:val="09815E6E"/>
    <w:rsid w:val="0984647B"/>
    <w:rsid w:val="098470A4"/>
    <w:rsid w:val="098A290C"/>
    <w:rsid w:val="09AA1410"/>
    <w:rsid w:val="09C556F2"/>
    <w:rsid w:val="09C90590"/>
    <w:rsid w:val="09D34068"/>
    <w:rsid w:val="09D65B51"/>
    <w:rsid w:val="09D73678"/>
    <w:rsid w:val="09E749E6"/>
    <w:rsid w:val="09E84B68"/>
    <w:rsid w:val="09EA5159"/>
    <w:rsid w:val="09EB1DCE"/>
    <w:rsid w:val="09EE0600"/>
    <w:rsid w:val="09EF451D"/>
    <w:rsid w:val="09F064E7"/>
    <w:rsid w:val="09F36E1A"/>
    <w:rsid w:val="0A0655BF"/>
    <w:rsid w:val="0A0655F6"/>
    <w:rsid w:val="0A083831"/>
    <w:rsid w:val="0A171CC6"/>
    <w:rsid w:val="0A2368BD"/>
    <w:rsid w:val="0A366846"/>
    <w:rsid w:val="0A375EC4"/>
    <w:rsid w:val="0A382873"/>
    <w:rsid w:val="0A40258E"/>
    <w:rsid w:val="0A4155D5"/>
    <w:rsid w:val="0A461E74"/>
    <w:rsid w:val="0A4B089E"/>
    <w:rsid w:val="0A595E3B"/>
    <w:rsid w:val="0A5B6057"/>
    <w:rsid w:val="0A6C0360"/>
    <w:rsid w:val="0A6C3DC0"/>
    <w:rsid w:val="0A6D18E6"/>
    <w:rsid w:val="0A7E1D45"/>
    <w:rsid w:val="0A8E1F88"/>
    <w:rsid w:val="0A8F3F52"/>
    <w:rsid w:val="0A960E3D"/>
    <w:rsid w:val="0A990BC2"/>
    <w:rsid w:val="0AA149C2"/>
    <w:rsid w:val="0AAF493C"/>
    <w:rsid w:val="0AC21C32"/>
    <w:rsid w:val="0AC534D0"/>
    <w:rsid w:val="0ACE49E2"/>
    <w:rsid w:val="0AD025A1"/>
    <w:rsid w:val="0AD65C88"/>
    <w:rsid w:val="0ADA51CD"/>
    <w:rsid w:val="0AE147AE"/>
    <w:rsid w:val="0AEE6ECB"/>
    <w:rsid w:val="0AF12517"/>
    <w:rsid w:val="0AF93F63"/>
    <w:rsid w:val="0AFF4C34"/>
    <w:rsid w:val="0B022976"/>
    <w:rsid w:val="0B02674B"/>
    <w:rsid w:val="0B046A70"/>
    <w:rsid w:val="0B082D3B"/>
    <w:rsid w:val="0B10159B"/>
    <w:rsid w:val="0B316DB7"/>
    <w:rsid w:val="0B381EF4"/>
    <w:rsid w:val="0B440899"/>
    <w:rsid w:val="0B462863"/>
    <w:rsid w:val="0B4A2883"/>
    <w:rsid w:val="0B4B60CB"/>
    <w:rsid w:val="0B67615D"/>
    <w:rsid w:val="0B6B4275"/>
    <w:rsid w:val="0B78620E"/>
    <w:rsid w:val="0B7F3FC7"/>
    <w:rsid w:val="0B8C3FEE"/>
    <w:rsid w:val="0B9C6927"/>
    <w:rsid w:val="0BA15CEB"/>
    <w:rsid w:val="0BB73761"/>
    <w:rsid w:val="0BDC6970"/>
    <w:rsid w:val="0BDD4CFC"/>
    <w:rsid w:val="0BE34556"/>
    <w:rsid w:val="0BE36304"/>
    <w:rsid w:val="0BF24799"/>
    <w:rsid w:val="0BFC5617"/>
    <w:rsid w:val="0C151C47"/>
    <w:rsid w:val="0C25063B"/>
    <w:rsid w:val="0C357D3E"/>
    <w:rsid w:val="0C5745FC"/>
    <w:rsid w:val="0C5B0173"/>
    <w:rsid w:val="0C5D60B6"/>
    <w:rsid w:val="0C62191E"/>
    <w:rsid w:val="0C63685A"/>
    <w:rsid w:val="0C6C62F9"/>
    <w:rsid w:val="0C774C9E"/>
    <w:rsid w:val="0CA42B00"/>
    <w:rsid w:val="0CB150AE"/>
    <w:rsid w:val="0CB87A02"/>
    <w:rsid w:val="0CC021A1"/>
    <w:rsid w:val="0CC872A8"/>
    <w:rsid w:val="0CD619C5"/>
    <w:rsid w:val="0CD8398F"/>
    <w:rsid w:val="0CDD0FA5"/>
    <w:rsid w:val="0CF8164D"/>
    <w:rsid w:val="0CFB142B"/>
    <w:rsid w:val="0D002EE5"/>
    <w:rsid w:val="0D00786A"/>
    <w:rsid w:val="0D026C5D"/>
    <w:rsid w:val="0D136775"/>
    <w:rsid w:val="0D1F15BD"/>
    <w:rsid w:val="0D2C62DE"/>
    <w:rsid w:val="0D3136C4"/>
    <w:rsid w:val="0D38142E"/>
    <w:rsid w:val="0D3861DB"/>
    <w:rsid w:val="0D3D5EE8"/>
    <w:rsid w:val="0D3F756A"/>
    <w:rsid w:val="0D49663A"/>
    <w:rsid w:val="0D5C3C3D"/>
    <w:rsid w:val="0D645222"/>
    <w:rsid w:val="0D725B91"/>
    <w:rsid w:val="0D774F56"/>
    <w:rsid w:val="0D8C6527"/>
    <w:rsid w:val="0DA815B3"/>
    <w:rsid w:val="0DD8176C"/>
    <w:rsid w:val="0DE95727"/>
    <w:rsid w:val="0DF77E44"/>
    <w:rsid w:val="0E097B78"/>
    <w:rsid w:val="0E0A2B96"/>
    <w:rsid w:val="0E170D18"/>
    <w:rsid w:val="0E174848"/>
    <w:rsid w:val="0E3F3599"/>
    <w:rsid w:val="0E456E02"/>
    <w:rsid w:val="0E5434E9"/>
    <w:rsid w:val="0E576B35"/>
    <w:rsid w:val="0E5E4367"/>
    <w:rsid w:val="0E813BB2"/>
    <w:rsid w:val="0E9D4E90"/>
    <w:rsid w:val="0EA21367"/>
    <w:rsid w:val="0EB9159E"/>
    <w:rsid w:val="0EB977F0"/>
    <w:rsid w:val="0EC04B60"/>
    <w:rsid w:val="0EC628B6"/>
    <w:rsid w:val="0EC817E1"/>
    <w:rsid w:val="0ECA7307"/>
    <w:rsid w:val="0ED14B39"/>
    <w:rsid w:val="0ED939EE"/>
    <w:rsid w:val="0EE505E5"/>
    <w:rsid w:val="0EE7610B"/>
    <w:rsid w:val="0EEA5D60"/>
    <w:rsid w:val="0EF44384"/>
    <w:rsid w:val="0F225395"/>
    <w:rsid w:val="0F3D21CF"/>
    <w:rsid w:val="0F3E38A4"/>
    <w:rsid w:val="0F3F5F47"/>
    <w:rsid w:val="0F452E31"/>
    <w:rsid w:val="0F4F5A5E"/>
    <w:rsid w:val="0F5037E7"/>
    <w:rsid w:val="0F5C08A7"/>
    <w:rsid w:val="0F6E05DA"/>
    <w:rsid w:val="0F704352"/>
    <w:rsid w:val="0F7756E1"/>
    <w:rsid w:val="0F7C2CF7"/>
    <w:rsid w:val="0F841BAC"/>
    <w:rsid w:val="0F8B118C"/>
    <w:rsid w:val="0FB00BF3"/>
    <w:rsid w:val="0FCE1079"/>
    <w:rsid w:val="0FD03043"/>
    <w:rsid w:val="0FDD306A"/>
    <w:rsid w:val="0FF84DA4"/>
    <w:rsid w:val="0FF94348"/>
    <w:rsid w:val="10042CED"/>
    <w:rsid w:val="100A06B6"/>
    <w:rsid w:val="10190546"/>
    <w:rsid w:val="101A42BE"/>
    <w:rsid w:val="1025513D"/>
    <w:rsid w:val="102D2243"/>
    <w:rsid w:val="1036740B"/>
    <w:rsid w:val="10593C25"/>
    <w:rsid w:val="107E484D"/>
    <w:rsid w:val="10806817"/>
    <w:rsid w:val="108B0D18"/>
    <w:rsid w:val="10923E54"/>
    <w:rsid w:val="10AA3894"/>
    <w:rsid w:val="10AF2C58"/>
    <w:rsid w:val="10B93AD7"/>
    <w:rsid w:val="10C804E5"/>
    <w:rsid w:val="10D206F5"/>
    <w:rsid w:val="10D64689"/>
    <w:rsid w:val="10E32902"/>
    <w:rsid w:val="10EC5C5A"/>
    <w:rsid w:val="10F7015B"/>
    <w:rsid w:val="10F863AD"/>
    <w:rsid w:val="11097AAC"/>
    <w:rsid w:val="11186A50"/>
    <w:rsid w:val="111927C8"/>
    <w:rsid w:val="111E4C42"/>
    <w:rsid w:val="113D2012"/>
    <w:rsid w:val="114E109E"/>
    <w:rsid w:val="115D4462"/>
    <w:rsid w:val="11627CCB"/>
    <w:rsid w:val="118916FB"/>
    <w:rsid w:val="11895257"/>
    <w:rsid w:val="118C6E30"/>
    <w:rsid w:val="11902A8A"/>
    <w:rsid w:val="119836EC"/>
    <w:rsid w:val="11AF2AB2"/>
    <w:rsid w:val="11B22984"/>
    <w:rsid w:val="11B61DC5"/>
    <w:rsid w:val="11BF0507"/>
    <w:rsid w:val="11DC5CCF"/>
    <w:rsid w:val="11E06E41"/>
    <w:rsid w:val="11E507BB"/>
    <w:rsid w:val="11EE77B0"/>
    <w:rsid w:val="11FC3E71"/>
    <w:rsid w:val="12011292"/>
    <w:rsid w:val="12045226"/>
    <w:rsid w:val="121F796A"/>
    <w:rsid w:val="12303925"/>
    <w:rsid w:val="123F625E"/>
    <w:rsid w:val="124318AA"/>
    <w:rsid w:val="12435D4E"/>
    <w:rsid w:val="12441B8A"/>
    <w:rsid w:val="12577104"/>
    <w:rsid w:val="12645DC7"/>
    <w:rsid w:val="126857B5"/>
    <w:rsid w:val="12744159"/>
    <w:rsid w:val="12816876"/>
    <w:rsid w:val="1287799A"/>
    <w:rsid w:val="128C26B2"/>
    <w:rsid w:val="12941E65"/>
    <w:rsid w:val="129E2F84"/>
    <w:rsid w:val="129E4D32"/>
    <w:rsid w:val="12A10CC7"/>
    <w:rsid w:val="12AF0CEE"/>
    <w:rsid w:val="12AF5D4C"/>
    <w:rsid w:val="12B747B4"/>
    <w:rsid w:val="12C0114D"/>
    <w:rsid w:val="12C475B4"/>
    <w:rsid w:val="12C56763"/>
    <w:rsid w:val="12C66D01"/>
    <w:rsid w:val="12D469A6"/>
    <w:rsid w:val="12F26E2C"/>
    <w:rsid w:val="13166FBF"/>
    <w:rsid w:val="13254FF8"/>
    <w:rsid w:val="13385187"/>
    <w:rsid w:val="1340403C"/>
    <w:rsid w:val="13434A03"/>
    <w:rsid w:val="13541895"/>
    <w:rsid w:val="135E44C2"/>
    <w:rsid w:val="136C6BDF"/>
    <w:rsid w:val="137273E8"/>
    <w:rsid w:val="13743CE5"/>
    <w:rsid w:val="13774D3B"/>
    <w:rsid w:val="137912FC"/>
    <w:rsid w:val="137F2DB6"/>
    <w:rsid w:val="13872AD1"/>
    <w:rsid w:val="13920207"/>
    <w:rsid w:val="13A02D2C"/>
    <w:rsid w:val="13AC7923"/>
    <w:rsid w:val="13B16CE7"/>
    <w:rsid w:val="13B476CB"/>
    <w:rsid w:val="13C609E5"/>
    <w:rsid w:val="13CA1B57"/>
    <w:rsid w:val="13DD7ADC"/>
    <w:rsid w:val="13E1581F"/>
    <w:rsid w:val="13E175CD"/>
    <w:rsid w:val="14185F26"/>
    <w:rsid w:val="14236E91"/>
    <w:rsid w:val="143C4803"/>
    <w:rsid w:val="14467430"/>
    <w:rsid w:val="145369DC"/>
    <w:rsid w:val="14773A8D"/>
    <w:rsid w:val="14900BDD"/>
    <w:rsid w:val="14933FC5"/>
    <w:rsid w:val="14962841"/>
    <w:rsid w:val="149C7998"/>
    <w:rsid w:val="14BB6070"/>
    <w:rsid w:val="14BF71E2"/>
    <w:rsid w:val="14C33AB5"/>
    <w:rsid w:val="14C64A14"/>
    <w:rsid w:val="14C72840"/>
    <w:rsid w:val="14D013EF"/>
    <w:rsid w:val="1505553D"/>
    <w:rsid w:val="15170DCC"/>
    <w:rsid w:val="15233C15"/>
    <w:rsid w:val="15352E35"/>
    <w:rsid w:val="153E0A4F"/>
    <w:rsid w:val="15511B43"/>
    <w:rsid w:val="15532C0C"/>
    <w:rsid w:val="155C4A63"/>
    <w:rsid w:val="156A35F2"/>
    <w:rsid w:val="157707EC"/>
    <w:rsid w:val="157D50D3"/>
    <w:rsid w:val="157F5F94"/>
    <w:rsid w:val="158F4E06"/>
    <w:rsid w:val="15AE34DE"/>
    <w:rsid w:val="15C471A6"/>
    <w:rsid w:val="15D32F45"/>
    <w:rsid w:val="15D8055B"/>
    <w:rsid w:val="15E433A4"/>
    <w:rsid w:val="15F31BF6"/>
    <w:rsid w:val="160550C9"/>
    <w:rsid w:val="162273A7"/>
    <w:rsid w:val="162B0F06"/>
    <w:rsid w:val="162B768F"/>
    <w:rsid w:val="162C08A7"/>
    <w:rsid w:val="16302145"/>
    <w:rsid w:val="16354E15"/>
    <w:rsid w:val="163D191F"/>
    <w:rsid w:val="1646111B"/>
    <w:rsid w:val="164E6A70"/>
    <w:rsid w:val="16640041"/>
    <w:rsid w:val="166C5E2D"/>
    <w:rsid w:val="167F30CD"/>
    <w:rsid w:val="16810304"/>
    <w:rsid w:val="16873D30"/>
    <w:rsid w:val="16882B0B"/>
    <w:rsid w:val="16921D44"/>
    <w:rsid w:val="169C5A2D"/>
    <w:rsid w:val="169E79F7"/>
    <w:rsid w:val="16AB2114"/>
    <w:rsid w:val="16BA5EB3"/>
    <w:rsid w:val="16BE3BF5"/>
    <w:rsid w:val="16C3353B"/>
    <w:rsid w:val="16C3745D"/>
    <w:rsid w:val="16D36F75"/>
    <w:rsid w:val="16D81215"/>
    <w:rsid w:val="16E82A20"/>
    <w:rsid w:val="16EA2C3C"/>
    <w:rsid w:val="16ED0036"/>
    <w:rsid w:val="16ED44DA"/>
    <w:rsid w:val="16EF2001"/>
    <w:rsid w:val="16F5513D"/>
    <w:rsid w:val="16FC296F"/>
    <w:rsid w:val="16FE0496"/>
    <w:rsid w:val="17033CFE"/>
    <w:rsid w:val="17171557"/>
    <w:rsid w:val="171A4BA4"/>
    <w:rsid w:val="17303B71"/>
    <w:rsid w:val="17362B86"/>
    <w:rsid w:val="173914CE"/>
    <w:rsid w:val="17417AEF"/>
    <w:rsid w:val="17591B70"/>
    <w:rsid w:val="1759391E"/>
    <w:rsid w:val="175A1E49"/>
    <w:rsid w:val="175A3EB4"/>
    <w:rsid w:val="17667DE9"/>
    <w:rsid w:val="176E13D4"/>
    <w:rsid w:val="179427AB"/>
    <w:rsid w:val="179A627A"/>
    <w:rsid w:val="179E7583"/>
    <w:rsid w:val="179F2CA8"/>
    <w:rsid w:val="17A10E21"/>
    <w:rsid w:val="17A252C5"/>
    <w:rsid w:val="17B61A60"/>
    <w:rsid w:val="17BD1A73"/>
    <w:rsid w:val="17C3523B"/>
    <w:rsid w:val="17D043BA"/>
    <w:rsid w:val="17E551B2"/>
    <w:rsid w:val="17E574A7"/>
    <w:rsid w:val="17EC6540"/>
    <w:rsid w:val="17F65611"/>
    <w:rsid w:val="17FB169E"/>
    <w:rsid w:val="17FD24FB"/>
    <w:rsid w:val="18045D9B"/>
    <w:rsid w:val="180513B0"/>
    <w:rsid w:val="180B3DE1"/>
    <w:rsid w:val="1810017B"/>
    <w:rsid w:val="181109B7"/>
    <w:rsid w:val="18151336"/>
    <w:rsid w:val="183028D1"/>
    <w:rsid w:val="183879D7"/>
    <w:rsid w:val="18493992"/>
    <w:rsid w:val="18555CC8"/>
    <w:rsid w:val="18673E19"/>
    <w:rsid w:val="189866C8"/>
    <w:rsid w:val="18AC14A6"/>
    <w:rsid w:val="18AD51CA"/>
    <w:rsid w:val="18B232E6"/>
    <w:rsid w:val="18C272A1"/>
    <w:rsid w:val="18C7014D"/>
    <w:rsid w:val="18DD4C34"/>
    <w:rsid w:val="18F25DD8"/>
    <w:rsid w:val="18F45FF4"/>
    <w:rsid w:val="18FA6A3B"/>
    <w:rsid w:val="190B0C48"/>
    <w:rsid w:val="19124904"/>
    <w:rsid w:val="19157D18"/>
    <w:rsid w:val="19267830"/>
    <w:rsid w:val="19297320"/>
    <w:rsid w:val="192B0F66"/>
    <w:rsid w:val="19341F4D"/>
    <w:rsid w:val="193B777F"/>
    <w:rsid w:val="193C385F"/>
    <w:rsid w:val="19467ED2"/>
    <w:rsid w:val="194A5C14"/>
    <w:rsid w:val="194F40C6"/>
    <w:rsid w:val="19697BDC"/>
    <w:rsid w:val="196A1E12"/>
    <w:rsid w:val="196E1757"/>
    <w:rsid w:val="19704F4F"/>
    <w:rsid w:val="197113F3"/>
    <w:rsid w:val="19822C74"/>
    <w:rsid w:val="19824407"/>
    <w:rsid w:val="198A18A5"/>
    <w:rsid w:val="198E593D"/>
    <w:rsid w:val="19923117"/>
    <w:rsid w:val="19A54BF8"/>
    <w:rsid w:val="19B47531"/>
    <w:rsid w:val="19BC4AAD"/>
    <w:rsid w:val="19C474E8"/>
    <w:rsid w:val="19C77265"/>
    <w:rsid w:val="19C808E7"/>
    <w:rsid w:val="19D40F4A"/>
    <w:rsid w:val="19EA7915"/>
    <w:rsid w:val="19F93196"/>
    <w:rsid w:val="19FB0CBC"/>
    <w:rsid w:val="1A04293C"/>
    <w:rsid w:val="1A0A56DC"/>
    <w:rsid w:val="1A0C36DE"/>
    <w:rsid w:val="1A184DA0"/>
    <w:rsid w:val="1A1E49AB"/>
    <w:rsid w:val="1A1F0EDB"/>
    <w:rsid w:val="1A2A3350"/>
    <w:rsid w:val="1A3146DE"/>
    <w:rsid w:val="1A4A0E6B"/>
    <w:rsid w:val="1A4C005D"/>
    <w:rsid w:val="1A4E5290"/>
    <w:rsid w:val="1A5328A6"/>
    <w:rsid w:val="1A5A1E87"/>
    <w:rsid w:val="1A623DEF"/>
    <w:rsid w:val="1A6909DC"/>
    <w:rsid w:val="1A6B4094"/>
    <w:rsid w:val="1A78230D"/>
    <w:rsid w:val="1A7D2AAB"/>
    <w:rsid w:val="1A862C7C"/>
    <w:rsid w:val="1A8654EF"/>
    <w:rsid w:val="1AA167C8"/>
    <w:rsid w:val="1AA94BBC"/>
    <w:rsid w:val="1AB86BAD"/>
    <w:rsid w:val="1AC217DA"/>
    <w:rsid w:val="1AC306D2"/>
    <w:rsid w:val="1AC83294"/>
    <w:rsid w:val="1AC90DBB"/>
    <w:rsid w:val="1AE14356"/>
    <w:rsid w:val="1AE31E7C"/>
    <w:rsid w:val="1AEC3C3D"/>
    <w:rsid w:val="1B0911B7"/>
    <w:rsid w:val="1B095C99"/>
    <w:rsid w:val="1B122762"/>
    <w:rsid w:val="1B124510"/>
    <w:rsid w:val="1B2349D2"/>
    <w:rsid w:val="1B244243"/>
    <w:rsid w:val="1B340C21"/>
    <w:rsid w:val="1B3B240D"/>
    <w:rsid w:val="1B3C333B"/>
    <w:rsid w:val="1B3F1E98"/>
    <w:rsid w:val="1B4662CF"/>
    <w:rsid w:val="1B4D19EC"/>
    <w:rsid w:val="1B4E306E"/>
    <w:rsid w:val="1B55264E"/>
    <w:rsid w:val="1B5C1C2F"/>
    <w:rsid w:val="1B60171F"/>
    <w:rsid w:val="1B6F0B84"/>
    <w:rsid w:val="1B86158A"/>
    <w:rsid w:val="1B8B6070"/>
    <w:rsid w:val="1B9B4505"/>
    <w:rsid w:val="1BAA299A"/>
    <w:rsid w:val="1BAD248A"/>
    <w:rsid w:val="1BC86BBE"/>
    <w:rsid w:val="1BCB46BE"/>
    <w:rsid w:val="1BCF2401"/>
    <w:rsid w:val="1BCF6009"/>
    <w:rsid w:val="1BDC5910"/>
    <w:rsid w:val="1BE162D5"/>
    <w:rsid w:val="1BE834C2"/>
    <w:rsid w:val="1BEC6B0F"/>
    <w:rsid w:val="1BEF4851"/>
    <w:rsid w:val="1BF14125"/>
    <w:rsid w:val="1BF400B9"/>
    <w:rsid w:val="1BF87D6F"/>
    <w:rsid w:val="1C055E22"/>
    <w:rsid w:val="1C1D316C"/>
    <w:rsid w:val="1C2A295D"/>
    <w:rsid w:val="1C2E6A49"/>
    <w:rsid w:val="1C301F72"/>
    <w:rsid w:val="1C3109C5"/>
    <w:rsid w:val="1C314E69"/>
    <w:rsid w:val="1C3B6EE0"/>
    <w:rsid w:val="1C511068"/>
    <w:rsid w:val="1C5564A5"/>
    <w:rsid w:val="1C6963B1"/>
    <w:rsid w:val="1C6F7740"/>
    <w:rsid w:val="1C715266"/>
    <w:rsid w:val="1C827473"/>
    <w:rsid w:val="1C8A6328"/>
    <w:rsid w:val="1C9378D2"/>
    <w:rsid w:val="1CA10E81"/>
    <w:rsid w:val="1CA218C3"/>
    <w:rsid w:val="1CB6536F"/>
    <w:rsid w:val="1CC57360"/>
    <w:rsid w:val="1CC956BB"/>
    <w:rsid w:val="1CD001DE"/>
    <w:rsid w:val="1CD53267"/>
    <w:rsid w:val="1CDD0B4D"/>
    <w:rsid w:val="1CEB6DC6"/>
    <w:rsid w:val="1CF3211F"/>
    <w:rsid w:val="1CF57C45"/>
    <w:rsid w:val="1D046191"/>
    <w:rsid w:val="1D047E88"/>
    <w:rsid w:val="1D100F23"/>
    <w:rsid w:val="1D1C3424"/>
    <w:rsid w:val="1D214EDE"/>
    <w:rsid w:val="1D232A04"/>
    <w:rsid w:val="1D2F5834"/>
    <w:rsid w:val="1D304693"/>
    <w:rsid w:val="1D37200B"/>
    <w:rsid w:val="1D3D339A"/>
    <w:rsid w:val="1D4D7A81"/>
    <w:rsid w:val="1D5030CD"/>
    <w:rsid w:val="1D525097"/>
    <w:rsid w:val="1D56709A"/>
    <w:rsid w:val="1D666D95"/>
    <w:rsid w:val="1D7C3EC2"/>
    <w:rsid w:val="1D813BCE"/>
    <w:rsid w:val="1D8D41A7"/>
    <w:rsid w:val="1D954F84"/>
    <w:rsid w:val="1D994A74"/>
    <w:rsid w:val="1D9A71E0"/>
    <w:rsid w:val="1D9E208B"/>
    <w:rsid w:val="1DA5166B"/>
    <w:rsid w:val="1DAC0C4B"/>
    <w:rsid w:val="1DBB7FE9"/>
    <w:rsid w:val="1DC2017A"/>
    <w:rsid w:val="1DC755CC"/>
    <w:rsid w:val="1DCE421B"/>
    <w:rsid w:val="1DD06E9B"/>
    <w:rsid w:val="1DD737EE"/>
    <w:rsid w:val="1DF443A0"/>
    <w:rsid w:val="1DFC7598"/>
    <w:rsid w:val="1E0A7702"/>
    <w:rsid w:val="1E122A78"/>
    <w:rsid w:val="1E1D38F7"/>
    <w:rsid w:val="1E276524"/>
    <w:rsid w:val="1E312DB1"/>
    <w:rsid w:val="1E3336C6"/>
    <w:rsid w:val="1E3429EF"/>
    <w:rsid w:val="1E3A4205"/>
    <w:rsid w:val="1E3B1FCF"/>
    <w:rsid w:val="1E48649A"/>
    <w:rsid w:val="1E58492F"/>
    <w:rsid w:val="1E5C0E5D"/>
    <w:rsid w:val="1E5E7A6C"/>
    <w:rsid w:val="1E62755C"/>
    <w:rsid w:val="1E672DC4"/>
    <w:rsid w:val="1E6908EA"/>
    <w:rsid w:val="1E6E5F01"/>
    <w:rsid w:val="1E764DB5"/>
    <w:rsid w:val="1E786D7F"/>
    <w:rsid w:val="1E7F010E"/>
    <w:rsid w:val="1E827BFE"/>
    <w:rsid w:val="1EB853CE"/>
    <w:rsid w:val="1EBD39EB"/>
    <w:rsid w:val="1EC11B21"/>
    <w:rsid w:val="1ED815CC"/>
    <w:rsid w:val="1EDC655A"/>
    <w:rsid w:val="1EDD3086"/>
    <w:rsid w:val="1EF36406"/>
    <w:rsid w:val="1F0E01A6"/>
    <w:rsid w:val="1F100D66"/>
    <w:rsid w:val="1F2760B0"/>
    <w:rsid w:val="1F2F54C1"/>
    <w:rsid w:val="1F3C0A74"/>
    <w:rsid w:val="1F42113B"/>
    <w:rsid w:val="1F46066B"/>
    <w:rsid w:val="1F4D55DB"/>
    <w:rsid w:val="1F4E188E"/>
    <w:rsid w:val="1F506CFF"/>
    <w:rsid w:val="1F5A46D7"/>
    <w:rsid w:val="1F5C21FD"/>
    <w:rsid w:val="1F66307C"/>
    <w:rsid w:val="1F66781B"/>
    <w:rsid w:val="1F680BA2"/>
    <w:rsid w:val="1F6A2B6C"/>
    <w:rsid w:val="1F7A2683"/>
    <w:rsid w:val="1F8C28BE"/>
    <w:rsid w:val="1FA92F69"/>
    <w:rsid w:val="1FAB0A8F"/>
    <w:rsid w:val="1FB97650"/>
    <w:rsid w:val="1FBC2C9C"/>
    <w:rsid w:val="1FED10A7"/>
    <w:rsid w:val="1FFB71D4"/>
    <w:rsid w:val="1FFB7C68"/>
    <w:rsid w:val="1FFC578E"/>
    <w:rsid w:val="2003323B"/>
    <w:rsid w:val="200F7270"/>
    <w:rsid w:val="2010196E"/>
    <w:rsid w:val="20124610"/>
    <w:rsid w:val="201523AC"/>
    <w:rsid w:val="20196340"/>
    <w:rsid w:val="203142F4"/>
    <w:rsid w:val="203C0EE2"/>
    <w:rsid w:val="203C5A02"/>
    <w:rsid w:val="204C2272"/>
    <w:rsid w:val="205B4263"/>
    <w:rsid w:val="205E3437"/>
    <w:rsid w:val="206B2BB1"/>
    <w:rsid w:val="20831A0C"/>
    <w:rsid w:val="2085038F"/>
    <w:rsid w:val="20880DD0"/>
    <w:rsid w:val="20A51982"/>
    <w:rsid w:val="20A774A8"/>
    <w:rsid w:val="20D14525"/>
    <w:rsid w:val="20EC135F"/>
    <w:rsid w:val="20F408E0"/>
    <w:rsid w:val="20F46465"/>
    <w:rsid w:val="210112AE"/>
    <w:rsid w:val="210E5779"/>
    <w:rsid w:val="21115269"/>
    <w:rsid w:val="21170674"/>
    <w:rsid w:val="21207D2E"/>
    <w:rsid w:val="213571AA"/>
    <w:rsid w:val="213E1301"/>
    <w:rsid w:val="214178FD"/>
    <w:rsid w:val="21423675"/>
    <w:rsid w:val="21584C46"/>
    <w:rsid w:val="21674E89"/>
    <w:rsid w:val="21822B7A"/>
    <w:rsid w:val="21867A05"/>
    <w:rsid w:val="21894E00"/>
    <w:rsid w:val="218C669E"/>
    <w:rsid w:val="219150B2"/>
    <w:rsid w:val="21935C7E"/>
    <w:rsid w:val="2197751D"/>
    <w:rsid w:val="21986530"/>
    <w:rsid w:val="219A0DBB"/>
    <w:rsid w:val="21A32365"/>
    <w:rsid w:val="21A44AD3"/>
    <w:rsid w:val="21BA3216"/>
    <w:rsid w:val="21C13AD1"/>
    <w:rsid w:val="21C422DC"/>
    <w:rsid w:val="21C62001"/>
    <w:rsid w:val="22097CEF"/>
    <w:rsid w:val="22130488"/>
    <w:rsid w:val="22177A9F"/>
    <w:rsid w:val="22194776"/>
    <w:rsid w:val="221B63A0"/>
    <w:rsid w:val="222E5219"/>
    <w:rsid w:val="222F59A7"/>
    <w:rsid w:val="223B434C"/>
    <w:rsid w:val="22477195"/>
    <w:rsid w:val="2250591D"/>
    <w:rsid w:val="22506EE5"/>
    <w:rsid w:val="22592A24"/>
    <w:rsid w:val="225E628C"/>
    <w:rsid w:val="226C6BFB"/>
    <w:rsid w:val="22794E74"/>
    <w:rsid w:val="22853819"/>
    <w:rsid w:val="228D26CE"/>
    <w:rsid w:val="229A716A"/>
    <w:rsid w:val="22A85759"/>
    <w:rsid w:val="22B27B49"/>
    <w:rsid w:val="22C560ED"/>
    <w:rsid w:val="22E20C6B"/>
    <w:rsid w:val="22F32E79"/>
    <w:rsid w:val="230F19F5"/>
    <w:rsid w:val="231128A5"/>
    <w:rsid w:val="231D6147"/>
    <w:rsid w:val="23323C82"/>
    <w:rsid w:val="23333275"/>
    <w:rsid w:val="234562FD"/>
    <w:rsid w:val="234E6301"/>
    <w:rsid w:val="23623B5A"/>
    <w:rsid w:val="23694EE9"/>
    <w:rsid w:val="23696C97"/>
    <w:rsid w:val="237044C9"/>
    <w:rsid w:val="23720241"/>
    <w:rsid w:val="238241FC"/>
    <w:rsid w:val="23871813"/>
    <w:rsid w:val="23902475"/>
    <w:rsid w:val="23906919"/>
    <w:rsid w:val="23A221A9"/>
    <w:rsid w:val="23AD1279"/>
    <w:rsid w:val="23AE0B4E"/>
    <w:rsid w:val="23D74548"/>
    <w:rsid w:val="23D762F6"/>
    <w:rsid w:val="23D902C0"/>
    <w:rsid w:val="23E7405F"/>
    <w:rsid w:val="23F724F4"/>
    <w:rsid w:val="24046899"/>
    <w:rsid w:val="2432177F"/>
    <w:rsid w:val="2432352D"/>
    <w:rsid w:val="243464EF"/>
    <w:rsid w:val="2439646A"/>
    <w:rsid w:val="243B4AD7"/>
    <w:rsid w:val="243E330B"/>
    <w:rsid w:val="244A13AB"/>
    <w:rsid w:val="245416F5"/>
    <w:rsid w:val="24561911"/>
    <w:rsid w:val="245702A9"/>
    <w:rsid w:val="24594F5D"/>
    <w:rsid w:val="24661428"/>
    <w:rsid w:val="246D0A09"/>
    <w:rsid w:val="24724271"/>
    <w:rsid w:val="24743B45"/>
    <w:rsid w:val="24765B0F"/>
    <w:rsid w:val="247753E3"/>
    <w:rsid w:val="2492221D"/>
    <w:rsid w:val="249D51E5"/>
    <w:rsid w:val="24BB1774"/>
    <w:rsid w:val="24BC6914"/>
    <w:rsid w:val="24C04FDC"/>
    <w:rsid w:val="24C50845"/>
    <w:rsid w:val="24C85C3F"/>
    <w:rsid w:val="24D81481"/>
    <w:rsid w:val="24EA3120"/>
    <w:rsid w:val="24EC1549"/>
    <w:rsid w:val="250C2693"/>
    <w:rsid w:val="25290DD3"/>
    <w:rsid w:val="253B0B07"/>
    <w:rsid w:val="253B28B5"/>
    <w:rsid w:val="2547027F"/>
    <w:rsid w:val="25512086"/>
    <w:rsid w:val="25535E50"/>
    <w:rsid w:val="255B2F57"/>
    <w:rsid w:val="2564005E"/>
    <w:rsid w:val="25714529"/>
    <w:rsid w:val="2572277A"/>
    <w:rsid w:val="258129BE"/>
    <w:rsid w:val="25835256"/>
    <w:rsid w:val="2584004C"/>
    <w:rsid w:val="25891872"/>
    <w:rsid w:val="259E127D"/>
    <w:rsid w:val="259F2E44"/>
    <w:rsid w:val="25B508B9"/>
    <w:rsid w:val="25BC1C48"/>
    <w:rsid w:val="25D80104"/>
    <w:rsid w:val="25DD571A"/>
    <w:rsid w:val="25EB6089"/>
    <w:rsid w:val="25F62022"/>
    <w:rsid w:val="25F671DC"/>
    <w:rsid w:val="25FA62CC"/>
    <w:rsid w:val="26056D25"/>
    <w:rsid w:val="260929B3"/>
    <w:rsid w:val="262B372C"/>
    <w:rsid w:val="263253A6"/>
    <w:rsid w:val="264439EB"/>
    <w:rsid w:val="26476CD5"/>
    <w:rsid w:val="264A1001"/>
    <w:rsid w:val="264B2FCC"/>
    <w:rsid w:val="264D6D44"/>
    <w:rsid w:val="2653066B"/>
    <w:rsid w:val="26871145"/>
    <w:rsid w:val="268B33C8"/>
    <w:rsid w:val="26914E82"/>
    <w:rsid w:val="269B7AAF"/>
    <w:rsid w:val="26A336EE"/>
    <w:rsid w:val="26AD1590"/>
    <w:rsid w:val="26BA1575"/>
    <w:rsid w:val="26C358C3"/>
    <w:rsid w:val="26CD1C32"/>
    <w:rsid w:val="26D11723"/>
    <w:rsid w:val="26D1468A"/>
    <w:rsid w:val="26D6250A"/>
    <w:rsid w:val="26F87F8E"/>
    <w:rsid w:val="26FA1D3F"/>
    <w:rsid w:val="26FE1DEC"/>
    <w:rsid w:val="270441E6"/>
    <w:rsid w:val="270A5869"/>
    <w:rsid w:val="2712379B"/>
    <w:rsid w:val="272C379E"/>
    <w:rsid w:val="27337CE7"/>
    <w:rsid w:val="27355091"/>
    <w:rsid w:val="273D0B66"/>
    <w:rsid w:val="274719E5"/>
    <w:rsid w:val="275E288B"/>
    <w:rsid w:val="27653C19"/>
    <w:rsid w:val="276A4D0D"/>
    <w:rsid w:val="277D71B5"/>
    <w:rsid w:val="278A3680"/>
    <w:rsid w:val="279D4F06"/>
    <w:rsid w:val="27AC1848"/>
    <w:rsid w:val="27B0758A"/>
    <w:rsid w:val="27B84691"/>
    <w:rsid w:val="27BF157B"/>
    <w:rsid w:val="27DB2225"/>
    <w:rsid w:val="27F751B9"/>
    <w:rsid w:val="28361E6C"/>
    <w:rsid w:val="28373807"/>
    <w:rsid w:val="283A32F8"/>
    <w:rsid w:val="283C2BCC"/>
    <w:rsid w:val="284101E2"/>
    <w:rsid w:val="28441A80"/>
    <w:rsid w:val="28463A4A"/>
    <w:rsid w:val="28665E9B"/>
    <w:rsid w:val="286839C1"/>
    <w:rsid w:val="28771E56"/>
    <w:rsid w:val="287D7ED0"/>
    <w:rsid w:val="288B5901"/>
    <w:rsid w:val="288D128E"/>
    <w:rsid w:val="28924EE2"/>
    <w:rsid w:val="28A24A6D"/>
    <w:rsid w:val="28D56B7C"/>
    <w:rsid w:val="28DB23E5"/>
    <w:rsid w:val="28DF3238"/>
    <w:rsid w:val="28EF5E90"/>
    <w:rsid w:val="28F17E5A"/>
    <w:rsid w:val="28F90ABD"/>
    <w:rsid w:val="28FF035C"/>
    <w:rsid w:val="29003BF9"/>
    <w:rsid w:val="290336EA"/>
    <w:rsid w:val="29080D00"/>
    <w:rsid w:val="29121B7F"/>
    <w:rsid w:val="292D1F55"/>
    <w:rsid w:val="29387837"/>
    <w:rsid w:val="293B2E83"/>
    <w:rsid w:val="293E50CC"/>
    <w:rsid w:val="29477A7A"/>
    <w:rsid w:val="29532C47"/>
    <w:rsid w:val="29534671"/>
    <w:rsid w:val="29656152"/>
    <w:rsid w:val="296D5007"/>
    <w:rsid w:val="29770FFB"/>
    <w:rsid w:val="297A7E50"/>
    <w:rsid w:val="297C17AB"/>
    <w:rsid w:val="298011DE"/>
    <w:rsid w:val="29811572"/>
    <w:rsid w:val="29842A7C"/>
    <w:rsid w:val="29852351"/>
    <w:rsid w:val="29916F47"/>
    <w:rsid w:val="299B172F"/>
    <w:rsid w:val="299C2202"/>
    <w:rsid w:val="29A177CC"/>
    <w:rsid w:val="29B37276"/>
    <w:rsid w:val="29B82726"/>
    <w:rsid w:val="29D37560"/>
    <w:rsid w:val="29E277A3"/>
    <w:rsid w:val="29E96D83"/>
    <w:rsid w:val="29EB2D14"/>
    <w:rsid w:val="29FA4AED"/>
    <w:rsid w:val="2A053C72"/>
    <w:rsid w:val="2A225DF1"/>
    <w:rsid w:val="2A297180"/>
    <w:rsid w:val="2A53244F"/>
    <w:rsid w:val="2A636B36"/>
    <w:rsid w:val="2A7214C1"/>
    <w:rsid w:val="2A785209"/>
    <w:rsid w:val="2A7C19A5"/>
    <w:rsid w:val="2A862824"/>
    <w:rsid w:val="2A88034A"/>
    <w:rsid w:val="2AA1765E"/>
    <w:rsid w:val="2ABA24CE"/>
    <w:rsid w:val="2AC84BEB"/>
    <w:rsid w:val="2AD03A9F"/>
    <w:rsid w:val="2AD43590"/>
    <w:rsid w:val="2AD76BDC"/>
    <w:rsid w:val="2AD92954"/>
    <w:rsid w:val="2AE123E8"/>
    <w:rsid w:val="2AE8528D"/>
    <w:rsid w:val="2AED757D"/>
    <w:rsid w:val="2AF20181"/>
    <w:rsid w:val="2AF24D46"/>
    <w:rsid w:val="2AF776B2"/>
    <w:rsid w:val="2AFE685E"/>
    <w:rsid w:val="2B013C59"/>
    <w:rsid w:val="2B1B2F6C"/>
    <w:rsid w:val="2B391645"/>
    <w:rsid w:val="2B3E18CD"/>
    <w:rsid w:val="2B4A5600"/>
    <w:rsid w:val="2B54022C"/>
    <w:rsid w:val="2B604E23"/>
    <w:rsid w:val="2B626499"/>
    <w:rsid w:val="2B6A0A79"/>
    <w:rsid w:val="2B6D12EE"/>
    <w:rsid w:val="2B6F6391"/>
    <w:rsid w:val="2B7E174D"/>
    <w:rsid w:val="2B7E3983"/>
    <w:rsid w:val="2B9176D3"/>
    <w:rsid w:val="2B966A97"/>
    <w:rsid w:val="2BAF7B59"/>
    <w:rsid w:val="2BB313F7"/>
    <w:rsid w:val="2BB96CF1"/>
    <w:rsid w:val="2BC518AD"/>
    <w:rsid w:val="2BD01E07"/>
    <w:rsid w:val="2BDA2E28"/>
    <w:rsid w:val="2BDC1481"/>
    <w:rsid w:val="2C02412C"/>
    <w:rsid w:val="2C032748"/>
    <w:rsid w:val="2C1C5A4D"/>
    <w:rsid w:val="2C2422F5"/>
    <w:rsid w:val="2C2A71DF"/>
    <w:rsid w:val="2C2D1D71"/>
    <w:rsid w:val="2C35005E"/>
    <w:rsid w:val="2C351E0C"/>
    <w:rsid w:val="2C4612D5"/>
    <w:rsid w:val="2C4F74C9"/>
    <w:rsid w:val="2C5D5807"/>
    <w:rsid w:val="2C5E727D"/>
    <w:rsid w:val="2C6D5A4A"/>
    <w:rsid w:val="2C78619D"/>
    <w:rsid w:val="2C9B72B9"/>
    <w:rsid w:val="2CAB6572"/>
    <w:rsid w:val="2CB17492"/>
    <w:rsid w:val="2CB349BC"/>
    <w:rsid w:val="2CB5119F"/>
    <w:rsid w:val="2CB72A17"/>
    <w:rsid w:val="2CD258AD"/>
    <w:rsid w:val="2CDE24A4"/>
    <w:rsid w:val="2CFE66A2"/>
    <w:rsid w:val="2D031F0A"/>
    <w:rsid w:val="2D045C82"/>
    <w:rsid w:val="2D085772"/>
    <w:rsid w:val="2D197980"/>
    <w:rsid w:val="2D3534CA"/>
    <w:rsid w:val="2D3F7BCD"/>
    <w:rsid w:val="2D470079"/>
    <w:rsid w:val="2D4D2A86"/>
    <w:rsid w:val="2D4F15F3"/>
    <w:rsid w:val="2D4F6EFD"/>
    <w:rsid w:val="2D74105A"/>
    <w:rsid w:val="2D850B71"/>
    <w:rsid w:val="2D887787"/>
    <w:rsid w:val="2D8906A9"/>
    <w:rsid w:val="2D9E60D7"/>
    <w:rsid w:val="2DAA22C4"/>
    <w:rsid w:val="2DAF719F"/>
    <w:rsid w:val="2DB256DE"/>
    <w:rsid w:val="2DBC0615"/>
    <w:rsid w:val="2DBC73B3"/>
    <w:rsid w:val="2DBD655D"/>
    <w:rsid w:val="2DCC054E"/>
    <w:rsid w:val="2DED7E3D"/>
    <w:rsid w:val="2DFC005F"/>
    <w:rsid w:val="2E0028ED"/>
    <w:rsid w:val="2E0C1292"/>
    <w:rsid w:val="2E183793"/>
    <w:rsid w:val="2E2760CC"/>
    <w:rsid w:val="2E291E44"/>
    <w:rsid w:val="2E2B2D7C"/>
    <w:rsid w:val="2E2C36E3"/>
    <w:rsid w:val="2E304F81"/>
    <w:rsid w:val="2E3A195C"/>
    <w:rsid w:val="2E3D3C0A"/>
    <w:rsid w:val="2E526506"/>
    <w:rsid w:val="2E6C3ADF"/>
    <w:rsid w:val="2E6E5AA9"/>
    <w:rsid w:val="2E90020C"/>
    <w:rsid w:val="2E9C7DAC"/>
    <w:rsid w:val="2EBB78BE"/>
    <w:rsid w:val="2EBD433B"/>
    <w:rsid w:val="2EC4391B"/>
    <w:rsid w:val="2ECD5689"/>
    <w:rsid w:val="2ECF1968"/>
    <w:rsid w:val="2ED51684"/>
    <w:rsid w:val="2EDB63A3"/>
    <w:rsid w:val="2EE31FF3"/>
    <w:rsid w:val="2EF332DC"/>
    <w:rsid w:val="2F0401BB"/>
    <w:rsid w:val="2F041F69"/>
    <w:rsid w:val="2F0F43EF"/>
    <w:rsid w:val="2F1C5505"/>
    <w:rsid w:val="2F1D2EBA"/>
    <w:rsid w:val="2F25085E"/>
    <w:rsid w:val="2F2E6FE6"/>
    <w:rsid w:val="2F305458"/>
    <w:rsid w:val="2F330D6B"/>
    <w:rsid w:val="2F4F58DB"/>
    <w:rsid w:val="2F4F7689"/>
    <w:rsid w:val="2F55425D"/>
    <w:rsid w:val="2F5750B7"/>
    <w:rsid w:val="2F5E7DFB"/>
    <w:rsid w:val="2F6446E6"/>
    <w:rsid w:val="2F6B1FE9"/>
    <w:rsid w:val="2F6F3887"/>
    <w:rsid w:val="2F706E4F"/>
    <w:rsid w:val="2F740E9D"/>
    <w:rsid w:val="2F7B4FA2"/>
    <w:rsid w:val="2F7B66D0"/>
    <w:rsid w:val="2F7C064C"/>
    <w:rsid w:val="2F884949"/>
    <w:rsid w:val="2F9D5BBD"/>
    <w:rsid w:val="2FA0083D"/>
    <w:rsid w:val="2FA06136"/>
    <w:rsid w:val="2FA8323D"/>
    <w:rsid w:val="2FA84FEB"/>
    <w:rsid w:val="2FAA48BF"/>
    <w:rsid w:val="2FB854FE"/>
    <w:rsid w:val="2FB90FA6"/>
    <w:rsid w:val="2FC1006F"/>
    <w:rsid w:val="2FC242FE"/>
    <w:rsid w:val="2FC8743B"/>
    <w:rsid w:val="2FCF2577"/>
    <w:rsid w:val="2FD2037E"/>
    <w:rsid w:val="2FD858D0"/>
    <w:rsid w:val="2FD8767E"/>
    <w:rsid w:val="2FDC25DC"/>
    <w:rsid w:val="2FDD1384"/>
    <w:rsid w:val="2FE05D46"/>
    <w:rsid w:val="2FE222AB"/>
    <w:rsid w:val="2FE9188B"/>
    <w:rsid w:val="2FF3186C"/>
    <w:rsid w:val="2FF344B8"/>
    <w:rsid w:val="303F594F"/>
    <w:rsid w:val="3053442D"/>
    <w:rsid w:val="305B205D"/>
    <w:rsid w:val="3062163D"/>
    <w:rsid w:val="3071362F"/>
    <w:rsid w:val="30890978"/>
    <w:rsid w:val="308E5F8F"/>
    <w:rsid w:val="309C1849"/>
    <w:rsid w:val="30A6152A"/>
    <w:rsid w:val="30AB4D93"/>
    <w:rsid w:val="30BA659C"/>
    <w:rsid w:val="30C14010"/>
    <w:rsid w:val="30F229C1"/>
    <w:rsid w:val="30F32296"/>
    <w:rsid w:val="31026F8E"/>
    <w:rsid w:val="311169BA"/>
    <w:rsid w:val="31136B4E"/>
    <w:rsid w:val="31175F84"/>
    <w:rsid w:val="312924E0"/>
    <w:rsid w:val="312A215B"/>
    <w:rsid w:val="314825E1"/>
    <w:rsid w:val="314B2BD6"/>
    <w:rsid w:val="31520297"/>
    <w:rsid w:val="31523460"/>
    <w:rsid w:val="315A0567"/>
    <w:rsid w:val="31644F41"/>
    <w:rsid w:val="316912A6"/>
    <w:rsid w:val="31843ACD"/>
    <w:rsid w:val="31857A33"/>
    <w:rsid w:val="319A5B50"/>
    <w:rsid w:val="31C003CA"/>
    <w:rsid w:val="31CD6F8B"/>
    <w:rsid w:val="31D420C7"/>
    <w:rsid w:val="31DE673B"/>
    <w:rsid w:val="31EB11BF"/>
    <w:rsid w:val="31F369F1"/>
    <w:rsid w:val="31F462C5"/>
    <w:rsid w:val="31F64B2B"/>
    <w:rsid w:val="31F77B64"/>
    <w:rsid w:val="3200110E"/>
    <w:rsid w:val="321C75CA"/>
    <w:rsid w:val="32222E32"/>
    <w:rsid w:val="322841C1"/>
    <w:rsid w:val="32384404"/>
    <w:rsid w:val="32584AA6"/>
    <w:rsid w:val="3273368E"/>
    <w:rsid w:val="32891103"/>
    <w:rsid w:val="328C4750"/>
    <w:rsid w:val="32957AA8"/>
    <w:rsid w:val="32A2106D"/>
    <w:rsid w:val="32AF043E"/>
    <w:rsid w:val="32B141B6"/>
    <w:rsid w:val="32BA306B"/>
    <w:rsid w:val="32C4038E"/>
    <w:rsid w:val="32C75788"/>
    <w:rsid w:val="32FA790B"/>
    <w:rsid w:val="33004F00"/>
    <w:rsid w:val="3305467B"/>
    <w:rsid w:val="331F7372"/>
    <w:rsid w:val="33452DB9"/>
    <w:rsid w:val="334A3AF7"/>
    <w:rsid w:val="334B0167"/>
    <w:rsid w:val="33574954"/>
    <w:rsid w:val="336254B1"/>
    <w:rsid w:val="33685BB3"/>
    <w:rsid w:val="336A2CE3"/>
    <w:rsid w:val="337025E6"/>
    <w:rsid w:val="33727DEA"/>
    <w:rsid w:val="33744207"/>
    <w:rsid w:val="33784CD4"/>
    <w:rsid w:val="337F19AA"/>
    <w:rsid w:val="33AA2C90"/>
    <w:rsid w:val="33AD7074"/>
    <w:rsid w:val="33C57F19"/>
    <w:rsid w:val="33DA14EB"/>
    <w:rsid w:val="33E12879"/>
    <w:rsid w:val="33E74334"/>
    <w:rsid w:val="33E81E5A"/>
    <w:rsid w:val="34000F51"/>
    <w:rsid w:val="3400734B"/>
    <w:rsid w:val="34012F1B"/>
    <w:rsid w:val="34052A0C"/>
    <w:rsid w:val="34076784"/>
    <w:rsid w:val="340C3D9A"/>
    <w:rsid w:val="340D7B12"/>
    <w:rsid w:val="34232E92"/>
    <w:rsid w:val="34321327"/>
    <w:rsid w:val="3434509F"/>
    <w:rsid w:val="343B642D"/>
    <w:rsid w:val="34647EEB"/>
    <w:rsid w:val="34735BC7"/>
    <w:rsid w:val="3482187C"/>
    <w:rsid w:val="348778C5"/>
    <w:rsid w:val="348A1163"/>
    <w:rsid w:val="349B3370"/>
    <w:rsid w:val="349E2664"/>
    <w:rsid w:val="34A43FD3"/>
    <w:rsid w:val="34A5249B"/>
    <w:rsid w:val="34AF2977"/>
    <w:rsid w:val="34BD4BD3"/>
    <w:rsid w:val="34C77CC1"/>
    <w:rsid w:val="34DE1BBE"/>
    <w:rsid w:val="34EA39B0"/>
    <w:rsid w:val="34EF0FC6"/>
    <w:rsid w:val="34F211E2"/>
    <w:rsid w:val="34F457CF"/>
    <w:rsid w:val="35044A71"/>
    <w:rsid w:val="35076310"/>
    <w:rsid w:val="351153E0"/>
    <w:rsid w:val="35243365"/>
    <w:rsid w:val="352A3E47"/>
    <w:rsid w:val="352B0250"/>
    <w:rsid w:val="35443971"/>
    <w:rsid w:val="356063A9"/>
    <w:rsid w:val="35626FC7"/>
    <w:rsid w:val="357065AB"/>
    <w:rsid w:val="357B0783"/>
    <w:rsid w:val="359560D5"/>
    <w:rsid w:val="35A910DA"/>
    <w:rsid w:val="35AB75E3"/>
    <w:rsid w:val="35AF0E81"/>
    <w:rsid w:val="35AF70D3"/>
    <w:rsid w:val="35B00755"/>
    <w:rsid w:val="35CD1307"/>
    <w:rsid w:val="35DE52C2"/>
    <w:rsid w:val="35EF74CF"/>
    <w:rsid w:val="35F47882"/>
    <w:rsid w:val="35FF348B"/>
    <w:rsid w:val="36034D29"/>
    <w:rsid w:val="361909F0"/>
    <w:rsid w:val="36201D7F"/>
    <w:rsid w:val="36211653"/>
    <w:rsid w:val="3628478F"/>
    <w:rsid w:val="362A0508"/>
    <w:rsid w:val="36301896"/>
    <w:rsid w:val="36315D3A"/>
    <w:rsid w:val="36407D2B"/>
    <w:rsid w:val="36421C6A"/>
    <w:rsid w:val="3652180C"/>
    <w:rsid w:val="36585265"/>
    <w:rsid w:val="365E4655"/>
    <w:rsid w:val="36657792"/>
    <w:rsid w:val="366C6D72"/>
    <w:rsid w:val="36714388"/>
    <w:rsid w:val="36783969"/>
    <w:rsid w:val="368B5940"/>
    <w:rsid w:val="369901FE"/>
    <w:rsid w:val="36B462FA"/>
    <w:rsid w:val="36E678F9"/>
    <w:rsid w:val="36F6663C"/>
    <w:rsid w:val="36F80606"/>
    <w:rsid w:val="36FD3E6E"/>
    <w:rsid w:val="37034980"/>
    <w:rsid w:val="37144D14"/>
    <w:rsid w:val="371D3FAF"/>
    <w:rsid w:val="3723640B"/>
    <w:rsid w:val="37272B60"/>
    <w:rsid w:val="372B5F2D"/>
    <w:rsid w:val="37386C54"/>
    <w:rsid w:val="373D6896"/>
    <w:rsid w:val="375C6DE7"/>
    <w:rsid w:val="37695060"/>
    <w:rsid w:val="37734130"/>
    <w:rsid w:val="37751C56"/>
    <w:rsid w:val="378D6FA0"/>
    <w:rsid w:val="37A75B88"/>
    <w:rsid w:val="37AB2BBE"/>
    <w:rsid w:val="37CB1876"/>
    <w:rsid w:val="37CE1367"/>
    <w:rsid w:val="37D921E5"/>
    <w:rsid w:val="37EC7A29"/>
    <w:rsid w:val="37F039D3"/>
    <w:rsid w:val="37F94635"/>
    <w:rsid w:val="38123949"/>
    <w:rsid w:val="38163439"/>
    <w:rsid w:val="381B2E02"/>
    <w:rsid w:val="382D7EFD"/>
    <w:rsid w:val="382F44FB"/>
    <w:rsid w:val="38312021"/>
    <w:rsid w:val="383733B0"/>
    <w:rsid w:val="383C4522"/>
    <w:rsid w:val="38412005"/>
    <w:rsid w:val="3852235B"/>
    <w:rsid w:val="38543F62"/>
    <w:rsid w:val="385555E4"/>
    <w:rsid w:val="386046B4"/>
    <w:rsid w:val="38606463"/>
    <w:rsid w:val="38793273"/>
    <w:rsid w:val="388A1731"/>
    <w:rsid w:val="38912AC0"/>
    <w:rsid w:val="389834E9"/>
    <w:rsid w:val="389D74E3"/>
    <w:rsid w:val="38A46E19"/>
    <w:rsid w:val="38AF73EA"/>
    <w:rsid w:val="38B61821"/>
    <w:rsid w:val="38CA0564"/>
    <w:rsid w:val="38D155B2"/>
    <w:rsid w:val="38D87F87"/>
    <w:rsid w:val="38EF5A38"/>
    <w:rsid w:val="38F92EA0"/>
    <w:rsid w:val="38FE5FF5"/>
    <w:rsid w:val="38FF68F5"/>
    <w:rsid w:val="39007C46"/>
    <w:rsid w:val="39050DB8"/>
    <w:rsid w:val="390908A8"/>
    <w:rsid w:val="390B0AC4"/>
    <w:rsid w:val="39197337"/>
    <w:rsid w:val="391A0D07"/>
    <w:rsid w:val="39203E44"/>
    <w:rsid w:val="392133B0"/>
    <w:rsid w:val="39225E0E"/>
    <w:rsid w:val="39251AB0"/>
    <w:rsid w:val="392E030F"/>
    <w:rsid w:val="393D727C"/>
    <w:rsid w:val="39475874"/>
    <w:rsid w:val="39620592"/>
    <w:rsid w:val="396C7089"/>
    <w:rsid w:val="397228F1"/>
    <w:rsid w:val="39736E5A"/>
    <w:rsid w:val="39785A2E"/>
    <w:rsid w:val="397F03F4"/>
    <w:rsid w:val="399C796E"/>
    <w:rsid w:val="39A405D1"/>
    <w:rsid w:val="39A75F28"/>
    <w:rsid w:val="39AB195F"/>
    <w:rsid w:val="39AE382C"/>
    <w:rsid w:val="39B8407C"/>
    <w:rsid w:val="39D569DC"/>
    <w:rsid w:val="39D80976"/>
    <w:rsid w:val="39DB6D2F"/>
    <w:rsid w:val="39E8733B"/>
    <w:rsid w:val="39EA164A"/>
    <w:rsid w:val="39EC7CAE"/>
    <w:rsid w:val="39ED01CA"/>
    <w:rsid w:val="3A002ECD"/>
    <w:rsid w:val="3A127C30"/>
    <w:rsid w:val="3A145757"/>
    <w:rsid w:val="3A296D28"/>
    <w:rsid w:val="3A2B484E"/>
    <w:rsid w:val="3A3A0F35"/>
    <w:rsid w:val="3A464AAB"/>
    <w:rsid w:val="3A4D0C68"/>
    <w:rsid w:val="3A602980"/>
    <w:rsid w:val="3A6164C2"/>
    <w:rsid w:val="3A6E2866"/>
    <w:rsid w:val="3A6F0BDF"/>
    <w:rsid w:val="3A704EFB"/>
    <w:rsid w:val="3A763C53"/>
    <w:rsid w:val="3A9B55C1"/>
    <w:rsid w:val="3A9E7716"/>
    <w:rsid w:val="3AA52A13"/>
    <w:rsid w:val="3AB0287D"/>
    <w:rsid w:val="3AB61099"/>
    <w:rsid w:val="3AB63C5C"/>
    <w:rsid w:val="3AC21333"/>
    <w:rsid w:val="3ACF3603"/>
    <w:rsid w:val="3AD177DE"/>
    <w:rsid w:val="3AD62A0C"/>
    <w:rsid w:val="3AD778B0"/>
    <w:rsid w:val="3ADD52CD"/>
    <w:rsid w:val="3AF31810"/>
    <w:rsid w:val="3B206B1B"/>
    <w:rsid w:val="3B345984"/>
    <w:rsid w:val="3B3D2A8B"/>
    <w:rsid w:val="3B3F4A55"/>
    <w:rsid w:val="3B5322AF"/>
    <w:rsid w:val="3B583126"/>
    <w:rsid w:val="3B651FE2"/>
    <w:rsid w:val="3B684042"/>
    <w:rsid w:val="3B7010B2"/>
    <w:rsid w:val="3B9D177C"/>
    <w:rsid w:val="3BAC7C11"/>
    <w:rsid w:val="3BAE1BDB"/>
    <w:rsid w:val="3BB07D95"/>
    <w:rsid w:val="3BC211E2"/>
    <w:rsid w:val="3BC44F5A"/>
    <w:rsid w:val="3BC96A15"/>
    <w:rsid w:val="3BC96E07"/>
    <w:rsid w:val="3BD64F66"/>
    <w:rsid w:val="3C011D0B"/>
    <w:rsid w:val="3C0417FB"/>
    <w:rsid w:val="3C172B5B"/>
    <w:rsid w:val="3C20265B"/>
    <w:rsid w:val="3C221C81"/>
    <w:rsid w:val="3C3C7CEC"/>
    <w:rsid w:val="3C4D6CFE"/>
    <w:rsid w:val="3C5067EE"/>
    <w:rsid w:val="3C83241C"/>
    <w:rsid w:val="3C844287"/>
    <w:rsid w:val="3C8C1F1C"/>
    <w:rsid w:val="3CA8487C"/>
    <w:rsid w:val="3CAC611A"/>
    <w:rsid w:val="3CB60D47"/>
    <w:rsid w:val="3CC72F54"/>
    <w:rsid w:val="3CCA034E"/>
    <w:rsid w:val="3CD236A7"/>
    <w:rsid w:val="3CE412B1"/>
    <w:rsid w:val="3CE63E93"/>
    <w:rsid w:val="3CE84C78"/>
    <w:rsid w:val="3CEF5404"/>
    <w:rsid w:val="3CFB0E50"/>
    <w:rsid w:val="3CFD7F4C"/>
    <w:rsid w:val="3D0329CE"/>
    <w:rsid w:val="3D143CBF"/>
    <w:rsid w:val="3D274A9D"/>
    <w:rsid w:val="3D3A016E"/>
    <w:rsid w:val="3D484A54"/>
    <w:rsid w:val="3D4C5E97"/>
    <w:rsid w:val="3D4E0F7F"/>
    <w:rsid w:val="3D6A7D83"/>
    <w:rsid w:val="3D734E8A"/>
    <w:rsid w:val="3D74650C"/>
    <w:rsid w:val="3D77795B"/>
    <w:rsid w:val="3D7F55DD"/>
    <w:rsid w:val="3D833E03"/>
    <w:rsid w:val="3D8B21D4"/>
    <w:rsid w:val="3D8E75CE"/>
    <w:rsid w:val="3DA6700D"/>
    <w:rsid w:val="3DA768E2"/>
    <w:rsid w:val="3DA94408"/>
    <w:rsid w:val="3DAE000B"/>
    <w:rsid w:val="3DBF00CF"/>
    <w:rsid w:val="3DC2371B"/>
    <w:rsid w:val="3DD5344F"/>
    <w:rsid w:val="3DE73182"/>
    <w:rsid w:val="3DEE4511"/>
    <w:rsid w:val="3DF0268F"/>
    <w:rsid w:val="3DF57931"/>
    <w:rsid w:val="3DFF7CEF"/>
    <w:rsid w:val="3E03620E"/>
    <w:rsid w:val="3E0B50C2"/>
    <w:rsid w:val="3E0E1DF6"/>
    <w:rsid w:val="3E151D26"/>
    <w:rsid w:val="3E204BB6"/>
    <w:rsid w:val="3E2241BA"/>
    <w:rsid w:val="3E225171"/>
    <w:rsid w:val="3E23065E"/>
    <w:rsid w:val="3E2C334F"/>
    <w:rsid w:val="3E366485"/>
    <w:rsid w:val="3E412892"/>
    <w:rsid w:val="3E451CF3"/>
    <w:rsid w:val="3E472F6C"/>
    <w:rsid w:val="3E4B14BE"/>
    <w:rsid w:val="3E4B3711"/>
    <w:rsid w:val="3E53115E"/>
    <w:rsid w:val="3E546A69"/>
    <w:rsid w:val="3E67734B"/>
    <w:rsid w:val="3E6D18D9"/>
    <w:rsid w:val="3E740EBA"/>
    <w:rsid w:val="3E7E5894"/>
    <w:rsid w:val="3E883D6C"/>
    <w:rsid w:val="3E886713"/>
    <w:rsid w:val="3EA90437"/>
    <w:rsid w:val="3EBA43F3"/>
    <w:rsid w:val="3EBC460F"/>
    <w:rsid w:val="3ECF7E9E"/>
    <w:rsid w:val="3ED42E2B"/>
    <w:rsid w:val="3EEA2F2A"/>
    <w:rsid w:val="3EF5367D"/>
    <w:rsid w:val="3EFC5866"/>
    <w:rsid w:val="3F0110D6"/>
    <w:rsid w:val="3F033FEC"/>
    <w:rsid w:val="3F116709"/>
    <w:rsid w:val="3F17731E"/>
    <w:rsid w:val="3F24318A"/>
    <w:rsid w:val="3F2B709E"/>
    <w:rsid w:val="3F3851E8"/>
    <w:rsid w:val="3F3917BB"/>
    <w:rsid w:val="3F4410C7"/>
    <w:rsid w:val="3F523EE9"/>
    <w:rsid w:val="3F6E5909"/>
    <w:rsid w:val="3F6F1681"/>
    <w:rsid w:val="3F724CCD"/>
    <w:rsid w:val="3F7B1DD4"/>
    <w:rsid w:val="3F7F52D0"/>
    <w:rsid w:val="3F80563C"/>
    <w:rsid w:val="3F8974D9"/>
    <w:rsid w:val="3F91108B"/>
    <w:rsid w:val="3F925A16"/>
    <w:rsid w:val="3F9C5779"/>
    <w:rsid w:val="3FA9331F"/>
    <w:rsid w:val="3FBA0B4E"/>
    <w:rsid w:val="3FBB0422"/>
    <w:rsid w:val="3FCC1489"/>
    <w:rsid w:val="3FE1257F"/>
    <w:rsid w:val="3FEF7DF3"/>
    <w:rsid w:val="40073668"/>
    <w:rsid w:val="400E0E9A"/>
    <w:rsid w:val="40185875"/>
    <w:rsid w:val="40273D0A"/>
    <w:rsid w:val="40414DCB"/>
    <w:rsid w:val="404E573A"/>
    <w:rsid w:val="40532D51"/>
    <w:rsid w:val="405368AD"/>
    <w:rsid w:val="40666A5A"/>
    <w:rsid w:val="40824CA8"/>
    <w:rsid w:val="40923879"/>
    <w:rsid w:val="409969B6"/>
    <w:rsid w:val="40B97058"/>
    <w:rsid w:val="40BA692C"/>
    <w:rsid w:val="40C33A32"/>
    <w:rsid w:val="40CE3349"/>
    <w:rsid w:val="40D73687"/>
    <w:rsid w:val="40DC2D46"/>
    <w:rsid w:val="40E9225B"/>
    <w:rsid w:val="40EA5463"/>
    <w:rsid w:val="40F0234E"/>
    <w:rsid w:val="40F20EC7"/>
    <w:rsid w:val="41073A20"/>
    <w:rsid w:val="41105B1C"/>
    <w:rsid w:val="41147AEA"/>
    <w:rsid w:val="41210759"/>
    <w:rsid w:val="412546ED"/>
    <w:rsid w:val="41377F7D"/>
    <w:rsid w:val="415F5CE4"/>
    <w:rsid w:val="41601281"/>
    <w:rsid w:val="41637E13"/>
    <w:rsid w:val="41723D8B"/>
    <w:rsid w:val="4173016F"/>
    <w:rsid w:val="41994793"/>
    <w:rsid w:val="41AC44C7"/>
    <w:rsid w:val="41B617E9"/>
    <w:rsid w:val="41BD0482"/>
    <w:rsid w:val="41D35EF7"/>
    <w:rsid w:val="41DA54D8"/>
    <w:rsid w:val="41DC67EC"/>
    <w:rsid w:val="41DE6506"/>
    <w:rsid w:val="41DF2AEE"/>
    <w:rsid w:val="41F73F74"/>
    <w:rsid w:val="41FA0DCA"/>
    <w:rsid w:val="41FA16D6"/>
    <w:rsid w:val="42073DF3"/>
    <w:rsid w:val="422229DB"/>
    <w:rsid w:val="422314A4"/>
    <w:rsid w:val="422624CB"/>
    <w:rsid w:val="422F6EA6"/>
    <w:rsid w:val="423544BC"/>
    <w:rsid w:val="423C47EE"/>
    <w:rsid w:val="427E044B"/>
    <w:rsid w:val="4280439B"/>
    <w:rsid w:val="42864D18"/>
    <w:rsid w:val="428B46B3"/>
    <w:rsid w:val="428B4A24"/>
    <w:rsid w:val="429250AA"/>
    <w:rsid w:val="42A31D6D"/>
    <w:rsid w:val="42A5730E"/>
    <w:rsid w:val="42A70AE7"/>
    <w:rsid w:val="42A939FD"/>
    <w:rsid w:val="42B62C93"/>
    <w:rsid w:val="42C10446"/>
    <w:rsid w:val="42E67EAC"/>
    <w:rsid w:val="42ED63EC"/>
    <w:rsid w:val="42F04887"/>
    <w:rsid w:val="430420E0"/>
    <w:rsid w:val="430D1FC6"/>
    <w:rsid w:val="431467C7"/>
    <w:rsid w:val="43160594"/>
    <w:rsid w:val="431762B8"/>
    <w:rsid w:val="43192030"/>
    <w:rsid w:val="431B0B16"/>
    <w:rsid w:val="43302ED5"/>
    <w:rsid w:val="433177A6"/>
    <w:rsid w:val="436E6860"/>
    <w:rsid w:val="437234EE"/>
    <w:rsid w:val="43754D8C"/>
    <w:rsid w:val="437E2E26"/>
    <w:rsid w:val="43827BD5"/>
    <w:rsid w:val="438310B0"/>
    <w:rsid w:val="438C1210"/>
    <w:rsid w:val="439116E1"/>
    <w:rsid w:val="43960ACF"/>
    <w:rsid w:val="43A35F21"/>
    <w:rsid w:val="43A37B4B"/>
    <w:rsid w:val="43A51B15"/>
    <w:rsid w:val="43AE2740"/>
    <w:rsid w:val="43B6162D"/>
    <w:rsid w:val="43C31F9B"/>
    <w:rsid w:val="43C914DE"/>
    <w:rsid w:val="43E546CD"/>
    <w:rsid w:val="440B209E"/>
    <w:rsid w:val="440C56F0"/>
    <w:rsid w:val="440C795F"/>
    <w:rsid w:val="44112CF2"/>
    <w:rsid w:val="44142270"/>
    <w:rsid w:val="44150A49"/>
    <w:rsid w:val="44240C8C"/>
    <w:rsid w:val="442B3201"/>
    <w:rsid w:val="442C5D93"/>
    <w:rsid w:val="442E60D9"/>
    <w:rsid w:val="44366C11"/>
    <w:rsid w:val="443C4228"/>
    <w:rsid w:val="443F7874"/>
    <w:rsid w:val="445826E4"/>
    <w:rsid w:val="44586B88"/>
    <w:rsid w:val="446B68BB"/>
    <w:rsid w:val="44753296"/>
    <w:rsid w:val="44804576"/>
    <w:rsid w:val="4492209A"/>
    <w:rsid w:val="44A2436B"/>
    <w:rsid w:val="44A52ACF"/>
    <w:rsid w:val="44A67B06"/>
    <w:rsid w:val="44AB4F09"/>
    <w:rsid w:val="44B07D93"/>
    <w:rsid w:val="44B32884"/>
    <w:rsid w:val="44D5342A"/>
    <w:rsid w:val="44D81A76"/>
    <w:rsid w:val="44E623E5"/>
    <w:rsid w:val="44F7014F"/>
    <w:rsid w:val="44FA19ED"/>
    <w:rsid w:val="44FA5F55"/>
    <w:rsid w:val="44FD328B"/>
    <w:rsid w:val="450308A1"/>
    <w:rsid w:val="4513485D"/>
    <w:rsid w:val="451F76A5"/>
    <w:rsid w:val="45232CF2"/>
    <w:rsid w:val="45272CD2"/>
    <w:rsid w:val="45334822"/>
    <w:rsid w:val="453729B9"/>
    <w:rsid w:val="45404840"/>
    <w:rsid w:val="454669E0"/>
    <w:rsid w:val="454809AA"/>
    <w:rsid w:val="456013BC"/>
    <w:rsid w:val="456875A5"/>
    <w:rsid w:val="456B71B1"/>
    <w:rsid w:val="456C72B2"/>
    <w:rsid w:val="4575089E"/>
    <w:rsid w:val="458B0897"/>
    <w:rsid w:val="4597723C"/>
    <w:rsid w:val="45A71B75"/>
    <w:rsid w:val="45B1654F"/>
    <w:rsid w:val="45C34DD1"/>
    <w:rsid w:val="45D352D1"/>
    <w:rsid w:val="45D71D2E"/>
    <w:rsid w:val="45DE4E6B"/>
    <w:rsid w:val="45F76720"/>
    <w:rsid w:val="45FB77CB"/>
    <w:rsid w:val="46184820"/>
    <w:rsid w:val="461D3509"/>
    <w:rsid w:val="461F4CBD"/>
    <w:rsid w:val="462E23A5"/>
    <w:rsid w:val="462E521F"/>
    <w:rsid w:val="46317690"/>
    <w:rsid w:val="464E45A8"/>
    <w:rsid w:val="46623CEE"/>
    <w:rsid w:val="466873A1"/>
    <w:rsid w:val="466B0DF4"/>
    <w:rsid w:val="466C691A"/>
    <w:rsid w:val="467852BF"/>
    <w:rsid w:val="468B579C"/>
    <w:rsid w:val="46A26D85"/>
    <w:rsid w:val="46A77952"/>
    <w:rsid w:val="46AE6F33"/>
    <w:rsid w:val="46C531FB"/>
    <w:rsid w:val="46C67DD9"/>
    <w:rsid w:val="46CC1167"/>
    <w:rsid w:val="46D149CF"/>
    <w:rsid w:val="46D369B8"/>
    <w:rsid w:val="46D87B0C"/>
    <w:rsid w:val="46DD3374"/>
    <w:rsid w:val="46DE2AC4"/>
    <w:rsid w:val="46E42955"/>
    <w:rsid w:val="46E82445"/>
    <w:rsid w:val="46FF153C"/>
    <w:rsid w:val="470E59CC"/>
    <w:rsid w:val="47305B9A"/>
    <w:rsid w:val="473236C0"/>
    <w:rsid w:val="4732546E"/>
    <w:rsid w:val="476D294A"/>
    <w:rsid w:val="47723ABC"/>
    <w:rsid w:val="4773076D"/>
    <w:rsid w:val="47971775"/>
    <w:rsid w:val="479D5FA9"/>
    <w:rsid w:val="479E48B1"/>
    <w:rsid w:val="47A10846"/>
    <w:rsid w:val="47BA5463"/>
    <w:rsid w:val="47BB365D"/>
    <w:rsid w:val="47C22C96"/>
    <w:rsid w:val="47C22DE4"/>
    <w:rsid w:val="47CA38F8"/>
    <w:rsid w:val="47D209FF"/>
    <w:rsid w:val="47D604EF"/>
    <w:rsid w:val="47E54BA7"/>
    <w:rsid w:val="47EC1AC1"/>
    <w:rsid w:val="47F0441B"/>
    <w:rsid w:val="47F40975"/>
    <w:rsid w:val="480F15A7"/>
    <w:rsid w:val="48142DC6"/>
    <w:rsid w:val="48180B08"/>
    <w:rsid w:val="482374AD"/>
    <w:rsid w:val="482B183E"/>
    <w:rsid w:val="483F42E6"/>
    <w:rsid w:val="48455675"/>
    <w:rsid w:val="48512926"/>
    <w:rsid w:val="4851401A"/>
    <w:rsid w:val="485338EE"/>
    <w:rsid w:val="48541A79"/>
    <w:rsid w:val="48633239"/>
    <w:rsid w:val="4867383D"/>
    <w:rsid w:val="486E0977"/>
    <w:rsid w:val="48735D3E"/>
    <w:rsid w:val="48757D08"/>
    <w:rsid w:val="488F069E"/>
    <w:rsid w:val="489C0911"/>
    <w:rsid w:val="48A203D1"/>
    <w:rsid w:val="48A24875"/>
    <w:rsid w:val="48BE6355"/>
    <w:rsid w:val="48C04CFB"/>
    <w:rsid w:val="48CC36A0"/>
    <w:rsid w:val="48F02CF7"/>
    <w:rsid w:val="48F21359"/>
    <w:rsid w:val="48F549A5"/>
    <w:rsid w:val="48FB5D34"/>
    <w:rsid w:val="48FD7CFE"/>
    <w:rsid w:val="490D6F79"/>
    <w:rsid w:val="49276B29"/>
    <w:rsid w:val="49304650"/>
    <w:rsid w:val="493279A7"/>
    <w:rsid w:val="493F20C4"/>
    <w:rsid w:val="4961203A"/>
    <w:rsid w:val="49700770"/>
    <w:rsid w:val="49925196"/>
    <w:rsid w:val="49975A5C"/>
    <w:rsid w:val="49A379C2"/>
    <w:rsid w:val="49A63EF1"/>
    <w:rsid w:val="49AE2DA6"/>
    <w:rsid w:val="49BA174B"/>
    <w:rsid w:val="49BA35D5"/>
    <w:rsid w:val="49BE123B"/>
    <w:rsid w:val="49C5122D"/>
    <w:rsid w:val="49C56A6D"/>
    <w:rsid w:val="49C57664"/>
    <w:rsid w:val="49C6610C"/>
    <w:rsid w:val="49CB3958"/>
    <w:rsid w:val="49D76134"/>
    <w:rsid w:val="49DE656F"/>
    <w:rsid w:val="49E50EBD"/>
    <w:rsid w:val="49E54331"/>
    <w:rsid w:val="49F96717"/>
    <w:rsid w:val="4A083DFC"/>
    <w:rsid w:val="4A1672C9"/>
    <w:rsid w:val="4A175E73"/>
    <w:rsid w:val="4A1946C3"/>
    <w:rsid w:val="4A222C04"/>
    <w:rsid w:val="4A241E57"/>
    <w:rsid w:val="4A282B58"/>
    <w:rsid w:val="4A2C20E0"/>
    <w:rsid w:val="4A372512"/>
    <w:rsid w:val="4A555D42"/>
    <w:rsid w:val="4A712751"/>
    <w:rsid w:val="4A765E78"/>
    <w:rsid w:val="4A86755C"/>
    <w:rsid w:val="4A8A55C1"/>
    <w:rsid w:val="4A8E0D19"/>
    <w:rsid w:val="4A934476"/>
    <w:rsid w:val="4A9401EE"/>
    <w:rsid w:val="4A965D14"/>
    <w:rsid w:val="4AAB78B4"/>
    <w:rsid w:val="4AB4263E"/>
    <w:rsid w:val="4AC5484B"/>
    <w:rsid w:val="4ACF1226"/>
    <w:rsid w:val="4ADA7E3C"/>
    <w:rsid w:val="4B0F0283"/>
    <w:rsid w:val="4B1650A7"/>
    <w:rsid w:val="4B215F25"/>
    <w:rsid w:val="4B35552D"/>
    <w:rsid w:val="4B3A2B43"/>
    <w:rsid w:val="4B3F45FD"/>
    <w:rsid w:val="4B427C4A"/>
    <w:rsid w:val="4B647BC0"/>
    <w:rsid w:val="4B696EE6"/>
    <w:rsid w:val="4B7342A7"/>
    <w:rsid w:val="4B826B34"/>
    <w:rsid w:val="4B83098E"/>
    <w:rsid w:val="4B8E2E8F"/>
    <w:rsid w:val="4B9761E7"/>
    <w:rsid w:val="4B9F1A03"/>
    <w:rsid w:val="4BA709B1"/>
    <w:rsid w:val="4BB46D99"/>
    <w:rsid w:val="4BC30D8B"/>
    <w:rsid w:val="4BDA1FDE"/>
    <w:rsid w:val="4BE31237"/>
    <w:rsid w:val="4BE64595"/>
    <w:rsid w:val="4BE64A79"/>
    <w:rsid w:val="4BEF1B80"/>
    <w:rsid w:val="4BF44D46"/>
    <w:rsid w:val="4BF930B7"/>
    <w:rsid w:val="4C121D12"/>
    <w:rsid w:val="4C286E40"/>
    <w:rsid w:val="4C2D08FA"/>
    <w:rsid w:val="4C3B3017"/>
    <w:rsid w:val="4C42560C"/>
    <w:rsid w:val="4C481290"/>
    <w:rsid w:val="4C583BC9"/>
    <w:rsid w:val="4C5916EF"/>
    <w:rsid w:val="4C59349D"/>
    <w:rsid w:val="4C5B5467"/>
    <w:rsid w:val="4C6E50DF"/>
    <w:rsid w:val="4C7142F0"/>
    <w:rsid w:val="4C72455F"/>
    <w:rsid w:val="4C737357"/>
    <w:rsid w:val="4C760506"/>
    <w:rsid w:val="4C7622A1"/>
    <w:rsid w:val="4C7E73A7"/>
    <w:rsid w:val="4C8147A2"/>
    <w:rsid w:val="4C8A7AFA"/>
    <w:rsid w:val="4CA92720"/>
    <w:rsid w:val="4CB150B7"/>
    <w:rsid w:val="4CB206BE"/>
    <w:rsid w:val="4CB42DC9"/>
    <w:rsid w:val="4CB701C3"/>
    <w:rsid w:val="4CD46FC7"/>
    <w:rsid w:val="4CD60F91"/>
    <w:rsid w:val="4CF17B79"/>
    <w:rsid w:val="4CFD19F7"/>
    <w:rsid w:val="4D0258E3"/>
    <w:rsid w:val="4D0347ED"/>
    <w:rsid w:val="4D2E3A64"/>
    <w:rsid w:val="4D4203D5"/>
    <w:rsid w:val="4D5F3D23"/>
    <w:rsid w:val="4D693BB4"/>
    <w:rsid w:val="4D714816"/>
    <w:rsid w:val="4D761E2D"/>
    <w:rsid w:val="4D7772BC"/>
    <w:rsid w:val="4D7C38E7"/>
    <w:rsid w:val="4D87403A"/>
    <w:rsid w:val="4D8E7176"/>
    <w:rsid w:val="4D901140"/>
    <w:rsid w:val="4D902EEE"/>
    <w:rsid w:val="4DA06A98"/>
    <w:rsid w:val="4DA1334D"/>
    <w:rsid w:val="4DA70238"/>
    <w:rsid w:val="4DBC3CE3"/>
    <w:rsid w:val="4DCA162F"/>
    <w:rsid w:val="4DDC4386"/>
    <w:rsid w:val="4DE11BE3"/>
    <w:rsid w:val="4DE44FE8"/>
    <w:rsid w:val="4DF0398D"/>
    <w:rsid w:val="4E0A3E8A"/>
    <w:rsid w:val="4E0F1D97"/>
    <w:rsid w:val="4E0F6509"/>
    <w:rsid w:val="4E173610"/>
    <w:rsid w:val="4E1B0685"/>
    <w:rsid w:val="4E2D3ABF"/>
    <w:rsid w:val="4E30570B"/>
    <w:rsid w:val="4E345F70"/>
    <w:rsid w:val="4E3B3B03"/>
    <w:rsid w:val="4E3F7F96"/>
    <w:rsid w:val="4E402B66"/>
    <w:rsid w:val="4E4A4FCE"/>
    <w:rsid w:val="4E5008D0"/>
    <w:rsid w:val="4E50267E"/>
    <w:rsid w:val="4E616639"/>
    <w:rsid w:val="4E6A7577"/>
    <w:rsid w:val="4E773ABF"/>
    <w:rsid w:val="4E775E5C"/>
    <w:rsid w:val="4E791BD4"/>
    <w:rsid w:val="4E7C16C5"/>
    <w:rsid w:val="4E807407"/>
    <w:rsid w:val="4E8A5B90"/>
    <w:rsid w:val="4E920EE8"/>
    <w:rsid w:val="4E976C7C"/>
    <w:rsid w:val="4EA330F5"/>
    <w:rsid w:val="4EAC01FC"/>
    <w:rsid w:val="4EB64BD7"/>
    <w:rsid w:val="4EBB043F"/>
    <w:rsid w:val="4EBC7D13"/>
    <w:rsid w:val="4EDB463D"/>
    <w:rsid w:val="4EE71234"/>
    <w:rsid w:val="4EFA0BE3"/>
    <w:rsid w:val="4EFB7527"/>
    <w:rsid w:val="4EFE032C"/>
    <w:rsid w:val="4F221749"/>
    <w:rsid w:val="4F275AD4"/>
    <w:rsid w:val="4F430E3F"/>
    <w:rsid w:val="4F5B577E"/>
    <w:rsid w:val="4F5F0DCA"/>
    <w:rsid w:val="4F602735"/>
    <w:rsid w:val="4F622668"/>
    <w:rsid w:val="4F6463E1"/>
    <w:rsid w:val="4F6F7F81"/>
    <w:rsid w:val="4F7C7D0C"/>
    <w:rsid w:val="4F7D1494"/>
    <w:rsid w:val="4F8151E4"/>
    <w:rsid w:val="4F8F7DF8"/>
    <w:rsid w:val="4F950C90"/>
    <w:rsid w:val="4F9B475C"/>
    <w:rsid w:val="4FB33B52"/>
    <w:rsid w:val="4FB82BD0"/>
    <w:rsid w:val="4FB95338"/>
    <w:rsid w:val="4FC21589"/>
    <w:rsid w:val="4FC6709B"/>
    <w:rsid w:val="4FD27D53"/>
    <w:rsid w:val="4FD74D0A"/>
    <w:rsid w:val="4FD81B2A"/>
    <w:rsid w:val="4FD86B92"/>
    <w:rsid w:val="4FDB306A"/>
    <w:rsid w:val="4FE66290"/>
    <w:rsid w:val="500C55DA"/>
    <w:rsid w:val="501778F7"/>
    <w:rsid w:val="501871CB"/>
    <w:rsid w:val="50254170"/>
    <w:rsid w:val="50282B95"/>
    <w:rsid w:val="502D711A"/>
    <w:rsid w:val="50347903"/>
    <w:rsid w:val="503725FA"/>
    <w:rsid w:val="506040FC"/>
    <w:rsid w:val="506E70FB"/>
    <w:rsid w:val="508A631B"/>
    <w:rsid w:val="50917530"/>
    <w:rsid w:val="50966A6E"/>
    <w:rsid w:val="50A15412"/>
    <w:rsid w:val="50A3118B"/>
    <w:rsid w:val="50A656F4"/>
    <w:rsid w:val="50B909AE"/>
    <w:rsid w:val="50BA56EF"/>
    <w:rsid w:val="50D22149"/>
    <w:rsid w:val="50DA0CCD"/>
    <w:rsid w:val="50E208CC"/>
    <w:rsid w:val="50EE42EE"/>
    <w:rsid w:val="50F32112"/>
    <w:rsid w:val="50F47C38"/>
    <w:rsid w:val="50F572EF"/>
    <w:rsid w:val="50F814D6"/>
    <w:rsid w:val="50F934A0"/>
    <w:rsid w:val="5107796B"/>
    <w:rsid w:val="511107EA"/>
    <w:rsid w:val="51114346"/>
    <w:rsid w:val="511E4CB5"/>
    <w:rsid w:val="512419E6"/>
    <w:rsid w:val="512D6CA6"/>
    <w:rsid w:val="5136659B"/>
    <w:rsid w:val="5139389D"/>
    <w:rsid w:val="514F4E6E"/>
    <w:rsid w:val="5153670D"/>
    <w:rsid w:val="51591306"/>
    <w:rsid w:val="516A7EFA"/>
    <w:rsid w:val="51786173"/>
    <w:rsid w:val="5179067D"/>
    <w:rsid w:val="517A013D"/>
    <w:rsid w:val="51960CEF"/>
    <w:rsid w:val="51A27694"/>
    <w:rsid w:val="51A451BA"/>
    <w:rsid w:val="51A47E05"/>
    <w:rsid w:val="51A74CAA"/>
    <w:rsid w:val="51A76A58"/>
    <w:rsid w:val="51A80516"/>
    <w:rsid w:val="51AC28BD"/>
    <w:rsid w:val="51B80C66"/>
    <w:rsid w:val="51C21AAD"/>
    <w:rsid w:val="51C7467E"/>
    <w:rsid w:val="51D04201"/>
    <w:rsid w:val="51DA6E2E"/>
    <w:rsid w:val="51DF61F2"/>
    <w:rsid w:val="51E43809"/>
    <w:rsid w:val="51E457EC"/>
    <w:rsid w:val="52214A5D"/>
    <w:rsid w:val="52232583"/>
    <w:rsid w:val="5228380E"/>
    <w:rsid w:val="52306A4E"/>
    <w:rsid w:val="52353D0E"/>
    <w:rsid w:val="52354064"/>
    <w:rsid w:val="5237602E"/>
    <w:rsid w:val="523C3645"/>
    <w:rsid w:val="523E71BF"/>
    <w:rsid w:val="525C3CE7"/>
    <w:rsid w:val="52691F60"/>
    <w:rsid w:val="527D03E3"/>
    <w:rsid w:val="52836CB1"/>
    <w:rsid w:val="52A80CDA"/>
    <w:rsid w:val="52B27B05"/>
    <w:rsid w:val="52B96A43"/>
    <w:rsid w:val="52CD6993"/>
    <w:rsid w:val="52D7336D"/>
    <w:rsid w:val="52E53CDC"/>
    <w:rsid w:val="52F65EE9"/>
    <w:rsid w:val="53073C53"/>
    <w:rsid w:val="530C3017"/>
    <w:rsid w:val="53166804"/>
    <w:rsid w:val="53312A7E"/>
    <w:rsid w:val="533E555E"/>
    <w:rsid w:val="53486019"/>
    <w:rsid w:val="534F55FA"/>
    <w:rsid w:val="53603363"/>
    <w:rsid w:val="53607807"/>
    <w:rsid w:val="53672943"/>
    <w:rsid w:val="53740BBC"/>
    <w:rsid w:val="5378723D"/>
    <w:rsid w:val="53984975"/>
    <w:rsid w:val="539B1FD4"/>
    <w:rsid w:val="53A45945"/>
    <w:rsid w:val="53A625F7"/>
    <w:rsid w:val="53C733E2"/>
    <w:rsid w:val="53CD5259"/>
    <w:rsid w:val="53D43F85"/>
    <w:rsid w:val="53DB5D63"/>
    <w:rsid w:val="53F32429"/>
    <w:rsid w:val="53F74784"/>
    <w:rsid w:val="53FF2753"/>
    <w:rsid w:val="540F0FC3"/>
    <w:rsid w:val="541128AF"/>
    <w:rsid w:val="544155B7"/>
    <w:rsid w:val="544D49B5"/>
    <w:rsid w:val="545033D7"/>
    <w:rsid w:val="54532EC8"/>
    <w:rsid w:val="547E083F"/>
    <w:rsid w:val="54815C87"/>
    <w:rsid w:val="54826567"/>
    <w:rsid w:val="549F7EBB"/>
    <w:rsid w:val="54A66EE6"/>
    <w:rsid w:val="54B24092"/>
    <w:rsid w:val="54B5148C"/>
    <w:rsid w:val="54B63B19"/>
    <w:rsid w:val="54C87412"/>
    <w:rsid w:val="54D868B3"/>
    <w:rsid w:val="54E0475B"/>
    <w:rsid w:val="54EA382C"/>
    <w:rsid w:val="54EE2F1E"/>
    <w:rsid w:val="54F46459"/>
    <w:rsid w:val="550502EE"/>
    <w:rsid w:val="550834FE"/>
    <w:rsid w:val="55117FBE"/>
    <w:rsid w:val="5516017D"/>
    <w:rsid w:val="551B1C37"/>
    <w:rsid w:val="55264138"/>
    <w:rsid w:val="55283EF1"/>
    <w:rsid w:val="552D6F21"/>
    <w:rsid w:val="55313209"/>
    <w:rsid w:val="553700F3"/>
    <w:rsid w:val="553736DA"/>
    <w:rsid w:val="555B64D8"/>
    <w:rsid w:val="5563713A"/>
    <w:rsid w:val="55825812"/>
    <w:rsid w:val="55873987"/>
    <w:rsid w:val="559D43FA"/>
    <w:rsid w:val="55B33C1E"/>
    <w:rsid w:val="55BF6A67"/>
    <w:rsid w:val="55C054CE"/>
    <w:rsid w:val="55DB4F23"/>
    <w:rsid w:val="55DD63C9"/>
    <w:rsid w:val="55F560C8"/>
    <w:rsid w:val="55FC3817"/>
    <w:rsid w:val="56024BA5"/>
    <w:rsid w:val="56095F34"/>
    <w:rsid w:val="56097CE2"/>
    <w:rsid w:val="561C5C67"/>
    <w:rsid w:val="561F7505"/>
    <w:rsid w:val="56244B1C"/>
    <w:rsid w:val="56350AD7"/>
    <w:rsid w:val="56446F6C"/>
    <w:rsid w:val="56462CE4"/>
    <w:rsid w:val="56530F5D"/>
    <w:rsid w:val="56574EF1"/>
    <w:rsid w:val="5679378D"/>
    <w:rsid w:val="567A298E"/>
    <w:rsid w:val="56811F6E"/>
    <w:rsid w:val="56847368"/>
    <w:rsid w:val="56903F5F"/>
    <w:rsid w:val="569E48CE"/>
    <w:rsid w:val="56B52653"/>
    <w:rsid w:val="56BA722E"/>
    <w:rsid w:val="56C9121F"/>
    <w:rsid w:val="56CA56C3"/>
    <w:rsid w:val="56DA342C"/>
    <w:rsid w:val="56E04EE6"/>
    <w:rsid w:val="56E44D2C"/>
    <w:rsid w:val="57030BD5"/>
    <w:rsid w:val="57034B73"/>
    <w:rsid w:val="57174680"/>
    <w:rsid w:val="571F7091"/>
    <w:rsid w:val="57256D9D"/>
    <w:rsid w:val="57272B15"/>
    <w:rsid w:val="5748081E"/>
    <w:rsid w:val="57482A8C"/>
    <w:rsid w:val="57527466"/>
    <w:rsid w:val="575B631B"/>
    <w:rsid w:val="576378C6"/>
    <w:rsid w:val="57680A38"/>
    <w:rsid w:val="577279A8"/>
    <w:rsid w:val="57763155"/>
    <w:rsid w:val="5789732C"/>
    <w:rsid w:val="578B7FEC"/>
    <w:rsid w:val="579730CB"/>
    <w:rsid w:val="579A3366"/>
    <w:rsid w:val="579D6934"/>
    <w:rsid w:val="579E26AC"/>
    <w:rsid w:val="57B679F5"/>
    <w:rsid w:val="57B71EE1"/>
    <w:rsid w:val="57B94DB7"/>
    <w:rsid w:val="57E63DAD"/>
    <w:rsid w:val="57EA769F"/>
    <w:rsid w:val="580C1D0B"/>
    <w:rsid w:val="58157317"/>
    <w:rsid w:val="582232DD"/>
    <w:rsid w:val="58247055"/>
    <w:rsid w:val="58276B45"/>
    <w:rsid w:val="582A3F3F"/>
    <w:rsid w:val="583F1B35"/>
    <w:rsid w:val="58421289"/>
    <w:rsid w:val="58443253"/>
    <w:rsid w:val="58490869"/>
    <w:rsid w:val="58496ABB"/>
    <w:rsid w:val="584D65AC"/>
    <w:rsid w:val="585638D8"/>
    <w:rsid w:val="58586CFE"/>
    <w:rsid w:val="585C1DFE"/>
    <w:rsid w:val="586D09FC"/>
    <w:rsid w:val="5875165E"/>
    <w:rsid w:val="58782EFD"/>
    <w:rsid w:val="58884FE4"/>
    <w:rsid w:val="5889335C"/>
    <w:rsid w:val="58900246"/>
    <w:rsid w:val="58937D37"/>
    <w:rsid w:val="589870FB"/>
    <w:rsid w:val="58AF4966"/>
    <w:rsid w:val="58B670DA"/>
    <w:rsid w:val="58C85C32"/>
    <w:rsid w:val="58CB36FC"/>
    <w:rsid w:val="58E6255C"/>
    <w:rsid w:val="58F307D5"/>
    <w:rsid w:val="58F9403E"/>
    <w:rsid w:val="58FB3B43"/>
    <w:rsid w:val="58FC0021"/>
    <w:rsid w:val="590B49C4"/>
    <w:rsid w:val="590E0CD1"/>
    <w:rsid w:val="5919648E"/>
    <w:rsid w:val="591C7D2C"/>
    <w:rsid w:val="591E5852"/>
    <w:rsid w:val="59294555"/>
    <w:rsid w:val="592F3F03"/>
    <w:rsid w:val="594352B9"/>
    <w:rsid w:val="594554D5"/>
    <w:rsid w:val="5976568E"/>
    <w:rsid w:val="598B6C60"/>
    <w:rsid w:val="59945B14"/>
    <w:rsid w:val="5996188C"/>
    <w:rsid w:val="59A26483"/>
    <w:rsid w:val="59AC5554"/>
    <w:rsid w:val="59AD6BD6"/>
    <w:rsid w:val="59B368E2"/>
    <w:rsid w:val="59BC29EA"/>
    <w:rsid w:val="59BD150F"/>
    <w:rsid w:val="59BD32BD"/>
    <w:rsid w:val="59C77C98"/>
    <w:rsid w:val="59CA7788"/>
    <w:rsid w:val="59CC3500"/>
    <w:rsid w:val="59D2668C"/>
    <w:rsid w:val="59D5242F"/>
    <w:rsid w:val="59D67C33"/>
    <w:rsid w:val="59E25B39"/>
    <w:rsid w:val="59E85E60"/>
    <w:rsid w:val="59EC76FE"/>
    <w:rsid w:val="59F40CA9"/>
    <w:rsid w:val="59F42A57"/>
    <w:rsid w:val="59F667CF"/>
    <w:rsid w:val="5A0116CA"/>
    <w:rsid w:val="5A0F43F5"/>
    <w:rsid w:val="5A113609"/>
    <w:rsid w:val="5A160C1F"/>
    <w:rsid w:val="5A1D1FAE"/>
    <w:rsid w:val="5A225816"/>
    <w:rsid w:val="5A252C10"/>
    <w:rsid w:val="5A2E7D17"/>
    <w:rsid w:val="5A3E3CD2"/>
    <w:rsid w:val="5A405D39"/>
    <w:rsid w:val="5A513A05"/>
    <w:rsid w:val="5A5C19EC"/>
    <w:rsid w:val="5A6C4322"/>
    <w:rsid w:val="5A821E11"/>
    <w:rsid w:val="5A8E07B6"/>
    <w:rsid w:val="5A8E6A07"/>
    <w:rsid w:val="5AA93841"/>
    <w:rsid w:val="5AAC50E0"/>
    <w:rsid w:val="5AC13AD0"/>
    <w:rsid w:val="5AC45DFD"/>
    <w:rsid w:val="5ACB22C3"/>
    <w:rsid w:val="5AD7533E"/>
    <w:rsid w:val="5ADF26A5"/>
    <w:rsid w:val="5AE1613D"/>
    <w:rsid w:val="5AE91E90"/>
    <w:rsid w:val="5AF0028A"/>
    <w:rsid w:val="5AF2343A"/>
    <w:rsid w:val="5AFA22EF"/>
    <w:rsid w:val="5AFC6067"/>
    <w:rsid w:val="5AFC7E15"/>
    <w:rsid w:val="5B1C4013"/>
    <w:rsid w:val="5B3C2907"/>
    <w:rsid w:val="5B433C96"/>
    <w:rsid w:val="5B4517BC"/>
    <w:rsid w:val="5B4672E2"/>
    <w:rsid w:val="5B4965C5"/>
    <w:rsid w:val="5B556159"/>
    <w:rsid w:val="5B595267"/>
    <w:rsid w:val="5B61411C"/>
    <w:rsid w:val="5B631C42"/>
    <w:rsid w:val="5B667984"/>
    <w:rsid w:val="5B7E4CCE"/>
    <w:rsid w:val="5B8147BE"/>
    <w:rsid w:val="5B841BB9"/>
    <w:rsid w:val="5B8A71CF"/>
    <w:rsid w:val="5B995664"/>
    <w:rsid w:val="5B9C33A6"/>
    <w:rsid w:val="5BAC6905"/>
    <w:rsid w:val="5BB76B59"/>
    <w:rsid w:val="5BBB1A7E"/>
    <w:rsid w:val="5BBB382C"/>
    <w:rsid w:val="5BC00E43"/>
    <w:rsid w:val="5BC07095"/>
    <w:rsid w:val="5BC326E1"/>
    <w:rsid w:val="5BCC287D"/>
    <w:rsid w:val="5BCF72D8"/>
    <w:rsid w:val="5BE03293"/>
    <w:rsid w:val="5BE55923"/>
    <w:rsid w:val="5BE9027A"/>
    <w:rsid w:val="5BEF797A"/>
    <w:rsid w:val="5BFA1563"/>
    <w:rsid w:val="5C084598"/>
    <w:rsid w:val="5C142F3C"/>
    <w:rsid w:val="5C1473E0"/>
    <w:rsid w:val="5C163158"/>
    <w:rsid w:val="5C292E8C"/>
    <w:rsid w:val="5C36250A"/>
    <w:rsid w:val="5C3A1484"/>
    <w:rsid w:val="5C58107B"/>
    <w:rsid w:val="5C5E4EBC"/>
    <w:rsid w:val="5C5F68AD"/>
    <w:rsid w:val="5C62014C"/>
    <w:rsid w:val="5C760DD3"/>
    <w:rsid w:val="5C814A76"/>
    <w:rsid w:val="5C8E7193"/>
    <w:rsid w:val="5CA01956"/>
    <w:rsid w:val="5CC2508E"/>
    <w:rsid w:val="5CD5091E"/>
    <w:rsid w:val="5CE809FE"/>
    <w:rsid w:val="5CF5611D"/>
    <w:rsid w:val="5CFB5EAA"/>
    <w:rsid w:val="5CFE60C6"/>
    <w:rsid w:val="5D016D97"/>
    <w:rsid w:val="5D027239"/>
    <w:rsid w:val="5D0B433F"/>
    <w:rsid w:val="5D101956"/>
    <w:rsid w:val="5D142F08"/>
    <w:rsid w:val="5D1C02FB"/>
    <w:rsid w:val="5D325D70"/>
    <w:rsid w:val="5D335644"/>
    <w:rsid w:val="5D487342"/>
    <w:rsid w:val="5D525959"/>
    <w:rsid w:val="5D5734B2"/>
    <w:rsid w:val="5D6865A8"/>
    <w:rsid w:val="5D6A375C"/>
    <w:rsid w:val="5D766B62"/>
    <w:rsid w:val="5D814602"/>
    <w:rsid w:val="5D8440F2"/>
    <w:rsid w:val="5DA53978"/>
    <w:rsid w:val="5DA622BA"/>
    <w:rsid w:val="5DAB1F64"/>
    <w:rsid w:val="5DAF5613"/>
    <w:rsid w:val="5DB431D5"/>
    <w:rsid w:val="5DB76275"/>
    <w:rsid w:val="5DC80015"/>
    <w:rsid w:val="5DC82BB2"/>
    <w:rsid w:val="5DC8757B"/>
    <w:rsid w:val="5DCB2C8B"/>
    <w:rsid w:val="5DCC7F73"/>
    <w:rsid w:val="5DD00075"/>
    <w:rsid w:val="5DEB5F1F"/>
    <w:rsid w:val="5DED1C97"/>
    <w:rsid w:val="5DF94AE0"/>
    <w:rsid w:val="5DFA4C08"/>
    <w:rsid w:val="5E364898"/>
    <w:rsid w:val="5E451AD3"/>
    <w:rsid w:val="5E473A9D"/>
    <w:rsid w:val="5E4C10B3"/>
    <w:rsid w:val="5E4E007B"/>
    <w:rsid w:val="5E5261EC"/>
    <w:rsid w:val="5E581806"/>
    <w:rsid w:val="5E6957C1"/>
    <w:rsid w:val="5E6D2D5D"/>
    <w:rsid w:val="5E6E48EE"/>
    <w:rsid w:val="5E7C1A86"/>
    <w:rsid w:val="5E7D126D"/>
    <w:rsid w:val="5E85254E"/>
    <w:rsid w:val="5E862EF1"/>
    <w:rsid w:val="5EA04F5B"/>
    <w:rsid w:val="5EA26584"/>
    <w:rsid w:val="5EA27B33"/>
    <w:rsid w:val="5EA42C9D"/>
    <w:rsid w:val="5EA70098"/>
    <w:rsid w:val="5EAE13FB"/>
    <w:rsid w:val="5EB36A3D"/>
    <w:rsid w:val="5EB629D1"/>
    <w:rsid w:val="5EC14154"/>
    <w:rsid w:val="5EC23124"/>
    <w:rsid w:val="5EC53B3E"/>
    <w:rsid w:val="5ECE7D1A"/>
    <w:rsid w:val="5EDA66BF"/>
    <w:rsid w:val="5EEA2EAA"/>
    <w:rsid w:val="5EEA4A34"/>
    <w:rsid w:val="5EF552A7"/>
    <w:rsid w:val="5EF66FDC"/>
    <w:rsid w:val="5EFC4888"/>
    <w:rsid w:val="5F096FA4"/>
    <w:rsid w:val="5F13572D"/>
    <w:rsid w:val="5F2A341F"/>
    <w:rsid w:val="5F3C4C84"/>
    <w:rsid w:val="5F4104EC"/>
    <w:rsid w:val="5F553F98"/>
    <w:rsid w:val="5F5766E8"/>
    <w:rsid w:val="5F5C0E82"/>
    <w:rsid w:val="5F6E316F"/>
    <w:rsid w:val="5F8E3006"/>
    <w:rsid w:val="5F8E7B88"/>
    <w:rsid w:val="5F93686E"/>
    <w:rsid w:val="5FAA5C20"/>
    <w:rsid w:val="5FB24F46"/>
    <w:rsid w:val="5FB7255D"/>
    <w:rsid w:val="5FBC5DC5"/>
    <w:rsid w:val="5FC02A17"/>
    <w:rsid w:val="5FC37153"/>
    <w:rsid w:val="5FCE2169"/>
    <w:rsid w:val="5FD05DF0"/>
    <w:rsid w:val="5FD27396"/>
    <w:rsid w:val="5FDC1FC3"/>
    <w:rsid w:val="5FE86BBA"/>
    <w:rsid w:val="5FF1006B"/>
    <w:rsid w:val="5FF87418"/>
    <w:rsid w:val="5FFE1F39"/>
    <w:rsid w:val="6008100A"/>
    <w:rsid w:val="6017124D"/>
    <w:rsid w:val="601B4637"/>
    <w:rsid w:val="60206354"/>
    <w:rsid w:val="603315F8"/>
    <w:rsid w:val="60340051"/>
    <w:rsid w:val="604638E0"/>
    <w:rsid w:val="60471B32"/>
    <w:rsid w:val="60483AFC"/>
    <w:rsid w:val="6051475F"/>
    <w:rsid w:val="605B3830"/>
    <w:rsid w:val="605B738C"/>
    <w:rsid w:val="60651FB9"/>
    <w:rsid w:val="60870181"/>
    <w:rsid w:val="60917251"/>
    <w:rsid w:val="60966616"/>
    <w:rsid w:val="60B44CEE"/>
    <w:rsid w:val="60BA0556"/>
    <w:rsid w:val="60BF3DBF"/>
    <w:rsid w:val="60C34F31"/>
    <w:rsid w:val="60D93563"/>
    <w:rsid w:val="60EC4488"/>
    <w:rsid w:val="60EE1FAE"/>
    <w:rsid w:val="60F4333C"/>
    <w:rsid w:val="61096DE8"/>
    <w:rsid w:val="610A1A6A"/>
    <w:rsid w:val="612956DC"/>
    <w:rsid w:val="612C1631"/>
    <w:rsid w:val="613C71BD"/>
    <w:rsid w:val="613E6D23"/>
    <w:rsid w:val="614620E8"/>
    <w:rsid w:val="6146373D"/>
    <w:rsid w:val="61502C69"/>
    <w:rsid w:val="6151253D"/>
    <w:rsid w:val="61597718"/>
    <w:rsid w:val="6166293B"/>
    <w:rsid w:val="616B7AA3"/>
    <w:rsid w:val="617C1CB0"/>
    <w:rsid w:val="61863148"/>
    <w:rsid w:val="618A7B9E"/>
    <w:rsid w:val="61930DA7"/>
    <w:rsid w:val="619C7A7A"/>
    <w:rsid w:val="61A84853"/>
    <w:rsid w:val="61B2415B"/>
    <w:rsid w:val="61B5757C"/>
    <w:rsid w:val="61BF360C"/>
    <w:rsid w:val="61C74D39"/>
    <w:rsid w:val="61CC7E2C"/>
    <w:rsid w:val="61CF0031"/>
    <w:rsid w:val="61E93776"/>
    <w:rsid w:val="61F01D56"/>
    <w:rsid w:val="61F45CEA"/>
    <w:rsid w:val="61FE0917"/>
    <w:rsid w:val="620969A3"/>
    <w:rsid w:val="620A1069"/>
    <w:rsid w:val="620B4DE2"/>
    <w:rsid w:val="620E5989"/>
    <w:rsid w:val="620F042E"/>
    <w:rsid w:val="62157A0E"/>
    <w:rsid w:val="621E2D67"/>
    <w:rsid w:val="62255EA3"/>
    <w:rsid w:val="623139CC"/>
    <w:rsid w:val="623E51B7"/>
    <w:rsid w:val="62470885"/>
    <w:rsid w:val="624B6EF0"/>
    <w:rsid w:val="624F1172"/>
    <w:rsid w:val="625E7607"/>
    <w:rsid w:val="626562A0"/>
    <w:rsid w:val="626F7358"/>
    <w:rsid w:val="62832BCA"/>
    <w:rsid w:val="628C1A7E"/>
    <w:rsid w:val="628E2720"/>
    <w:rsid w:val="628F156F"/>
    <w:rsid w:val="62922E0D"/>
    <w:rsid w:val="62926DD0"/>
    <w:rsid w:val="629A65DD"/>
    <w:rsid w:val="629E5C56"/>
    <w:rsid w:val="62B2525D"/>
    <w:rsid w:val="62B611F1"/>
    <w:rsid w:val="62B62F9F"/>
    <w:rsid w:val="62BD2580"/>
    <w:rsid w:val="62DD422B"/>
    <w:rsid w:val="62E418BB"/>
    <w:rsid w:val="630F140E"/>
    <w:rsid w:val="6315416A"/>
    <w:rsid w:val="63273E9D"/>
    <w:rsid w:val="632B5788"/>
    <w:rsid w:val="633A0929"/>
    <w:rsid w:val="633F34D9"/>
    <w:rsid w:val="63456FA8"/>
    <w:rsid w:val="6347009B"/>
    <w:rsid w:val="634C7460"/>
    <w:rsid w:val="63620A31"/>
    <w:rsid w:val="63712925"/>
    <w:rsid w:val="638135AD"/>
    <w:rsid w:val="63844E4C"/>
    <w:rsid w:val="63936E3D"/>
    <w:rsid w:val="639F1C85"/>
    <w:rsid w:val="63A226E0"/>
    <w:rsid w:val="63A92B04"/>
    <w:rsid w:val="63C94C1E"/>
    <w:rsid w:val="63D03080"/>
    <w:rsid w:val="63D414A8"/>
    <w:rsid w:val="63E91153"/>
    <w:rsid w:val="63F21DB5"/>
    <w:rsid w:val="63F547AE"/>
    <w:rsid w:val="63F91396"/>
    <w:rsid w:val="63FB791D"/>
    <w:rsid w:val="63FD075A"/>
    <w:rsid w:val="640C1565"/>
    <w:rsid w:val="640D4088"/>
    <w:rsid w:val="640E2967"/>
    <w:rsid w:val="64195594"/>
    <w:rsid w:val="641F4B74"/>
    <w:rsid w:val="642B3519"/>
    <w:rsid w:val="64430055"/>
    <w:rsid w:val="645760BC"/>
    <w:rsid w:val="645A41B8"/>
    <w:rsid w:val="645E38EF"/>
    <w:rsid w:val="64695B2D"/>
    <w:rsid w:val="646D58E0"/>
    <w:rsid w:val="647E189B"/>
    <w:rsid w:val="647E7AED"/>
    <w:rsid w:val="647F6E20"/>
    <w:rsid w:val="649027E5"/>
    <w:rsid w:val="64CC2376"/>
    <w:rsid w:val="64CD637E"/>
    <w:rsid w:val="64DD2A65"/>
    <w:rsid w:val="64E75692"/>
    <w:rsid w:val="64F31B30"/>
    <w:rsid w:val="64F8789F"/>
    <w:rsid w:val="64F93617"/>
    <w:rsid w:val="65071890"/>
    <w:rsid w:val="65110961"/>
    <w:rsid w:val="651D7306"/>
    <w:rsid w:val="652266CA"/>
    <w:rsid w:val="65240694"/>
    <w:rsid w:val="65241819"/>
    <w:rsid w:val="653D0B7B"/>
    <w:rsid w:val="654E74BF"/>
    <w:rsid w:val="654F3237"/>
    <w:rsid w:val="65566374"/>
    <w:rsid w:val="657131AE"/>
    <w:rsid w:val="657B402C"/>
    <w:rsid w:val="657C227E"/>
    <w:rsid w:val="657D4B27"/>
    <w:rsid w:val="65815AE7"/>
    <w:rsid w:val="65953340"/>
    <w:rsid w:val="659B647C"/>
    <w:rsid w:val="65B14293"/>
    <w:rsid w:val="65B31A18"/>
    <w:rsid w:val="65B5782C"/>
    <w:rsid w:val="65B82E75"/>
    <w:rsid w:val="65C14135"/>
    <w:rsid w:val="65C23A09"/>
    <w:rsid w:val="65CB6D62"/>
    <w:rsid w:val="65D06126"/>
    <w:rsid w:val="65DB20BD"/>
    <w:rsid w:val="65E46075"/>
    <w:rsid w:val="65F30067"/>
    <w:rsid w:val="66011168"/>
    <w:rsid w:val="660404C6"/>
    <w:rsid w:val="66044022"/>
    <w:rsid w:val="661C136B"/>
    <w:rsid w:val="66212E26"/>
    <w:rsid w:val="66263F98"/>
    <w:rsid w:val="662D3578"/>
    <w:rsid w:val="6631079B"/>
    <w:rsid w:val="664A237C"/>
    <w:rsid w:val="664D7777"/>
    <w:rsid w:val="665E1984"/>
    <w:rsid w:val="666F3B91"/>
    <w:rsid w:val="66815672"/>
    <w:rsid w:val="66817B87"/>
    <w:rsid w:val="66847BEE"/>
    <w:rsid w:val="669A2A56"/>
    <w:rsid w:val="66A51361"/>
    <w:rsid w:val="66A55805"/>
    <w:rsid w:val="66BF24AF"/>
    <w:rsid w:val="66BF3AE2"/>
    <w:rsid w:val="66C47B88"/>
    <w:rsid w:val="66C56598"/>
    <w:rsid w:val="66C8777F"/>
    <w:rsid w:val="66E005EB"/>
    <w:rsid w:val="66E04AAC"/>
    <w:rsid w:val="66E44FAD"/>
    <w:rsid w:val="66F26570"/>
    <w:rsid w:val="66FC2F4B"/>
    <w:rsid w:val="66FE3167"/>
    <w:rsid w:val="67002A3B"/>
    <w:rsid w:val="67006EDF"/>
    <w:rsid w:val="670562A3"/>
    <w:rsid w:val="670818F0"/>
    <w:rsid w:val="670C13E0"/>
    <w:rsid w:val="671B0C97"/>
    <w:rsid w:val="671E7365"/>
    <w:rsid w:val="6724586B"/>
    <w:rsid w:val="6727621A"/>
    <w:rsid w:val="672C7CD4"/>
    <w:rsid w:val="67401089"/>
    <w:rsid w:val="67452B44"/>
    <w:rsid w:val="674943E2"/>
    <w:rsid w:val="674E7C4A"/>
    <w:rsid w:val="67530DBD"/>
    <w:rsid w:val="67550FD9"/>
    <w:rsid w:val="6760797E"/>
    <w:rsid w:val="676F7BC1"/>
    <w:rsid w:val="6779088F"/>
    <w:rsid w:val="677A0A3F"/>
    <w:rsid w:val="677B7778"/>
    <w:rsid w:val="678E6299"/>
    <w:rsid w:val="67982832"/>
    <w:rsid w:val="67BA708E"/>
    <w:rsid w:val="67BD26DA"/>
    <w:rsid w:val="67CA7C34"/>
    <w:rsid w:val="67D57A24"/>
    <w:rsid w:val="67DA14DE"/>
    <w:rsid w:val="67DC5256"/>
    <w:rsid w:val="67F24A7A"/>
    <w:rsid w:val="68014CBD"/>
    <w:rsid w:val="68034073"/>
    <w:rsid w:val="680622D3"/>
    <w:rsid w:val="682E5386"/>
    <w:rsid w:val="683055A2"/>
    <w:rsid w:val="68476ADF"/>
    <w:rsid w:val="684921C0"/>
    <w:rsid w:val="686139AD"/>
    <w:rsid w:val="68725BBA"/>
    <w:rsid w:val="68751AA8"/>
    <w:rsid w:val="687C07E7"/>
    <w:rsid w:val="687E455F"/>
    <w:rsid w:val="68804938"/>
    <w:rsid w:val="68866F70"/>
    <w:rsid w:val="688B0A2A"/>
    <w:rsid w:val="68914293"/>
    <w:rsid w:val="689B69C9"/>
    <w:rsid w:val="68A27B6E"/>
    <w:rsid w:val="68A65019"/>
    <w:rsid w:val="68AE4433"/>
    <w:rsid w:val="68BE2BAE"/>
    <w:rsid w:val="68C1444C"/>
    <w:rsid w:val="68C1535A"/>
    <w:rsid w:val="68C47A98"/>
    <w:rsid w:val="68D51CA5"/>
    <w:rsid w:val="68DC0690"/>
    <w:rsid w:val="68E02B24"/>
    <w:rsid w:val="68EF720B"/>
    <w:rsid w:val="68F37AE0"/>
    <w:rsid w:val="68F465CF"/>
    <w:rsid w:val="68F66048"/>
    <w:rsid w:val="68FC7232"/>
    <w:rsid w:val="690A5DF3"/>
    <w:rsid w:val="69104359"/>
    <w:rsid w:val="691571CE"/>
    <w:rsid w:val="691B590A"/>
    <w:rsid w:val="692549DB"/>
    <w:rsid w:val="69290B70"/>
    <w:rsid w:val="692C7B17"/>
    <w:rsid w:val="693C3AD3"/>
    <w:rsid w:val="6952502B"/>
    <w:rsid w:val="69531548"/>
    <w:rsid w:val="69653029"/>
    <w:rsid w:val="69747710"/>
    <w:rsid w:val="69782D5D"/>
    <w:rsid w:val="697D0373"/>
    <w:rsid w:val="698F0806"/>
    <w:rsid w:val="6994390F"/>
    <w:rsid w:val="69967687"/>
    <w:rsid w:val="699857E2"/>
    <w:rsid w:val="699E7743"/>
    <w:rsid w:val="69A37842"/>
    <w:rsid w:val="69A753F0"/>
    <w:rsid w:val="69AC2A06"/>
    <w:rsid w:val="69C53AC8"/>
    <w:rsid w:val="69CE5072"/>
    <w:rsid w:val="69D00DEB"/>
    <w:rsid w:val="69D361E5"/>
    <w:rsid w:val="69DA3A17"/>
    <w:rsid w:val="69DC778F"/>
    <w:rsid w:val="69F01538"/>
    <w:rsid w:val="69F947C4"/>
    <w:rsid w:val="6A0942FC"/>
    <w:rsid w:val="6A2320A3"/>
    <w:rsid w:val="6A2E3D63"/>
    <w:rsid w:val="6A38073E"/>
    <w:rsid w:val="6A3F387A"/>
    <w:rsid w:val="6A465502"/>
    <w:rsid w:val="6A486BD3"/>
    <w:rsid w:val="6A51309E"/>
    <w:rsid w:val="6A520D7C"/>
    <w:rsid w:val="6A6921D7"/>
    <w:rsid w:val="6A701C86"/>
    <w:rsid w:val="6A837C0B"/>
    <w:rsid w:val="6AB46016"/>
    <w:rsid w:val="6AC56475"/>
    <w:rsid w:val="6ACA3A8C"/>
    <w:rsid w:val="6ACA3C59"/>
    <w:rsid w:val="6AEF52A0"/>
    <w:rsid w:val="6AF26B3F"/>
    <w:rsid w:val="6AF45B9B"/>
    <w:rsid w:val="6B337868"/>
    <w:rsid w:val="6B375948"/>
    <w:rsid w:val="6B431148"/>
    <w:rsid w:val="6B5E41D4"/>
    <w:rsid w:val="6B7D28AC"/>
    <w:rsid w:val="6B8005EE"/>
    <w:rsid w:val="6B8E4AB9"/>
    <w:rsid w:val="6BAC3191"/>
    <w:rsid w:val="6BAE3791"/>
    <w:rsid w:val="6BBB2FD4"/>
    <w:rsid w:val="6BC71D79"/>
    <w:rsid w:val="6BD413CB"/>
    <w:rsid w:val="6BD46244"/>
    <w:rsid w:val="6BDD334B"/>
    <w:rsid w:val="6BDF5315"/>
    <w:rsid w:val="6BF11BA4"/>
    <w:rsid w:val="6C00528B"/>
    <w:rsid w:val="6C021003"/>
    <w:rsid w:val="6C07486C"/>
    <w:rsid w:val="6C0C1E82"/>
    <w:rsid w:val="6C0C6D38"/>
    <w:rsid w:val="6C1274B0"/>
    <w:rsid w:val="6C134FBF"/>
    <w:rsid w:val="6C1B3E73"/>
    <w:rsid w:val="6C2076DB"/>
    <w:rsid w:val="6C240F7A"/>
    <w:rsid w:val="6C2C3F7C"/>
    <w:rsid w:val="6C3B62C3"/>
    <w:rsid w:val="6C494E84"/>
    <w:rsid w:val="6C5222E4"/>
    <w:rsid w:val="6C5645F5"/>
    <w:rsid w:val="6C635F46"/>
    <w:rsid w:val="6C6967B7"/>
    <w:rsid w:val="6C7A6DEC"/>
    <w:rsid w:val="6C8C4C6F"/>
    <w:rsid w:val="6C9C075E"/>
    <w:rsid w:val="6CA125CA"/>
    <w:rsid w:val="6CA312C3"/>
    <w:rsid w:val="6CBC7404"/>
    <w:rsid w:val="6CC809AF"/>
    <w:rsid w:val="6CCA0760"/>
    <w:rsid w:val="6CCB3AEB"/>
    <w:rsid w:val="6CD52274"/>
    <w:rsid w:val="6CDE381E"/>
    <w:rsid w:val="6CDE55CC"/>
    <w:rsid w:val="6CE626D3"/>
    <w:rsid w:val="6CE97411"/>
    <w:rsid w:val="6CFC1EF7"/>
    <w:rsid w:val="6D06067F"/>
    <w:rsid w:val="6D135B8B"/>
    <w:rsid w:val="6D1D6C3D"/>
    <w:rsid w:val="6D29653F"/>
    <w:rsid w:val="6D2A6A64"/>
    <w:rsid w:val="6D475033"/>
    <w:rsid w:val="6D4F2026"/>
    <w:rsid w:val="6D652843"/>
    <w:rsid w:val="6D656AB0"/>
    <w:rsid w:val="6D676CA0"/>
    <w:rsid w:val="6D6A1F10"/>
    <w:rsid w:val="6D747CDF"/>
    <w:rsid w:val="6D757E51"/>
    <w:rsid w:val="6D9E6B0A"/>
    <w:rsid w:val="6DA700B4"/>
    <w:rsid w:val="6DBB2D57"/>
    <w:rsid w:val="6DEA1D4F"/>
    <w:rsid w:val="6DEA7FA1"/>
    <w:rsid w:val="6DEE5CE3"/>
    <w:rsid w:val="6DF244FF"/>
    <w:rsid w:val="6DF50166"/>
    <w:rsid w:val="6DF66946"/>
    <w:rsid w:val="6E007DB8"/>
    <w:rsid w:val="6E0472B5"/>
    <w:rsid w:val="6E05302D"/>
    <w:rsid w:val="6E1374F8"/>
    <w:rsid w:val="6E1B015A"/>
    <w:rsid w:val="6E242F18"/>
    <w:rsid w:val="6E290AC9"/>
    <w:rsid w:val="6E315758"/>
    <w:rsid w:val="6E3B3B2D"/>
    <w:rsid w:val="6E49116B"/>
    <w:rsid w:val="6E4B4EE4"/>
    <w:rsid w:val="6E4C0C5C"/>
    <w:rsid w:val="6E5024FA"/>
    <w:rsid w:val="6E5378F4"/>
    <w:rsid w:val="6E647D14"/>
    <w:rsid w:val="6E6821DA"/>
    <w:rsid w:val="6E755C1E"/>
    <w:rsid w:val="6E804461"/>
    <w:rsid w:val="6E9621A7"/>
    <w:rsid w:val="6E9C129B"/>
    <w:rsid w:val="6E9E14B7"/>
    <w:rsid w:val="6EAE7221"/>
    <w:rsid w:val="6EB14B98"/>
    <w:rsid w:val="6EB81C75"/>
    <w:rsid w:val="6EBA3E17"/>
    <w:rsid w:val="6EBA45BB"/>
    <w:rsid w:val="6EBC7B8F"/>
    <w:rsid w:val="6EBF142E"/>
    <w:rsid w:val="6EC151A6"/>
    <w:rsid w:val="6ECB1BA9"/>
    <w:rsid w:val="6EDD3662"/>
    <w:rsid w:val="6EEC49B2"/>
    <w:rsid w:val="6EF530A1"/>
    <w:rsid w:val="6EF8049C"/>
    <w:rsid w:val="6F0F4163"/>
    <w:rsid w:val="6F1515FC"/>
    <w:rsid w:val="6F1A48B6"/>
    <w:rsid w:val="6F1C418A"/>
    <w:rsid w:val="6F2A194A"/>
    <w:rsid w:val="6F40306C"/>
    <w:rsid w:val="6F5328E3"/>
    <w:rsid w:val="6F59718C"/>
    <w:rsid w:val="6F5B1156"/>
    <w:rsid w:val="6F62222B"/>
    <w:rsid w:val="6F710B56"/>
    <w:rsid w:val="6F72024E"/>
    <w:rsid w:val="6F7E6BF3"/>
    <w:rsid w:val="6F800BBD"/>
    <w:rsid w:val="6F822FCB"/>
    <w:rsid w:val="6F8265E9"/>
    <w:rsid w:val="6F853250"/>
    <w:rsid w:val="6F865AA7"/>
    <w:rsid w:val="6F8F7052"/>
    <w:rsid w:val="6F926B42"/>
    <w:rsid w:val="6F9A3982"/>
    <w:rsid w:val="6FA21763"/>
    <w:rsid w:val="6FAE2100"/>
    <w:rsid w:val="6FBE3493"/>
    <w:rsid w:val="6FD563E8"/>
    <w:rsid w:val="6FDC1B6B"/>
    <w:rsid w:val="6FE32EFA"/>
    <w:rsid w:val="6FE729EA"/>
    <w:rsid w:val="6FEA47B2"/>
    <w:rsid w:val="700D7F77"/>
    <w:rsid w:val="701337DF"/>
    <w:rsid w:val="702552C0"/>
    <w:rsid w:val="702C48A1"/>
    <w:rsid w:val="70455885"/>
    <w:rsid w:val="70507E96"/>
    <w:rsid w:val="705974F6"/>
    <w:rsid w:val="705B0CE2"/>
    <w:rsid w:val="706A7177"/>
    <w:rsid w:val="707324D0"/>
    <w:rsid w:val="707B47F3"/>
    <w:rsid w:val="707D5148"/>
    <w:rsid w:val="70910BA8"/>
    <w:rsid w:val="70933881"/>
    <w:rsid w:val="709F32C5"/>
    <w:rsid w:val="70B52AE8"/>
    <w:rsid w:val="70B76860"/>
    <w:rsid w:val="70BF3A49"/>
    <w:rsid w:val="70CD173E"/>
    <w:rsid w:val="70CD6084"/>
    <w:rsid w:val="70D0347E"/>
    <w:rsid w:val="70D2369A"/>
    <w:rsid w:val="70E46F2A"/>
    <w:rsid w:val="70EE5FFA"/>
    <w:rsid w:val="70F21646"/>
    <w:rsid w:val="70F25AEA"/>
    <w:rsid w:val="71144C29"/>
    <w:rsid w:val="71155335"/>
    <w:rsid w:val="712A0CA0"/>
    <w:rsid w:val="713752AB"/>
    <w:rsid w:val="713B6ACB"/>
    <w:rsid w:val="714A1482"/>
    <w:rsid w:val="714F6EF1"/>
    <w:rsid w:val="71566079"/>
    <w:rsid w:val="715E6CDC"/>
    <w:rsid w:val="716342F2"/>
    <w:rsid w:val="71755DD4"/>
    <w:rsid w:val="71777D9E"/>
    <w:rsid w:val="71816E6E"/>
    <w:rsid w:val="718B3849"/>
    <w:rsid w:val="718F50E7"/>
    <w:rsid w:val="718F6E95"/>
    <w:rsid w:val="719A4E3F"/>
    <w:rsid w:val="719D2378"/>
    <w:rsid w:val="71B756B4"/>
    <w:rsid w:val="71C76DE6"/>
    <w:rsid w:val="71C805F9"/>
    <w:rsid w:val="71E13469"/>
    <w:rsid w:val="71E536A2"/>
    <w:rsid w:val="71E84124"/>
    <w:rsid w:val="71ED06F9"/>
    <w:rsid w:val="71F118FE"/>
    <w:rsid w:val="72035AD5"/>
    <w:rsid w:val="72113D4E"/>
    <w:rsid w:val="72242DEB"/>
    <w:rsid w:val="7231619E"/>
    <w:rsid w:val="72377C1B"/>
    <w:rsid w:val="723D0FE7"/>
    <w:rsid w:val="724E4FA2"/>
    <w:rsid w:val="72640049"/>
    <w:rsid w:val="72695938"/>
    <w:rsid w:val="72800ED4"/>
    <w:rsid w:val="72812ED5"/>
    <w:rsid w:val="729055BB"/>
    <w:rsid w:val="729206A4"/>
    <w:rsid w:val="72A77E7B"/>
    <w:rsid w:val="72AB6EE5"/>
    <w:rsid w:val="72AE5A41"/>
    <w:rsid w:val="72B1108D"/>
    <w:rsid w:val="72C74D55"/>
    <w:rsid w:val="72CB65F3"/>
    <w:rsid w:val="72D11CB8"/>
    <w:rsid w:val="72DA4A88"/>
    <w:rsid w:val="72DD6326"/>
    <w:rsid w:val="72F571CC"/>
    <w:rsid w:val="72F76811"/>
    <w:rsid w:val="72FF2D63"/>
    <w:rsid w:val="73075151"/>
    <w:rsid w:val="73092C77"/>
    <w:rsid w:val="731E38AE"/>
    <w:rsid w:val="73441F01"/>
    <w:rsid w:val="735E43F0"/>
    <w:rsid w:val="739A7D73"/>
    <w:rsid w:val="73AF5C6A"/>
    <w:rsid w:val="73B40E35"/>
    <w:rsid w:val="73B9469D"/>
    <w:rsid w:val="73D47729"/>
    <w:rsid w:val="73DD443B"/>
    <w:rsid w:val="73DD4830"/>
    <w:rsid w:val="73E72559"/>
    <w:rsid w:val="73F6144E"/>
    <w:rsid w:val="73F6747D"/>
    <w:rsid w:val="74014590"/>
    <w:rsid w:val="740A6CA7"/>
    <w:rsid w:val="7419513C"/>
    <w:rsid w:val="741C69DA"/>
    <w:rsid w:val="742A10F7"/>
    <w:rsid w:val="742F5B33"/>
    <w:rsid w:val="7443665D"/>
    <w:rsid w:val="746960C4"/>
    <w:rsid w:val="74716D26"/>
    <w:rsid w:val="747D56CB"/>
    <w:rsid w:val="74842EFD"/>
    <w:rsid w:val="748E60C0"/>
    <w:rsid w:val="74A40A83"/>
    <w:rsid w:val="74AA0C93"/>
    <w:rsid w:val="74AE06FF"/>
    <w:rsid w:val="74C94DB4"/>
    <w:rsid w:val="74D3353D"/>
    <w:rsid w:val="74D81FD1"/>
    <w:rsid w:val="74DA5847"/>
    <w:rsid w:val="74E219D2"/>
    <w:rsid w:val="74FC6F38"/>
    <w:rsid w:val="74FD680C"/>
    <w:rsid w:val="750A2CD7"/>
    <w:rsid w:val="7516167C"/>
    <w:rsid w:val="751D2A0A"/>
    <w:rsid w:val="751F3781"/>
    <w:rsid w:val="752518B2"/>
    <w:rsid w:val="75257746"/>
    <w:rsid w:val="752E2E69"/>
    <w:rsid w:val="7533222E"/>
    <w:rsid w:val="753D2AC7"/>
    <w:rsid w:val="75491A51"/>
    <w:rsid w:val="754E7067"/>
    <w:rsid w:val="75504B8E"/>
    <w:rsid w:val="755A3C5E"/>
    <w:rsid w:val="755C0CA5"/>
    <w:rsid w:val="755D54FC"/>
    <w:rsid w:val="756069FF"/>
    <w:rsid w:val="756643B1"/>
    <w:rsid w:val="75907680"/>
    <w:rsid w:val="75A629FF"/>
    <w:rsid w:val="75A849CA"/>
    <w:rsid w:val="75AB44BA"/>
    <w:rsid w:val="75C169C3"/>
    <w:rsid w:val="75D457BF"/>
    <w:rsid w:val="75DE03EB"/>
    <w:rsid w:val="75FB0F9D"/>
    <w:rsid w:val="75FD2BD6"/>
    <w:rsid w:val="760F2C9B"/>
    <w:rsid w:val="76143E0D"/>
    <w:rsid w:val="76177C92"/>
    <w:rsid w:val="762C55FB"/>
    <w:rsid w:val="763B3A90"/>
    <w:rsid w:val="76441CA9"/>
    <w:rsid w:val="765379C9"/>
    <w:rsid w:val="765468FF"/>
    <w:rsid w:val="765B7C8E"/>
    <w:rsid w:val="766E5C13"/>
    <w:rsid w:val="76794E52"/>
    <w:rsid w:val="767E572A"/>
    <w:rsid w:val="76876CD5"/>
    <w:rsid w:val="76984A3E"/>
    <w:rsid w:val="769A6A08"/>
    <w:rsid w:val="76A32F1D"/>
    <w:rsid w:val="76A746E7"/>
    <w:rsid w:val="76B64EC4"/>
    <w:rsid w:val="76B86E8E"/>
    <w:rsid w:val="76F37EC6"/>
    <w:rsid w:val="77040325"/>
    <w:rsid w:val="770475FA"/>
    <w:rsid w:val="770C0288"/>
    <w:rsid w:val="77104AE3"/>
    <w:rsid w:val="771B11CB"/>
    <w:rsid w:val="771C1965"/>
    <w:rsid w:val="772067E2"/>
    <w:rsid w:val="77253DF8"/>
    <w:rsid w:val="772C162A"/>
    <w:rsid w:val="772F636C"/>
    <w:rsid w:val="77316C41"/>
    <w:rsid w:val="773A213A"/>
    <w:rsid w:val="77400C32"/>
    <w:rsid w:val="774F20A4"/>
    <w:rsid w:val="776C7C79"/>
    <w:rsid w:val="777468F7"/>
    <w:rsid w:val="778C429D"/>
    <w:rsid w:val="778E4093"/>
    <w:rsid w:val="778F4480"/>
    <w:rsid w:val="779D7E32"/>
    <w:rsid w:val="779E35F4"/>
    <w:rsid w:val="779F004E"/>
    <w:rsid w:val="77AF3397"/>
    <w:rsid w:val="77BE04D4"/>
    <w:rsid w:val="77C16217"/>
    <w:rsid w:val="77C8536B"/>
    <w:rsid w:val="77CE623E"/>
    <w:rsid w:val="77D933D6"/>
    <w:rsid w:val="77DC4DFE"/>
    <w:rsid w:val="77DE2925"/>
    <w:rsid w:val="77E85551"/>
    <w:rsid w:val="77F77A99"/>
    <w:rsid w:val="780F5380"/>
    <w:rsid w:val="78171A2A"/>
    <w:rsid w:val="781976DF"/>
    <w:rsid w:val="781F620E"/>
    <w:rsid w:val="7836450F"/>
    <w:rsid w:val="784F55D0"/>
    <w:rsid w:val="78504E72"/>
    <w:rsid w:val="7860158C"/>
    <w:rsid w:val="786D5A56"/>
    <w:rsid w:val="78727980"/>
    <w:rsid w:val="788B512C"/>
    <w:rsid w:val="78B02A3A"/>
    <w:rsid w:val="78B35B5F"/>
    <w:rsid w:val="78BE2756"/>
    <w:rsid w:val="78CC09CF"/>
    <w:rsid w:val="78D70645"/>
    <w:rsid w:val="78DE6954"/>
    <w:rsid w:val="78E8332F"/>
    <w:rsid w:val="78EC1071"/>
    <w:rsid w:val="78FF76F4"/>
    <w:rsid w:val="79022643"/>
    <w:rsid w:val="7904460D"/>
    <w:rsid w:val="79130304"/>
    <w:rsid w:val="79146C05"/>
    <w:rsid w:val="792425B9"/>
    <w:rsid w:val="79336CA0"/>
    <w:rsid w:val="795135CA"/>
    <w:rsid w:val="795B7FA5"/>
    <w:rsid w:val="7961380D"/>
    <w:rsid w:val="79615AF9"/>
    <w:rsid w:val="79663B2C"/>
    <w:rsid w:val="79667075"/>
    <w:rsid w:val="79691857"/>
    <w:rsid w:val="79711576"/>
    <w:rsid w:val="797352EE"/>
    <w:rsid w:val="79736408"/>
    <w:rsid w:val="7985203C"/>
    <w:rsid w:val="798602F1"/>
    <w:rsid w:val="799830D5"/>
    <w:rsid w:val="79AD6A52"/>
    <w:rsid w:val="79B17BC5"/>
    <w:rsid w:val="79B50CA1"/>
    <w:rsid w:val="79C618C2"/>
    <w:rsid w:val="79C97604"/>
    <w:rsid w:val="79CD2C51"/>
    <w:rsid w:val="79D55FA9"/>
    <w:rsid w:val="79DA14EC"/>
    <w:rsid w:val="79DA35C0"/>
    <w:rsid w:val="79DC7338"/>
    <w:rsid w:val="79DD09BA"/>
    <w:rsid w:val="79E85CDC"/>
    <w:rsid w:val="79F24465"/>
    <w:rsid w:val="79F91C98"/>
    <w:rsid w:val="79F933B7"/>
    <w:rsid w:val="79FA156C"/>
    <w:rsid w:val="7A010B8B"/>
    <w:rsid w:val="7A2043B6"/>
    <w:rsid w:val="7A2465E9"/>
    <w:rsid w:val="7A2C4364"/>
    <w:rsid w:val="7A5125CD"/>
    <w:rsid w:val="7A554A5D"/>
    <w:rsid w:val="7A5769BE"/>
    <w:rsid w:val="7A5C2227"/>
    <w:rsid w:val="7A633442"/>
    <w:rsid w:val="7A637111"/>
    <w:rsid w:val="7A6A04A0"/>
    <w:rsid w:val="7A6C06BC"/>
    <w:rsid w:val="7A822D20"/>
    <w:rsid w:val="7A8A0B42"/>
    <w:rsid w:val="7A8F43AA"/>
    <w:rsid w:val="7A9279F6"/>
    <w:rsid w:val="7A94551C"/>
    <w:rsid w:val="7A9B1D00"/>
    <w:rsid w:val="7AA65CC3"/>
    <w:rsid w:val="7AA8546C"/>
    <w:rsid w:val="7AAF2356"/>
    <w:rsid w:val="7AB4796D"/>
    <w:rsid w:val="7ABC2CF5"/>
    <w:rsid w:val="7AC027B5"/>
    <w:rsid w:val="7AC73B47"/>
    <w:rsid w:val="7AD324E9"/>
    <w:rsid w:val="7AD87AFF"/>
    <w:rsid w:val="7ADB314B"/>
    <w:rsid w:val="7AE85868"/>
    <w:rsid w:val="7AF64429"/>
    <w:rsid w:val="7AFE6E3A"/>
    <w:rsid w:val="7B036B7D"/>
    <w:rsid w:val="7B085777"/>
    <w:rsid w:val="7B0C77A9"/>
    <w:rsid w:val="7B252460"/>
    <w:rsid w:val="7B3334DE"/>
    <w:rsid w:val="7B5911D5"/>
    <w:rsid w:val="7B5F3D7C"/>
    <w:rsid w:val="7B607AF4"/>
    <w:rsid w:val="7B6273C9"/>
    <w:rsid w:val="7B6B212D"/>
    <w:rsid w:val="7B701708"/>
    <w:rsid w:val="7B810197"/>
    <w:rsid w:val="7B95154C"/>
    <w:rsid w:val="7B954C24"/>
    <w:rsid w:val="7B99773A"/>
    <w:rsid w:val="7B9B28DB"/>
    <w:rsid w:val="7BB40ADC"/>
    <w:rsid w:val="7BB66BC0"/>
    <w:rsid w:val="7BBA7205"/>
    <w:rsid w:val="7BD94D8B"/>
    <w:rsid w:val="7BDF0A19"/>
    <w:rsid w:val="7BE40725"/>
    <w:rsid w:val="7BE97AEA"/>
    <w:rsid w:val="7BF30DFF"/>
    <w:rsid w:val="7C0B5CB2"/>
    <w:rsid w:val="7C0B6016"/>
    <w:rsid w:val="7C23124E"/>
    <w:rsid w:val="7C2B3C5E"/>
    <w:rsid w:val="7C350F81"/>
    <w:rsid w:val="7C3F3BAE"/>
    <w:rsid w:val="7C441065"/>
    <w:rsid w:val="7C66113B"/>
    <w:rsid w:val="7C6B04FF"/>
    <w:rsid w:val="7C6F2531"/>
    <w:rsid w:val="7C6F4493"/>
    <w:rsid w:val="7C705B15"/>
    <w:rsid w:val="7C767E66"/>
    <w:rsid w:val="7C7B2E69"/>
    <w:rsid w:val="7C907F65"/>
    <w:rsid w:val="7C9712F4"/>
    <w:rsid w:val="7CAA7279"/>
    <w:rsid w:val="7CAC5D16"/>
    <w:rsid w:val="7CB1695B"/>
    <w:rsid w:val="7CB43C54"/>
    <w:rsid w:val="7CC145C3"/>
    <w:rsid w:val="7CC3033B"/>
    <w:rsid w:val="7CCF0A8E"/>
    <w:rsid w:val="7CE00EED"/>
    <w:rsid w:val="7CE333B2"/>
    <w:rsid w:val="7CE56363"/>
    <w:rsid w:val="7CF6426C"/>
    <w:rsid w:val="7D032E2D"/>
    <w:rsid w:val="7D263448"/>
    <w:rsid w:val="7D283B94"/>
    <w:rsid w:val="7D2F59D0"/>
    <w:rsid w:val="7D450D50"/>
    <w:rsid w:val="7D480840"/>
    <w:rsid w:val="7D522C40"/>
    <w:rsid w:val="7D545437"/>
    <w:rsid w:val="7D5471E5"/>
    <w:rsid w:val="7D586CD5"/>
    <w:rsid w:val="7D5C1B64"/>
    <w:rsid w:val="7D672BDD"/>
    <w:rsid w:val="7D685736"/>
    <w:rsid w:val="7D711B45"/>
    <w:rsid w:val="7D831878"/>
    <w:rsid w:val="7D845D1C"/>
    <w:rsid w:val="7D8B394B"/>
    <w:rsid w:val="7D943A85"/>
    <w:rsid w:val="7D9A5540"/>
    <w:rsid w:val="7D9A72EE"/>
    <w:rsid w:val="7D9C2889"/>
    <w:rsid w:val="7DA4016C"/>
    <w:rsid w:val="7DB166CE"/>
    <w:rsid w:val="7DB52379"/>
    <w:rsid w:val="7DB61C4E"/>
    <w:rsid w:val="7DBA1B83"/>
    <w:rsid w:val="7DC75C09"/>
    <w:rsid w:val="7DD002AD"/>
    <w:rsid w:val="7DE02DFB"/>
    <w:rsid w:val="7DF12C86"/>
    <w:rsid w:val="7DF979E1"/>
    <w:rsid w:val="7DFD787D"/>
    <w:rsid w:val="7E0B3D48"/>
    <w:rsid w:val="7E0E1A8A"/>
    <w:rsid w:val="7E0E36B1"/>
    <w:rsid w:val="7E1A404B"/>
    <w:rsid w:val="7E2766A8"/>
    <w:rsid w:val="7E2D63B4"/>
    <w:rsid w:val="7E350DC4"/>
    <w:rsid w:val="7E3A63DB"/>
    <w:rsid w:val="7E3D5ECB"/>
    <w:rsid w:val="7E410A8F"/>
    <w:rsid w:val="7E417769"/>
    <w:rsid w:val="7E486D4A"/>
    <w:rsid w:val="7E4B196C"/>
    <w:rsid w:val="7E5020A2"/>
    <w:rsid w:val="7E5C45A3"/>
    <w:rsid w:val="7E5D031B"/>
    <w:rsid w:val="7E5E656D"/>
    <w:rsid w:val="7E635932"/>
    <w:rsid w:val="7E6A2B1A"/>
    <w:rsid w:val="7E7442FB"/>
    <w:rsid w:val="7E8D0C00"/>
    <w:rsid w:val="7E9C52E7"/>
    <w:rsid w:val="7EA877E8"/>
    <w:rsid w:val="7EB0669D"/>
    <w:rsid w:val="7EB4618D"/>
    <w:rsid w:val="7EBA751C"/>
    <w:rsid w:val="7EBE525E"/>
    <w:rsid w:val="7ED405DD"/>
    <w:rsid w:val="7ED54355"/>
    <w:rsid w:val="7ED72EDB"/>
    <w:rsid w:val="7EDC4C8D"/>
    <w:rsid w:val="7EE50DE2"/>
    <w:rsid w:val="7EE66563"/>
    <w:rsid w:val="7EEA6053"/>
    <w:rsid w:val="7EEF18BB"/>
    <w:rsid w:val="7EEF5417"/>
    <w:rsid w:val="7EF667A6"/>
    <w:rsid w:val="7F1135E0"/>
    <w:rsid w:val="7F1F34DD"/>
    <w:rsid w:val="7F392B36"/>
    <w:rsid w:val="7F3948E4"/>
    <w:rsid w:val="7F3D2627"/>
    <w:rsid w:val="7F3D4B93"/>
    <w:rsid w:val="7F596D35"/>
    <w:rsid w:val="7F5F07EF"/>
    <w:rsid w:val="7F727E99"/>
    <w:rsid w:val="7F791980"/>
    <w:rsid w:val="7F7B4EFD"/>
    <w:rsid w:val="7F7D2AB8"/>
    <w:rsid w:val="7F7E49ED"/>
    <w:rsid w:val="7F8518D8"/>
    <w:rsid w:val="7F911521"/>
    <w:rsid w:val="7F9A1827"/>
    <w:rsid w:val="7FAE506E"/>
    <w:rsid w:val="7FB00296"/>
    <w:rsid w:val="7FBF240C"/>
    <w:rsid w:val="7FD12D6F"/>
    <w:rsid w:val="7FD8234F"/>
    <w:rsid w:val="7FF26402"/>
    <w:rsid w:val="7FFC0E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uiPriority="9" w:name="heading 6"/>
    <w:lsdException w:qFormat="1" w:unhideWhenUsed="0"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eastAsia="宋体" w:asciiTheme="minorHAnsi" w:hAnsiTheme="minorHAnsi" w:cstheme="minorBidi"/>
      <w:kern w:val="2"/>
      <w:sz w:val="21"/>
      <w:szCs w:val="22"/>
      <w:lang w:val="en-US" w:eastAsia="zh-CN" w:bidi="ar-SA"/>
    </w:rPr>
  </w:style>
  <w:style w:type="paragraph" w:styleId="2">
    <w:name w:val="heading 1"/>
    <w:basedOn w:val="1"/>
    <w:next w:val="1"/>
    <w:link w:val="42"/>
    <w:qFormat/>
    <w:uiPriority w:val="9"/>
    <w:pPr>
      <w:keepNext/>
      <w:keepLines/>
      <w:spacing w:beforeLines="50"/>
      <w:ind w:firstLine="0" w:firstLineChars="0"/>
      <w:jc w:val="center"/>
      <w:outlineLvl w:val="0"/>
    </w:pPr>
    <w:rPr>
      <w:rFonts w:eastAsia="黑体"/>
      <w:b/>
      <w:bCs/>
      <w:kern w:val="44"/>
      <w:sz w:val="32"/>
      <w:szCs w:val="44"/>
    </w:rPr>
  </w:style>
  <w:style w:type="paragraph" w:styleId="3">
    <w:name w:val="heading 2"/>
    <w:basedOn w:val="1"/>
    <w:next w:val="1"/>
    <w:link w:val="43"/>
    <w:unhideWhenUsed/>
    <w:qFormat/>
    <w:uiPriority w:val="9"/>
    <w:pPr>
      <w:keepNext/>
      <w:keepLines/>
      <w:spacing w:beforeLines="50"/>
      <w:ind w:firstLine="0" w:firstLineChars="0"/>
      <w:outlineLvl w:val="1"/>
    </w:pPr>
    <w:rPr>
      <w:rFonts w:eastAsia="黑体" w:asciiTheme="majorHAnsi" w:hAnsiTheme="majorHAnsi" w:cstheme="majorBidi"/>
      <w:b/>
      <w:bCs/>
      <w:sz w:val="28"/>
      <w:szCs w:val="32"/>
    </w:rPr>
  </w:style>
  <w:style w:type="paragraph" w:styleId="4">
    <w:name w:val="heading 3"/>
    <w:basedOn w:val="1"/>
    <w:next w:val="1"/>
    <w:link w:val="44"/>
    <w:unhideWhenUsed/>
    <w:qFormat/>
    <w:uiPriority w:val="9"/>
    <w:pPr>
      <w:keepNext/>
      <w:keepLines/>
      <w:spacing w:beforeLines="50"/>
      <w:outlineLvl w:val="2"/>
    </w:pPr>
    <w:rPr>
      <w:rFonts w:eastAsia="黑体"/>
      <w:b/>
      <w:bCs/>
      <w:sz w:val="24"/>
      <w:szCs w:val="32"/>
    </w:rPr>
  </w:style>
  <w:style w:type="paragraph" w:styleId="5">
    <w:name w:val="heading 4"/>
    <w:basedOn w:val="1"/>
    <w:next w:val="1"/>
    <w:link w:val="45"/>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7"/>
    <w:next w:val="8"/>
    <w:link w:val="46"/>
    <w:unhideWhenUsed/>
    <w:qFormat/>
    <w:uiPriority w:val="9"/>
    <w:pPr>
      <w:keepNext/>
      <w:keepLines/>
      <w:tabs>
        <w:tab w:val="left" w:pos="780"/>
      </w:tabs>
      <w:spacing w:before="280" w:after="290" w:line="376" w:lineRule="auto"/>
      <w:outlineLvl w:val="4"/>
    </w:pPr>
    <w:rPr>
      <w:b/>
      <w:bCs/>
      <w:sz w:val="28"/>
      <w:szCs w:val="28"/>
    </w:rPr>
  </w:style>
  <w:style w:type="paragraph" w:styleId="9">
    <w:name w:val="heading 7"/>
    <w:basedOn w:val="1"/>
    <w:next w:val="1"/>
    <w:qFormat/>
    <w:uiPriority w:val="9"/>
    <w:pPr>
      <w:keepNext/>
      <w:keepLines/>
      <w:spacing w:before="240" w:after="64" w:line="320" w:lineRule="auto"/>
      <w:ind w:left="1526"/>
      <w:outlineLvl w:val="6"/>
    </w:pPr>
    <w:rPr>
      <w:b/>
      <w:bCs/>
      <w:sz w:val="28"/>
      <w:szCs w:val="24"/>
    </w:rPr>
  </w:style>
  <w:style w:type="paragraph" w:styleId="10">
    <w:name w:val="heading 9"/>
    <w:basedOn w:val="1"/>
    <w:next w:val="1"/>
    <w:link w:val="47"/>
    <w:semiHidden/>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7">
    <w:name w:val="List Number 2"/>
    <w:basedOn w:val="1"/>
    <w:semiHidden/>
    <w:unhideWhenUsed/>
    <w:qFormat/>
    <w:uiPriority w:val="99"/>
    <w:pPr>
      <w:numPr>
        <w:ilvl w:val="0"/>
        <w:numId w:val="1"/>
      </w:numPr>
    </w:pPr>
  </w:style>
  <w:style w:type="paragraph" w:styleId="8">
    <w:name w:val="Normal (Web)"/>
    <w:basedOn w:val="1"/>
    <w:semiHidden/>
    <w:unhideWhenUsed/>
    <w:qFormat/>
    <w:uiPriority w:val="99"/>
    <w:pPr>
      <w:spacing w:beforeAutospacing="1" w:afterAutospacing="1"/>
      <w:jc w:val="left"/>
    </w:pPr>
    <w:rPr>
      <w:rFonts w:cs="Times New Roman"/>
      <w:kern w:val="0"/>
      <w:sz w:val="24"/>
    </w:rPr>
  </w:style>
  <w:style w:type="paragraph" w:styleId="11">
    <w:name w:val="toc 7"/>
    <w:basedOn w:val="1"/>
    <w:next w:val="1"/>
    <w:unhideWhenUsed/>
    <w:qFormat/>
    <w:uiPriority w:val="39"/>
    <w:pPr>
      <w:spacing w:line="240" w:lineRule="auto"/>
      <w:ind w:left="2520" w:leftChars="1200" w:firstLine="0" w:firstLineChars="0"/>
    </w:pPr>
    <w:rPr>
      <w:rFonts w:eastAsiaTheme="minorEastAsia"/>
    </w:rPr>
  </w:style>
  <w:style w:type="paragraph" w:styleId="12">
    <w:name w:val="Normal Indent"/>
    <w:basedOn w:val="1"/>
    <w:qFormat/>
    <w:uiPriority w:val="0"/>
    <w:pPr>
      <w:ind w:firstLine="420"/>
    </w:pPr>
  </w:style>
  <w:style w:type="paragraph" w:styleId="13">
    <w:name w:val="Document Map"/>
    <w:basedOn w:val="1"/>
    <w:next w:val="9"/>
    <w:link w:val="58"/>
    <w:semiHidden/>
    <w:unhideWhenUsed/>
    <w:qFormat/>
    <w:uiPriority w:val="99"/>
    <w:pPr>
      <w:shd w:val="clear" w:color="auto" w:fill="000080"/>
    </w:pPr>
  </w:style>
  <w:style w:type="paragraph" w:styleId="14">
    <w:name w:val="annotation text"/>
    <w:basedOn w:val="1"/>
    <w:link w:val="59"/>
    <w:semiHidden/>
    <w:unhideWhenUsed/>
    <w:qFormat/>
    <w:uiPriority w:val="99"/>
    <w:pPr>
      <w:jc w:val="left"/>
    </w:pPr>
  </w:style>
  <w:style w:type="paragraph" w:styleId="15">
    <w:name w:val="Body Text"/>
    <w:basedOn w:val="1"/>
    <w:link w:val="54"/>
    <w:qFormat/>
    <w:uiPriority w:val="0"/>
    <w:pPr>
      <w:spacing w:after="120"/>
    </w:pPr>
  </w:style>
  <w:style w:type="paragraph" w:styleId="16">
    <w:name w:val="Body Text Indent"/>
    <w:basedOn w:val="1"/>
    <w:next w:val="17"/>
    <w:link w:val="56"/>
    <w:semiHidden/>
    <w:unhideWhenUsed/>
    <w:qFormat/>
    <w:uiPriority w:val="99"/>
    <w:pPr>
      <w:spacing w:after="120"/>
      <w:ind w:left="420" w:leftChars="200"/>
    </w:pPr>
  </w:style>
  <w:style w:type="paragraph" w:styleId="17">
    <w:name w:val="Body Text First Indent 2"/>
    <w:basedOn w:val="16"/>
    <w:qFormat/>
    <w:uiPriority w:val="0"/>
  </w:style>
  <w:style w:type="paragraph" w:styleId="18">
    <w:name w:val="Block Text"/>
    <w:basedOn w:val="1"/>
    <w:next w:val="1"/>
    <w:unhideWhenUsed/>
    <w:qFormat/>
    <w:uiPriority w:val="99"/>
    <w:pPr>
      <w:spacing w:after="120"/>
      <w:ind w:left="1440" w:leftChars="700" w:right="1440" w:rightChars="700"/>
    </w:pPr>
  </w:style>
  <w:style w:type="paragraph" w:styleId="19">
    <w:name w:val="toc 5"/>
    <w:basedOn w:val="1"/>
    <w:next w:val="1"/>
    <w:unhideWhenUsed/>
    <w:qFormat/>
    <w:uiPriority w:val="39"/>
    <w:pPr>
      <w:spacing w:line="240" w:lineRule="auto"/>
      <w:ind w:left="1680" w:leftChars="800" w:firstLine="0" w:firstLineChars="0"/>
    </w:pPr>
    <w:rPr>
      <w:rFonts w:eastAsiaTheme="minorEastAsia"/>
    </w:rPr>
  </w:style>
  <w:style w:type="paragraph" w:styleId="20">
    <w:name w:val="toc 3"/>
    <w:basedOn w:val="1"/>
    <w:next w:val="1"/>
    <w:unhideWhenUsed/>
    <w:qFormat/>
    <w:uiPriority w:val="39"/>
    <w:pPr>
      <w:ind w:left="840" w:leftChars="400"/>
    </w:pPr>
  </w:style>
  <w:style w:type="paragraph" w:styleId="21">
    <w:name w:val="Plain Text"/>
    <w:basedOn w:val="1"/>
    <w:next w:val="1"/>
    <w:link w:val="55"/>
    <w:unhideWhenUsed/>
    <w:qFormat/>
    <w:uiPriority w:val="99"/>
    <w:pPr>
      <w:ind w:firstLine="0" w:firstLineChars="0"/>
    </w:pPr>
    <w:rPr>
      <w:rFonts w:ascii="宋体" w:hAnsi="Calibri" w:cs="Times New Roman"/>
      <w:szCs w:val="20"/>
    </w:rPr>
  </w:style>
  <w:style w:type="paragraph" w:styleId="22">
    <w:name w:val="toc 8"/>
    <w:basedOn w:val="1"/>
    <w:next w:val="1"/>
    <w:unhideWhenUsed/>
    <w:qFormat/>
    <w:uiPriority w:val="39"/>
    <w:pPr>
      <w:spacing w:line="240" w:lineRule="auto"/>
      <w:ind w:left="2940" w:leftChars="1400" w:firstLine="0" w:firstLineChars="0"/>
    </w:pPr>
    <w:rPr>
      <w:rFonts w:eastAsiaTheme="minorEastAsia"/>
    </w:rPr>
  </w:style>
  <w:style w:type="paragraph" w:styleId="23">
    <w:name w:val="Date"/>
    <w:basedOn w:val="1"/>
    <w:next w:val="1"/>
    <w:link w:val="61"/>
    <w:semiHidden/>
    <w:unhideWhenUsed/>
    <w:qFormat/>
    <w:uiPriority w:val="99"/>
    <w:pPr>
      <w:ind w:left="100" w:leftChars="2500"/>
    </w:pPr>
  </w:style>
  <w:style w:type="paragraph" w:styleId="24">
    <w:name w:val="Balloon Text"/>
    <w:basedOn w:val="1"/>
    <w:link w:val="49"/>
    <w:semiHidden/>
    <w:unhideWhenUsed/>
    <w:qFormat/>
    <w:uiPriority w:val="99"/>
    <w:pPr>
      <w:spacing w:line="240" w:lineRule="auto"/>
    </w:pPr>
    <w:rPr>
      <w:sz w:val="18"/>
      <w:szCs w:val="18"/>
    </w:rPr>
  </w:style>
  <w:style w:type="paragraph" w:styleId="25">
    <w:name w:val="footer"/>
    <w:basedOn w:val="1"/>
    <w:link w:val="50"/>
    <w:unhideWhenUsed/>
    <w:qFormat/>
    <w:uiPriority w:val="99"/>
    <w:pPr>
      <w:tabs>
        <w:tab w:val="center" w:pos="4153"/>
        <w:tab w:val="right" w:pos="8306"/>
      </w:tabs>
      <w:snapToGrid w:val="0"/>
      <w:jc w:val="left"/>
    </w:pPr>
    <w:rPr>
      <w:sz w:val="18"/>
      <w:szCs w:val="18"/>
    </w:rPr>
  </w:style>
  <w:style w:type="paragraph" w:styleId="26">
    <w:name w:val="header"/>
    <w:basedOn w:val="1"/>
    <w:next w:val="25"/>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unhideWhenUsed/>
    <w:qFormat/>
    <w:uiPriority w:val="39"/>
  </w:style>
  <w:style w:type="paragraph" w:styleId="28">
    <w:name w:val="toc 4"/>
    <w:basedOn w:val="1"/>
    <w:next w:val="1"/>
    <w:unhideWhenUsed/>
    <w:qFormat/>
    <w:uiPriority w:val="39"/>
    <w:pPr>
      <w:spacing w:line="240" w:lineRule="auto"/>
      <w:ind w:left="1260" w:leftChars="600" w:firstLine="0" w:firstLineChars="0"/>
    </w:pPr>
    <w:rPr>
      <w:rFonts w:eastAsiaTheme="minorEastAsia"/>
    </w:rPr>
  </w:style>
  <w:style w:type="paragraph" w:styleId="29">
    <w:name w:val="toc 6"/>
    <w:basedOn w:val="1"/>
    <w:next w:val="1"/>
    <w:unhideWhenUsed/>
    <w:qFormat/>
    <w:uiPriority w:val="39"/>
    <w:pPr>
      <w:spacing w:line="240" w:lineRule="auto"/>
      <w:ind w:left="2100" w:leftChars="1000" w:firstLine="0" w:firstLineChars="0"/>
    </w:pPr>
    <w:rPr>
      <w:rFonts w:eastAsiaTheme="minorEastAsia"/>
    </w:rPr>
  </w:style>
  <w:style w:type="paragraph" w:styleId="30">
    <w:name w:val="toc 2"/>
    <w:basedOn w:val="1"/>
    <w:next w:val="1"/>
    <w:unhideWhenUsed/>
    <w:qFormat/>
    <w:uiPriority w:val="39"/>
    <w:pPr>
      <w:ind w:left="420" w:leftChars="200"/>
    </w:pPr>
  </w:style>
  <w:style w:type="paragraph" w:styleId="31">
    <w:name w:val="toc 9"/>
    <w:basedOn w:val="1"/>
    <w:next w:val="1"/>
    <w:unhideWhenUsed/>
    <w:qFormat/>
    <w:uiPriority w:val="39"/>
    <w:pPr>
      <w:spacing w:line="240" w:lineRule="auto"/>
      <w:ind w:left="3360" w:leftChars="1600" w:firstLine="0" w:firstLineChars="0"/>
    </w:pPr>
    <w:rPr>
      <w:rFonts w:eastAsiaTheme="minorEastAsia"/>
    </w:rPr>
  </w:style>
  <w:style w:type="paragraph" w:styleId="32">
    <w:name w:val="annotation subject"/>
    <w:basedOn w:val="14"/>
    <w:next w:val="14"/>
    <w:link w:val="60"/>
    <w:semiHidden/>
    <w:unhideWhenUsed/>
    <w:qFormat/>
    <w:uiPriority w:val="99"/>
    <w:rPr>
      <w:b/>
      <w:bCs/>
    </w:rPr>
  </w:style>
  <w:style w:type="paragraph" w:styleId="33">
    <w:name w:val="Body Text First Indent"/>
    <w:basedOn w:val="15"/>
    <w:qFormat/>
    <w:uiPriority w:val="0"/>
    <w:pPr>
      <w:autoSpaceDE w:val="0"/>
      <w:autoSpaceDN w:val="0"/>
      <w:ind w:firstLine="420"/>
    </w:pPr>
    <w:rPr>
      <w:rFonts w:ascii="宋体"/>
      <w:kern w:val="0"/>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qFormat/>
    <w:uiPriority w:val="0"/>
    <w:rPr>
      <w:b/>
      <w:bCs/>
    </w:rPr>
  </w:style>
  <w:style w:type="character" w:styleId="38">
    <w:name w:val="Emphasis"/>
    <w:basedOn w:val="36"/>
    <w:qFormat/>
    <w:uiPriority w:val="2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basedOn w:val="36"/>
    <w:semiHidden/>
    <w:unhideWhenUsed/>
    <w:qFormat/>
    <w:uiPriority w:val="99"/>
    <w:rPr>
      <w:sz w:val="21"/>
      <w:szCs w:val="21"/>
    </w:rPr>
  </w:style>
  <w:style w:type="character" w:styleId="41">
    <w:name w:val="HTML Sample"/>
    <w:basedOn w:val="36"/>
    <w:semiHidden/>
    <w:unhideWhenUsed/>
    <w:qFormat/>
    <w:uiPriority w:val="99"/>
    <w:rPr>
      <w:rFonts w:ascii="Courier New" w:hAnsi="Courier New"/>
    </w:rPr>
  </w:style>
  <w:style w:type="character" w:customStyle="1" w:styleId="42">
    <w:name w:val="标题 1 Char"/>
    <w:basedOn w:val="36"/>
    <w:link w:val="2"/>
    <w:qFormat/>
    <w:uiPriority w:val="0"/>
    <w:rPr>
      <w:rFonts w:eastAsia="黑体"/>
      <w:b/>
      <w:bCs/>
      <w:kern w:val="44"/>
      <w:sz w:val="32"/>
      <w:szCs w:val="44"/>
    </w:rPr>
  </w:style>
  <w:style w:type="character" w:customStyle="1" w:styleId="43">
    <w:name w:val="标题 2 Char"/>
    <w:basedOn w:val="36"/>
    <w:link w:val="3"/>
    <w:qFormat/>
    <w:uiPriority w:val="9"/>
    <w:rPr>
      <w:rFonts w:eastAsia="黑体" w:asciiTheme="majorHAnsi" w:hAnsiTheme="majorHAnsi" w:cstheme="majorBidi"/>
      <w:b/>
      <w:bCs/>
      <w:sz w:val="28"/>
      <w:szCs w:val="32"/>
    </w:rPr>
  </w:style>
  <w:style w:type="character" w:customStyle="1" w:styleId="44">
    <w:name w:val="标题 3 Char"/>
    <w:basedOn w:val="36"/>
    <w:link w:val="4"/>
    <w:qFormat/>
    <w:uiPriority w:val="9"/>
    <w:rPr>
      <w:rFonts w:eastAsia="黑体"/>
      <w:b/>
      <w:bCs/>
      <w:kern w:val="2"/>
      <w:sz w:val="24"/>
      <w:szCs w:val="32"/>
    </w:rPr>
  </w:style>
  <w:style w:type="character" w:customStyle="1" w:styleId="45">
    <w:name w:val="标题 4 Char"/>
    <w:basedOn w:val="36"/>
    <w:link w:val="5"/>
    <w:qFormat/>
    <w:uiPriority w:val="9"/>
    <w:rPr>
      <w:rFonts w:asciiTheme="majorHAnsi" w:hAnsiTheme="majorHAnsi" w:eastAsiaTheme="majorEastAsia" w:cstheme="majorBidi"/>
      <w:b/>
      <w:bCs/>
      <w:sz w:val="28"/>
      <w:szCs w:val="28"/>
    </w:rPr>
  </w:style>
  <w:style w:type="character" w:customStyle="1" w:styleId="46">
    <w:name w:val="标题 5 Char"/>
    <w:basedOn w:val="36"/>
    <w:link w:val="6"/>
    <w:qFormat/>
    <w:uiPriority w:val="9"/>
    <w:rPr>
      <w:b/>
      <w:bCs/>
      <w:sz w:val="28"/>
      <w:szCs w:val="28"/>
    </w:rPr>
  </w:style>
  <w:style w:type="character" w:customStyle="1" w:styleId="47">
    <w:name w:val="标题 9 Char1"/>
    <w:basedOn w:val="36"/>
    <w:link w:val="10"/>
    <w:semiHidden/>
    <w:qFormat/>
    <w:uiPriority w:val="9"/>
    <w:rPr>
      <w:rFonts w:asciiTheme="majorHAnsi" w:hAnsiTheme="majorHAnsi" w:eastAsiaTheme="majorEastAsia" w:cstheme="majorBidi"/>
      <w:szCs w:val="21"/>
    </w:rPr>
  </w:style>
  <w:style w:type="character" w:customStyle="1" w:styleId="48">
    <w:name w:val="纯文本 字符"/>
    <w:basedOn w:val="36"/>
    <w:qFormat/>
    <w:uiPriority w:val="99"/>
    <w:rPr>
      <w:rFonts w:ascii="宋体" w:hAnsi="Calibri" w:eastAsia="宋体" w:cs="Times New Roman"/>
      <w:szCs w:val="20"/>
    </w:rPr>
  </w:style>
  <w:style w:type="character" w:customStyle="1" w:styleId="49">
    <w:name w:val="批注框文本 Char"/>
    <w:basedOn w:val="36"/>
    <w:link w:val="24"/>
    <w:semiHidden/>
    <w:qFormat/>
    <w:uiPriority w:val="99"/>
    <w:rPr>
      <w:rFonts w:eastAsia="宋体"/>
      <w:kern w:val="2"/>
      <w:sz w:val="18"/>
      <w:szCs w:val="18"/>
    </w:rPr>
  </w:style>
  <w:style w:type="character" w:customStyle="1" w:styleId="50">
    <w:name w:val="页脚 Char"/>
    <w:basedOn w:val="36"/>
    <w:link w:val="25"/>
    <w:qFormat/>
    <w:uiPriority w:val="99"/>
    <w:rPr>
      <w:sz w:val="18"/>
      <w:szCs w:val="18"/>
    </w:rPr>
  </w:style>
  <w:style w:type="character" w:customStyle="1" w:styleId="51">
    <w:name w:val="页眉 Char"/>
    <w:basedOn w:val="36"/>
    <w:link w:val="26"/>
    <w:qFormat/>
    <w:uiPriority w:val="99"/>
    <w:rPr>
      <w:sz w:val="18"/>
      <w:szCs w:val="18"/>
    </w:rPr>
  </w:style>
  <w:style w:type="character" w:customStyle="1" w:styleId="52">
    <w:name w:val="标题 9 Char"/>
    <w:qFormat/>
    <w:uiPriority w:val="9"/>
    <w:rPr>
      <w:rFonts w:ascii="Cambria" w:hAnsi="Cambria"/>
      <w:kern w:val="2"/>
      <w:sz w:val="21"/>
      <w:szCs w:val="21"/>
    </w:rPr>
  </w:style>
  <w:style w:type="character" w:customStyle="1" w:styleId="53">
    <w:name w:val="未处理的提及1"/>
    <w:basedOn w:val="36"/>
    <w:semiHidden/>
    <w:unhideWhenUsed/>
    <w:qFormat/>
    <w:uiPriority w:val="99"/>
    <w:rPr>
      <w:color w:val="605E5C"/>
      <w:shd w:val="clear" w:color="auto" w:fill="E1DFDD"/>
    </w:rPr>
  </w:style>
  <w:style w:type="character" w:customStyle="1" w:styleId="54">
    <w:name w:val="正文文本 Char"/>
    <w:basedOn w:val="36"/>
    <w:link w:val="15"/>
    <w:qFormat/>
    <w:uiPriority w:val="0"/>
    <w:rPr>
      <w:kern w:val="2"/>
      <w:sz w:val="21"/>
      <w:szCs w:val="24"/>
    </w:rPr>
  </w:style>
  <w:style w:type="character" w:customStyle="1" w:styleId="55">
    <w:name w:val="纯文本 Char"/>
    <w:basedOn w:val="36"/>
    <w:link w:val="21"/>
    <w:qFormat/>
    <w:uiPriority w:val="0"/>
    <w:rPr>
      <w:rFonts w:hint="eastAsia" w:ascii="宋体" w:hAnsi="宋体" w:eastAsia="宋体" w:cs="宋体"/>
      <w:kern w:val="2"/>
      <w:sz w:val="21"/>
    </w:rPr>
  </w:style>
  <w:style w:type="character" w:customStyle="1" w:styleId="56">
    <w:name w:val="正文文本缩进 Char"/>
    <w:basedOn w:val="36"/>
    <w:link w:val="16"/>
    <w:qFormat/>
    <w:uiPriority w:val="0"/>
    <w:rPr>
      <w:kern w:val="2"/>
      <w:sz w:val="21"/>
      <w:szCs w:val="24"/>
    </w:rPr>
  </w:style>
  <w:style w:type="character" w:customStyle="1" w:styleId="57">
    <w:name w:val="正文文本首行缩进 2 字符"/>
    <w:basedOn w:val="56"/>
    <w:qFormat/>
    <w:uiPriority w:val="0"/>
    <w:rPr>
      <w:kern w:val="2"/>
      <w:sz w:val="21"/>
      <w:szCs w:val="24"/>
    </w:rPr>
  </w:style>
  <w:style w:type="character" w:customStyle="1" w:styleId="58">
    <w:name w:val="文档结构图 Char"/>
    <w:basedOn w:val="36"/>
    <w:link w:val="13"/>
    <w:qFormat/>
    <w:uiPriority w:val="0"/>
    <w:rPr>
      <w:rFonts w:hint="eastAsia" w:ascii="Microsoft YaHei UI" w:hAnsi="等线" w:eastAsia="Microsoft YaHei UI" w:cs="Times New Roman"/>
      <w:kern w:val="2"/>
      <w:sz w:val="18"/>
      <w:szCs w:val="18"/>
    </w:rPr>
  </w:style>
  <w:style w:type="character" w:customStyle="1" w:styleId="59">
    <w:name w:val="批注文字 Char"/>
    <w:basedOn w:val="36"/>
    <w:link w:val="14"/>
    <w:semiHidden/>
    <w:qFormat/>
    <w:uiPriority w:val="99"/>
    <w:rPr>
      <w:rFonts w:asciiTheme="minorHAnsi" w:hAnsiTheme="minorHAnsi" w:cstheme="minorBidi"/>
      <w:kern w:val="2"/>
      <w:sz w:val="21"/>
      <w:szCs w:val="22"/>
    </w:rPr>
  </w:style>
  <w:style w:type="character" w:customStyle="1" w:styleId="60">
    <w:name w:val="批注主题 Char"/>
    <w:basedOn w:val="59"/>
    <w:link w:val="32"/>
    <w:semiHidden/>
    <w:qFormat/>
    <w:uiPriority w:val="99"/>
    <w:rPr>
      <w:rFonts w:asciiTheme="minorHAnsi" w:hAnsiTheme="minorHAnsi" w:cstheme="minorBidi"/>
      <w:b/>
      <w:bCs/>
      <w:kern w:val="2"/>
      <w:sz w:val="21"/>
      <w:szCs w:val="22"/>
    </w:rPr>
  </w:style>
  <w:style w:type="character" w:customStyle="1" w:styleId="61">
    <w:name w:val="日期 Char"/>
    <w:basedOn w:val="36"/>
    <w:link w:val="23"/>
    <w:semiHidden/>
    <w:qFormat/>
    <w:uiPriority w:val="99"/>
    <w:rPr>
      <w:rFonts w:asciiTheme="minorHAnsi" w:hAnsiTheme="minorHAnsi" w:cstheme="minorBidi"/>
      <w:kern w:val="2"/>
      <w:sz w:val="21"/>
      <w:szCs w:val="22"/>
    </w:rPr>
  </w:style>
  <w:style w:type="paragraph" w:customStyle="1" w:styleId="62">
    <w:name w:val="null3"/>
    <w:qFormat/>
    <w:uiPriority w:val="0"/>
    <w:rPr>
      <w:rFonts w:hint="eastAsia" w:ascii="Calibri" w:hAnsi="Calibri" w:eastAsia="宋体" w:cs="Times New Roman"/>
      <w:lang w:val="en-US" w:eastAsia="zh-CN" w:bidi="ar-SA"/>
    </w:rPr>
  </w:style>
  <w:style w:type="character" w:customStyle="1" w:styleId="63">
    <w:name w:val="font112"/>
    <w:basedOn w:val="36"/>
    <w:qFormat/>
    <w:uiPriority w:val="0"/>
    <w:rPr>
      <w:rFonts w:ascii="Calibri" w:hAnsi="Calibri" w:cs="Calibri"/>
      <w:color w:val="000000"/>
      <w:sz w:val="20"/>
      <w:szCs w:val="20"/>
      <w:u w:val="none"/>
    </w:rPr>
  </w:style>
  <w:style w:type="character" w:customStyle="1" w:styleId="64">
    <w:name w:val="font121"/>
    <w:basedOn w:val="36"/>
    <w:qFormat/>
    <w:uiPriority w:val="0"/>
    <w:rPr>
      <w:rFonts w:hint="default" w:ascii="Calibri" w:hAnsi="Calibri" w:cs="Calibri"/>
      <w:color w:val="000000"/>
      <w:sz w:val="20"/>
      <w:szCs w:val="20"/>
      <w:u w:val="none"/>
    </w:rPr>
  </w:style>
  <w:style w:type="paragraph" w:customStyle="1" w:styleId="65">
    <w:name w:val="Default"/>
    <w:qFormat/>
    <w:uiPriority w:val="0"/>
    <w:pPr>
      <w:widowControl w:val="0"/>
      <w:autoSpaceDE w:val="0"/>
      <w:autoSpaceDN w:val="0"/>
      <w:adjustRightInd w:val="0"/>
      <w:spacing w:line="440" w:lineRule="exact"/>
    </w:pPr>
    <w:rPr>
      <w:rFonts w:ascii="Times New Roman" w:hAnsi="Times New Roman" w:eastAsia="宋体" w:cs="宋体"/>
      <w:color w:val="000000"/>
      <w:sz w:val="24"/>
      <w:szCs w:val="24"/>
      <w:lang w:val="en-US" w:eastAsia="zh-CN" w:bidi="ar-SA"/>
    </w:rPr>
  </w:style>
  <w:style w:type="character" w:customStyle="1" w:styleId="66">
    <w:name w:val="font41"/>
    <w:basedOn w:val="36"/>
    <w:qFormat/>
    <w:uiPriority w:val="0"/>
    <w:rPr>
      <w:rFonts w:hint="eastAsia" w:ascii="宋体" w:hAnsi="宋体" w:eastAsia="宋体" w:cs="宋体"/>
      <w:color w:val="7030A0"/>
      <w:sz w:val="20"/>
      <w:szCs w:val="20"/>
      <w:u w:val="none"/>
    </w:rPr>
  </w:style>
  <w:style w:type="paragraph" w:customStyle="1" w:styleId="67">
    <w:name w:val="Table Text"/>
    <w:basedOn w:val="1"/>
    <w:semiHidden/>
    <w:qFormat/>
    <w:uiPriority w:val="0"/>
    <w:rPr>
      <w:rFonts w:ascii="宋体" w:hAnsi="宋体" w:cs="宋体"/>
      <w:szCs w:val="21"/>
      <w:lang w:eastAsia="en-US"/>
    </w:rPr>
  </w:style>
  <w:style w:type="paragraph" w:styleId="68">
    <w:name w:val="List Paragraph"/>
    <w:basedOn w:val="1"/>
    <w:qFormat/>
    <w:uiPriority w:val="34"/>
    <w:pPr>
      <w:ind w:left="720"/>
      <w:contextualSpacing/>
    </w:pPr>
  </w:style>
  <w:style w:type="character" w:customStyle="1" w:styleId="69">
    <w:name w:val="font122"/>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3.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ractReview xmlns="http://schemas.wps.cn/vas-ai-hub/contract-review">
  <reviewItems>
    <reviewItem>
      <errorID>732dba1d-74a6-411b-9e2f-0a296f5f1cff</errorID>
      <errorWord>-</errorWord>
      <group>L1_Format</group>
      <groupName>格式问题</groupName>
      <ability>L2_HalfPunc</ability>
      <abilityName>全半角检查</abilityName>
      <candidateList>
        <item>－</item>
      </candidateList>
      <explain>文本全半角错误。</explain>
      <paraID>6E83B147</paraID>
      <start>10</start>
      <end>11</end>
      <status>ignored</status>
      <modifiedWord/>
      <trackRevisions>false</trackRevisions>
    </reviewItem>
    <reviewItem>
      <errorID>85106106-a411-44a7-8776-e2074e1dc17b</errorID>
      <errorWord>-</errorWord>
      <group>L1_Format</group>
      <groupName>格式问题</groupName>
      <ability>L2_HalfPunc</ability>
      <abilityName>全半角检查</abilityName>
      <candidateList>
        <item>－</item>
      </candidateList>
      <explain>文本全半角错误。</explain>
      <paraID>231B7EE0</paraID>
      <start>10</start>
      <end>11</end>
      <status>ignored</status>
      <modifiedWord/>
      <trackRevisions>false</trackRevisions>
    </reviewItem>
    <reviewItem>
      <errorID>963441b9-0d83-408f-b918-e7eadb718e33</errorID>
      <errorWord>/）</errorWord>
      <group>L1_Punc</group>
      <groupName>标点问题</groupName>
      <ability>L2_Punc</ability>
      <abilityName>标点符号检查</abilityName>
      <candidateList>
        <item>）</item>
      </candidateList>
      <explain/>
      <paraID>231B7EE0</paraID>
      <start>71</start>
      <end>73</end>
      <status>ignored</status>
      <modifiedWord/>
      <trackRevisions>false</trackRevisions>
    </reviewItem>
    <reviewItem>
      <errorID>d619bad1-3709-4ade-a0a5-9e525d6cacb0</errorID>
      <errorWord>-</errorWord>
      <group>L1_Format</group>
      <groupName>格式问题</groupName>
      <ability>L2_HalfPunc</ability>
      <abilityName>全半角检查</abilityName>
      <candidateList>
        <item>－</item>
      </candidateList>
      <explain>文本全半角错误。</explain>
      <paraID>70508809</paraID>
      <start>17</start>
      <end>18</end>
      <status>ignored</status>
      <modifiedWord/>
      <trackRevisions>false</trackRevisions>
    </reviewItem>
    <reviewItem>
      <errorID>80976c75-2b7f-4967-8b03-75118457c3ce</errorID>
      <errorWord>-</errorWord>
      <group>L1_Format</group>
      <groupName>格式问题</groupName>
      <ability>L2_HalfPunc</ability>
      <abilityName>全半角检查</abilityName>
      <candidateList>
        <item>－</item>
      </candidateList>
      <explain>文本全半角错误。</explain>
      <paraID>699D5A70</paraID>
      <start>49</start>
      <end>50</end>
      <status>unmodified</status>
      <modifiedWord/>
      <trackRevisions>false</trackRevisions>
    </reviewItem>
    <reviewItem>
      <errorID>3b1eba13-cf5e-4c5f-ad7f-5b417b771609</errorID>
      <errorWord>-</errorWord>
      <group>L1_Format</group>
      <groupName>格式问题</groupName>
      <ability>L2_HalfPunc</ability>
      <abilityName>全半角检查</abilityName>
      <candidateList>
        <item>－</item>
      </candidateList>
      <explain>文本全半角错误。</explain>
      <paraID>699D5A70</paraID>
      <start>54</start>
      <end>55</end>
      <status>unmodified</status>
      <modifiedWord/>
      <trackRevisions>false</trackRevisions>
    </reviewItem>
    <reviewItem>
      <errorID>ce7fac57-93d6-4030-aa23-00b548d91b7c</errorID>
      <errorWord>-</errorWord>
      <group>L1_Format</group>
      <groupName>格式问题</groupName>
      <ability>L2_HalfPunc</ability>
      <abilityName>全半角检查</abilityName>
      <candidateList>
        <item>－</item>
      </candidateList>
      <explain>文本全半角错误。</explain>
      <paraID>699D5A70</paraID>
      <start>62</start>
      <end>63</end>
      <status>unmodified</status>
      <modifiedWord/>
      <trackRevisions>false</trackRevisions>
    </reviewItem>
    <reviewItem>
      <errorID>ecea9d5a-39a9-4cd8-9c3c-acc87fb9331e</errorID>
      <errorWord>-</errorWord>
      <group>L1_Format</group>
      <groupName>格式问题</groupName>
      <ability>L2_HalfPunc</ability>
      <abilityName>全半角检查</abilityName>
      <candidateList>
        <item>－</item>
      </candidateList>
      <explain>文本全半角错误。</explain>
      <paraID>699D5A70</paraID>
      <start>68</start>
      <end>69</end>
      <status>unmodified</status>
      <modifiedWord/>
      <trackRevisions>false</trackRevisions>
    </reviewItem>
    <reviewItem>
      <errorID>bb3bb269-e6e6-429b-b116-996b426c6beb</errorID>
      <errorWord>：</errorWord>
      <group>L1_Format</group>
      <groupName>格式问题</groupName>
      <ability>L2_HalfPunc</ability>
      <abilityName>全半角检查</abilityName>
      <candidateList>
        <item>:</item>
      </candidateList>
      <explain>文本全半角错误。</explain>
      <paraID>2E4D359A</paraID>
      <start>85</start>
      <end>86</end>
      <status>unmodified</status>
      <modifiedWord/>
      <trackRevisions>false</trackRevisions>
    </reviewItem>
    <reviewItem>
      <errorID>2a70bcfc-79ec-41a4-8c95-0d154e6fad66</errorID>
      <errorWord>&gt;）</errorWord>
      <group>L1_Punc</group>
      <groupName>标点问题</groupName>
      <ability>L2_Punc</ability>
      <abilityName>标点符号检查</abilityName>
      <candidateList>
        <item>）</item>
      </candidateList>
      <explain/>
      <paraID>2E4D359A</paraID>
      <start>163</start>
      <end>165</end>
      <status>unmodified</status>
      <modifiedWord/>
      <trackRevisions>false</trackRevisions>
    </reviewItem>
    <reviewItem>
      <errorID>7102bf60-9a66-40da-9f37-bfe6cb678437</errorID>
      <errorWord>-</errorWord>
      <group>L1_Format</group>
      <groupName>格式问题</groupName>
      <ability>L2_HalfPunc</ability>
      <abilityName>全半角检查</abilityName>
      <candidateList>
        <item>－</item>
      </candidateList>
      <explain>文本全半角错误。</explain>
      <paraID>7918F44E</paraID>
      <start>15</start>
      <end>16</end>
      <status>unmodified</status>
      <modifiedWord/>
      <trackRevisions>false</trackRevisions>
    </reviewItem>
    <reviewItem>
      <errorID>ea1ea888-f001-4519-a86f-280324478265</errorID>
      <errorWord>:</errorWord>
      <group>L1_Format</group>
      <groupName>格式问题</groupName>
      <ability>L2_HalfPunc</ability>
      <abilityName>全半角检查</abilityName>
      <candidateList>
        <item>：</item>
      </candidateList>
      <explain>文本全半角错误。</explain>
      <paraID>5C780E27</paraID>
      <start>9</start>
      <end>10</end>
      <status>unmodified</status>
      <modifiedWord/>
      <trackRevisions>false</trackRevisions>
    </reviewItem>
    <reviewItem>
      <errorID>f504cfbe-685c-4e48-9e7f-a2f62420a726</errorID>
      <errorWord>,</errorWord>
      <group>L1_Format</group>
      <groupName>格式问题</groupName>
      <ability>L2_HalfPunc</ability>
      <abilityName>全半角检查</abilityName>
      <candidateList>
        <item>，</item>
      </candidateList>
      <explain>文本全半角错误。</explain>
      <paraID>484F798D</paraID>
      <start>58</start>
      <end>59</end>
      <status>unmodified</status>
      <modifiedWord/>
      <trackRevisions>false</trackRevisions>
    </reviewItem>
    <reviewItem>
      <errorID>24ffd379-9a08-41cd-9075-adcd62d5d4c9</errorID>
      <errorWord>其它</errorWord>
      <group>L1_Word</group>
      <groupName>字词问题</groupName>
      <ability>L2_Alias</ability>
      <abilityName>也作/曾用词</abilityName>
      <candidateList>
        <item>其他</item>
      </candidateList>
      <explain>词汇[其它]为不规范表述或旧称，其规范书面表述为[其他]。</explain>
      <paraID> 5925826</paraID>
      <start>0</start>
      <end>2</end>
      <status>unmodified</status>
      <modifiedWord/>
      <trackRevisions>false</trackRevisions>
    </reviewItem>
    <reviewItem>
      <errorID>1ae98ec3-09ab-4eeb-8871-af5e90a331ec</errorID>
      <errorWord>其它</errorWord>
      <group>L1_Word</group>
      <groupName>字词问题</groupName>
      <ability>L2_Alias</ability>
      <abilityName>也作/曾用词</abilityName>
      <candidateList>
        <item>其他</item>
      </candidateList>
      <explain>词汇[其它]为不规范表述或旧称，其规范书面表述为[其他]。</explain>
      <paraID> C37A153</paraID>
      <start>30</start>
      <end>32</end>
      <status>unmodified</status>
      <modifiedWord/>
      <trackRevisions>false</trackRevisions>
    </reviewItem>
    <reviewItem>
      <errorID>c099b419-3860-4896-9455-bc11b84ca48f</errorID>
      <errorWord>法律、法规</errorWord>
      <group>L1_Word</group>
      <groupName>字词问题</groupName>
      <ability>L2_Typo</ability>
      <abilityName>字词错误</abilityName>
      <candidateList>
        <item>法律法规</item>
      </candidateList>
      <explain/>
      <paraID>2DB5FDF7</paraID>
      <start>76</start>
      <end>81</end>
      <status>unmodified</status>
      <modifiedWord/>
      <trackRevisions>false</trackRevisions>
    </reviewItem>
    <reviewItem>
      <errorID>a3da6600-b077-488a-b2c0-9f86ddc76bf3</errorID>
      <errorWord>&lt;</errorWord>
      <group>L1_Format</group>
      <groupName>格式问题</groupName>
      <ability>L2_HalfPunc</ability>
      <abilityName>全半角检查</abilityName>
      <candidateList>
        <item>〈</item>
      </candidateList>
      <explain>文本全半角错误。</explain>
      <paraID>  E1957E</paraID>
      <start>36</start>
      <end>37</end>
      <status>unmodified</status>
      <modifiedWord/>
      <trackRevisions>false</trackRevisions>
    </reviewItem>
    <reviewItem>
      <errorID>1f6b46c8-f14a-40ec-a2b0-6dd4e91d5143</errorID>
      <errorWord>&lt;</errorWord>
      <group>L1_Format</group>
      <groupName>格式问题</groupName>
      <ability>L2_HalfPunc</ability>
      <abilityName>全半角检查</abilityName>
      <candidateList>
        <item>〈</item>
      </candidateList>
      <explain>文本全半角错误。</explain>
      <paraID>5AFBFE9F</paraID>
      <start>36</start>
      <end>37</end>
      <status>unmodified</status>
      <modifiedWord/>
      <trackRevisions>false</trackRevisions>
    </reviewItem>
    <reviewItem>
      <errorID>b82c33d1-88c0-4300-be71-cd3f049f1d98</errorID>
      <errorWord>&lt;</errorWord>
      <group>L1_Format</group>
      <groupName>格式问题</groupName>
      <ability>L2_HalfPunc</ability>
      <abilityName>全半角检查</abilityName>
      <candidateList>
        <item>〈</item>
      </candidateList>
      <explain>文本全半角错误。</explain>
      <paraID>228AE196</paraID>
      <start>25</start>
      <end>26</end>
      <status>unmodified</status>
      <modifiedWord/>
      <trackRevisions>false</trackRevisions>
    </reviewItem>
    <reviewItem>
      <errorID>39c1a874-0848-408c-b58e-7877194398e3</errorID>
      <errorWord>操作合</errorWord>
      <group>L1_Word</group>
      <groupName>字词问题</groupName>
      <ability>L2_Typo</ability>
      <abilityName>字词错误</abilityName>
      <candidateList>
        <item>操作台</item>
      </candidateList>
      <explain/>
      <paraID>65F8D5CC</paraID>
      <start>9</start>
      <end>12</end>
      <status>unmodified</status>
      <modifiedWord/>
      <trackRevisions>false</trackRevisions>
    </reviewItem>
    <reviewItem>
      <errorID>fd8172e9-2ca8-4f29-b635-f45e2866272a</errorID>
      <errorWord>间</errorWord>
      <group>L1_Word</group>
      <groupName>字词问题</groupName>
      <ability>L2_Typo</ability>
      <abilityName>字词错误</abilityName>
      <candidateList>
        <item>间之</item>
      </candidateList>
      <explain/>
      <paraID> D8D7F79</paraID>
      <start>13</start>
      <end>14</end>
      <status>unmodified</status>
      <modifiedWord/>
      <trackRevisions>false</trackRevisions>
    </reviewItem>
    <reviewItem>
      <errorID>d406c155-12c9-4269-a52d-1c95ea4c9fd1</errorID>
      <errorWord>法律、法规</errorWord>
      <group>L1_Word</group>
      <groupName>字词问题</groupName>
      <ability>L2_Typo</ability>
      <abilityName>字词错误</abilityName>
      <candidateList>
        <item>法律法规</item>
      </candidateList>
      <explain/>
      <paraID>60464D6B</paraID>
      <start>3</start>
      <end>8</end>
      <status>unmodified</status>
      <modifiedWord/>
      <trackRevisions>false</trackRevisions>
    </reviewItem>
    <reviewItem>
      <errorID>eed20150-cb8f-461e-9085-00da839b453e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D7B5A40</paraID>
      <start>0</start>
      <end>2</end>
      <status>unmodified</status>
      <modifiedWord/>
      <trackRevisions>false</trackRevisions>
    </reviewItem>
    <reviewItem>
      <errorID>e9b65bd1-0240-4807-8bb4-9dc0ee083401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1D2A1AB9</paraID>
      <start>0</start>
      <end>2</end>
      <status>unmodified</status>
      <modifiedWord/>
      <trackRevisions>false</trackRevisions>
    </reviewItem>
    <reviewItem>
      <errorID>0a85d908-0201-4215-9d33-2adf07327738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2ABBFE3F</paraID>
      <start>0</start>
      <end>2</end>
      <status>unmodified</status>
      <modifiedWord/>
      <trackRevisions>false</trackRevisions>
    </reviewItem>
    <reviewItem>
      <errorID>b16dec44-4cfd-4250-a296-aede77c4fdf9</errorID>
      <errorWord>，</errorWord>
      <group>L1_Word</group>
      <groupName>字词问题</groupName>
      <ability>L2_Typo</ability>
      <abilityName>字词错误</abilityName>
      <candidateList>
        <item>，在</item>
      </candidateList>
      <explain/>
      <paraID>2ABBFE3F</paraID>
      <start>131</start>
      <end>132</end>
      <status>unmodified</status>
      <modifiedWord/>
      <trackRevisions>false</trackRevisions>
    </reviewItem>
    <reviewItem>
      <errorID>76402f12-e603-406b-9ad1-ef37dce3ee17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4CF736DC</paraID>
      <start>0</start>
      <end>2</end>
      <status>unmodified</status>
      <modifiedWord/>
      <trackRevisions>false</trackRevisions>
    </reviewItem>
    <reviewItem>
      <errorID>8dae57fd-0aa7-455d-a688-aab7ebca26e0</errorID>
      <errorWord>付</errorWord>
      <group>L1_Word</group>
      <groupName>字词问题</groupName>
      <ability>L2_Typo</ability>
      <abilityName>字词错误</abilityName>
      <candidateList>
        <item>付期</item>
      </candidateList>
      <explain/>
      <paraID>4CF736DC</paraID>
      <start>151</start>
      <end>154</end>
      <status>modified</status>
      <modifiedWord>付期</modifiedWord>
      <trackRevisions>true</trackRevisions>
    </reviewItem>
    <reviewItem>
      <errorID>4c62c9fa-e23b-4478-9020-190de33d6079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2FF32FB2</paraID>
      <start>0</start>
      <end>2</end>
      <status>unmodified</status>
      <modifiedWord/>
      <trackRevisions>false</trackRevisions>
    </reviewItem>
    <reviewItem>
      <errorID>1d261fb2-00b0-47c6-acd5-00cc0a8f34df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72F82513</paraID>
      <start>0</start>
      <end>2</end>
      <status>unmodified</status>
      <modifiedWord/>
      <trackRevisions>false</trackRevisions>
    </reviewItem>
    <reviewItem>
      <errorID>ff44a7b6-97cb-4544-86cb-5a8d95045b20</errorID>
      <errorWord>由</errorWord>
      <group>L1_Word</group>
      <groupName>字词问题</groupName>
      <ability>L2_Typo</ability>
      <abilityName>字词错误</abilityName>
      <candidateList>
        <item>由于</item>
      </candidateList>
      <explain>❶〈介〉表示原因或理由：～老师傅的耐心教导，他很快就掌握了这门技术。❷〈连〉表示原因，多与“所以”、“因此”等配合：～他工作成绩显著，因此受到了领导的表扬。</explain>
      <paraID>72F82513</paraID>
      <start>40</start>
      <end>41</end>
      <status>unmodified</status>
      <modifiedWord/>
      <trackRevisions>false</trackRevisions>
    </reviewItem>
    <reviewItem>
      <errorID>17bae010-5a4c-4a9a-811b-3e395d539428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5B443082</paraID>
      <start>0</start>
      <end>2</end>
      <status>unmodified</status>
      <modifiedWord/>
      <trackRevisions>false</trackRevisions>
    </reviewItem>
    <reviewItem>
      <errorID>168dcfa2-0e71-4544-844b-84a86398de51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2EFB7F33</paraID>
      <start>23</start>
      <end>26</end>
      <status>unmodified</status>
      <modifiedWord/>
      <trackRevisions>false</trackRevisions>
    </reviewItem>
    <reviewItem>
      <errorID>a5306975-bca4-407b-8d12-9e8b14076a2d</errorID>
      <errorWord>其它</errorWord>
      <group>L1_Word</group>
      <groupName>字词问题</groupName>
      <ability>L2_Alias</ability>
      <abilityName>也作/曾用词</abilityName>
      <candidateList>
        <item>其他</item>
      </candidateList>
      <explain>词汇[其它]为不规范表述或旧称，其规范书面表述为[其他]。</explain>
      <paraID>7C982B84</paraID>
      <start>14</start>
      <end>16</end>
      <status>unmodified</status>
      <modifiedWord/>
      <trackRevisions>false</trackRevisions>
    </reviewItem>
    <reviewItem>
      <errorID>70888148-a37a-4e9e-8eb7-10913004eaf5</errorID>
      <errorWord>,</errorWord>
      <group>L1_Format</group>
      <groupName>格式问题</groupName>
      <ability>L2_HalfPunc</ability>
      <abilityName>全半角检查</abilityName>
      <candidateList>
        <item>，</item>
      </candidateList>
      <explain>文本全半角错误。</explain>
      <paraID>606B9D22</paraID>
      <start>103</start>
      <end>104</end>
      <status>unmodified</status>
      <modifiedWord/>
      <trackRevisions>false</trackRevisions>
    </reviewItem>
    <reviewItem>
      <errorID>c5d55e6f-e782-44b7-a3a3-f180f069dd2c</errorID>
      <errorWord>其它</errorWord>
      <group>L1_Word</group>
      <groupName>字词问题</groupName>
      <ability>L2_Alias</ability>
      <abilityName>也作/曾用词</abilityName>
      <candidateList>
        <item>其他</item>
      </candidateList>
      <explain>词汇[其它]为不规范表述或旧称，其规范书面表述为[其他]。</explain>
      <paraID> D238AA0</paraID>
      <start>8</start>
      <end>10</end>
      <status>unmodified</status>
      <modifiedWord/>
      <trackRevisions>false</trackRevisions>
    </reviewItem>
    <reviewItem>
      <errorID>9c9525de-5439-47e0-8fcd-9a6e5251b113</errorID>
      <errorWord>,</errorWord>
      <group>L1_Format</group>
      <groupName>格式问题</groupName>
      <ability>L2_HalfPunc</ability>
      <abilityName>全半角检查</abilityName>
      <candidateList>
        <item>，</item>
      </candidateList>
      <explain>文本全半角错误。</explain>
      <paraID> CAF3D44</paraID>
      <start>95</start>
      <end>96</end>
      <status>unmodified</status>
      <modifiedWord/>
      <trackRevisions>false</trackRevisions>
    </reviewItem>
    <reviewItem>
      <errorID>7d3e83bd-5e1e-4403-9300-c7be2df32d78</errorID>
      <errorWord>，</errorWord>
      <group>L1_Word</group>
      <groupName>字词问题</groupName>
      <ability>L2_Typo</ability>
      <abilityName>字词错误</abilityName>
      <candidateList>
        <item>，在</item>
      </candidateList>
      <explain/>
      <paraID> 616548E</paraID>
      <start>131</start>
      <end>132</end>
      <status>unmodified</status>
      <modifiedWord/>
      <trackRevisions>false</trackRevisions>
    </reviewItem>
    <reviewItem>
      <errorID>bc542c65-0b6f-41bd-8fd6-c32eb8c4b074</errorID>
      <errorWord>付</errorWord>
      <group>L1_Word</group>
      <groupName>字词问题</groupName>
      <ability>L2_Typo</ability>
      <abilityName>字词错误</abilityName>
      <candidateList>
        <item>付期</item>
      </candidateList>
      <explain/>
      <paraID>7C7ED7FA</paraID>
      <start>151</start>
      <end>152</end>
      <status>unmodified</status>
      <modifiedWord/>
      <trackRevisions>false</trackRevisions>
    </reviewItem>
    <reviewItem>
      <errorID>7176673a-6248-4ef8-a8ae-3e56c3bb4c9b</errorID>
      <errorWord>由</errorWord>
      <group>L1_Word</group>
      <groupName>字词问题</groupName>
      <ability>L2_Typo</ability>
      <abilityName>字词错误</abilityName>
      <candidateList>
        <item>由于</item>
      </candidateList>
      <explain>❶〈介〉表示原因或理由：～老师傅的耐心教导，他很快就掌握了这门技术。❷〈连〉表示原因，多与“所以”、“因此”等配合：～他工作成绩显著，因此受到了领导的表扬。</explain>
      <paraID>13E658E9</paraID>
      <start>40</start>
      <end>41</end>
      <status>unmodified</status>
      <modifiedWord/>
      <trackRevisions>false</trackRevisions>
    </reviewItem>
    <reviewItem>
      <errorID>7d489679-9e3e-48d6-89f1-2d1cd0dc6462</errorID>
      <errorWord>《民法典》</errorWord>
      <group>L1_Word</group>
      <groupName>字词问题</groupName>
      <ability>L2_Typo</ability>
      <abilityName>字词错误</abilityName>
      <candidateList>
        <item>《中华人民共和国民法典》</item>
      </candidateList>
      <explain/>
      <paraID>795C0E65</paraID>
      <start>14</start>
      <end>19</end>
      <status>unmodified</status>
      <modifiedWord/>
      <trackRevisions>false</trackRevisions>
    </reviewItem>
    <reviewItem>
      <errorID>5c6f97a0-9c8c-4de2-9f39-69d1bc858497</errorID>
      <errorWord>-</errorWord>
      <group>L1_Format</group>
      <groupName>格式问题</groupName>
      <ability>L2_HalfPunc</ability>
      <abilityName>全半角检查</abilityName>
      <candidateList>
        <item>－</item>
      </candidateList>
      <explain>文本全半角错误。</explain>
      <paraID>4AFCB4A9</paraID>
      <start>10</start>
      <end>11</end>
      <status>unmodified</status>
      <modifiedWord/>
      <trackRevisions>false</trackRevisions>
    </reviewItem>
    <reviewItem>
      <errorID>b3853865-c0af-4702-ae04-1033812c8a66</errorID>
      <errorWord>本</errorWord>
      <group>L1_Word</group>
      <groupName>字词问题</groupName>
      <ability>L2_Typo</ability>
      <abilityName>字词错误</abilityName>
      <candidateList>
        <item>本次</item>
      </candidateList>
      <explain/>
      <paraID>66923442</paraID>
      <start>12</start>
      <end>13</end>
      <status>unmodified</status>
      <modifiedWord/>
      <trackRevisions>false</trackRevisions>
    </reviewItem>
    <reviewItem>
      <errorID>4afd1283-1a3a-4fb2-a72d-ff24ee420066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57DA6D60</paraID>
      <start>12</start>
      <end>15</end>
      <status>unmodified</status>
      <modifiedWord/>
      <trackRevisions>false</trackRevisions>
    </reviewItem>
    <reviewItem>
      <errorID>e44842b2-f52a-4a4b-aa5e-899e31e08947</errorID>
      <errorWord>其它</errorWord>
      <group>L1_Word</group>
      <groupName>字词问题</groupName>
      <ability>L2_Alias</ability>
      <abilityName>也作/曾用词</abilityName>
      <candidateList>
        <item>其他</item>
      </candidateList>
      <explain>词汇[其它]为不规范表述或旧称，其规范书面表述为[其他]。</explain>
      <paraID>489DE684</paraID>
      <start>0</start>
      <end>2</end>
      <status>unmodified</status>
      <modifiedWord/>
      <trackRevisions>false</trackRevisions>
    </reviewItem>
    <reviewItem>
      <errorID>e7b40cc6-513d-44ee-82c5-698c5dacf878</errorID>
      <errorWord>其它</errorWord>
      <group>L1_Word</group>
      <groupName>字词问题</groupName>
      <ability>L2_Alias</ability>
      <abilityName>也作/曾用词</abilityName>
      <candidateList>
        <item>其他</item>
      </candidateList>
      <explain>词汇[其它]为不规范表述或旧称，其规范书面表述为[其他]。</explain>
      <paraID>290A286D</paraID>
      <start>21</start>
      <end>23</end>
      <status>unmodified</status>
      <modifiedWord/>
      <trackRevisions>false</trackRevisions>
    </reviewItem>
    <reviewItem>
      <errorID>038c7698-076b-4e2d-af57-39cfb1e237b4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517DE419</paraID>
      <start>12</start>
      <end>15</end>
      <status>unmodified</status>
      <modifiedWord/>
      <trackRevisions>false</trackRevisions>
    </reviewItem>
    <reviewItem>
      <errorID>20de42f2-0671-4c8e-b4a9-d3c81c124bcd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469CAABE</paraID>
      <start>6</start>
      <end>9</end>
      <status>unmodified</status>
      <modifiedWord/>
      <trackRevisions>false</trackRevisions>
    </reviewItem>
    <reviewItem>
      <errorID>2b90c97f-168f-43fd-aaee-2df9d793bb77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1A66BB80</paraID>
      <start>0</start>
      <end>2</end>
      <status>unmodified</status>
      <modifiedWord/>
      <trackRevisions>false</trackRevisions>
    </reviewItem>
    <reviewItem>
      <errorID>2d490505-9405-43e5-9c45-b9c7072140ab</errorID>
      <errorWord>涉及到</errorWord>
      <group>L1_Grammar</group>
      <groupName>语法问题</groupName>
      <ability>L2_Grammar</ability>
      <abilityName>语法错误</abilityName>
      <candidateList>
        <item>涉及</item>
      </candidateList>
      <explain>〈动〉牵涉到；关联到：案子～好几个人｜这个问题～面很广。</explain>
      <paraID>4DAB53E0</paraID>
      <start>17</start>
      <end>20</end>
      <status>unmodified</status>
      <modifiedWord/>
      <trackRevisions>false</trackRevisions>
    </reviewItem>
    <reviewItem>
      <errorID>de341fc6-3cd0-448f-ae5e-daa533961036</errorID>
      <errorWord>法律、法规</errorWord>
      <group>L1_Word</group>
      <groupName>字词问题</groupName>
      <ability>L2_Typo</ability>
      <abilityName>字词错误</abilityName>
      <candidateList>
        <item>法律法规</item>
      </candidateList>
      <explain/>
      <paraID>36185FDF</paraID>
      <start>74</start>
      <end>79</end>
      <status>unmodified</status>
      <modifiedWord/>
      <trackRevisions>false</trackRevisions>
    </reviewItem>
    <reviewItem>
      <errorID>c0d18a2e-69a0-4088-b20e-f6ed1748b7a6</errorID>
      <errorWord>:</errorWord>
      <group>L1_Format</group>
      <groupName>格式问题</groupName>
      <ability>L2_HalfPunc</ability>
      <abilityName>全半角检查</abilityName>
      <candidateList>
        <item>：</item>
      </candidateList>
      <explain>文本全半角错误。</explain>
      <paraID> FDF7666</paraID>
      <start>3</start>
      <end>4</end>
      <status>unmodified</status>
      <modifiedWord/>
      <trackRevisions>false</trackRevisions>
    </reviewItem>
    <reviewItem>
      <errorID>45da4382-7a33-4a4d-9ae5-92b849398b73</errorID>
      <errorWord>:</errorWord>
      <group>L1_Format</group>
      <groupName>格式问题</groupName>
      <ability>L2_HalfPunc</ability>
      <abilityName>全半角检查</abilityName>
      <candidateList>
        <item>：</item>
      </candidateList>
      <explain>文本全半角错误。</explain>
      <paraID>5CB43CA7</paraID>
      <start>3</start>
      <end>4</end>
      <status>unmodified</status>
      <modifiedWord/>
      <trackRevisions>false</trackRevisions>
    </reviewItem>
    <reviewItem>
      <errorID>49a6549c-5bc7-4764-a7be-6c67fbb9aa7c</errorID>
      <errorWord>(</errorWord>
      <group>L1_Format</group>
      <groupName>格式问题</groupName>
      <ability>L2_HalfPunc</ability>
      <abilityName>全半角检查</abilityName>
      <candidateList>
        <item>（</item>
      </candidateList>
      <explain>文本全半角错误。</explain>
      <paraID> 2463E66</paraID>
      <start>13</start>
      <end>14</end>
      <status>unmodified</status>
      <modifiedWord/>
      <trackRevisions>false</trackRevisions>
    </reviewItem>
    <reviewItem>
      <errorID>e315a23a-aca8-4d82-97f0-3ece2ea2c672</errorID>
      <errorWord>)</errorWord>
      <group>L1_Format</group>
      <groupName>格式问题</groupName>
      <ability>L2_HalfPunc</ability>
      <abilityName>全半角检查</abilityName>
      <candidateList>
        <item>）</item>
      </candidateList>
      <explain>文本全半角错误。</explain>
      <paraID> 2463E66</paraID>
      <start>24</start>
      <end>25</end>
      <status>unmodified</status>
      <modifiedWord/>
      <trackRevisions>false</trackRevisions>
    </reviewItem>
    <reviewItem>
      <errorID>0aa1ca2a-6d37-4420-bcc3-4c26cbf16c43</errorID>
      <errorWord>KW</errorWord>
      <group>L1_Word</group>
      <groupName>字词问题</groupName>
      <ability>L2_Typo</ability>
      <abilityName>字词错误</abilityName>
      <candidateList>
        <item>kW</item>
      </candidateList>
      <explain/>
      <paraID>1E6445FE</paraID>
      <start>11</start>
      <end>15</end>
      <status>modified</status>
      <modifiedWord>kW</modifiedWord>
      <trackRevisions>true</trackRevisions>
    </reviewItem>
    <reviewItem>
      <errorID>d2da9810-2ce6-439b-8c63-6d21481f286e</errorID>
      <errorWord>rpm</errorWord>
      <group>L1_Word</group>
      <groupName>字词问题</groupName>
      <ability>L2_Typo</ability>
      <abilityName>字词错误</abilityName>
      <candidateList/>
      <explain>非法定单位</explain>
      <paraID>6E80FBD4</paraID>
      <start>12</start>
      <end>15</end>
      <status>unmodified</status>
      <modifiedWord/>
      <trackRevisions>false</trackRevisions>
    </reviewItem>
    <reviewItem>
      <errorID>0540a104-7b04-4bf9-84ca-8d3ee6ddb2c8</errorID>
      <errorWord>:</errorWord>
      <group>L1_Format</group>
      <groupName>格式问题</groupName>
      <ability>L2_HalfPunc</ability>
      <abilityName>全半角检查</abilityName>
      <candidateList>
        <item>：</item>
      </candidateList>
      <explain>文本全半角错误。</explain>
      <paraID>4D04B34F</paraID>
      <start>9</start>
      <end>10</end>
      <status>unmodified</status>
      <modifiedWord/>
      <trackRevisions>false</trackRevisions>
    </reviewItem>
    <reviewItem>
      <errorID>1df32cf7-4b00-425c-92f0-d7a26f3c8509</errorID>
      <errorWord>rpm</errorWord>
      <group>L1_Word</group>
      <groupName>字词问题</groupName>
      <ability>L2_Typo</ability>
      <abilityName>字词错误</abilityName>
      <candidateList/>
      <explain>非法定单位</explain>
      <paraID>1EFBB3C0</paraID>
      <start>16</start>
      <end>19</end>
      <status>unmodified</status>
      <modifiedWord/>
      <trackRevisions>false</trackRevisions>
    </reviewItem>
    <reviewItem>
      <errorID>2ab2247d-536b-47d5-9e26-fa420d24817d</errorID>
      <errorWord>kw</errorWord>
      <group>L1_Word</group>
      <groupName>字词问题</groupName>
      <ability>L2_Typo</ability>
      <abilityName>字词错误</abilityName>
      <candidateList>
        <item>kW</item>
      </candidateList>
      <explain/>
      <paraID>2DEDC81A</paraID>
      <start>19</start>
      <end>23</end>
      <status>modified</status>
      <modifiedWord>kW</modifiedWord>
      <trackRevisions>true</trackRevisions>
    </reviewItem>
    <reviewItem>
      <errorID>b0ec89b8-3ad5-43ef-bce8-e178518d63a6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3080B9EC</paraID>
      <start>21</start>
      <end>22</end>
      <status>unmodified</status>
      <modifiedWord/>
      <trackRevisions>false</trackRevisions>
    </reviewItem>
    <reviewItem>
      <errorID>76d364ab-0aad-4fa3-a69b-f9b4262deb8c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3080B9EC</paraID>
      <start>42</start>
      <end>43</end>
      <status>unmodified</status>
      <modifiedWord/>
      <trackRevisions>false</trackRevisions>
    </reviewItem>
    <reviewItem>
      <errorID>aad1c6ba-f7de-40a3-bafc-3e9ff6fb34b2</errorID>
      <errorWord>刮蹭</errorWord>
      <group>L1_Word</group>
      <groupName>字词问题</groupName>
      <ability>L2_Typo</ability>
      <abilityName>字词错误</abilityName>
      <candidateList>
        <item>剐蹭</item>
      </candidateList>
      <explain/>
      <paraID> 22F2E91</paraID>
      <start>20</start>
      <end>22</end>
      <status>unmodified</status>
      <modifiedWord/>
      <trackRevisions>false</trackRevisions>
    </reviewItem>
    <reviewItem>
      <errorID>a3d6483f-aa3a-4e5a-b61c-766e5a182e3b</errorID>
      <errorWord>编织</errorWord>
      <group>L1_Word</group>
      <groupName>字词问题</groupName>
      <ability>L2_Typo</ability>
      <abilityName>字词错误</abilityName>
      <candidateList>
        <item>编辑</item>
      </candidateList>
      <explain/>
      <paraID>57F3A821</paraID>
      <start>24</start>
      <end>26</end>
      <status>unmodified</status>
      <modifiedWord/>
      <trackRevisions>false</trackRevisions>
    </reviewItem>
    <reviewItem>
      <errorID>ca2bb5ac-fd3d-4a7c-bef2-a3e4029f75f4</errorID>
      <errorWord>MM</errorWord>
      <group>L1_Official</group>
      <groupName>公文问题</groupName>
      <ability>L2_Official</ability>
      <abilityName>公文问题</abilityName>
      <candidateList/>
      <explain>公文中禁止出现该词语</explain>
      <paraID>2C546235</paraID>
      <start>10</start>
      <end>12</end>
      <status>unmodified</status>
      <modifiedWord/>
      <trackRevisions>false</trackRevisions>
    </reviewItem>
    <reviewItem>
      <errorID>a31b1934-7cfa-469e-ac1b-b61f456c3d86</errorID>
      <errorWord>KW</errorWord>
      <group>L1_Word</group>
      <groupName>字词问题</groupName>
      <ability>L2_Typo</ability>
      <abilityName>字词错误</abilityName>
      <candidateList>
        <item>kW</item>
      </candidateList>
      <explain/>
      <paraID>26258F6F</paraID>
      <start>11</start>
      <end>13</end>
      <status>unmodified</status>
      <modifiedWord/>
      <trackRevisions>false</trackRevisions>
    </reviewItem>
    <reviewItem>
      <errorID>f5c1fc3c-ba73-4785-8b5e-8496b8c91cec</errorID>
      <errorWord>rpm</errorWord>
      <group>L1_Word</group>
      <groupName>字词问题</groupName>
      <ability>L2_Typo</ability>
      <abilityName>字词错误</abilityName>
      <candidateList/>
      <explain>非法定单位</explain>
      <paraID>7EC1A103</paraID>
      <start>12</start>
      <end>15</end>
      <status>unmodified</status>
      <modifiedWord/>
      <trackRevisions>false</trackRevisions>
    </reviewItem>
    <reviewItem>
      <errorID>21c7d7ae-1977-4a72-9b2e-6d4236ac3d31</errorID>
      <errorWord>架式</errorWord>
      <group>L1_Word</group>
      <groupName>字词问题</groupName>
      <ability>L2_Variant</ability>
      <abilityName>异形词</abilityName>
      <candidateList>
        <item>架势</item>
      </candidateList>
      <explain>词汇[架式]的规范词形写作[架势]。</explain>
      <paraID>58BFF4CB</paraID>
      <start>8</start>
      <end>10</end>
      <status>unmodified</status>
      <modifiedWord/>
      <trackRevisions>false</trackRevisions>
    </reviewItem>
    <reviewItem>
      <errorID>f4bf434f-8ddc-4e46-a5e7-4606c2fa276b</errorID>
      <errorWord>kw</errorWord>
      <group>L1_Word</group>
      <groupName>字词问题</groupName>
      <ability>L2_Typo</ability>
      <abilityName>字词错误</abilityName>
      <candidateList>
        <item>kW</item>
      </candidateList>
      <explain/>
      <paraID>5821B816</paraID>
      <start>10</start>
      <end>14</end>
      <status>modified</status>
      <modifiedWord>kW</modifiedWord>
      <trackRevisions>true</trackRevisions>
    </reviewItem>
    <reviewItem>
      <errorID>f0b11fc3-8b66-4e0f-b9f9-43b3e4ad941e</errorID>
      <errorWord>kw</errorWord>
      <group>L1_Word</group>
      <groupName>字词问题</groupName>
      <ability>L2_Typo</ability>
      <abilityName>字词错误</abilityName>
      <candidateList>
        <item>kW</item>
      </candidateList>
      <explain/>
      <paraID>5821B816</paraID>
      <start>25</start>
      <end>29</end>
      <status>modified</status>
      <modifiedWord>kW</modifiedWord>
      <trackRevisions>true</trackRevisions>
    </reviewItem>
    <reviewItem>
      <errorID>1a8ee40d-a79e-468c-ace4-1896533c2b86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7F47FC74</paraID>
      <start>14</start>
      <end>15</end>
      <status>unmodified</status>
      <modifiedWord/>
      <trackRevisions>false</trackRevisions>
    </reviewItem>
    <reviewItem>
      <errorID>c927d4e1-e409-480b-bc8f-7e279dcf8f27</errorID>
      <errorWord>其它同</errorWord>
      <group>L1_Word</group>
      <groupName>字词问题</groupName>
      <ability>L2_Alias</ability>
      <abilityName>也作/曾用词</abilityName>
      <candidateList>
        <item>其他同</item>
      </candidateList>
      <explain>词汇[其它同]为不规范表述或旧称，其规范书面表述为[其他同]。</explain>
      <paraID> 36CB0A1</paraID>
      <start>142</start>
      <end>145</end>
      <status>unmodified</status>
      <modifiedWord/>
      <trackRevisions>false</trackRevisions>
    </reviewItem>
    <reviewItem>
      <errorID>20584017-4eb6-471c-8173-35a8b4693782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8D7E851</paraID>
      <start>23</start>
      <end>26</end>
      <status>unmodified</status>
      <modifiedWord/>
      <trackRevisions>false</trackRevisions>
    </reviewItem>
    <reviewItem>
      <errorID>0dc9ef7b-d4cd-4fd0-91e0-0ee87ae9d617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8D7E851</paraID>
      <start>42</start>
      <end>45</end>
      <status>unmodified</status>
      <modifiedWord/>
      <trackRevisions>false</trackRevisions>
    </reviewItem>
    <reviewItem>
      <errorID>bbab06f6-721c-416f-90a8-a64980952e34</errorID>
      <errorWord>法律、法规</errorWord>
      <group>L1_Word</group>
      <groupName>字词问题</groupName>
      <ability>L2_Typo</ability>
      <abilityName>字词错误</abilityName>
      <candidateList>
        <item>法律法规</item>
      </candidateList>
      <explain/>
      <paraID> 8D7E851</paraID>
      <start>76</start>
      <end>81</end>
      <status>unmodified</status>
      <modifiedWord/>
      <trackRevisions>false</trackRevisions>
    </reviewItem>
    <reviewItem>
      <errorID>9b95b77e-6294-448f-8fcb-2418a32684ae</errorID>
      <errorWord>进现</errorWord>
      <group>L1_Word</group>
      <groupName>字词问题</groupName>
      <ability>L2_Typo</ability>
      <abilityName>字词错误</abilityName>
      <candidateList>
        <item>进场</item>
      </candidateList>
      <explain/>
      <paraID>6BA83B63</paraID>
      <start>30</start>
      <end>32</end>
      <status>unmodified</status>
      <modifiedWord/>
      <trackRevisions>false</trackRevisions>
    </reviewItem>
    <reviewItem>
      <errorID>a54a73be-d75e-419a-82e0-6e0072823e72</errorID>
      <errorWord>&lt;</errorWord>
      <group>L1_Format</group>
      <groupName>格式问题</groupName>
      <ability>L2_HalfPunc</ability>
      <abilityName>全半角检查</abilityName>
      <candidateList>
        <item>〈</item>
      </candidateList>
      <explain>文本全半角错误。</explain>
      <paraID>7DB3A49C</paraID>
      <start>9</start>
      <end>10</end>
      <status>unmodified</status>
      <modifiedWord/>
      <trackRevisions>false</trackRevisions>
    </reviewItem>
    <reviewItem>
      <errorID>710969f5-b3a0-43fe-b06b-273f708bdf31</errorID>
      <errorWord>&gt;的通知》</errorWord>
      <group>L1_Punc</group>
      <groupName>标点问题</groupName>
      <ability>L2_Punc</ability>
      <abilityName>标点符号检查</abilityName>
      <candidateList>
        <item>〉的通知》</item>
      </candidateList>
      <explain/>
      <paraID>7DB3A49C</paraID>
      <start>26</start>
      <end>31</end>
      <status>unmodified</status>
      <modifiedWord/>
      <trackRevisions>false</trackRevisions>
    </reviewItem>
    <reviewItem>
      <errorID>e3760d54-a9bd-4c5d-a3e7-0ce03344ae72</errorID>
      <errorWord>其它</errorWord>
      <group>L1_Word</group>
      <groupName>字词问题</groupName>
      <ability>L2_Alias</ability>
      <abilityName>也作/曾用词</abilityName>
      <candidateList>
        <item>其他</item>
      </candidateList>
      <explain>词汇[其它]为不规范表述或旧称，其规范书面表述为[其他]。</explain>
      <paraID>620255E6</paraID>
      <start>0</start>
      <end>2</end>
      <status>unmodified</status>
      <modifiedWord/>
      <trackRevisions>false</trackRevisions>
    </reviewItem>
    <reviewItem>
      <errorID>72fba3c4-406f-4271-8582-bcf8c00683a8</errorID>
      <errorWord>法律、法规</errorWord>
      <group>L1_Word</group>
      <groupName>字词问题</groupName>
      <ability>L2_Typo</ability>
      <abilityName>字词错误</abilityName>
      <candidateList>
        <item>法律法规</item>
      </candidateList>
      <explain/>
      <paraID>1FE7482B</paraID>
      <start>2</start>
      <end>7</end>
      <status>unmodified</status>
      <modifiedWord/>
      <trackRevisions>false</trackRevisions>
    </reviewItem>
    <reviewItem>
      <errorID>70b7d479-decb-485c-ab61-37fbabfbecc7</errorID>
      <errorWord>，…，</errorWord>
      <group>L1_Punc</group>
      <groupName>标点问题</groupName>
      <ability>L2_Punc</ability>
      <abilityName>标点符号检查</abilityName>
      <candidateList>
        <item>，</item>
      </candidateList>
      <explain/>
      <paraID>12D96FB5</paraID>
      <start>14</start>
      <end>17</end>
      <status>unmodified</status>
      <modifiedWord/>
      <trackRevisions>false</trackRevisions>
    </reviewItem>
    <reviewItem>
      <errorID>f369aca2-fca1-43cf-a7ef-bfd7add06b91</errorID>
      <errorWord>，…，</errorWord>
      <group>L1_Punc</group>
      <groupName>标点问题</groupName>
      <ability>L2_Punc</ability>
      <abilityName>标点符号检查</abilityName>
      <candidateList>
        <item>，</item>
      </candidateList>
      <explain/>
      <paraID>2FD1E8BC</paraID>
      <start>41</start>
      <end>44</end>
      <status>unmodified</status>
      <modifiedWord/>
      <trackRevisions>false</trackRevisions>
    </reviewItem>
    <reviewItem>
      <errorID>61305dd4-470a-4070-b38a-bb67401682fe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38F3B804</paraID>
      <start>29</start>
      <end>32</end>
      <status>unmodified</status>
      <modifiedWord/>
      <trackRevisions>false</trackRevisions>
    </reviewItem>
    <reviewItem>
      <errorID>170a75f0-b73c-4168-9321-f71cbd996527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59DAF798</paraID>
      <start>7</start>
      <end>10</end>
      <status>unmodified</status>
      <modifiedWord/>
      <trackRevisions>false</trackRevisions>
    </reviewItem>
    <reviewItem>
      <errorID>0ffe6733-9a27-4997-ad06-9fd5b33e91c5</errorID>
      <errorWord>法律、法规</errorWord>
      <group>L1_Word</group>
      <groupName>字词问题</groupName>
      <ability>L2_Typo</ability>
      <abilityName>字词错误</abilityName>
      <candidateList>
        <item>法律法规</item>
      </candidateList>
      <explain/>
      <paraID>1163864B</paraID>
      <start>23</start>
      <end>28</end>
      <status>unmodified</status>
      <modifiedWord/>
      <trackRevisions>false</trackRevisions>
    </reviewItem>
    <reviewItem>
      <errorID>87fcb955-a5e6-43b1-a3d4-8c91c84576d4</errorID>
      <errorWord>其它</errorWord>
      <group>L1_Word</group>
      <groupName>字词问题</groupName>
      <ability>L2_Alias</ability>
      <abilityName>也作/曾用词</abilityName>
      <candidateList>
        <item>其他</item>
      </candidateList>
      <explain>词汇[其它]为不规范表述或旧称，其规范书面表述为[其他]。</explain>
      <paraID>1266B30B</paraID>
      <start>2</start>
      <end>4</end>
      <status>unmodified</status>
      <modifiedWord/>
      <trackRevisions>false</trackRevisions>
    </reviewItem>
    <reviewItem>
      <errorID>4f420fa2-1ff8-4465-9323-cb95107c2a65</errorID>
      <errorWord>果</errorWord>
      <group>L1_Word</group>
      <groupName>字词问题</groupName>
      <ability>L2_Typo</ability>
      <abilityName>字词错误</abilityName>
      <candidateList>
        <item>果由</item>
      </candidateList>
      <explain/>
      <paraID>7B457052</paraID>
      <start>119</start>
      <end>120</end>
      <status>unmodified</status>
      <modifiedWord/>
      <trackRevisions>false</trackRevisions>
    </reviewItem>
    <reviewItem>
      <errorID>491d17df-076e-44b1-8d9c-68ed93392477</errorID>
      <errorWord>其它</errorWord>
      <group>L1_Word</group>
      <groupName>字词问题</groupName>
      <ability>L2_Alias</ability>
      <abilityName>也作/曾用词</abilityName>
      <candidateList>
        <item>其他</item>
      </candidateList>
      <explain>词汇[其它]为不规范表述或旧称，其规范书面表述为[其他]。</explain>
      <paraID>279B7B99</paraID>
      <start>3</start>
      <end>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562B71-9FCE-492F-980B-CAFB9DB7950A}">
  <ds:schemaRefs/>
</ds:datastoreItem>
</file>

<file path=customXml/itemProps3.xml><?xml version="1.0" encoding="utf-8"?>
<ds:datastoreItem xmlns:ds="http://schemas.openxmlformats.org/officeDocument/2006/customXml" ds:itemID="{3CAF980C-0A3A-4A1C-8A60-B270FBEBF9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88</Pages>
  <Words>17709</Words>
  <Characters>18891</Characters>
  <Lines>44</Lines>
  <Paragraphs>94</Paragraphs>
  <TotalTime>12</TotalTime>
  <ScaleCrop>false</ScaleCrop>
  <LinksUpToDate>false</LinksUpToDate>
  <CharactersWithSpaces>19108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2021-04-11T05:55:00Z</dcterms:created>
  <dc:creator>China</dc:creator>
  <cp:lastModifiedBy>Sat.</cp:lastModifiedBy>
  <cp:lastPrinted>2025-05-20T03:19:00Z</cp:lastPrinted>
  <dcterms:modified xsi:type="dcterms:W3CDTF">2026-05-07T10:40:57Z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345299EBC26A41CA9E1F5F9990C7F84B_13</vt:lpwstr>
  </property>
  <property fmtid="{D5CDD505-2E9C-101B-9397-08002B2CF9AE}" pid="4" name="KSOTemplateDocerSaveRecord">
    <vt:lpwstr>eyJoZGlkIjoiZGE3MjQ3MjBlMjNmMGQ3NTc2MzEzMDdiMDYzODA5NzYiLCJ1c2VySWQiOiI5MzMwMDQyOTgifQ==</vt:lpwstr>
  </property>
</Properties>
</file>